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6"/>
          <w:szCs w:val="16"/>
          <w:color w:val="auto"/>
        </w:rPr>
        <w:t>United States</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Securities and Exchange Commission</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Washington, D.C. 20549</w:t>
      </w:r>
    </w:p>
    <w:p>
      <w:pPr>
        <w:spacing w:after="0" w:line="17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Form 10-K</w:t>
      </w:r>
    </w:p>
    <w:p>
      <w:pPr>
        <w:spacing w:after="0" w:line="171" w:lineRule="exact"/>
        <w:rPr>
          <w:sz w:val="24"/>
          <w:szCs w:val="24"/>
          <w:color w:val="auto"/>
        </w:rPr>
      </w:pPr>
    </w:p>
    <w:p>
      <w:pPr>
        <w:ind w:left="280"/>
        <w:spacing w:after="0"/>
        <w:rPr>
          <w:sz w:val="20"/>
          <w:szCs w:val="20"/>
          <w:color w:val="auto"/>
        </w:rPr>
      </w:pPr>
      <w:r>
        <w:rPr>
          <w:rFonts w:ascii="Arial" w:cs="Arial" w:eastAsia="Arial" w:hAnsi="Arial"/>
          <w:sz w:val="16"/>
          <w:szCs w:val="16"/>
          <w:color w:val="auto"/>
        </w:rPr>
        <w:t>(Mark One)</w:t>
      </w:r>
    </w:p>
    <w:p>
      <w:pPr>
        <w:spacing w:after="0" w:line="86" w:lineRule="exact"/>
        <w:rPr>
          <w:sz w:val="24"/>
          <w:szCs w:val="24"/>
          <w:color w:val="auto"/>
        </w:rPr>
      </w:pPr>
    </w:p>
    <w:p>
      <w:pPr>
        <w:ind w:left="1360" w:right="4440" w:hanging="825"/>
        <w:spacing w:after="0" w:line="363" w:lineRule="auto"/>
        <w:tabs>
          <w:tab w:leader="none" w:pos="1360" w:val="left"/>
        </w:tabs>
        <w:numPr>
          <w:ilvl w:val="0"/>
          <w:numId w:val="1"/>
        </w:numPr>
        <w:rPr>
          <w:rFonts w:ascii="Arial" w:cs="Arial" w:eastAsia="Arial" w:hAnsi="Arial"/>
          <w:sz w:val="16"/>
          <w:szCs w:val="16"/>
          <w:color w:val="auto"/>
        </w:rPr>
      </w:pPr>
      <w:r>
        <w:rPr>
          <w:rFonts w:ascii="Arial" w:cs="Arial" w:eastAsia="Arial" w:hAnsi="Arial"/>
          <w:sz w:val="16"/>
          <w:szCs w:val="16"/>
          <w:color w:val="auto"/>
        </w:rPr>
        <w:t xml:space="preserve">Annual Report Pursuant to Section 13 or 15(d) of the Securities Exchange Act of 1934 For the fiscal year ended </w:t>
      </w:r>
      <w:r>
        <w:rPr>
          <w:rFonts w:ascii="Arial" w:cs="Arial" w:eastAsia="Arial" w:hAnsi="Arial"/>
          <w:sz w:val="16"/>
          <w:szCs w:val="16"/>
          <w:b w:val="1"/>
          <w:bCs w:val="1"/>
          <w:color w:val="auto"/>
        </w:rPr>
        <w:t>December 31, 2012</w:t>
      </w:r>
    </w:p>
    <w:p>
      <w:pPr>
        <w:spacing w:after="0" w:line="159" w:lineRule="exact"/>
        <w:rPr>
          <w:sz w:val="24"/>
          <w:szCs w:val="24"/>
          <w:color w:val="auto"/>
        </w:rPr>
      </w:pPr>
    </w:p>
    <w:p>
      <w:pPr>
        <w:ind w:left="1360" w:right="4260" w:hanging="825"/>
        <w:spacing w:after="0" w:line="381" w:lineRule="auto"/>
        <w:tabs>
          <w:tab w:leader="none" w:pos="1360" w:val="left"/>
        </w:tabs>
        <w:numPr>
          <w:ilvl w:val="0"/>
          <w:numId w:val="2"/>
        </w:numPr>
        <w:rPr>
          <w:rFonts w:ascii="Arial" w:cs="Arial" w:eastAsia="Arial" w:hAnsi="Arial"/>
          <w:sz w:val="16"/>
          <w:szCs w:val="16"/>
          <w:color w:val="auto"/>
        </w:rPr>
      </w:pPr>
      <w:r>
        <w:rPr>
          <w:rFonts w:ascii="Arial" w:cs="Arial" w:eastAsia="Arial" w:hAnsi="Arial"/>
          <w:sz w:val="16"/>
          <w:szCs w:val="16"/>
          <w:color w:val="auto"/>
        </w:rPr>
        <w:t>Transition Report Pursuant to Section 13 or 15(d) of the Securities Exchange Act of 1934 For the transition period from ______________ to ______________</w:t>
      </w:r>
    </w:p>
    <w:p>
      <w:pPr>
        <w:spacing w:after="0" w:line="101"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 xml:space="preserve">Commission File No. </w:t>
      </w:r>
      <w:r>
        <w:rPr>
          <w:rFonts w:ascii="Arial" w:cs="Arial" w:eastAsia="Arial" w:hAnsi="Arial"/>
          <w:sz w:val="16"/>
          <w:szCs w:val="16"/>
          <w:b w:val="1"/>
          <w:bCs w:val="1"/>
          <w:color w:val="auto"/>
        </w:rPr>
        <w:t>1-3548</w:t>
      </w:r>
    </w:p>
    <w:p>
      <w:pPr>
        <w:spacing w:after="0" w:line="5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ALLETE, Inc.</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ectPr>
          <w:pgSz w:w="11900" w:h="16838" w:orient="portrait"/>
          <w:cols w:equalWidth="0" w:num="1">
            <w:col w:w="11420"/>
          </w:cols>
          <w:pgMar w:left="240" w:top="481" w:right="239" w:bottom="1440" w:gutter="0" w:footer="0" w:header="0"/>
        </w:sectPr>
      </w:pPr>
    </w:p>
    <w:p>
      <w:pPr>
        <w:spacing w:after="0" w:line="240" w:lineRule="exact"/>
        <w:rPr>
          <w:sz w:val="24"/>
          <w:szCs w:val="24"/>
          <w:color w:val="auto"/>
        </w:rPr>
      </w:pPr>
    </w:p>
    <w:p>
      <w:pPr>
        <w:ind w:left="2340"/>
        <w:spacing w:after="0"/>
        <w:rPr>
          <w:sz w:val="20"/>
          <w:szCs w:val="20"/>
          <w:color w:val="auto"/>
        </w:rPr>
      </w:pPr>
      <w:r>
        <w:rPr>
          <w:rFonts w:ascii="Arial" w:cs="Arial" w:eastAsia="Arial" w:hAnsi="Arial"/>
          <w:sz w:val="14"/>
          <w:szCs w:val="14"/>
          <w:b w:val="1"/>
          <w:bCs w:val="1"/>
          <w:color w:val="auto"/>
        </w:rPr>
        <w:t>Minnesota</w:t>
      </w:r>
    </w:p>
    <w:p>
      <w:pPr>
        <w:spacing w:after="0" w:line="20" w:lineRule="exact"/>
        <w:rPr>
          <w:sz w:val="24"/>
          <w:szCs w:val="24"/>
          <w:color w:val="auto"/>
        </w:rPr>
      </w:pPr>
      <w:r>
        <w:rPr>
          <w:sz w:val="24"/>
          <w:szCs w:val="24"/>
          <w:color w:val="auto"/>
        </w:rPr>
        <w:br w:type="column"/>
      </w:r>
    </w:p>
    <w:p>
      <w:pPr>
        <w:spacing w:after="0" w:line="220"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41-0418150</w:t>
      </w:r>
    </w:p>
    <w:p>
      <w:pPr>
        <w:spacing w:after="0" w:line="100" w:lineRule="exact"/>
        <w:rPr>
          <w:sz w:val="24"/>
          <w:szCs w:val="24"/>
          <w:color w:val="auto"/>
        </w:rPr>
      </w:pPr>
    </w:p>
    <w:p>
      <w:pPr>
        <w:sectPr>
          <w:pgSz w:w="11900" w:h="16838" w:orient="portrait"/>
          <w:cols w:equalWidth="0" w:num="2">
            <w:col w:w="7920" w:space="720"/>
            <w:col w:w="2780"/>
          </w:cols>
          <w:pgMar w:left="240" w:top="481" w:right="239" w:bottom="1440" w:gutter="0" w:footer="0" w:header="0"/>
          <w:type w:val="continuous"/>
        </w:sectPr>
      </w:pPr>
    </w:p>
    <w:p>
      <w:pPr>
        <w:ind w:left="760"/>
        <w:spacing w:after="0"/>
        <w:rPr>
          <w:sz w:val="20"/>
          <w:szCs w:val="20"/>
          <w:color w:val="auto"/>
        </w:rPr>
      </w:pPr>
      <w:r>
        <w:rPr>
          <w:rFonts w:ascii="Arial" w:cs="Arial" w:eastAsia="Arial" w:hAnsi="Arial"/>
          <w:sz w:val="15"/>
          <w:szCs w:val="15"/>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(I.R.S. Employer Identification No.)</w:t>
      </w:r>
    </w:p>
    <w:p>
      <w:pPr>
        <w:spacing w:after="0" w:line="200" w:lineRule="exact"/>
        <w:rPr>
          <w:sz w:val="24"/>
          <w:szCs w:val="24"/>
          <w:color w:val="auto"/>
        </w:rPr>
      </w:pPr>
    </w:p>
    <w:p>
      <w:pPr>
        <w:sectPr>
          <w:pgSz w:w="11900" w:h="16838" w:orient="portrait"/>
          <w:cols w:equalWidth="0" w:num="2">
            <w:col w:w="7140" w:space="720"/>
            <w:col w:w="3560"/>
          </w:cols>
          <w:pgMar w:left="240" w:top="481" w:right="239" w:bottom="1440" w:gutter="0" w:footer="0" w:header="0"/>
          <w:type w:val="continuous"/>
        </w:sectPr>
      </w:pP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15"/>
          <w:szCs w:val="15"/>
          <w:b w:val="1"/>
          <w:bCs w:val="1"/>
          <w:color w:val="auto"/>
        </w:rPr>
        <w:t>30 West Superior Street, Duluth, Minnesota 55802-2093</w:t>
      </w:r>
    </w:p>
    <w:p>
      <w:pPr>
        <w:spacing w:after="0" w:line="75" w:lineRule="exact"/>
        <w:rPr>
          <w:sz w:val="24"/>
          <w:szCs w:val="24"/>
          <w:color w:val="auto"/>
        </w:rPr>
      </w:pPr>
    </w:p>
    <w:p>
      <w:pPr>
        <w:jc w:val="center"/>
        <w:ind w:right="-59"/>
        <w:spacing w:after="0"/>
        <w:rPr>
          <w:sz w:val="20"/>
          <w:szCs w:val="20"/>
          <w:color w:val="auto"/>
        </w:rPr>
      </w:pPr>
      <w:r>
        <w:rPr>
          <w:rFonts w:ascii="Arial" w:cs="Arial" w:eastAsia="Arial" w:hAnsi="Arial"/>
          <w:sz w:val="15"/>
          <w:szCs w:val="15"/>
          <w:color w:val="auto"/>
        </w:rPr>
        <w:t>(Address of principal executive offices, including zip code)</w:t>
      </w:r>
    </w:p>
    <w:p>
      <w:pPr>
        <w:spacing w:after="0" w:line="6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(218) 279-5000</w:t>
      </w:r>
    </w:p>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(Registrant’s telephone number, including area code)</w:t>
      </w:r>
    </w:p>
    <w:p>
      <w:pPr>
        <w:spacing w:after="0" w:line="55"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Securities registered pursuant to Section 12(b) of the Act:</w:t>
      </w:r>
    </w:p>
    <w:p>
      <w:pPr>
        <w:sectPr>
          <w:pgSz w:w="11900" w:h="16838" w:orient="portrait"/>
          <w:cols w:equalWidth="0" w:num="1">
            <w:col w:w="11420"/>
          </w:cols>
          <w:pgMar w:left="240" w:top="481" w:right="239" w:bottom="1440" w:gutter="0" w:footer="0" w:header="0"/>
          <w:type w:val="continuous"/>
        </w:sectPr>
      </w:pPr>
    </w:p>
    <w:p>
      <w:pPr>
        <w:spacing w:after="0" w:line="248" w:lineRule="exact"/>
        <w:rPr>
          <w:sz w:val="24"/>
          <w:szCs w:val="24"/>
          <w:color w:val="auto"/>
        </w:rPr>
      </w:pPr>
    </w:p>
    <w:p>
      <w:pPr>
        <w:ind w:left="1880"/>
        <w:spacing w:after="0"/>
        <w:rPr>
          <w:sz w:val="20"/>
          <w:szCs w:val="20"/>
          <w:color w:val="auto"/>
        </w:rPr>
      </w:pPr>
      <w:r>
        <w:rPr>
          <w:rFonts w:ascii="Arial" w:cs="Arial" w:eastAsia="Arial" w:hAnsi="Arial"/>
          <w:sz w:val="14"/>
          <w:szCs w:val="14"/>
          <w:color w:val="auto"/>
        </w:rPr>
        <w:t>Title of each class</w:t>
      </w:r>
    </w:p>
    <w:p>
      <w:pPr>
        <w:spacing w:after="0" w:line="20" w:lineRule="exact"/>
        <w:rPr>
          <w:sz w:val="24"/>
          <w:szCs w:val="24"/>
          <w:color w:val="auto"/>
        </w:rPr>
      </w:pPr>
      <w:r>
        <w:rPr>
          <w:sz w:val="24"/>
          <w:szCs w:val="24"/>
          <w:color w:val="auto"/>
        </w:rPr>
        <w:br w:type="column"/>
      </w:r>
    </w:p>
    <w:p>
      <w:pPr>
        <w:spacing w:after="0" w:line="228" w:lineRule="exact"/>
        <w:rPr>
          <w:sz w:val="24"/>
          <w:szCs w:val="24"/>
          <w:color w:val="auto"/>
        </w:rPr>
      </w:pPr>
    </w:p>
    <w:p>
      <w:pPr>
        <w:spacing w:after="0"/>
        <w:rPr>
          <w:sz w:val="20"/>
          <w:szCs w:val="20"/>
          <w:color w:val="auto"/>
        </w:rPr>
      </w:pPr>
      <w:r>
        <w:rPr>
          <w:rFonts w:ascii="Arial" w:cs="Arial" w:eastAsia="Arial" w:hAnsi="Arial"/>
          <w:sz w:val="14"/>
          <w:szCs w:val="14"/>
          <w:color w:val="auto"/>
        </w:rPr>
        <w:t>Name of each exchange on which registered</w:t>
      </w:r>
    </w:p>
    <w:p>
      <w:pPr>
        <w:spacing w:after="0" w:line="96" w:lineRule="exact"/>
        <w:rPr>
          <w:sz w:val="24"/>
          <w:szCs w:val="24"/>
          <w:color w:val="auto"/>
        </w:rPr>
      </w:pPr>
    </w:p>
    <w:p>
      <w:pPr>
        <w:sectPr>
          <w:pgSz w:w="11900" w:h="16838" w:orient="portrait"/>
          <w:cols w:equalWidth="0" w:num="2">
            <w:col w:w="6880" w:space="720"/>
            <w:col w:w="3820"/>
          </w:cols>
          <w:pgMar w:left="240" w:top="481" w:right="239" w:bottom="1440" w:gutter="0" w:footer="0" w:header="0"/>
          <w:type w:val="continuous"/>
        </w:sectPr>
      </w:pPr>
    </w:p>
    <w:p>
      <w:pPr>
        <w:ind w:left="1360"/>
        <w:spacing w:after="0"/>
        <w:rPr>
          <w:sz w:val="20"/>
          <w:szCs w:val="20"/>
          <w:color w:val="auto"/>
        </w:rPr>
      </w:pPr>
      <w:r>
        <w:rPr>
          <w:rFonts w:ascii="Arial" w:cs="Arial" w:eastAsia="Arial" w:hAnsi="Arial"/>
          <w:sz w:val="14"/>
          <w:szCs w:val="14"/>
          <w:color w:val="auto"/>
        </w:rPr>
        <w:t>Common Stock, without par value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New York Stock Exchange</w:t>
      </w:r>
    </w:p>
    <w:p>
      <w:pPr>
        <w:spacing w:after="0" w:line="200" w:lineRule="exact"/>
        <w:rPr>
          <w:sz w:val="24"/>
          <w:szCs w:val="24"/>
          <w:color w:val="auto"/>
        </w:rPr>
      </w:pPr>
    </w:p>
    <w:p>
      <w:pPr>
        <w:sectPr>
          <w:pgSz w:w="11900" w:h="16838" w:orient="portrait"/>
          <w:cols w:equalWidth="0" w:num="2">
            <w:col w:w="7440" w:space="720"/>
            <w:col w:w="3260"/>
          </w:cols>
          <w:pgMar w:left="240" w:top="481" w:right="239" w:bottom="1440" w:gutter="0" w:footer="0" w:header="0"/>
          <w:type w:val="continuous"/>
        </w:sectPr>
      </w:pPr>
    </w:p>
    <w:p>
      <w:pPr>
        <w:spacing w:after="0" w:line="54"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Securities registered pursuant to Section 12(g) of the Act:</w:t>
      </w:r>
    </w:p>
    <w:p>
      <w:pPr>
        <w:spacing w:after="0" w:line="86"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None</w:t>
      </w:r>
    </w:p>
    <w:p>
      <w:pPr>
        <w:sectPr>
          <w:pgSz w:w="11900" w:h="16838" w:orient="portrait"/>
          <w:cols w:equalWidth="0" w:num="1">
            <w:col w:w="11420"/>
          </w:cols>
          <w:pgMar w:left="240" w:top="481" w:right="239" w:bottom="1440" w:gutter="0" w:footer="0" w:header="0"/>
          <w:type w:val="continuous"/>
        </w:sectPr>
      </w:pPr>
    </w:p>
    <w:p>
      <w:pPr>
        <w:spacing w:after="0" w:line="248"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if the registrant is a well-known seasoned issuer, as defined in Rule 405 of the Securities Act.</w:t>
      </w:r>
    </w:p>
    <w:p>
      <w:pPr>
        <w:spacing w:after="0" w:line="20" w:lineRule="exact"/>
        <w:rPr>
          <w:sz w:val="24"/>
          <w:szCs w:val="24"/>
          <w:color w:val="auto"/>
        </w:rPr>
      </w:pPr>
      <w:r>
        <w:rPr>
          <w:sz w:val="24"/>
          <w:szCs w:val="24"/>
          <w:color w:val="auto"/>
        </w:rPr>
        <w:br w:type="column"/>
      </w:r>
    </w:p>
    <w:p>
      <w:pPr>
        <w:spacing w:after="0" w:line="228"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Yes T</w:t>
      </w:r>
    </w:p>
    <w:p>
      <w:pPr>
        <w:spacing w:after="0" w:line="20" w:lineRule="exact"/>
        <w:rPr>
          <w:sz w:val="24"/>
          <w:szCs w:val="24"/>
          <w:color w:val="auto"/>
        </w:rPr>
      </w:pPr>
      <w:r>
        <w:rPr>
          <w:sz w:val="24"/>
          <w:szCs w:val="24"/>
          <w:color w:val="auto"/>
        </w:rPr>
        <w:br w:type="column"/>
      </w:r>
    </w:p>
    <w:p>
      <w:pPr>
        <w:spacing w:after="0" w:line="198"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p>
      <w:pPr>
        <w:spacing w:after="0" w:line="216" w:lineRule="exact"/>
        <w:rPr>
          <w:sz w:val="24"/>
          <w:szCs w:val="24"/>
          <w:color w:val="auto"/>
        </w:rPr>
      </w:pPr>
    </w:p>
    <w:p>
      <w:pPr>
        <w:sectPr>
          <w:pgSz w:w="11900" w:h="16838" w:orient="portrait"/>
          <w:cols w:equalWidth="0" w:num="3">
            <w:col w:w="7620" w:space="200"/>
            <w:col w:w="360" w:space="220"/>
            <w:col w:w="3020"/>
          </w:cols>
          <w:pgMar w:left="240" w:top="481" w:right="239" w:bottom="1440" w:gutter="0" w:footer="0" w:header="0"/>
          <w:type w:val="continuous"/>
        </w:sectPr>
      </w:pPr>
    </w:p>
    <w:p>
      <w:pPr>
        <w:spacing w:after="0" w:line="161" w:lineRule="exact"/>
        <w:rPr>
          <w:sz w:val="20"/>
          <w:szCs w:val="20"/>
          <w:color w:val="auto"/>
        </w:rPr>
      </w:pPr>
      <w:r>
        <w:rPr>
          <w:rFonts w:ascii="Arial" w:cs="Arial" w:eastAsia="Arial" w:hAnsi="Arial"/>
          <w:sz w:val="14"/>
          <w:szCs w:val="14"/>
          <w:color w:val="auto"/>
        </w:rPr>
        <w:t xml:space="preserve">Indicate by check mark if the registrant is not required to file reports pursuant to Section 13 or Section 15(d) of the Act. Yes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5"/>
          <w:szCs w:val="15"/>
          <w:color w:val="auto"/>
        </w:rPr>
        <w:t>No T</w:t>
      </w:r>
    </w:p>
    <w:p>
      <w:pPr>
        <w:spacing w:after="0" w:line="200" w:lineRule="exact"/>
        <w:rPr>
          <w:sz w:val="24"/>
          <w:szCs w:val="24"/>
          <w:color w:val="auto"/>
        </w:rPr>
      </w:pPr>
    </w:p>
    <w:p>
      <w:pPr>
        <w:sectPr>
          <w:pgSz w:w="11900" w:h="16838" w:orient="portrait"/>
          <w:cols w:equalWidth="0" w:num="2">
            <w:col w:w="8220" w:space="200"/>
            <w:col w:w="3000"/>
          </w:cols>
          <w:pgMar w:left="240" w:top="481" w:right="239" w:bottom="1440" w:gutter="0" w:footer="0" w:header="0"/>
          <w:type w:val="continuous"/>
        </w:sectPr>
      </w:pPr>
    </w:p>
    <w:p>
      <w:pPr>
        <w:spacing w:after="0" w:line="6" w:lineRule="exact"/>
        <w:rPr>
          <w:sz w:val="24"/>
          <w:szCs w:val="24"/>
          <w:color w:val="auto"/>
        </w:rPr>
      </w:pPr>
    </w:p>
    <w:p>
      <w:pPr>
        <w:spacing w:after="0" w:line="268" w:lineRule="auto"/>
        <w:rPr>
          <w:sz w:val="20"/>
          <w:szCs w:val="20"/>
          <w:color w:val="auto"/>
        </w:rPr>
      </w:pPr>
      <w:r>
        <w:rPr>
          <w:rFonts w:ascii="Arial" w:cs="Arial" w:eastAsia="Arial" w:hAnsi="Arial"/>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T</w:t>
      </w:r>
    </w:p>
    <w:p>
      <w:pPr>
        <w:spacing w:after="0" w:line="1" w:lineRule="exact"/>
        <w:rPr>
          <w:sz w:val="24"/>
          <w:szCs w:val="24"/>
          <w:color w:val="auto"/>
        </w:rPr>
      </w:pPr>
    </w:p>
    <w:p>
      <w:pPr>
        <w:ind w:left="180"/>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86" w:lineRule="exact"/>
        <w:rPr>
          <w:sz w:val="24"/>
          <w:szCs w:val="24"/>
          <w:color w:val="auto"/>
        </w:rPr>
      </w:pPr>
    </w:p>
    <w:p>
      <w:pPr>
        <w:spacing w:after="0" w:line="287" w:lineRule="auto"/>
        <w:rPr>
          <w:sz w:val="20"/>
          <w:szCs w:val="20"/>
          <w:color w:val="auto"/>
        </w:rPr>
      </w:pPr>
      <w:r>
        <w:rPr>
          <w:rFonts w:ascii="Arial" w:cs="Arial" w:eastAsia="Arial" w:hAnsi="Arial"/>
          <w:sz w:val="14"/>
          <w:szCs w:val="14"/>
          <w:color w:val="auto"/>
        </w:rPr>
        <w:t>Indicate by check mark whether the registrant has submitted electronically and posted on its corporate website, if any, every Interactive Data File required to be submitted and posted pursuant to Rule 405 of Regulation S-T during the preceding 12 months (or for such shorter period that the registrant was required to submit and post such files). Yes</w:t>
      </w:r>
    </w:p>
    <w:p>
      <w:pPr>
        <w:spacing w:after="0" w:line="1" w:lineRule="exact"/>
        <w:rPr>
          <w:sz w:val="24"/>
          <w:szCs w:val="24"/>
          <w:color w:val="auto"/>
        </w:rPr>
      </w:pPr>
    </w:p>
    <w:p>
      <w:pPr>
        <w:ind w:left="300" w:hanging="292"/>
        <w:spacing w:after="0" w:line="184" w:lineRule="exact"/>
        <w:tabs>
          <w:tab w:leader="none" w:pos="300" w:val="left"/>
        </w:tabs>
        <w:numPr>
          <w:ilvl w:val="0"/>
          <w:numId w:val="3"/>
        </w:numPr>
        <w:rPr>
          <w:rFonts w:ascii="Arial" w:cs="Arial" w:eastAsia="Arial" w:hAnsi="Arial"/>
          <w:sz w:val="16"/>
          <w:szCs w:val="16"/>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86" w:lineRule="exact"/>
        <w:rPr>
          <w:sz w:val="24"/>
          <w:szCs w:val="24"/>
          <w:color w:val="auto"/>
        </w:rPr>
      </w:pPr>
    </w:p>
    <w:p>
      <w:pPr>
        <w:ind w:right="20"/>
        <w:spacing w:after="0" w:line="310" w:lineRule="auto"/>
        <w:rPr>
          <w:sz w:val="20"/>
          <w:szCs w:val="20"/>
          <w:color w:val="auto"/>
        </w:rPr>
      </w:pPr>
      <w:r>
        <w:rPr>
          <w:rFonts w:ascii="Arial" w:cs="Arial" w:eastAsia="Arial" w:hAnsi="Arial"/>
          <w:sz w:val="15"/>
          <w:szCs w:val="15"/>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T</w:t>
      </w:r>
    </w:p>
    <w:p>
      <w:pPr>
        <w:spacing w:after="0" w:line="122" w:lineRule="exact"/>
        <w:rPr>
          <w:sz w:val="24"/>
          <w:szCs w:val="24"/>
          <w:color w:val="auto"/>
        </w:rPr>
      </w:pPr>
    </w:p>
    <w:p>
      <w:pPr>
        <w:ind w:right="20"/>
        <w:spacing w:after="0" w:line="249"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(as defined in Rule 12b-2 of the Act).</w:t>
      </w:r>
    </w:p>
    <w:p>
      <w:pPr>
        <w:spacing w:after="0" w:line="1" w:lineRule="exact"/>
        <w:rPr>
          <w:sz w:val="24"/>
          <w:szCs w:val="24"/>
          <w:color w:val="auto"/>
        </w:rPr>
      </w:pPr>
    </w:p>
    <w:p>
      <w:pPr>
        <w:jc w:val="both"/>
        <w:ind w:right="3540" w:firstLine="648"/>
        <w:spacing w:after="0" w:line="329" w:lineRule="exact"/>
        <w:rPr>
          <w:sz w:val="20"/>
          <w:szCs w:val="20"/>
          <w:color w:val="auto"/>
        </w:rPr>
      </w:pPr>
      <w:r>
        <w:rPr>
          <w:rFonts w:ascii="Arial" w:cs="Arial" w:eastAsia="Arial" w:hAnsi="Arial"/>
          <w:sz w:val="15"/>
          <w:szCs w:val="15"/>
          <w:color w:val="auto"/>
        </w:rPr>
        <w:t xml:space="preserve">Large Accelerated Filer T Accelerated Filer </w:t>
      </w:r>
      <w:r>
        <w:rPr>
          <w:rFonts w:ascii="MS PGothic" w:cs="MS PGothic" w:eastAsia="MS PGothic" w:hAnsi="MS PGothic"/>
          <w:sz w:val="17"/>
          <w:szCs w:val="17"/>
          <w:color w:val="auto"/>
        </w:rPr>
        <w:t>☐</w:t>
      </w:r>
      <w:r>
        <w:rPr>
          <w:rFonts w:ascii="Arial" w:cs="Arial" w:eastAsia="Arial" w:hAnsi="Arial"/>
          <w:sz w:val="15"/>
          <w:szCs w:val="15"/>
          <w:color w:val="auto"/>
        </w:rPr>
        <w:t xml:space="preserve"> Non-Accelerated Filer </w:t>
      </w:r>
      <w:r>
        <w:rPr>
          <w:rFonts w:ascii="MS PGothic" w:cs="MS PGothic" w:eastAsia="MS PGothic" w:hAnsi="MS PGothic"/>
          <w:sz w:val="17"/>
          <w:szCs w:val="17"/>
          <w:color w:val="auto"/>
        </w:rPr>
        <w:t>☐</w:t>
      </w:r>
      <w:r>
        <w:rPr>
          <w:rFonts w:ascii="Arial" w:cs="Arial" w:eastAsia="Arial" w:hAnsi="Arial"/>
          <w:sz w:val="15"/>
          <w:szCs w:val="15"/>
          <w:color w:val="auto"/>
        </w:rPr>
        <w:t xml:space="preserve"> Smaller Reporting Company </w:t>
      </w:r>
      <w:r>
        <w:rPr>
          <w:rFonts w:ascii="MS PGothic" w:cs="MS PGothic" w:eastAsia="MS PGothic" w:hAnsi="MS PGothic"/>
          <w:sz w:val="15"/>
          <w:szCs w:val="15"/>
          <w:color w:val="auto"/>
        </w:rPr>
        <w:t>☐</w:t>
      </w:r>
      <w:r>
        <w:rPr>
          <w:rFonts w:ascii="Arial" w:cs="Arial" w:eastAsia="Arial" w:hAnsi="Arial"/>
          <w:sz w:val="15"/>
          <w:szCs w:val="15"/>
          <w:color w:val="auto"/>
        </w:rPr>
        <w:t xml:space="preserve"> Indicate by check mark whether the registrant is a shell company (as defined in Rule 12b-2 of the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T The aggregate market value of voting stock held by nonaffiliates on June 30, 2012, was $1,591,836,880.</w:t>
      </w:r>
    </w:p>
    <w:p>
      <w:pPr>
        <w:spacing w:after="0" w:line="173" w:lineRule="exact"/>
        <w:rPr>
          <w:sz w:val="24"/>
          <w:szCs w:val="24"/>
          <w:color w:val="auto"/>
        </w:rPr>
      </w:pPr>
    </w:p>
    <w:p>
      <w:pPr>
        <w:spacing w:after="0"/>
        <w:rPr>
          <w:sz w:val="20"/>
          <w:szCs w:val="20"/>
          <w:color w:val="auto"/>
        </w:rPr>
      </w:pPr>
      <w:r>
        <w:rPr>
          <w:rFonts w:ascii="Arial" w:cs="Arial" w:eastAsia="Arial" w:hAnsi="Arial"/>
          <w:sz w:val="16"/>
          <w:szCs w:val="16"/>
          <w:color w:val="auto"/>
        </w:rPr>
        <w:t>As of February 1, 2013, there were 39,468,463 shares of ALLETE Common Stock, without par value, outstanding.</w:t>
      </w:r>
    </w:p>
    <w:p>
      <w:pPr>
        <w:spacing w:after="0" w:line="19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Documents Incorporated By Reference</w:t>
      </w:r>
    </w:p>
    <w:p>
      <w:pPr>
        <w:spacing w:after="0" w:line="198" w:lineRule="exact"/>
        <w:rPr>
          <w:sz w:val="24"/>
          <w:szCs w:val="24"/>
          <w:color w:val="auto"/>
        </w:rPr>
      </w:pPr>
    </w:p>
    <w:p>
      <w:pPr>
        <w:spacing w:after="0"/>
        <w:rPr>
          <w:sz w:val="20"/>
          <w:szCs w:val="20"/>
          <w:color w:val="auto"/>
        </w:rPr>
      </w:pPr>
      <w:r>
        <w:rPr>
          <w:rFonts w:ascii="Arial" w:cs="Arial" w:eastAsia="Arial" w:hAnsi="Arial"/>
          <w:sz w:val="16"/>
          <w:szCs w:val="16"/>
          <w:color w:val="auto"/>
        </w:rPr>
        <w:t>Portions of the Proxy Statement for the 2013 Annual Meeting of Shareholders are incorporated by reference in Part III.</w:t>
      </w:r>
    </w:p>
    <w:p>
      <w:pPr>
        <w:sectPr>
          <w:pgSz w:w="11900" w:h="16838" w:orient="portrait"/>
          <w:cols w:equalWidth="0" w:num="1">
            <w:col w:w="11420"/>
          </w:cols>
          <w:pgMar w:left="240" w:top="481"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Index</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1180" w:type="dxa"/>
            <w:vAlign w:val="bottom"/>
            <w:gridSpan w:val="3"/>
            <w:shd w:val="clear" w:color="auto" w:fill="CCEEFF"/>
          </w:tcPr>
          <w:p>
            <w:pPr>
              <w:ind w:left="40"/>
              <w:spacing w:after="0"/>
              <w:rPr>
                <w:rFonts w:ascii="Arial" w:cs="Arial" w:eastAsia="Arial" w:hAnsi="Arial"/>
                <w:sz w:val="18"/>
                <w:szCs w:val="18"/>
                <w:b w:val="1"/>
                <w:bCs w:val="1"/>
                <w:color w:val="0000FF"/>
              </w:rPr>
            </w:pPr>
            <w:hyperlink w:anchor="page3">
              <w:r>
                <w:rPr>
                  <w:rFonts w:ascii="Arial" w:cs="Arial" w:eastAsia="Arial" w:hAnsi="Arial"/>
                  <w:sz w:val="18"/>
                  <w:szCs w:val="18"/>
                  <w:b w:val="1"/>
                  <w:bCs w:val="1"/>
                  <w:color w:val="0000FF"/>
                </w:rPr>
                <w:t>Definitions</w:t>
              </w:r>
            </w:hyperlink>
          </w:p>
        </w:tc>
        <w:tc>
          <w:tcPr>
            <w:tcW w:w="24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340" w:type="dxa"/>
            <w:vAlign w:val="bottom"/>
            <w:tcBorders>
              <w:right w:val="single" w:sz="8" w:color="CCEEFF"/>
            </w:tcBorders>
            <w:gridSpan w:val="3"/>
            <w:shd w:val="clear" w:color="auto" w:fill="CCEEFF"/>
          </w:tcPr>
          <w:p>
            <w:pPr>
              <w:ind w:left="1160"/>
              <w:spacing w:after="0"/>
              <w:rPr>
                <w:rFonts w:ascii="Arial" w:cs="Arial" w:eastAsia="Arial" w:hAnsi="Arial"/>
                <w:sz w:val="18"/>
                <w:szCs w:val="18"/>
                <w:color w:val="0000FF"/>
              </w:rPr>
            </w:pPr>
            <w:hyperlink w:anchor="page3">
              <w:r>
                <w:rPr>
                  <w:rFonts w:ascii="Arial" w:cs="Arial" w:eastAsia="Arial" w:hAnsi="Arial"/>
                  <w:sz w:val="18"/>
                  <w:szCs w:val="18"/>
                  <w:color w:val="0000FF"/>
                </w:rPr>
                <w:t>4</w:t>
              </w:r>
            </w:hyperlink>
          </w:p>
        </w:tc>
        <w:tc>
          <w:tcPr>
            <w:tcW w:w="1260" w:type="dxa"/>
            <w:vAlign w:val="bottom"/>
            <w:shd w:val="clear" w:color="auto" w:fill="CCEEFF"/>
          </w:tcPr>
          <w:p>
            <w:pPr>
              <w:spacing w:after="0"/>
              <w:rPr>
                <w:sz w:val="22"/>
                <w:szCs w:val="22"/>
                <w:color w:val="auto"/>
              </w:rPr>
            </w:pPr>
          </w:p>
        </w:tc>
      </w:tr>
      <w:tr>
        <w:trPr>
          <w:trHeight w:val="270"/>
        </w:trPr>
        <w:tc>
          <w:tcPr>
            <w:tcW w:w="40" w:type="dxa"/>
            <w:vAlign w:val="bottom"/>
            <w:tcBorders>
              <w:top w:val="single" w:sz="8" w:color="CCEEFF"/>
            </w:tcBorders>
          </w:tcPr>
          <w:p>
            <w:pPr>
              <w:spacing w:after="0"/>
              <w:rPr>
                <w:sz w:val="23"/>
                <w:szCs w:val="23"/>
                <w:color w:val="auto"/>
              </w:rPr>
            </w:pPr>
          </w:p>
        </w:tc>
        <w:tc>
          <w:tcPr>
            <w:tcW w:w="840" w:type="dxa"/>
            <w:vAlign w:val="bottom"/>
            <w:tcBorders>
              <w:top w:val="single" w:sz="8" w:color="0000FF"/>
            </w:tcBorders>
          </w:tcPr>
          <w:p>
            <w:pPr>
              <w:spacing w:after="0"/>
              <w:rPr>
                <w:sz w:val="23"/>
                <w:szCs w:val="23"/>
                <w:color w:val="auto"/>
              </w:rPr>
            </w:pPr>
          </w:p>
        </w:tc>
        <w:tc>
          <w:tcPr>
            <w:tcW w:w="540" w:type="dxa"/>
            <w:vAlign w:val="bottom"/>
            <w:tcBorders>
              <w:top w:val="single" w:sz="8" w:color="CCEEFF"/>
            </w:tcBorders>
            <w:gridSpan w:val="2"/>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340" w:type="dxa"/>
            <w:vAlign w:val="bottom"/>
            <w:tcBorders>
              <w:top w:val="single" w:sz="8" w:color="CCEEFF"/>
            </w:tcBorders>
          </w:tcPr>
          <w:p>
            <w:pPr>
              <w:spacing w:after="0"/>
              <w:rPr>
                <w:sz w:val="23"/>
                <w:szCs w:val="23"/>
                <w:color w:val="auto"/>
              </w:rPr>
            </w:pPr>
          </w:p>
        </w:tc>
        <w:tc>
          <w:tcPr>
            <w:tcW w:w="980" w:type="dxa"/>
            <w:vAlign w:val="bottom"/>
            <w:tcBorders>
              <w:top w:val="single" w:sz="8" w:color="CCEEFF"/>
            </w:tcBorders>
          </w:tcPr>
          <w:p>
            <w:pPr>
              <w:spacing w:after="0"/>
              <w:rPr>
                <w:sz w:val="23"/>
                <w:szCs w:val="23"/>
                <w:color w:val="auto"/>
              </w:rPr>
            </w:pPr>
          </w:p>
        </w:tc>
        <w:tc>
          <w:tcPr>
            <w:tcW w:w="104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160" w:type="dxa"/>
            <w:vAlign w:val="bottom"/>
            <w:tcBorders>
              <w:top w:val="single" w:sz="8" w:color="CCEEFF"/>
            </w:tcBorders>
          </w:tcPr>
          <w:p>
            <w:pPr>
              <w:spacing w:after="0"/>
              <w:rPr>
                <w:sz w:val="23"/>
                <w:szCs w:val="23"/>
                <w:color w:val="auto"/>
              </w:rPr>
            </w:pPr>
          </w:p>
        </w:tc>
        <w:tc>
          <w:tcPr>
            <w:tcW w:w="116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1260" w:type="dxa"/>
            <w:vAlign w:val="bottom"/>
            <w:tcBorders>
              <w:top w:val="single" w:sz="8" w:color="CCEEFF"/>
            </w:tcBorders>
          </w:tcPr>
          <w:p>
            <w:pPr>
              <w:spacing w:after="0"/>
              <w:rPr>
                <w:sz w:val="23"/>
                <w:szCs w:val="23"/>
                <w:color w:val="auto"/>
              </w:rPr>
            </w:pPr>
          </w:p>
        </w:tc>
      </w:tr>
      <w:tr>
        <w:trPr>
          <w:trHeight w:val="250"/>
        </w:trPr>
        <w:tc>
          <w:tcPr>
            <w:tcW w:w="8820" w:type="dxa"/>
            <w:vAlign w:val="bottom"/>
            <w:gridSpan w:val="44"/>
            <w:shd w:val="clear" w:color="auto" w:fill="CCEEFF"/>
          </w:tcPr>
          <w:p>
            <w:pPr>
              <w:ind w:left="40"/>
              <w:spacing w:after="0" w:line="202" w:lineRule="exact"/>
              <w:rPr>
                <w:rFonts w:ascii="Arial" w:cs="Arial" w:eastAsia="Arial" w:hAnsi="Arial"/>
                <w:sz w:val="18"/>
                <w:szCs w:val="18"/>
                <w:b w:val="1"/>
                <w:bCs w:val="1"/>
                <w:color w:val="0000FF"/>
              </w:rPr>
            </w:pPr>
            <w:hyperlink w:anchor="page5">
              <w:r>
                <w:rPr>
                  <w:rFonts w:ascii="Arial" w:cs="Arial" w:eastAsia="Arial" w:hAnsi="Arial"/>
                  <w:sz w:val="18"/>
                  <w:szCs w:val="18"/>
                  <w:b w:val="1"/>
                  <w:bCs w:val="1"/>
                  <w:color w:val="0000FF"/>
                </w:rPr>
                <w:t>Forward-Looking Statements</w:t>
              </w:r>
            </w:hyperlink>
          </w:p>
        </w:tc>
        <w:tc>
          <w:tcPr>
            <w:tcW w:w="1340" w:type="dxa"/>
            <w:vAlign w:val="bottom"/>
            <w:tcBorders>
              <w:right w:val="single" w:sz="8" w:color="CCEEFF"/>
            </w:tcBorders>
            <w:gridSpan w:val="3"/>
            <w:shd w:val="clear" w:color="auto" w:fill="CCEEFF"/>
          </w:tcPr>
          <w:p>
            <w:pPr>
              <w:ind w:left="1160"/>
              <w:spacing w:after="0" w:line="202" w:lineRule="exact"/>
              <w:rPr>
                <w:rFonts w:ascii="Arial" w:cs="Arial" w:eastAsia="Arial" w:hAnsi="Arial"/>
                <w:sz w:val="18"/>
                <w:szCs w:val="18"/>
                <w:color w:val="0000FF"/>
              </w:rPr>
            </w:pPr>
            <w:hyperlink w:anchor="page5">
              <w:r>
                <w:rPr>
                  <w:rFonts w:ascii="Arial" w:cs="Arial" w:eastAsia="Arial" w:hAnsi="Arial"/>
                  <w:sz w:val="18"/>
                  <w:szCs w:val="18"/>
                  <w:color w:val="0000FF"/>
                </w:rPr>
                <w:t>6</w:t>
              </w:r>
            </w:hyperlink>
          </w:p>
        </w:tc>
        <w:tc>
          <w:tcPr>
            <w:tcW w:w="1260" w:type="dxa"/>
            <w:vAlign w:val="bottom"/>
            <w:shd w:val="clear" w:color="auto" w:fill="CCEEFF"/>
          </w:tcPr>
          <w:p>
            <w:pPr>
              <w:spacing w:after="0"/>
              <w:rPr>
                <w:sz w:val="21"/>
                <w:szCs w:val="21"/>
                <w:color w:val="auto"/>
              </w:rPr>
            </w:pPr>
          </w:p>
        </w:tc>
      </w:tr>
      <w:tr>
        <w:trPr>
          <w:trHeight w:val="270"/>
        </w:trPr>
        <w:tc>
          <w:tcPr>
            <w:tcW w:w="40" w:type="dxa"/>
            <w:vAlign w:val="bottom"/>
            <w:tcBorders>
              <w:top w:val="single" w:sz="8" w:color="CCEEFF"/>
            </w:tcBorders>
          </w:tcPr>
          <w:p>
            <w:pPr>
              <w:spacing w:after="0"/>
              <w:rPr>
                <w:sz w:val="23"/>
                <w:szCs w:val="23"/>
                <w:color w:val="auto"/>
              </w:rPr>
            </w:pPr>
          </w:p>
        </w:tc>
        <w:tc>
          <w:tcPr>
            <w:tcW w:w="8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36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340" w:type="dxa"/>
            <w:vAlign w:val="bottom"/>
            <w:tcBorders>
              <w:top w:val="single" w:sz="8" w:color="CCEEFF"/>
            </w:tcBorders>
          </w:tcPr>
          <w:p>
            <w:pPr>
              <w:spacing w:after="0"/>
              <w:rPr>
                <w:sz w:val="23"/>
                <w:szCs w:val="23"/>
                <w:color w:val="auto"/>
              </w:rPr>
            </w:pPr>
          </w:p>
        </w:tc>
        <w:tc>
          <w:tcPr>
            <w:tcW w:w="980" w:type="dxa"/>
            <w:vAlign w:val="bottom"/>
            <w:tcBorders>
              <w:top w:val="single" w:sz="8" w:color="CCEEFF"/>
            </w:tcBorders>
          </w:tcPr>
          <w:p>
            <w:pPr>
              <w:spacing w:after="0"/>
              <w:rPr>
                <w:sz w:val="23"/>
                <w:szCs w:val="23"/>
                <w:color w:val="auto"/>
              </w:rPr>
            </w:pPr>
          </w:p>
        </w:tc>
        <w:tc>
          <w:tcPr>
            <w:tcW w:w="104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160" w:type="dxa"/>
            <w:vAlign w:val="bottom"/>
            <w:tcBorders>
              <w:top w:val="single" w:sz="8" w:color="CCEEFF"/>
            </w:tcBorders>
          </w:tcPr>
          <w:p>
            <w:pPr>
              <w:spacing w:after="0"/>
              <w:rPr>
                <w:sz w:val="23"/>
                <w:szCs w:val="23"/>
                <w:color w:val="auto"/>
              </w:rPr>
            </w:pPr>
          </w:p>
        </w:tc>
        <w:tc>
          <w:tcPr>
            <w:tcW w:w="116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1260" w:type="dxa"/>
            <w:vAlign w:val="bottom"/>
            <w:tcBorders>
              <w:top w:val="single" w:sz="8" w:color="CCEEFF"/>
            </w:tcBorders>
          </w:tcPr>
          <w:p>
            <w:pPr>
              <w:spacing w:after="0"/>
              <w:rPr>
                <w:sz w:val="23"/>
                <w:szCs w:val="23"/>
                <w:color w:val="auto"/>
              </w:rPr>
            </w:pPr>
          </w:p>
        </w:tc>
      </w:tr>
      <w:tr>
        <w:trPr>
          <w:trHeight w:val="250"/>
        </w:trPr>
        <w:tc>
          <w:tcPr>
            <w:tcW w:w="11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Part I</w:t>
            </w:r>
          </w:p>
        </w:tc>
        <w:tc>
          <w:tcPr>
            <w:tcW w:w="2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right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03"/>
        </w:trPr>
        <w:tc>
          <w:tcPr>
            <w:tcW w:w="1180" w:type="dxa"/>
            <w:vAlign w:val="bottom"/>
            <w:gridSpan w:val="3"/>
          </w:tcPr>
          <w:p>
            <w:pPr>
              <w:ind w:left="40"/>
              <w:spacing w:after="0" w:line="202" w:lineRule="exact"/>
              <w:rPr>
                <w:sz w:val="20"/>
                <w:szCs w:val="20"/>
                <w:color w:val="auto"/>
              </w:rPr>
            </w:pPr>
            <w:r>
              <w:rPr>
                <w:rFonts w:ascii="Arial" w:cs="Arial" w:eastAsia="Arial" w:hAnsi="Arial"/>
                <w:sz w:val="18"/>
                <w:szCs w:val="18"/>
                <w:color w:val="auto"/>
              </w:rPr>
              <w:t>Item 1.</w:t>
            </w:r>
          </w:p>
        </w:tc>
        <w:tc>
          <w:tcPr>
            <w:tcW w:w="7640" w:type="dxa"/>
            <w:vAlign w:val="bottom"/>
            <w:gridSpan w:val="41"/>
          </w:tcPr>
          <w:p>
            <w:pPr>
              <w:spacing w:after="0" w:line="202" w:lineRule="exact"/>
              <w:rPr>
                <w:rFonts w:ascii="Arial" w:cs="Arial" w:eastAsia="Arial" w:hAnsi="Arial"/>
                <w:sz w:val="18"/>
                <w:szCs w:val="18"/>
                <w:color w:val="0000FF"/>
              </w:rPr>
            </w:pPr>
            <w:hyperlink w:anchor="page7">
              <w:r>
                <w:rPr>
                  <w:rFonts w:ascii="Arial" w:cs="Arial" w:eastAsia="Arial" w:hAnsi="Arial"/>
                  <w:sz w:val="18"/>
                  <w:szCs w:val="18"/>
                  <w:color w:val="0000FF"/>
                </w:rPr>
                <w:t>Business</w:t>
              </w:r>
            </w:hyperlink>
          </w:p>
        </w:tc>
        <w:tc>
          <w:tcPr>
            <w:tcW w:w="1340" w:type="dxa"/>
            <w:vAlign w:val="bottom"/>
            <w:gridSpan w:val="3"/>
          </w:tcPr>
          <w:p>
            <w:pPr>
              <w:ind w:left="1160"/>
              <w:spacing w:after="0" w:line="202" w:lineRule="exact"/>
              <w:rPr>
                <w:rFonts w:ascii="Arial" w:cs="Arial" w:eastAsia="Arial" w:hAnsi="Arial"/>
                <w:sz w:val="18"/>
                <w:szCs w:val="18"/>
                <w:color w:val="0000FF"/>
              </w:rPr>
            </w:pPr>
            <w:hyperlink w:anchor="page7">
              <w:r>
                <w:rPr>
                  <w:rFonts w:ascii="Arial" w:cs="Arial" w:eastAsia="Arial" w:hAnsi="Arial"/>
                  <w:sz w:val="18"/>
                  <w:szCs w:val="18"/>
                  <w:color w:val="0000FF"/>
                </w:rPr>
                <w:t>7</w:t>
              </w:r>
            </w:hyperlink>
          </w:p>
        </w:tc>
        <w:tc>
          <w:tcPr>
            <w:tcW w:w="126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840" w:type="dxa"/>
            <w:vAlign w:val="bottom"/>
          </w:tcPr>
          <w:p>
            <w:pPr>
              <w:spacing w:after="0"/>
              <w:rPr>
                <w:sz w:val="4"/>
                <w:szCs w:val="4"/>
                <w:color w:val="auto"/>
              </w:rPr>
            </w:pPr>
          </w:p>
        </w:tc>
        <w:tc>
          <w:tcPr>
            <w:tcW w:w="300" w:type="dxa"/>
            <w:vAlign w:val="bottom"/>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00" w:type="dxa"/>
            <w:vAlign w:val="bottom"/>
          </w:tcPr>
          <w:p>
            <w:pPr>
              <w:spacing w:after="0"/>
              <w:rPr>
                <w:sz w:val="4"/>
                <w:szCs w:val="4"/>
                <w:color w:val="auto"/>
              </w:rPr>
            </w:pPr>
          </w:p>
        </w:tc>
        <w:tc>
          <w:tcPr>
            <w:tcW w:w="126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640" w:type="dxa"/>
            <w:vAlign w:val="bottom"/>
            <w:gridSpan w:val="41"/>
            <w:shd w:val="clear" w:color="auto" w:fill="CCEEFF"/>
          </w:tcPr>
          <w:p>
            <w:pPr>
              <w:spacing w:after="0" w:line="202" w:lineRule="exact"/>
              <w:rPr>
                <w:rFonts w:ascii="Arial" w:cs="Arial" w:eastAsia="Arial" w:hAnsi="Arial"/>
                <w:sz w:val="18"/>
                <w:szCs w:val="18"/>
                <w:color w:val="0000FF"/>
              </w:rPr>
            </w:pPr>
            <w:hyperlink w:anchor="page7">
              <w:r>
                <w:rPr>
                  <w:rFonts w:ascii="Arial" w:cs="Arial" w:eastAsia="Arial" w:hAnsi="Arial"/>
                  <w:sz w:val="18"/>
                  <w:szCs w:val="18"/>
                  <w:color w:val="0000FF"/>
                </w:rPr>
                <w:t>Regulated Operations</w:t>
              </w:r>
            </w:hyperlink>
          </w:p>
        </w:tc>
        <w:tc>
          <w:tcPr>
            <w:tcW w:w="1340" w:type="dxa"/>
            <w:vAlign w:val="bottom"/>
            <w:tcBorders>
              <w:right w:val="single" w:sz="8" w:color="CCEEFF"/>
            </w:tcBorders>
            <w:gridSpan w:val="3"/>
            <w:shd w:val="clear" w:color="auto" w:fill="CCEEFF"/>
          </w:tcPr>
          <w:p>
            <w:pPr>
              <w:ind w:left="1160"/>
              <w:spacing w:after="0" w:line="202" w:lineRule="exact"/>
              <w:rPr>
                <w:rFonts w:ascii="Arial" w:cs="Arial" w:eastAsia="Arial" w:hAnsi="Arial"/>
                <w:sz w:val="18"/>
                <w:szCs w:val="18"/>
                <w:color w:val="0000FF"/>
              </w:rPr>
            </w:pPr>
            <w:hyperlink w:anchor="page7">
              <w:r>
                <w:rPr>
                  <w:rFonts w:ascii="Arial" w:cs="Arial" w:eastAsia="Arial" w:hAnsi="Arial"/>
                  <w:sz w:val="18"/>
                  <w:szCs w:val="18"/>
                  <w:color w:val="0000FF"/>
                </w:rPr>
                <w:t>7</w:t>
              </w:r>
            </w:hyperlink>
          </w:p>
        </w:tc>
        <w:tc>
          <w:tcPr>
            <w:tcW w:w="126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36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20" w:type="dxa"/>
            <w:vAlign w:val="bottom"/>
            <w:tcBorders>
              <w:top w:val="single" w:sz="8" w:color="0000FF"/>
            </w:tcBorders>
            <w:shd w:val="clear" w:color="auto" w:fill="CCEEFF"/>
          </w:tcPr>
          <w:p>
            <w:pPr>
              <w:spacing w:after="0"/>
              <w:rPr>
                <w:sz w:val="4"/>
                <w:szCs w:val="4"/>
                <w:color w:val="auto"/>
              </w:rPr>
            </w:pPr>
          </w:p>
        </w:tc>
        <w:tc>
          <w:tcPr>
            <w:tcW w:w="2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160" w:type="dxa"/>
            <w:vAlign w:val="bottom"/>
            <w:tcBorders>
              <w:top w:val="single" w:sz="8" w:color="CCEEFF"/>
            </w:tcBorders>
            <w:shd w:val="clear" w:color="auto" w:fill="CCEEFF"/>
          </w:tcPr>
          <w:p>
            <w:pPr>
              <w:spacing w:after="0"/>
              <w:rPr>
                <w:sz w:val="4"/>
                <w:szCs w:val="4"/>
                <w:color w:val="auto"/>
              </w:rPr>
            </w:pPr>
          </w:p>
        </w:tc>
        <w:tc>
          <w:tcPr>
            <w:tcW w:w="11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CCEEFF"/>
              <w:right w:val="single" w:sz="8" w:color="CCEEFF"/>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20" w:type="dxa"/>
            <w:vAlign w:val="bottom"/>
            <w:gridSpan w:val="34"/>
          </w:tcPr>
          <w:p>
            <w:pPr>
              <w:spacing w:after="0" w:line="202" w:lineRule="exact"/>
              <w:rPr>
                <w:rFonts w:ascii="Arial" w:cs="Arial" w:eastAsia="Arial" w:hAnsi="Arial"/>
                <w:sz w:val="18"/>
                <w:szCs w:val="18"/>
                <w:color w:val="0000FF"/>
              </w:rPr>
            </w:pPr>
            <w:hyperlink w:anchor="page7">
              <w:r>
                <w:rPr>
                  <w:rFonts w:ascii="Arial" w:cs="Arial" w:eastAsia="Arial" w:hAnsi="Arial"/>
                  <w:sz w:val="18"/>
                  <w:szCs w:val="18"/>
                  <w:color w:val="0000FF"/>
                </w:rPr>
                <w:t>Electric Sales / Customers</w:t>
              </w:r>
            </w:hyperlink>
          </w:p>
        </w:tc>
        <w:tc>
          <w:tcPr>
            <w:tcW w:w="1340" w:type="dxa"/>
            <w:vAlign w:val="bottom"/>
            <w:gridSpan w:val="3"/>
          </w:tcPr>
          <w:p>
            <w:pPr>
              <w:ind w:left="1160"/>
              <w:spacing w:after="0" w:line="202" w:lineRule="exact"/>
              <w:rPr>
                <w:rFonts w:ascii="Arial" w:cs="Arial" w:eastAsia="Arial" w:hAnsi="Arial"/>
                <w:sz w:val="18"/>
                <w:szCs w:val="18"/>
                <w:color w:val="0000FF"/>
              </w:rPr>
            </w:pPr>
            <w:hyperlink w:anchor="page7">
              <w:r>
                <w:rPr>
                  <w:rFonts w:ascii="Arial" w:cs="Arial" w:eastAsia="Arial" w:hAnsi="Arial"/>
                  <w:sz w:val="18"/>
                  <w:szCs w:val="18"/>
                  <w:color w:val="0000FF"/>
                </w:rPr>
                <w:t>7</w:t>
              </w:r>
            </w:hyperlink>
          </w:p>
        </w:tc>
        <w:tc>
          <w:tcPr>
            <w:tcW w:w="126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840" w:type="dxa"/>
            <w:vAlign w:val="bottom"/>
          </w:tcPr>
          <w:p>
            <w:pPr>
              <w:spacing w:after="0"/>
              <w:rPr>
                <w:sz w:val="4"/>
                <w:szCs w:val="4"/>
                <w:color w:val="auto"/>
              </w:rPr>
            </w:pPr>
          </w:p>
        </w:tc>
        <w:tc>
          <w:tcPr>
            <w:tcW w:w="30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00" w:type="dxa"/>
            <w:vAlign w:val="bottom"/>
          </w:tcPr>
          <w:p>
            <w:pPr>
              <w:spacing w:after="0"/>
              <w:rPr>
                <w:sz w:val="4"/>
                <w:szCs w:val="4"/>
                <w:color w:val="auto"/>
              </w:rPr>
            </w:pPr>
          </w:p>
        </w:tc>
        <w:tc>
          <w:tcPr>
            <w:tcW w:w="126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820" w:type="dxa"/>
            <w:vAlign w:val="bottom"/>
            <w:gridSpan w:val="34"/>
            <w:shd w:val="clear" w:color="auto" w:fill="CCEEFF"/>
          </w:tcPr>
          <w:p>
            <w:pPr>
              <w:spacing w:after="0" w:line="202" w:lineRule="exact"/>
              <w:rPr>
                <w:rFonts w:ascii="Arial" w:cs="Arial" w:eastAsia="Arial" w:hAnsi="Arial"/>
                <w:sz w:val="18"/>
                <w:szCs w:val="18"/>
                <w:color w:val="0000FF"/>
              </w:rPr>
            </w:pPr>
            <w:hyperlink w:anchor="page11">
              <w:r>
                <w:rPr>
                  <w:rFonts w:ascii="Arial" w:cs="Arial" w:eastAsia="Arial" w:hAnsi="Arial"/>
                  <w:sz w:val="18"/>
                  <w:szCs w:val="18"/>
                  <w:color w:val="0000FF"/>
                </w:rPr>
                <w:t>Power Supply</w:t>
              </w:r>
            </w:hyperlink>
          </w:p>
        </w:tc>
        <w:tc>
          <w:tcPr>
            <w:tcW w:w="1340" w:type="dxa"/>
            <w:vAlign w:val="bottom"/>
            <w:tcBorders>
              <w:right w:val="single" w:sz="8" w:color="CCEEFF"/>
            </w:tcBorders>
            <w:gridSpan w:val="3"/>
            <w:shd w:val="clear" w:color="auto" w:fill="CCEEFF"/>
          </w:tcPr>
          <w:p>
            <w:pPr>
              <w:ind w:left="1160"/>
              <w:spacing w:after="0"/>
              <w:rPr>
                <w:rFonts w:ascii="Arial" w:cs="Arial" w:eastAsia="Arial" w:hAnsi="Arial"/>
                <w:sz w:val="17"/>
                <w:szCs w:val="17"/>
                <w:color w:val="0000FF"/>
                <w:w w:val="73"/>
              </w:rPr>
            </w:pPr>
            <w:hyperlink w:anchor="page11">
              <w:r>
                <w:rPr>
                  <w:rFonts w:ascii="Arial" w:cs="Arial" w:eastAsia="Arial" w:hAnsi="Arial"/>
                  <w:sz w:val="17"/>
                  <w:szCs w:val="17"/>
                  <w:color w:val="0000FF"/>
                  <w:w w:val="73"/>
                </w:rPr>
                <w:t>11</w:t>
              </w:r>
            </w:hyperlink>
          </w:p>
        </w:tc>
        <w:tc>
          <w:tcPr>
            <w:tcW w:w="126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20" w:type="dxa"/>
            <w:vAlign w:val="bottom"/>
            <w:tcBorders>
              <w:top w:val="single" w:sz="8" w:color="0000FF"/>
            </w:tcBorders>
            <w:shd w:val="clear" w:color="auto" w:fill="CCEEFF"/>
          </w:tcPr>
          <w:p>
            <w:pPr>
              <w:spacing w:after="0"/>
              <w:rPr>
                <w:sz w:val="4"/>
                <w:szCs w:val="4"/>
                <w:color w:val="auto"/>
              </w:rPr>
            </w:pPr>
          </w:p>
        </w:tc>
        <w:tc>
          <w:tcPr>
            <w:tcW w:w="2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160" w:type="dxa"/>
            <w:vAlign w:val="bottom"/>
            <w:tcBorders>
              <w:top w:val="single" w:sz="8" w:color="CCEEFF"/>
            </w:tcBorders>
            <w:shd w:val="clear" w:color="auto" w:fill="CCEEFF"/>
          </w:tcPr>
          <w:p>
            <w:pPr>
              <w:spacing w:after="0"/>
              <w:rPr>
                <w:sz w:val="4"/>
                <w:szCs w:val="4"/>
                <w:color w:val="auto"/>
              </w:rPr>
            </w:pPr>
          </w:p>
        </w:tc>
        <w:tc>
          <w:tcPr>
            <w:tcW w:w="11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right w:val="single" w:sz="8" w:color="CCEEFF"/>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20" w:type="dxa"/>
            <w:vAlign w:val="bottom"/>
            <w:gridSpan w:val="34"/>
          </w:tcPr>
          <w:p>
            <w:pPr>
              <w:spacing w:after="0" w:line="202" w:lineRule="exact"/>
              <w:rPr>
                <w:rFonts w:ascii="Arial" w:cs="Arial" w:eastAsia="Arial" w:hAnsi="Arial"/>
                <w:sz w:val="18"/>
                <w:szCs w:val="18"/>
                <w:color w:val="0000FF"/>
              </w:rPr>
            </w:pPr>
            <w:hyperlink w:anchor="page13">
              <w:r>
                <w:rPr>
                  <w:rFonts w:ascii="Arial" w:cs="Arial" w:eastAsia="Arial" w:hAnsi="Arial"/>
                  <w:sz w:val="18"/>
                  <w:szCs w:val="18"/>
                  <w:color w:val="0000FF"/>
                </w:rPr>
                <w:t>Transmission and Distribution</w:t>
              </w:r>
            </w:hyperlink>
          </w:p>
        </w:tc>
        <w:tc>
          <w:tcPr>
            <w:tcW w:w="2600" w:type="dxa"/>
            <w:vAlign w:val="bottom"/>
            <w:gridSpan w:val="4"/>
          </w:tcPr>
          <w:p>
            <w:pPr>
              <w:ind w:left="1160"/>
              <w:spacing w:after="0" w:line="202" w:lineRule="exact"/>
              <w:rPr>
                <w:rFonts w:ascii="Arial" w:cs="Arial" w:eastAsia="Arial" w:hAnsi="Arial"/>
                <w:sz w:val="18"/>
                <w:szCs w:val="18"/>
                <w:color w:val="0000FF"/>
              </w:rPr>
            </w:pPr>
            <w:hyperlink w:anchor="page13">
              <w:r>
                <w:rPr>
                  <w:rFonts w:ascii="Arial" w:cs="Arial" w:eastAsia="Arial" w:hAnsi="Arial"/>
                  <w:sz w:val="18"/>
                  <w:szCs w:val="18"/>
                  <w:color w:val="0000FF"/>
                </w:rPr>
                <w:t>14</w:t>
              </w:r>
            </w:hyperlink>
          </w:p>
        </w:tc>
      </w:tr>
      <w:tr>
        <w:trPr>
          <w:trHeight w:val="48"/>
        </w:trPr>
        <w:tc>
          <w:tcPr>
            <w:tcW w:w="40" w:type="dxa"/>
            <w:vAlign w:val="bottom"/>
          </w:tcPr>
          <w:p>
            <w:pPr>
              <w:spacing w:after="0"/>
              <w:rPr>
                <w:sz w:val="4"/>
                <w:szCs w:val="4"/>
                <w:color w:val="auto"/>
              </w:rPr>
            </w:pPr>
          </w:p>
        </w:tc>
        <w:tc>
          <w:tcPr>
            <w:tcW w:w="840" w:type="dxa"/>
            <w:vAlign w:val="bottom"/>
          </w:tcPr>
          <w:p>
            <w:pPr>
              <w:spacing w:after="0"/>
              <w:rPr>
                <w:sz w:val="4"/>
                <w:szCs w:val="4"/>
                <w:color w:val="auto"/>
              </w:rPr>
            </w:pPr>
          </w:p>
        </w:tc>
        <w:tc>
          <w:tcPr>
            <w:tcW w:w="30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3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26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820" w:type="dxa"/>
            <w:vAlign w:val="bottom"/>
            <w:gridSpan w:val="34"/>
            <w:shd w:val="clear" w:color="auto" w:fill="CCEEFF"/>
          </w:tcPr>
          <w:p>
            <w:pPr>
              <w:spacing w:after="0" w:line="202" w:lineRule="exact"/>
              <w:rPr>
                <w:rFonts w:ascii="Arial" w:cs="Arial" w:eastAsia="Arial" w:hAnsi="Arial"/>
                <w:sz w:val="18"/>
                <w:szCs w:val="18"/>
                <w:color w:val="0000FF"/>
              </w:rPr>
            </w:pPr>
            <w:hyperlink w:anchor="page14">
              <w:r>
                <w:rPr>
                  <w:rFonts w:ascii="Arial" w:cs="Arial" w:eastAsia="Arial" w:hAnsi="Arial"/>
                  <w:sz w:val="18"/>
                  <w:szCs w:val="18"/>
                  <w:color w:val="0000FF"/>
                </w:rPr>
                <w:t>Investment in ATC</w:t>
              </w:r>
            </w:hyperlink>
          </w:p>
        </w:tc>
        <w:tc>
          <w:tcPr>
            <w:tcW w:w="2600" w:type="dxa"/>
            <w:vAlign w:val="bottom"/>
            <w:gridSpan w:val="4"/>
            <w:shd w:val="clear" w:color="auto" w:fill="CCEEFF"/>
          </w:tcPr>
          <w:p>
            <w:pPr>
              <w:ind w:left="1160"/>
              <w:spacing w:after="0" w:line="202" w:lineRule="exact"/>
              <w:rPr>
                <w:rFonts w:ascii="Arial" w:cs="Arial" w:eastAsia="Arial" w:hAnsi="Arial"/>
                <w:sz w:val="18"/>
                <w:szCs w:val="18"/>
                <w:color w:val="0000FF"/>
              </w:rPr>
            </w:pPr>
            <w:hyperlink w:anchor="page14">
              <w:r>
                <w:rPr>
                  <w:rFonts w:ascii="Arial" w:cs="Arial" w:eastAsia="Arial" w:hAnsi="Arial"/>
                  <w:sz w:val="18"/>
                  <w:szCs w:val="18"/>
                  <w:color w:val="0000FF"/>
                </w:rPr>
                <w:t>14</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20" w:type="dxa"/>
            <w:vAlign w:val="bottom"/>
            <w:tcBorders>
              <w:top w:val="single" w:sz="8" w:color="0000FF"/>
            </w:tcBorders>
            <w:shd w:val="clear" w:color="auto" w:fill="CCEEFF"/>
          </w:tcPr>
          <w:p>
            <w:pPr>
              <w:spacing w:after="0"/>
              <w:rPr>
                <w:sz w:val="4"/>
                <w:szCs w:val="4"/>
                <w:color w:val="auto"/>
              </w:rPr>
            </w:pPr>
          </w:p>
        </w:tc>
        <w:tc>
          <w:tcPr>
            <w:tcW w:w="2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160" w:type="dxa"/>
            <w:vAlign w:val="bottom"/>
            <w:tcBorders>
              <w:top w:val="single" w:sz="8" w:color="CCEEFF"/>
            </w:tcBorders>
            <w:shd w:val="clear" w:color="auto" w:fill="CCEEFF"/>
          </w:tcPr>
          <w:p>
            <w:pPr>
              <w:spacing w:after="0"/>
              <w:rPr>
                <w:sz w:val="4"/>
                <w:szCs w:val="4"/>
                <w:color w:val="auto"/>
              </w:rPr>
            </w:pPr>
          </w:p>
        </w:tc>
        <w:tc>
          <w:tcPr>
            <w:tcW w:w="11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right w:val="single" w:sz="8" w:color="CCEEFF"/>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60" w:type="dxa"/>
            <w:vAlign w:val="bottom"/>
            <w:gridSpan w:val="17"/>
          </w:tcPr>
          <w:p>
            <w:pPr>
              <w:spacing w:after="0" w:line="202" w:lineRule="exact"/>
              <w:rPr>
                <w:rFonts w:ascii="Arial" w:cs="Arial" w:eastAsia="Arial" w:hAnsi="Arial"/>
                <w:sz w:val="18"/>
                <w:szCs w:val="18"/>
                <w:color w:val="0000FF"/>
              </w:rPr>
            </w:pPr>
            <w:hyperlink w:anchor="page15">
              <w:r>
                <w:rPr>
                  <w:rFonts w:ascii="Arial" w:cs="Arial" w:eastAsia="Arial" w:hAnsi="Arial"/>
                  <w:sz w:val="18"/>
                  <w:szCs w:val="18"/>
                  <w:color w:val="0000FF"/>
                </w:rPr>
                <w:t>Properties</w:t>
              </w:r>
            </w:hyperlink>
          </w:p>
        </w:tc>
        <w:tc>
          <w:tcPr>
            <w:tcW w:w="5460" w:type="dxa"/>
            <w:vAlign w:val="bottom"/>
            <w:gridSpan w:val="17"/>
          </w:tcPr>
          <w:p>
            <w:pPr>
              <w:spacing w:after="0"/>
              <w:rPr>
                <w:sz w:val="17"/>
                <w:szCs w:val="17"/>
                <w:color w:val="auto"/>
              </w:rPr>
            </w:pPr>
          </w:p>
        </w:tc>
        <w:tc>
          <w:tcPr>
            <w:tcW w:w="2600" w:type="dxa"/>
            <w:vAlign w:val="bottom"/>
            <w:gridSpan w:val="4"/>
          </w:tcPr>
          <w:p>
            <w:pPr>
              <w:ind w:left="1160"/>
              <w:spacing w:after="0" w:line="202" w:lineRule="exact"/>
              <w:rPr>
                <w:rFonts w:ascii="Arial" w:cs="Arial" w:eastAsia="Arial" w:hAnsi="Arial"/>
                <w:sz w:val="18"/>
                <w:szCs w:val="18"/>
                <w:color w:val="0000FF"/>
              </w:rPr>
            </w:pPr>
            <w:hyperlink w:anchor="page15">
              <w:r>
                <w:rPr>
                  <w:rFonts w:ascii="Arial" w:cs="Arial" w:eastAsia="Arial" w:hAnsi="Arial"/>
                  <w:sz w:val="18"/>
                  <w:szCs w:val="18"/>
                  <w:color w:val="0000FF"/>
                </w:rPr>
                <w:t>15</w:t>
              </w:r>
            </w:hyperlink>
          </w:p>
        </w:tc>
      </w:tr>
      <w:tr>
        <w:trPr>
          <w:trHeight w:val="48"/>
        </w:trPr>
        <w:tc>
          <w:tcPr>
            <w:tcW w:w="40" w:type="dxa"/>
            <w:vAlign w:val="bottom"/>
          </w:tcPr>
          <w:p>
            <w:pPr>
              <w:spacing w:after="0"/>
              <w:rPr>
                <w:sz w:val="4"/>
                <w:szCs w:val="4"/>
                <w:color w:val="auto"/>
              </w:rPr>
            </w:pPr>
          </w:p>
        </w:tc>
        <w:tc>
          <w:tcPr>
            <w:tcW w:w="840" w:type="dxa"/>
            <w:vAlign w:val="bottom"/>
          </w:tcPr>
          <w:p>
            <w:pPr>
              <w:spacing w:after="0"/>
              <w:rPr>
                <w:sz w:val="4"/>
                <w:szCs w:val="4"/>
                <w:color w:val="auto"/>
              </w:rPr>
            </w:pPr>
          </w:p>
        </w:tc>
        <w:tc>
          <w:tcPr>
            <w:tcW w:w="30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26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820" w:type="dxa"/>
            <w:vAlign w:val="bottom"/>
            <w:gridSpan w:val="34"/>
            <w:shd w:val="clear" w:color="auto" w:fill="CCEEFF"/>
          </w:tcPr>
          <w:p>
            <w:pPr>
              <w:spacing w:after="0" w:line="202" w:lineRule="exact"/>
              <w:rPr>
                <w:rFonts w:ascii="Arial" w:cs="Arial" w:eastAsia="Arial" w:hAnsi="Arial"/>
                <w:sz w:val="18"/>
                <w:szCs w:val="18"/>
                <w:color w:val="0000FF"/>
              </w:rPr>
            </w:pPr>
            <w:hyperlink w:anchor="page15">
              <w:r>
                <w:rPr>
                  <w:rFonts w:ascii="Arial" w:cs="Arial" w:eastAsia="Arial" w:hAnsi="Arial"/>
                  <w:sz w:val="18"/>
                  <w:szCs w:val="18"/>
                  <w:color w:val="0000FF"/>
                </w:rPr>
                <w:t>Regulatory Matters</w:t>
              </w:r>
            </w:hyperlink>
          </w:p>
        </w:tc>
        <w:tc>
          <w:tcPr>
            <w:tcW w:w="2600" w:type="dxa"/>
            <w:vAlign w:val="bottom"/>
            <w:gridSpan w:val="4"/>
            <w:shd w:val="clear" w:color="auto" w:fill="CCEEFF"/>
          </w:tcPr>
          <w:p>
            <w:pPr>
              <w:ind w:left="1160"/>
              <w:spacing w:after="0" w:line="202" w:lineRule="exact"/>
              <w:rPr>
                <w:rFonts w:ascii="Arial" w:cs="Arial" w:eastAsia="Arial" w:hAnsi="Arial"/>
                <w:sz w:val="18"/>
                <w:szCs w:val="18"/>
                <w:color w:val="0000FF"/>
              </w:rPr>
            </w:pPr>
            <w:hyperlink w:anchor="page15">
              <w:r>
                <w:rPr>
                  <w:rFonts w:ascii="Arial" w:cs="Arial" w:eastAsia="Arial" w:hAnsi="Arial"/>
                  <w:sz w:val="18"/>
                  <w:szCs w:val="18"/>
                  <w:color w:val="0000FF"/>
                </w:rPr>
                <w:t>15</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20" w:type="dxa"/>
            <w:vAlign w:val="bottom"/>
            <w:tcBorders>
              <w:top w:val="single" w:sz="8" w:color="0000FF"/>
            </w:tcBorders>
            <w:shd w:val="clear" w:color="auto" w:fill="CCEEFF"/>
          </w:tcPr>
          <w:p>
            <w:pPr>
              <w:spacing w:after="0"/>
              <w:rPr>
                <w:sz w:val="4"/>
                <w:szCs w:val="4"/>
                <w:color w:val="auto"/>
              </w:rPr>
            </w:pPr>
          </w:p>
        </w:tc>
        <w:tc>
          <w:tcPr>
            <w:tcW w:w="2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160" w:type="dxa"/>
            <w:vAlign w:val="bottom"/>
            <w:tcBorders>
              <w:top w:val="single" w:sz="8" w:color="CCEEFF"/>
            </w:tcBorders>
            <w:shd w:val="clear" w:color="auto" w:fill="CCEEFF"/>
          </w:tcPr>
          <w:p>
            <w:pPr>
              <w:spacing w:after="0"/>
              <w:rPr>
                <w:sz w:val="4"/>
                <w:szCs w:val="4"/>
                <w:color w:val="auto"/>
              </w:rPr>
            </w:pPr>
          </w:p>
        </w:tc>
        <w:tc>
          <w:tcPr>
            <w:tcW w:w="11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right w:val="single" w:sz="8" w:color="CCEEFF"/>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20" w:type="dxa"/>
            <w:vAlign w:val="bottom"/>
            <w:gridSpan w:val="34"/>
          </w:tcPr>
          <w:p>
            <w:pPr>
              <w:spacing w:after="0" w:line="202" w:lineRule="exact"/>
              <w:rPr>
                <w:rFonts w:ascii="Arial" w:cs="Arial" w:eastAsia="Arial" w:hAnsi="Arial"/>
                <w:sz w:val="18"/>
                <w:szCs w:val="18"/>
                <w:color w:val="0000FF"/>
              </w:rPr>
            </w:pPr>
            <w:hyperlink w:anchor="page18">
              <w:r>
                <w:rPr>
                  <w:rFonts w:ascii="Arial" w:cs="Arial" w:eastAsia="Arial" w:hAnsi="Arial"/>
                  <w:sz w:val="18"/>
                  <w:szCs w:val="18"/>
                  <w:color w:val="0000FF"/>
                </w:rPr>
                <w:t>Regional Organizations</w:t>
              </w:r>
            </w:hyperlink>
          </w:p>
        </w:tc>
        <w:tc>
          <w:tcPr>
            <w:tcW w:w="2600" w:type="dxa"/>
            <w:vAlign w:val="bottom"/>
            <w:gridSpan w:val="4"/>
          </w:tcPr>
          <w:p>
            <w:pPr>
              <w:ind w:left="1160"/>
              <w:spacing w:after="0" w:line="202" w:lineRule="exact"/>
              <w:rPr>
                <w:rFonts w:ascii="Arial" w:cs="Arial" w:eastAsia="Arial" w:hAnsi="Arial"/>
                <w:sz w:val="18"/>
                <w:szCs w:val="18"/>
                <w:color w:val="0000FF"/>
              </w:rPr>
            </w:pPr>
            <w:hyperlink w:anchor="page18">
              <w:r>
                <w:rPr>
                  <w:rFonts w:ascii="Arial" w:cs="Arial" w:eastAsia="Arial" w:hAnsi="Arial"/>
                  <w:sz w:val="18"/>
                  <w:szCs w:val="18"/>
                  <w:color w:val="0000FF"/>
                </w:rPr>
                <w:t>18</w:t>
              </w:r>
            </w:hyperlink>
          </w:p>
        </w:tc>
      </w:tr>
      <w:tr>
        <w:trPr>
          <w:trHeight w:val="48"/>
        </w:trPr>
        <w:tc>
          <w:tcPr>
            <w:tcW w:w="40" w:type="dxa"/>
            <w:vAlign w:val="bottom"/>
          </w:tcPr>
          <w:p>
            <w:pPr>
              <w:spacing w:after="0"/>
              <w:rPr>
                <w:sz w:val="4"/>
                <w:szCs w:val="4"/>
                <w:color w:val="auto"/>
              </w:rPr>
            </w:pPr>
          </w:p>
        </w:tc>
        <w:tc>
          <w:tcPr>
            <w:tcW w:w="840" w:type="dxa"/>
            <w:vAlign w:val="bottom"/>
          </w:tcPr>
          <w:p>
            <w:pPr>
              <w:spacing w:after="0"/>
              <w:rPr>
                <w:sz w:val="4"/>
                <w:szCs w:val="4"/>
                <w:color w:val="auto"/>
              </w:rPr>
            </w:pPr>
          </w:p>
        </w:tc>
        <w:tc>
          <w:tcPr>
            <w:tcW w:w="30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26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820" w:type="dxa"/>
            <w:vAlign w:val="bottom"/>
            <w:gridSpan w:val="34"/>
            <w:shd w:val="clear" w:color="auto" w:fill="CCEEFF"/>
          </w:tcPr>
          <w:p>
            <w:pPr>
              <w:spacing w:after="0" w:line="202" w:lineRule="exact"/>
              <w:rPr>
                <w:rFonts w:ascii="Arial" w:cs="Arial" w:eastAsia="Arial" w:hAnsi="Arial"/>
                <w:sz w:val="18"/>
                <w:szCs w:val="18"/>
                <w:color w:val="0000FF"/>
              </w:rPr>
            </w:pPr>
            <w:hyperlink w:anchor="page18">
              <w:r>
                <w:rPr>
                  <w:rFonts w:ascii="Arial" w:cs="Arial" w:eastAsia="Arial" w:hAnsi="Arial"/>
                  <w:sz w:val="18"/>
                  <w:szCs w:val="18"/>
                  <w:color w:val="0000FF"/>
                </w:rPr>
                <w:t>Minnesota Legislation</w:t>
              </w:r>
            </w:hyperlink>
          </w:p>
        </w:tc>
        <w:tc>
          <w:tcPr>
            <w:tcW w:w="2600" w:type="dxa"/>
            <w:vAlign w:val="bottom"/>
            <w:gridSpan w:val="4"/>
            <w:shd w:val="clear" w:color="auto" w:fill="CCEEFF"/>
          </w:tcPr>
          <w:p>
            <w:pPr>
              <w:ind w:left="1160"/>
              <w:spacing w:after="0" w:line="202" w:lineRule="exact"/>
              <w:rPr>
                <w:rFonts w:ascii="Arial" w:cs="Arial" w:eastAsia="Arial" w:hAnsi="Arial"/>
                <w:sz w:val="18"/>
                <w:szCs w:val="18"/>
                <w:color w:val="0000FF"/>
              </w:rPr>
            </w:pPr>
            <w:hyperlink w:anchor="page18">
              <w:r>
                <w:rPr>
                  <w:rFonts w:ascii="Arial" w:cs="Arial" w:eastAsia="Arial" w:hAnsi="Arial"/>
                  <w:sz w:val="18"/>
                  <w:szCs w:val="18"/>
                  <w:color w:val="0000FF"/>
                </w:rPr>
                <w:t>18</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20" w:type="dxa"/>
            <w:vAlign w:val="bottom"/>
            <w:tcBorders>
              <w:top w:val="single" w:sz="8" w:color="0000FF"/>
            </w:tcBorders>
            <w:shd w:val="clear" w:color="auto" w:fill="CCEEFF"/>
          </w:tcPr>
          <w:p>
            <w:pPr>
              <w:spacing w:after="0"/>
              <w:rPr>
                <w:sz w:val="4"/>
                <w:szCs w:val="4"/>
                <w:color w:val="auto"/>
              </w:rPr>
            </w:pPr>
          </w:p>
        </w:tc>
        <w:tc>
          <w:tcPr>
            <w:tcW w:w="2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160" w:type="dxa"/>
            <w:vAlign w:val="bottom"/>
            <w:tcBorders>
              <w:top w:val="single" w:sz="8" w:color="CCEEFF"/>
            </w:tcBorders>
            <w:shd w:val="clear" w:color="auto" w:fill="CCEEFF"/>
          </w:tcPr>
          <w:p>
            <w:pPr>
              <w:spacing w:after="0"/>
              <w:rPr>
                <w:sz w:val="4"/>
                <w:szCs w:val="4"/>
                <w:color w:val="auto"/>
              </w:rPr>
            </w:pPr>
          </w:p>
        </w:tc>
        <w:tc>
          <w:tcPr>
            <w:tcW w:w="11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right w:val="single" w:sz="8" w:color="CCEEFF"/>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0" w:type="dxa"/>
            <w:vAlign w:val="bottom"/>
            <w:gridSpan w:val="21"/>
          </w:tcPr>
          <w:p>
            <w:pPr>
              <w:spacing w:after="0" w:line="202" w:lineRule="exact"/>
              <w:rPr>
                <w:rFonts w:ascii="Arial" w:cs="Arial" w:eastAsia="Arial" w:hAnsi="Arial"/>
                <w:sz w:val="18"/>
                <w:szCs w:val="18"/>
                <w:color w:val="0000FF"/>
              </w:rPr>
            </w:pPr>
            <w:hyperlink w:anchor="page19">
              <w:r>
                <w:rPr>
                  <w:rFonts w:ascii="Arial" w:cs="Arial" w:eastAsia="Arial" w:hAnsi="Arial"/>
                  <w:sz w:val="18"/>
                  <w:szCs w:val="18"/>
                  <w:color w:val="0000FF"/>
                </w:rPr>
                <w:t>Competition</w:t>
              </w:r>
            </w:hyperlink>
          </w:p>
        </w:tc>
        <w:tc>
          <w:tcPr>
            <w:tcW w:w="5220" w:type="dxa"/>
            <w:vAlign w:val="bottom"/>
            <w:gridSpan w:val="13"/>
          </w:tcPr>
          <w:p>
            <w:pPr>
              <w:spacing w:after="0"/>
              <w:rPr>
                <w:sz w:val="17"/>
                <w:szCs w:val="17"/>
                <w:color w:val="auto"/>
              </w:rPr>
            </w:pPr>
          </w:p>
        </w:tc>
        <w:tc>
          <w:tcPr>
            <w:tcW w:w="2600" w:type="dxa"/>
            <w:vAlign w:val="bottom"/>
            <w:gridSpan w:val="4"/>
          </w:tcPr>
          <w:p>
            <w:pPr>
              <w:ind w:left="1160"/>
              <w:spacing w:after="0" w:line="202" w:lineRule="exact"/>
              <w:rPr>
                <w:rFonts w:ascii="Arial" w:cs="Arial" w:eastAsia="Arial" w:hAnsi="Arial"/>
                <w:sz w:val="18"/>
                <w:szCs w:val="18"/>
                <w:color w:val="0000FF"/>
              </w:rPr>
            </w:pPr>
            <w:hyperlink w:anchor="page19">
              <w:r>
                <w:rPr>
                  <w:rFonts w:ascii="Arial" w:cs="Arial" w:eastAsia="Arial" w:hAnsi="Arial"/>
                  <w:sz w:val="18"/>
                  <w:szCs w:val="18"/>
                  <w:color w:val="0000FF"/>
                </w:rPr>
                <w:t>19</w:t>
              </w:r>
            </w:hyperlink>
          </w:p>
        </w:tc>
      </w:tr>
      <w:tr>
        <w:trPr>
          <w:trHeight w:val="48"/>
        </w:trPr>
        <w:tc>
          <w:tcPr>
            <w:tcW w:w="40" w:type="dxa"/>
            <w:vAlign w:val="bottom"/>
          </w:tcPr>
          <w:p>
            <w:pPr>
              <w:spacing w:after="0"/>
              <w:rPr>
                <w:sz w:val="4"/>
                <w:szCs w:val="4"/>
                <w:color w:val="auto"/>
              </w:rPr>
            </w:pPr>
          </w:p>
        </w:tc>
        <w:tc>
          <w:tcPr>
            <w:tcW w:w="840" w:type="dxa"/>
            <w:vAlign w:val="bottom"/>
          </w:tcPr>
          <w:p>
            <w:pPr>
              <w:spacing w:after="0"/>
              <w:rPr>
                <w:sz w:val="4"/>
                <w:szCs w:val="4"/>
                <w:color w:val="auto"/>
              </w:rPr>
            </w:pPr>
          </w:p>
        </w:tc>
        <w:tc>
          <w:tcPr>
            <w:tcW w:w="30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26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820" w:type="dxa"/>
            <w:vAlign w:val="bottom"/>
            <w:gridSpan w:val="34"/>
            <w:shd w:val="clear" w:color="auto" w:fill="CCEEFF"/>
          </w:tcPr>
          <w:p>
            <w:pPr>
              <w:spacing w:after="0" w:line="202" w:lineRule="exact"/>
              <w:rPr>
                <w:rFonts w:ascii="Arial" w:cs="Arial" w:eastAsia="Arial" w:hAnsi="Arial"/>
                <w:sz w:val="18"/>
                <w:szCs w:val="18"/>
                <w:color w:val="0000FF"/>
              </w:rPr>
            </w:pPr>
            <w:hyperlink w:anchor="page19">
              <w:r>
                <w:rPr>
                  <w:rFonts w:ascii="Arial" w:cs="Arial" w:eastAsia="Arial" w:hAnsi="Arial"/>
                  <w:sz w:val="18"/>
                  <w:szCs w:val="18"/>
                  <w:color w:val="0000FF"/>
                </w:rPr>
                <w:t>Franchises</w:t>
              </w:r>
            </w:hyperlink>
          </w:p>
        </w:tc>
        <w:tc>
          <w:tcPr>
            <w:tcW w:w="2600" w:type="dxa"/>
            <w:vAlign w:val="bottom"/>
            <w:gridSpan w:val="4"/>
            <w:shd w:val="clear" w:color="auto" w:fill="CCEEFF"/>
          </w:tcPr>
          <w:p>
            <w:pPr>
              <w:ind w:left="1160"/>
              <w:spacing w:after="0" w:line="202" w:lineRule="exact"/>
              <w:rPr>
                <w:rFonts w:ascii="Arial" w:cs="Arial" w:eastAsia="Arial" w:hAnsi="Arial"/>
                <w:sz w:val="18"/>
                <w:szCs w:val="18"/>
                <w:color w:val="0000FF"/>
              </w:rPr>
            </w:pPr>
            <w:hyperlink w:anchor="page19">
              <w:r>
                <w:rPr>
                  <w:rFonts w:ascii="Arial" w:cs="Arial" w:eastAsia="Arial" w:hAnsi="Arial"/>
                  <w:sz w:val="18"/>
                  <w:szCs w:val="18"/>
                  <w:color w:val="0000FF"/>
                </w:rPr>
                <w:t>19</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20" w:type="dxa"/>
            <w:vAlign w:val="bottom"/>
            <w:tcBorders>
              <w:top w:val="single" w:sz="8" w:color="0000FF"/>
            </w:tcBorders>
            <w:shd w:val="clear" w:color="auto" w:fill="CCEEFF"/>
          </w:tcPr>
          <w:p>
            <w:pPr>
              <w:spacing w:after="0"/>
              <w:rPr>
                <w:sz w:val="4"/>
                <w:szCs w:val="4"/>
                <w:color w:val="auto"/>
              </w:rPr>
            </w:pPr>
          </w:p>
        </w:tc>
        <w:tc>
          <w:tcPr>
            <w:tcW w:w="2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160" w:type="dxa"/>
            <w:vAlign w:val="bottom"/>
            <w:tcBorders>
              <w:top w:val="single" w:sz="8" w:color="CCEEFF"/>
            </w:tcBorders>
            <w:shd w:val="clear" w:color="auto" w:fill="CCEEFF"/>
          </w:tcPr>
          <w:p>
            <w:pPr>
              <w:spacing w:after="0"/>
              <w:rPr>
                <w:sz w:val="4"/>
                <w:szCs w:val="4"/>
                <w:color w:val="auto"/>
              </w:rPr>
            </w:pPr>
          </w:p>
        </w:tc>
        <w:tc>
          <w:tcPr>
            <w:tcW w:w="11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right w:val="single" w:sz="8" w:color="CCEEFF"/>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40" w:type="dxa"/>
            <w:vAlign w:val="bottom"/>
            <w:gridSpan w:val="41"/>
          </w:tcPr>
          <w:p>
            <w:pPr>
              <w:spacing w:after="0" w:line="202" w:lineRule="exact"/>
              <w:rPr>
                <w:rFonts w:ascii="Arial" w:cs="Arial" w:eastAsia="Arial" w:hAnsi="Arial"/>
                <w:sz w:val="18"/>
                <w:szCs w:val="18"/>
                <w:color w:val="0000FF"/>
              </w:rPr>
            </w:pPr>
            <w:hyperlink w:anchor="page19">
              <w:r>
                <w:rPr>
                  <w:rFonts w:ascii="Arial" w:cs="Arial" w:eastAsia="Arial" w:hAnsi="Arial"/>
                  <w:sz w:val="18"/>
                  <w:szCs w:val="18"/>
                  <w:color w:val="0000FF"/>
                </w:rPr>
                <w:t>Investments and Other</w:t>
              </w:r>
            </w:hyperlink>
          </w:p>
        </w:tc>
        <w:tc>
          <w:tcPr>
            <w:tcW w:w="2600" w:type="dxa"/>
            <w:vAlign w:val="bottom"/>
            <w:gridSpan w:val="4"/>
          </w:tcPr>
          <w:p>
            <w:pPr>
              <w:ind w:left="1160"/>
              <w:spacing w:after="0" w:line="202" w:lineRule="exact"/>
              <w:rPr>
                <w:rFonts w:ascii="Arial" w:cs="Arial" w:eastAsia="Arial" w:hAnsi="Arial"/>
                <w:sz w:val="18"/>
                <w:szCs w:val="18"/>
                <w:color w:val="0000FF"/>
              </w:rPr>
            </w:pPr>
            <w:hyperlink w:anchor="page19">
              <w:r>
                <w:rPr>
                  <w:rFonts w:ascii="Arial" w:cs="Arial" w:eastAsia="Arial" w:hAnsi="Arial"/>
                  <w:sz w:val="18"/>
                  <w:szCs w:val="18"/>
                  <w:color w:val="0000FF"/>
                </w:rPr>
                <w:t>19</w:t>
              </w:r>
            </w:hyperlink>
          </w:p>
        </w:tc>
      </w:tr>
      <w:tr>
        <w:trPr>
          <w:trHeight w:val="48"/>
        </w:trPr>
        <w:tc>
          <w:tcPr>
            <w:tcW w:w="40" w:type="dxa"/>
            <w:vAlign w:val="bottom"/>
          </w:tcPr>
          <w:p>
            <w:pPr>
              <w:spacing w:after="0"/>
              <w:rPr>
                <w:sz w:val="4"/>
                <w:szCs w:val="4"/>
                <w:color w:val="auto"/>
              </w:rPr>
            </w:pPr>
          </w:p>
        </w:tc>
        <w:tc>
          <w:tcPr>
            <w:tcW w:w="840" w:type="dxa"/>
            <w:vAlign w:val="bottom"/>
          </w:tcPr>
          <w:p>
            <w:pPr>
              <w:spacing w:after="0"/>
              <w:rPr>
                <w:sz w:val="4"/>
                <w:szCs w:val="4"/>
                <w:color w:val="auto"/>
              </w:rPr>
            </w:pPr>
          </w:p>
        </w:tc>
        <w:tc>
          <w:tcPr>
            <w:tcW w:w="300" w:type="dxa"/>
            <w:vAlign w:val="bottom"/>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26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820" w:type="dxa"/>
            <w:vAlign w:val="bottom"/>
            <w:gridSpan w:val="34"/>
            <w:shd w:val="clear" w:color="auto" w:fill="CCEEFF"/>
          </w:tcPr>
          <w:p>
            <w:pPr>
              <w:spacing w:after="0" w:line="202" w:lineRule="exact"/>
              <w:rPr>
                <w:rFonts w:ascii="Arial" w:cs="Arial" w:eastAsia="Arial" w:hAnsi="Arial"/>
                <w:sz w:val="18"/>
                <w:szCs w:val="18"/>
                <w:color w:val="0000FF"/>
              </w:rPr>
            </w:pPr>
            <w:hyperlink w:anchor="page19">
              <w:r>
                <w:rPr>
                  <w:rFonts w:ascii="Arial" w:cs="Arial" w:eastAsia="Arial" w:hAnsi="Arial"/>
                  <w:sz w:val="18"/>
                  <w:szCs w:val="18"/>
                  <w:color w:val="0000FF"/>
                </w:rPr>
                <w:t>BNI Coal</w:t>
              </w:r>
            </w:hyperlink>
          </w:p>
        </w:tc>
        <w:tc>
          <w:tcPr>
            <w:tcW w:w="2600" w:type="dxa"/>
            <w:vAlign w:val="bottom"/>
            <w:gridSpan w:val="4"/>
            <w:shd w:val="clear" w:color="auto" w:fill="CCEEFF"/>
          </w:tcPr>
          <w:p>
            <w:pPr>
              <w:ind w:left="1160"/>
              <w:spacing w:after="0" w:line="202" w:lineRule="exact"/>
              <w:rPr>
                <w:rFonts w:ascii="Arial" w:cs="Arial" w:eastAsia="Arial" w:hAnsi="Arial"/>
                <w:sz w:val="18"/>
                <w:szCs w:val="18"/>
                <w:color w:val="0000FF"/>
              </w:rPr>
            </w:pPr>
            <w:hyperlink w:anchor="page19">
              <w:r>
                <w:rPr>
                  <w:rFonts w:ascii="Arial" w:cs="Arial" w:eastAsia="Arial" w:hAnsi="Arial"/>
                  <w:sz w:val="18"/>
                  <w:szCs w:val="18"/>
                  <w:color w:val="0000FF"/>
                </w:rPr>
                <w:t>19</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20" w:type="dxa"/>
            <w:vAlign w:val="bottom"/>
            <w:tcBorders>
              <w:top w:val="single" w:sz="8" w:color="0000FF"/>
            </w:tcBorders>
            <w:shd w:val="clear" w:color="auto" w:fill="CCEEFF"/>
          </w:tcPr>
          <w:p>
            <w:pPr>
              <w:spacing w:after="0"/>
              <w:rPr>
                <w:sz w:val="4"/>
                <w:szCs w:val="4"/>
                <w:color w:val="auto"/>
              </w:rPr>
            </w:pPr>
          </w:p>
        </w:tc>
        <w:tc>
          <w:tcPr>
            <w:tcW w:w="2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160" w:type="dxa"/>
            <w:vAlign w:val="bottom"/>
            <w:tcBorders>
              <w:top w:val="single" w:sz="8" w:color="CCEEFF"/>
            </w:tcBorders>
            <w:shd w:val="clear" w:color="auto" w:fill="CCEEFF"/>
          </w:tcPr>
          <w:p>
            <w:pPr>
              <w:spacing w:after="0"/>
              <w:rPr>
                <w:sz w:val="4"/>
                <w:szCs w:val="4"/>
                <w:color w:val="auto"/>
              </w:rPr>
            </w:pPr>
          </w:p>
        </w:tc>
        <w:tc>
          <w:tcPr>
            <w:tcW w:w="11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right w:val="single" w:sz="8" w:color="CCEEFF"/>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20" w:type="dxa"/>
            <w:vAlign w:val="bottom"/>
            <w:gridSpan w:val="34"/>
          </w:tcPr>
          <w:p>
            <w:pPr>
              <w:spacing w:after="0" w:line="202" w:lineRule="exact"/>
              <w:rPr>
                <w:rFonts w:ascii="Arial" w:cs="Arial" w:eastAsia="Arial" w:hAnsi="Arial"/>
                <w:sz w:val="18"/>
                <w:szCs w:val="18"/>
                <w:color w:val="0000FF"/>
              </w:rPr>
            </w:pPr>
            <w:hyperlink w:anchor="page19">
              <w:r>
                <w:rPr>
                  <w:rFonts w:ascii="Arial" w:cs="Arial" w:eastAsia="Arial" w:hAnsi="Arial"/>
                  <w:sz w:val="18"/>
                  <w:szCs w:val="18"/>
                  <w:color w:val="0000FF"/>
                </w:rPr>
                <w:t>ALLETE Properties</w:t>
              </w:r>
            </w:hyperlink>
          </w:p>
        </w:tc>
        <w:tc>
          <w:tcPr>
            <w:tcW w:w="2600" w:type="dxa"/>
            <w:vAlign w:val="bottom"/>
            <w:gridSpan w:val="4"/>
          </w:tcPr>
          <w:p>
            <w:pPr>
              <w:ind w:left="1160"/>
              <w:spacing w:after="0" w:line="202" w:lineRule="exact"/>
              <w:rPr>
                <w:rFonts w:ascii="Arial" w:cs="Arial" w:eastAsia="Arial" w:hAnsi="Arial"/>
                <w:sz w:val="18"/>
                <w:szCs w:val="18"/>
                <w:color w:val="0000FF"/>
              </w:rPr>
            </w:pPr>
            <w:hyperlink w:anchor="page19">
              <w:r>
                <w:rPr>
                  <w:rFonts w:ascii="Arial" w:cs="Arial" w:eastAsia="Arial" w:hAnsi="Arial"/>
                  <w:sz w:val="18"/>
                  <w:szCs w:val="18"/>
                  <w:color w:val="0000FF"/>
                </w:rPr>
                <w:t>20</w:t>
              </w:r>
            </w:hyperlink>
          </w:p>
        </w:tc>
      </w:tr>
      <w:tr>
        <w:trPr>
          <w:trHeight w:val="48"/>
        </w:trPr>
        <w:tc>
          <w:tcPr>
            <w:tcW w:w="40" w:type="dxa"/>
            <w:vAlign w:val="bottom"/>
          </w:tcPr>
          <w:p>
            <w:pPr>
              <w:spacing w:after="0"/>
              <w:rPr>
                <w:sz w:val="4"/>
                <w:szCs w:val="4"/>
                <w:color w:val="auto"/>
              </w:rPr>
            </w:pPr>
          </w:p>
        </w:tc>
        <w:tc>
          <w:tcPr>
            <w:tcW w:w="840" w:type="dxa"/>
            <w:vAlign w:val="bottom"/>
          </w:tcPr>
          <w:p>
            <w:pPr>
              <w:spacing w:after="0"/>
              <w:rPr>
                <w:sz w:val="4"/>
                <w:szCs w:val="4"/>
                <w:color w:val="auto"/>
              </w:rPr>
            </w:pPr>
          </w:p>
        </w:tc>
        <w:tc>
          <w:tcPr>
            <w:tcW w:w="30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26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700" w:type="dxa"/>
            <w:vAlign w:val="bottom"/>
            <w:gridSpan w:val="22"/>
            <w:shd w:val="clear" w:color="auto" w:fill="CCEEFF"/>
          </w:tcPr>
          <w:p>
            <w:pPr>
              <w:spacing w:after="0" w:line="202" w:lineRule="exact"/>
              <w:rPr>
                <w:rFonts w:ascii="Arial" w:cs="Arial" w:eastAsia="Arial" w:hAnsi="Arial"/>
                <w:sz w:val="18"/>
                <w:szCs w:val="18"/>
                <w:color w:val="0000FF"/>
                <w:w w:val="92"/>
              </w:rPr>
            </w:pPr>
            <w:hyperlink w:anchor="page20">
              <w:r>
                <w:rPr>
                  <w:rFonts w:ascii="Arial" w:cs="Arial" w:eastAsia="Arial" w:hAnsi="Arial"/>
                  <w:sz w:val="18"/>
                  <w:szCs w:val="18"/>
                  <w:color w:val="0000FF"/>
                  <w:w w:val="92"/>
                </w:rPr>
                <w:t>ALLETE Clean Energy</w:t>
              </w:r>
            </w:hyperlink>
          </w:p>
        </w:tc>
        <w:tc>
          <w:tcPr>
            <w:tcW w:w="5120" w:type="dxa"/>
            <w:vAlign w:val="bottom"/>
            <w:gridSpan w:val="12"/>
            <w:shd w:val="clear" w:color="auto" w:fill="CCEEFF"/>
          </w:tcPr>
          <w:p>
            <w:pPr>
              <w:spacing w:after="0"/>
              <w:rPr>
                <w:sz w:val="17"/>
                <w:szCs w:val="17"/>
                <w:color w:val="auto"/>
              </w:rPr>
            </w:pPr>
          </w:p>
        </w:tc>
        <w:tc>
          <w:tcPr>
            <w:tcW w:w="2600" w:type="dxa"/>
            <w:vAlign w:val="bottom"/>
            <w:gridSpan w:val="4"/>
            <w:shd w:val="clear" w:color="auto" w:fill="CCEEFF"/>
          </w:tcPr>
          <w:p>
            <w:pPr>
              <w:ind w:left="1160"/>
              <w:spacing w:after="0" w:line="202" w:lineRule="exact"/>
              <w:rPr>
                <w:rFonts w:ascii="Arial" w:cs="Arial" w:eastAsia="Arial" w:hAnsi="Arial"/>
                <w:sz w:val="18"/>
                <w:szCs w:val="18"/>
                <w:color w:val="0000FF"/>
              </w:rPr>
            </w:pPr>
            <w:hyperlink w:anchor="page20">
              <w:r>
                <w:rPr>
                  <w:rFonts w:ascii="Arial" w:cs="Arial" w:eastAsia="Arial" w:hAnsi="Arial"/>
                  <w:sz w:val="18"/>
                  <w:szCs w:val="18"/>
                  <w:color w:val="0000FF"/>
                </w:rPr>
                <w:t>20</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20" w:type="dxa"/>
            <w:vAlign w:val="bottom"/>
            <w:tcBorders>
              <w:top w:val="single" w:sz="8" w:color="0000FF"/>
            </w:tcBorders>
            <w:shd w:val="clear" w:color="auto" w:fill="CCEEFF"/>
          </w:tcPr>
          <w:p>
            <w:pPr>
              <w:spacing w:after="0"/>
              <w:rPr>
                <w:sz w:val="4"/>
                <w:szCs w:val="4"/>
                <w:color w:val="auto"/>
              </w:rPr>
            </w:pPr>
          </w:p>
        </w:tc>
        <w:tc>
          <w:tcPr>
            <w:tcW w:w="2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160" w:type="dxa"/>
            <w:vAlign w:val="bottom"/>
            <w:tcBorders>
              <w:top w:val="single" w:sz="8" w:color="CCEEFF"/>
            </w:tcBorders>
            <w:shd w:val="clear" w:color="auto" w:fill="CCEEFF"/>
          </w:tcPr>
          <w:p>
            <w:pPr>
              <w:spacing w:after="0"/>
              <w:rPr>
                <w:sz w:val="4"/>
                <w:szCs w:val="4"/>
                <w:color w:val="auto"/>
              </w:rPr>
            </w:pPr>
          </w:p>
        </w:tc>
        <w:tc>
          <w:tcPr>
            <w:tcW w:w="11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right w:val="single" w:sz="8" w:color="CCEEFF"/>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20" w:type="dxa"/>
            <w:vAlign w:val="bottom"/>
            <w:gridSpan w:val="34"/>
          </w:tcPr>
          <w:p>
            <w:pPr>
              <w:spacing w:after="0" w:line="202" w:lineRule="exact"/>
              <w:rPr>
                <w:rFonts w:ascii="Arial" w:cs="Arial" w:eastAsia="Arial" w:hAnsi="Arial"/>
                <w:sz w:val="18"/>
                <w:szCs w:val="18"/>
                <w:color w:val="0000FF"/>
              </w:rPr>
            </w:pPr>
            <w:hyperlink w:anchor="page20">
              <w:r>
                <w:rPr>
                  <w:rFonts w:ascii="Arial" w:cs="Arial" w:eastAsia="Arial" w:hAnsi="Arial"/>
                  <w:sz w:val="18"/>
                  <w:szCs w:val="18"/>
                  <w:color w:val="0000FF"/>
                </w:rPr>
                <w:t>Non-Rate Base Generation</w:t>
              </w:r>
            </w:hyperlink>
          </w:p>
        </w:tc>
        <w:tc>
          <w:tcPr>
            <w:tcW w:w="2600" w:type="dxa"/>
            <w:vAlign w:val="bottom"/>
            <w:gridSpan w:val="4"/>
          </w:tcPr>
          <w:p>
            <w:pPr>
              <w:ind w:left="1160"/>
              <w:spacing w:after="0" w:line="202" w:lineRule="exact"/>
              <w:rPr>
                <w:rFonts w:ascii="Arial" w:cs="Arial" w:eastAsia="Arial" w:hAnsi="Arial"/>
                <w:sz w:val="18"/>
                <w:szCs w:val="18"/>
                <w:color w:val="0000FF"/>
              </w:rPr>
            </w:pPr>
            <w:hyperlink w:anchor="page20">
              <w:r>
                <w:rPr>
                  <w:rFonts w:ascii="Arial" w:cs="Arial" w:eastAsia="Arial" w:hAnsi="Arial"/>
                  <w:sz w:val="18"/>
                  <w:szCs w:val="18"/>
                  <w:color w:val="0000FF"/>
                </w:rPr>
                <w:t>20</w:t>
              </w:r>
            </w:hyperlink>
          </w:p>
        </w:tc>
      </w:tr>
      <w:tr>
        <w:trPr>
          <w:trHeight w:val="48"/>
        </w:trPr>
        <w:tc>
          <w:tcPr>
            <w:tcW w:w="40" w:type="dxa"/>
            <w:vAlign w:val="bottom"/>
          </w:tcPr>
          <w:p>
            <w:pPr>
              <w:spacing w:after="0"/>
              <w:rPr>
                <w:sz w:val="4"/>
                <w:szCs w:val="4"/>
                <w:color w:val="auto"/>
              </w:rPr>
            </w:pPr>
          </w:p>
        </w:tc>
        <w:tc>
          <w:tcPr>
            <w:tcW w:w="840" w:type="dxa"/>
            <w:vAlign w:val="bottom"/>
          </w:tcPr>
          <w:p>
            <w:pPr>
              <w:spacing w:after="0"/>
              <w:rPr>
                <w:sz w:val="4"/>
                <w:szCs w:val="4"/>
                <w:color w:val="auto"/>
              </w:rPr>
            </w:pPr>
          </w:p>
        </w:tc>
        <w:tc>
          <w:tcPr>
            <w:tcW w:w="30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26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640" w:type="dxa"/>
            <w:vAlign w:val="bottom"/>
            <w:gridSpan w:val="41"/>
            <w:shd w:val="clear" w:color="auto" w:fill="CCEEFF"/>
          </w:tcPr>
          <w:p>
            <w:pPr>
              <w:spacing w:after="0" w:line="202" w:lineRule="exact"/>
              <w:rPr>
                <w:rFonts w:ascii="Arial" w:cs="Arial" w:eastAsia="Arial" w:hAnsi="Arial"/>
                <w:sz w:val="18"/>
                <w:szCs w:val="18"/>
                <w:color w:val="0000FF"/>
              </w:rPr>
            </w:pPr>
            <w:hyperlink w:anchor="page20">
              <w:r>
                <w:rPr>
                  <w:rFonts w:ascii="Arial" w:cs="Arial" w:eastAsia="Arial" w:hAnsi="Arial"/>
                  <w:sz w:val="18"/>
                  <w:szCs w:val="18"/>
                  <w:color w:val="0000FF"/>
                </w:rPr>
                <w:t>Environmental Matters</w:t>
              </w:r>
            </w:hyperlink>
          </w:p>
        </w:tc>
        <w:tc>
          <w:tcPr>
            <w:tcW w:w="2600" w:type="dxa"/>
            <w:vAlign w:val="bottom"/>
            <w:gridSpan w:val="4"/>
            <w:shd w:val="clear" w:color="auto" w:fill="CCEEFF"/>
          </w:tcPr>
          <w:p>
            <w:pPr>
              <w:ind w:left="1160"/>
              <w:spacing w:after="0" w:line="202" w:lineRule="exact"/>
              <w:rPr>
                <w:rFonts w:ascii="Arial" w:cs="Arial" w:eastAsia="Arial" w:hAnsi="Arial"/>
                <w:sz w:val="18"/>
                <w:szCs w:val="18"/>
                <w:color w:val="0000FF"/>
              </w:rPr>
            </w:pPr>
            <w:hyperlink w:anchor="page20">
              <w:r>
                <w:rPr>
                  <w:rFonts w:ascii="Arial" w:cs="Arial" w:eastAsia="Arial" w:hAnsi="Arial"/>
                  <w:sz w:val="18"/>
                  <w:szCs w:val="18"/>
                  <w:color w:val="0000FF"/>
                </w:rPr>
                <w:t>21</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36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20" w:type="dxa"/>
            <w:vAlign w:val="bottom"/>
            <w:tcBorders>
              <w:top w:val="single" w:sz="8" w:color="0000FF"/>
            </w:tcBorders>
            <w:shd w:val="clear" w:color="auto" w:fill="CCEEFF"/>
          </w:tcPr>
          <w:p>
            <w:pPr>
              <w:spacing w:after="0"/>
              <w:rPr>
                <w:sz w:val="4"/>
                <w:szCs w:val="4"/>
                <w:color w:val="auto"/>
              </w:rPr>
            </w:pPr>
          </w:p>
        </w:tc>
        <w:tc>
          <w:tcPr>
            <w:tcW w:w="2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160" w:type="dxa"/>
            <w:vAlign w:val="bottom"/>
            <w:tcBorders>
              <w:top w:val="single" w:sz="8" w:color="CCEEFF"/>
            </w:tcBorders>
            <w:shd w:val="clear" w:color="auto" w:fill="CCEEFF"/>
          </w:tcPr>
          <w:p>
            <w:pPr>
              <w:spacing w:after="0"/>
              <w:rPr>
                <w:sz w:val="4"/>
                <w:szCs w:val="4"/>
                <w:color w:val="auto"/>
              </w:rPr>
            </w:pPr>
          </w:p>
        </w:tc>
        <w:tc>
          <w:tcPr>
            <w:tcW w:w="11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right w:val="single" w:sz="8" w:color="CCEEFF"/>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60" w:type="dxa"/>
            <w:vAlign w:val="bottom"/>
            <w:gridSpan w:val="17"/>
          </w:tcPr>
          <w:p>
            <w:pPr>
              <w:spacing w:after="0" w:line="202" w:lineRule="exact"/>
              <w:rPr>
                <w:rFonts w:ascii="Arial" w:cs="Arial" w:eastAsia="Arial" w:hAnsi="Arial"/>
                <w:sz w:val="18"/>
                <w:szCs w:val="18"/>
                <w:color w:val="0000FF"/>
              </w:rPr>
            </w:pPr>
            <w:hyperlink w:anchor="page25">
              <w:r>
                <w:rPr>
                  <w:rFonts w:ascii="Arial" w:cs="Arial" w:eastAsia="Arial" w:hAnsi="Arial"/>
                  <w:sz w:val="18"/>
                  <w:szCs w:val="18"/>
                  <w:color w:val="0000FF"/>
                </w:rPr>
                <w:t>Employees</w:t>
              </w:r>
            </w:hyperlink>
          </w:p>
        </w:tc>
        <w:tc>
          <w:tcPr>
            <w:tcW w:w="5980" w:type="dxa"/>
            <w:vAlign w:val="bottom"/>
            <w:gridSpan w:val="24"/>
          </w:tcPr>
          <w:p>
            <w:pPr>
              <w:spacing w:after="0"/>
              <w:rPr>
                <w:sz w:val="17"/>
                <w:szCs w:val="17"/>
                <w:color w:val="auto"/>
              </w:rPr>
            </w:pPr>
          </w:p>
        </w:tc>
        <w:tc>
          <w:tcPr>
            <w:tcW w:w="2600" w:type="dxa"/>
            <w:vAlign w:val="bottom"/>
            <w:gridSpan w:val="4"/>
          </w:tcPr>
          <w:p>
            <w:pPr>
              <w:ind w:left="1160"/>
              <w:spacing w:after="0" w:line="202" w:lineRule="exact"/>
              <w:rPr>
                <w:rFonts w:ascii="Arial" w:cs="Arial" w:eastAsia="Arial" w:hAnsi="Arial"/>
                <w:sz w:val="18"/>
                <w:szCs w:val="18"/>
                <w:color w:val="0000FF"/>
              </w:rPr>
            </w:pPr>
            <w:hyperlink w:anchor="page25">
              <w:r>
                <w:rPr>
                  <w:rFonts w:ascii="Arial" w:cs="Arial" w:eastAsia="Arial" w:hAnsi="Arial"/>
                  <w:sz w:val="18"/>
                  <w:szCs w:val="18"/>
                  <w:color w:val="0000FF"/>
                </w:rPr>
                <w:t>25</w:t>
              </w:r>
            </w:hyperlink>
          </w:p>
        </w:tc>
      </w:tr>
      <w:tr>
        <w:trPr>
          <w:trHeight w:val="48"/>
        </w:trPr>
        <w:tc>
          <w:tcPr>
            <w:tcW w:w="40" w:type="dxa"/>
            <w:vAlign w:val="bottom"/>
          </w:tcPr>
          <w:p>
            <w:pPr>
              <w:spacing w:after="0"/>
              <w:rPr>
                <w:sz w:val="4"/>
                <w:szCs w:val="4"/>
                <w:color w:val="auto"/>
              </w:rPr>
            </w:pPr>
          </w:p>
        </w:tc>
        <w:tc>
          <w:tcPr>
            <w:tcW w:w="840" w:type="dxa"/>
            <w:vAlign w:val="bottom"/>
          </w:tcPr>
          <w:p>
            <w:pPr>
              <w:spacing w:after="0"/>
              <w:rPr>
                <w:sz w:val="4"/>
                <w:szCs w:val="4"/>
                <w:color w:val="auto"/>
              </w:rPr>
            </w:pPr>
          </w:p>
        </w:tc>
        <w:tc>
          <w:tcPr>
            <w:tcW w:w="300" w:type="dxa"/>
            <w:vAlign w:val="bottom"/>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26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640" w:type="dxa"/>
            <w:vAlign w:val="bottom"/>
            <w:gridSpan w:val="41"/>
            <w:shd w:val="clear" w:color="auto" w:fill="CCEEFF"/>
          </w:tcPr>
          <w:p>
            <w:pPr>
              <w:spacing w:after="0" w:line="202" w:lineRule="exact"/>
              <w:rPr>
                <w:rFonts w:ascii="Arial" w:cs="Arial" w:eastAsia="Arial" w:hAnsi="Arial"/>
                <w:sz w:val="18"/>
                <w:szCs w:val="18"/>
                <w:color w:val="0000FF"/>
              </w:rPr>
            </w:pPr>
            <w:hyperlink w:anchor="page25">
              <w:r>
                <w:rPr>
                  <w:rFonts w:ascii="Arial" w:cs="Arial" w:eastAsia="Arial" w:hAnsi="Arial"/>
                  <w:sz w:val="18"/>
                  <w:szCs w:val="18"/>
                  <w:color w:val="0000FF"/>
                </w:rPr>
                <w:t>Availability of Information</w:t>
              </w:r>
            </w:hyperlink>
          </w:p>
        </w:tc>
        <w:tc>
          <w:tcPr>
            <w:tcW w:w="2600" w:type="dxa"/>
            <w:vAlign w:val="bottom"/>
            <w:gridSpan w:val="4"/>
            <w:shd w:val="clear" w:color="auto" w:fill="CCEEFF"/>
          </w:tcPr>
          <w:p>
            <w:pPr>
              <w:ind w:left="1160"/>
              <w:spacing w:after="0" w:line="202" w:lineRule="exact"/>
              <w:rPr>
                <w:rFonts w:ascii="Arial" w:cs="Arial" w:eastAsia="Arial" w:hAnsi="Arial"/>
                <w:sz w:val="18"/>
                <w:szCs w:val="18"/>
                <w:color w:val="0000FF"/>
              </w:rPr>
            </w:pPr>
            <w:hyperlink w:anchor="page25">
              <w:r>
                <w:rPr>
                  <w:rFonts w:ascii="Arial" w:cs="Arial" w:eastAsia="Arial" w:hAnsi="Arial"/>
                  <w:sz w:val="18"/>
                  <w:szCs w:val="18"/>
                  <w:color w:val="0000FF"/>
                </w:rPr>
                <w:t>25</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36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20" w:type="dxa"/>
            <w:vAlign w:val="bottom"/>
            <w:tcBorders>
              <w:top w:val="single" w:sz="8" w:color="0000FF"/>
            </w:tcBorders>
            <w:shd w:val="clear" w:color="auto" w:fill="CCEEFF"/>
          </w:tcPr>
          <w:p>
            <w:pPr>
              <w:spacing w:after="0"/>
              <w:rPr>
                <w:sz w:val="4"/>
                <w:szCs w:val="4"/>
                <w:color w:val="auto"/>
              </w:rPr>
            </w:pPr>
          </w:p>
        </w:tc>
        <w:tc>
          <w:tcPr>
            <w:tcW w:w="2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160" w:type="dxa"/>
            <w:vAlign w:val="bottom"/>
            <w:tcBorders>
              <w:top w:val="single" w:sz="8" w:color="CCEEFF"/>
            </w:tcBorders>
            <w:shd w:val="clear" w:color="auto" w:fill="CCEEFF"/>
          </w:tcPr>
          <w:p>
            <w:pPr>
              <w:spacing w:after="0"/>
              <w:rPr>
                <w:sz w:val="4"/>
                <w:szCs w:val="4"/>
                <w:color w:val="auto"/>
              </w:rPr>
            </w:pPr>
          </w:p>
        </w:tc>
        <w:tc>
          <w:tcPr>
            <w:tcW w:w="11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right w:val="single" w:sz="8" w:color="CCEEFF"/>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40" w:type="dxa"/>
            <w:vAlign w:val="bottom"/>
            <w:gridSpan w:val="41"/>
          </w:tcPr>
          <w:p>
            <w:pPr>
              <w:spacing w:after="0" w:line="202" w:lineRule="exact"/>
              <w:rPr>
                <w:rFonts w:ascii="Arial" w:cs="Arial" w:eastAsia="Arial" w:hAnsi="Arial"/>
                <w:sz w:val="18"/>
                <w:szCs w:val="18"/>
                <w:color w:val="0000FF"/>
              </w:rPr>
            </w:pPr>
            <w:hyperlink w:anchor="page25">
              <w:r>
                <w:rPr>
                  <w:rFonts w:ascii="Arial" w:cs="Arial" w:eastAsia="Arial" w:hAnsi="Arial"/>
                  <w:sz w:val="18"/>
                  <w:szCs w:val="18"/>
                  <w:color w:val="0000FF"/>
                </w:rPr>
                <w:t>Executive Officers of the Registrant</w:t>
              </w:r>
            </w:hyperlink>
          </w:p>
        </w:tc>
        <w:tc>
          <w:tcPr>
            <w:tcW w:w="2600" w:type="dxa"/>
            <w:vAlign w:val="bottom"/>
            <w:gridSpan w:val="4"/>
          </w:tcPr>
          <w:p>
            <w:pPr>
              <w:ind w:left="1160"/>
              <w:spacing w:after="0" w:line="202" w:lineRule="exact"/>
              <w:rPr>
                <w:rFonts w:ascii="Arial" w:cs="Arial" w:eastAsia="Arial" w:hAnsi="Arial"/>
                <w:sz w:val="18"/>
                <w:szCs w:val="18"/>
                <w:color w:val="0000FF"/>
              </w:rPr>
            </w:pPr>
            <w:hyperlink w:anchor="page25">
              <w:r>
                <w:rPr>
                  <w:rFonts w:ascii="Arial" w:cs="Arial" w:eastAsia="Arial" w:hAnsi="Arial"/>
                  <w:sz w:val="18"/>
                  <w:szCs w:val="18"/>
                  <w:color w:val="0000FF"/>
                </w:rPr>
                <w:t>26</w:t>
              </w:r>
            </w:hyperlink>
          </w:p>
        </w:tc>
      </w:tr>
      <w:tr>
        <w:trPr>
          <w:trHeight w:val="48"/>
        </w:trPr>
        <w:tc>
          <w:tcPr>
            <w:tcW w:w="40" w:type="dxa"/>
            <w:vAlign w:val="bottom"/>
          </w:tcPr>
          <w:p>
            <w:pPr>
              <w:spacing w:after="0"/>
              <w:rPr>
                <w:sz w:val="4"/>
                <w:szCs w:val="4"/>
                <w:color w:val="auto"/>
              </w:rPr>
            </w:pPr>
          </w:p>
        </w:tc>
        <w:tc>
          <w:tcPr>
            <w:tcW w:w="840" w:type="dxa"/>
            <w:vAlign w:val="bottom"/>
          </w:tcPr>
          <w:p>
            <w:pPr>
              <w:spacing w:after="0"/>
              <w:rPr>
                <w:sz w:val="4"/>
                <w:szCs w:val="4"/>
                <w:color w:val="auto"/>
              </w:rPr>
            </w:pPr>
          </w:p>
        </w:tc>
        <w:tc>
          <w:tcPr>
            <w:tcW w:w="300" w:type="dxa"/>
            <w:vAlign w:val="bottom"/>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260" w:type="dxa"/>
            <w:vAlign w:val="bottom"/>
          </w:tcPr>
          <w:p>
            <w:pPr>
              <w:spacing w:after="0"/>
              <w:rPr>
                <w:sz w:val="4"/>
                <w:szCs w:val="4"/>
                <w:color w:val="auto"/>
              </w:rPr>
            </w:pPr>
          </w:p>
        </w:tc>
      </w:tr>
      <w:tr>
        <w:trPr>
          <w:trHeight w:val="203"/>
        </w:trPr>
        <w:tc>
          <w:tcPr>
            <w:tcW w:w="1180" w:type="dxa"/>
            <w:vAlign w:val="bottom"/>
            <w:gridSpan w:val="3"/>
            <w:shd w:val="clear" w:color="auto" w:fill="CCEEFF"/>
          </w:tcPr>
          <w:p>
            <w:pPr>
              <w:ind w:left="40"/>
              <w:spacing w:after="0" w:line="202" w:lineRule="exact"/>
              <w:rPr>
                <w:sz w:val="20"/>
                <w:szCs w:val="20"/>
                <w:color w:val="auto"/>
              </w:rPr>
            </w:pPr>
            <w:r>
              <w:rPr>
                <w:rFonts w:ascii="Arial" w:cs="Arial" w:eastAsia="Arial" w:hAnsi="Arial"/>
                <w:sz w:val="18"/>
                <w:szCs w:val="18"/>
                <w:color w:val="auto"/>
              </w:rPr>
              <w:t>Item 1A.</w:t>
            </w:r>
          </w:p>
        </w:tc>
        <w:tc>
          <w:tcPr>
            <w:tcW w:w="7640" w:type="dxa"/>
            <w:vAlign w:val="bottom"/>
            <w:gridSpan w:val="41"/>
            <w:shd w:val="clear" w:color="auto" w:fill="CCEEFF"/>
          </w:tcPr>
          <w:p>
            <w:pPr>
              <w:spacing w:after="0" w:line="202" w:lineRule="exact"/>
              <w:rPr>
                <w:rFonts w:ascii="Arial" w:cs="Arial" w:eastAsia="Arial" w:hAnsi="Arial"/>
                <w:sz w:val="18"/>
                <w:szCs w:val="18"/>
                <w:color w:val="0000FF"/>
              </w:rPr>
            </w:pPr>
            <w:hyperlink w:anchor="page26">
              <w:r>
                <w:rPr>
                  <w:rFonts w:ascii="Arial" w:cs="Arial" w:eastAsia="Arial" w:hAnsi="Arial"/>
                  <w:sz w:val="18"/>
                  <w:szCs w:val="18"/>
                  <w:color w:val="0000FF"/>
                </w:rPr>
                <w:t>Risk Factors</w:t>
              </w:r>
            </w:hyperlink>
          </w:p>
        </w:tc>
        <w:tc>
          <w:tcPr>
            <w:tcW w:w="2600" w:type="dxa"/>
            <w:vAlign w:val="bottom"/>
            <w:gridSpan w:val="4"/>
            <w:shd w:val="clear" w:color="auto" w:fill="CCEEFF"/>
          </w:tcPr>
          <w:p>
            <w:pPr>
              <w:ind w:left="1160"/>
              <w:spacing w:after="0" w:line="202" w:lineRule="exact"/>
              <w:rPr>
                <w:rFonts w:ascii="Arial" w:cs="Arial" w:eastAsia="Arial" w:hAnsi="Arial"/>
                <w:sz w:val="18"/>
                <w:szCs w:val="18"/>
                <w:color w:val="0000FF"/>
              </w:rPr>
            </w:pPr>
            <w:hyperlink w:anchor="page26">
              <w:r>
                <w:rPr>
                  <w:rFonts w:ascii="Arial" w:cs="Arial" w:eastAsia="Arial" w:hAnsi="Arial"/>
                  <w:sz w:val="18"/>
                  <w:szCs w:val="18"/>
                  <w:color w:val="0000FF"/>
                </w:rPr>
                <w:t>27</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36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160" w:type="dxa"/>
            <w:vAlign w:val="bottom"/>
            <w:tcBorders>
              <w:top w:val="single" w:sz="8" w:color="CCEEFF"/>
            </w:tcBorders>
            <w:shd w:val="clear" w:color="auto" w:fill="CCEEFF"/>
          </w:tcPr>
          <w:p>
            <w:pPr>
              <w:spacing w:after="0"/>
              <w:rPr>
                <w:sz w:val="4"/>
                <w:szCs w:val="4"/>
                <w:color w:val="auto"/>
              </w:rPr>
            </w:pPr>
          </w:p>
        </w:tc>
        <w:tc>
          <w:tcPr>
            <w:tcW w:w="11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right w:val="single" w:sz="8" w:color="CCEEFF"/>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r>
      <w:tr>
        <w:trPr>
          <w:trHeight w:val="203"/>
        </w:trPr>
        <w:tc>
          <w:tcPr>
            <w:tcW w:w="1180" w:type="dxa"/>
            <w:vAlign w:val="bottom"/>
            <w:gridSpan w:val="3"/>
          </w:tcPr>
          <w:p>
            <w:pPr>
              <w:ind w:left="40"/>
              <w:spacing w:after="0" w:line="202" w:lineRule="exact"/>
              <w:rPr>
                <w:sz w:val="20"/>
                <w:szCs w:val="20"/>
                <w:color w:val="auto"/>
              </w:rPr>
            </w:pPr>
            <w:r>
              <w:rPr>
                <w:rFonts w:ascii="Arial" w:cs="Arial" w:eastAsia="Arial" w:hAnsi="Arial"/>
                <w:sz w:val="18"/>
                <w:szCs w:val="18"/>
                <w:color w:val="auto"/>
              </w:rPr>
              <w:t>Item 1B.</w:t>
            </w:r>
          </w:p>
        </w:tc>
        <w:tc>
          <w:tcPr>
            <w:tcW w:w="7640" w:type="dxa"/>
            <w:vAlign w:val="bottom"/>
            <w:gridSpan w:val="41"/>
          </w:tcPr>
          <w:p>
            <w:pPr>
              <w:spacing w:after="0" w:line="202" w:lineRule="exact"/>
              <w:rPr>
                <w:rFonts w:ascii="Arial" w:cs="Arial" w:eastAsia="Arial" w:hAnsi="Arial"/>
                <w:sz w:val="18"/>
                <w:szCs w:val="18"/>
                <w:color w:val="0000FF"/>
              </w:rPr>
            </w:pPr>
            <w:hyperlink w:anchor="page31">
              <w:r>
                <w:rPr>
                  <w:rFonts w:ascii="Arial" w:cs="Arial" w:eastAsia="Arial" w:hAnsi="Arial"/>
                  <w:sz w:val="18"/>
                  <w:szCs w:val="18"/>
                  <w:color w:val="0000FF"/>
                </w:rPr>
                <w:t>Unresolved Staff Comments</w:t>
              </w:r>
            </w:hyperlink>
          </w:p>
        </w:tc>
        <w:tc>
          <w:tcPr>
            <w:tcW w:w="2600" w:type="dxa"/>
            <w:vAlign w:val="bottom"/>
            <w:gridSpan w:val="4"/>
          </w:tcPr>
          <w:p>
            <w:pPr>
              <w:ind w:left="1160"/>
              <w:spacing w:after="0" w:line="202" w:lineRule="exact"/>
              <w:rPr>
                <w:rFonts w:ascii="Arial" w:cs="Arial" w:eastAsia="Arial" w:hAnsi="Arial"/>
                <w:sz w:val="18"/>
                <w:szCs w:val="18"/>
                <w:color w:val="0000FF"/>
              </w:rPr>
            </w:pPr>
            <w:hyperlink w:anchor="page31">
              <w:r>
                <w:rPr>
                  <w:rFonts w:ascii="Arial" w:cs="Arial" w:eastAsia="Arial" w:hAnsi="Arial"/>
                  <w:sz w:val="18"/>
                  <w:szCs w:val="18"/>
                  <w:color w:val="0000FF"/>
                </w:rPr>
                <w:t>31</w:t>
              </w:r>
            </w:hyperlink>
          </w:p>
        </w:tc>
      </w:tr>
      <w:tr>
        <w:trPr>
          <w:trHeight w:val="48"/>
        </w:trPr>
        <w:tc>
          <w:tcPr>
            <w:tcW w:w="40" w:type="dxa"/>
            <w:vAlign w:val="bottom"/>
          </w:tcPr>
          <w:p>
            <w:pPr>
              <w:spacing w:after="0"/>
              <w:rPr>
                <w:sz w:val="4"/>
                <w:szCs w:val="4"/>
                <w:color w:val="auto"/>
              </w:rPr>
            </w:pPr>
          </w:p>
        </w:tc>
        <w:tc>
          <w:tcPr>
            <w:tcW w:w="840" w:type="dxa"/>
            <w:vAlign w:val="bottom"/>
          </w:tcPr>
          <w:p>
            <w:pPr>
              <w:spacing w:after="0"/>
              <w:rPr>
                <w:sz w:val="4"/>
                <w:szCs w:val="4"/>
                <w:color w:val="auto"/>
              </w:rPr>
            </w:pPr>
          </w:p>
        </w:tc>
        <w:tc>
          <w:tcPr>
            <w:tcW w:w="300" w:type="dxa"/>
            <w:vAlign w:val="bottom"/>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260" w:type="dxa"/>
            <w:vAlign w:val="bottom"/>
          </w:tcPr>
          <w:p>
            <w:pPr>
              <w:spacing w:after="0"/>
              <w:rPr>
                <w:sz w:val="4"/>
                <w:szCs w:val="4"/>
                <w:color w:val="auto"/>
              </w:rPr>
            </w:pPr>
          </w:p>
        </w:tc>
      </w:tr>
      <w:tr>
        <w:trPr>
          <w:trHeight w:val="203"/>
        </w:trPr>
        <w:tc>
          <w:tcPr>
            <w:tcW w:w="1180" w:type="dxa"/>
            <w:vAlign w:val="bottom"/>
            <w:gridSpan w:val="3"/>
            <w:shd w:val="clear" w:color="auto" w:fill="CCEEFF"/>
          </w:tcPr>
          <w:p>
            <w:pPr>
              <w:ind w:left="40"/>
              <w:spacing w:after="0" w:line="202" w:lineRule="exact"/>
              <w:rPr>
                <w:sz w:val="20"/>
                <w:szCs w:val="20"/>
                <w:color w:val="auto"/>
              </w:rPr>
            </w:pPr>
            <w:r>
              <w:rPr>
                <w:rFonts w:ascii="Arial" w:cs="Arial" w:eastAsia="Arial" w:hAnsi="Arial"/>
                <w:sz w:val="18"/>
                <w:szCs w:val="18"/>
                <w:color w:val="auto"/>
              </w:rPr>
              <w:t>Item 2.</w:t>
            </w:r>
          </w:p>
        </w:tc>
        <w:tc>
          <w:tcPr>
            <w:tcW w:w="740" w:type="dxa"/>
            <w:vAlign w:val="bottom"/>
            <w:gridSpan w:val="5"/>
            <w:shd w:val="clear" w:color="auto" w:fill="CCEEFF"/>
          </w:tcPr>
          <w:p>
            <w:pPr>
              <w:spacing w:after="0" w:line="202" w:lineRule="exact"/>
              <w:rPr>
                <w:rFonts w:ascii="Arial" w:cs="Arial" w:eastAsia="Arial" w:hAnsi="Arial"/>
                <w:sz w:val="18"/>
                <w:szCs w:val="18"/>
                <w:color w:val="0000FF"/>
                <w:w w:val="87"/>
              </w:rPr>
            </w:pPr>
            <w:hyperlink w:anchor="page31">
              <w:r>
                <w:rPr>
                  <w:rFonts w:ascii="Arial" w:cs="Arial" w:eastAsia="Arial" w:hAnsi="Arial"/>
                  <w:sz w:val="18"/>
                  <w:szCs w:val="18"/>
                  <w:color w:val="0000FF"/>
                  <w:w w:val="87"/>
                </w:rPr>
                <w:t>Properties</w:t>
              </w:r>
            </w:hyperlink>
          </w:p>
        </w:tc>
        <w:tc>
          <w:tcPr>
            <w:tcW w:w="6900" w:type="dxa"/>
            <w:vAlign w:val="bottom"/>
            <w:gridSpan w:val="36"/>
            <w:shd w:val="clear" w:color="auto" w:fill="CCEEFF"/>
          </w:tcPr>
          <w:p>
            <w:pPr>
              <w:spacing w:after="0"/>
              <w:rPr>
                <w:sz w:val="17"/>
                <w:szCs w:val="17"/>
                <w:color w:val="auto"/>
              </w:rPr>
            </w:pPr>
          </w:p>
        </w:tc>
        <w:tc>
          <w:tcPr>
            <w:tcW w:w="2600" w:type="dxa"/>
            <w:vAlign w:val="bottom"/>
            <w:gridSpan w:val="4"/>
            <w:shd w:val="clear" w:color="auto" w:fill="CCEEFF"/>
          </w:tcPr>
          <w:p>
            <w:pPr>
              <w:ind w:left="1160"/>
              <w:spacing w:after="0" w:line="202" w:lineRule="exact"/>
              <w:rPr>
                <w:rFonts w:ascii="Arial" w:cs="Arial" w:eastAsia="Arial" w:hAnsi="Arial"/>
                <w:sz w:val="18"/>
                <w:szCs w:val="18"/>
                <w:color w:val="0000FF"/>
              </w:rPr>
            </w:pPr>
            <w:hyperlink w:anchor="page31">
              <w:r>
                <w:rPr>
                  <w:rFonts w:ascii="Arial" w:cs="Arial" w:eastAsia="Arial" w:hAnsi="Arial"/>
                  <w:sz w:val="18"/>
                  <w:szCs w:val="18"/>
                  <w:color w:val="0000FF"/>
                </w:rPr>
                <w:t>31</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36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160" w:type="dxa"/>
            <w:vAlign w:val="bottom"/>
            <w:tcBorders>
              <w:top w:val="single" w:sz="8" w:color="CCEEFF"/>
            </w:tcBorders>
            <w:shd w:val="clear" w:color="auto" w:fill="CCEEFF"/>
          </w:tcPr>
          <w:p>
            <w:pPr>
              <w:spacing w:after="0"/>
              <w:rPr>
                <w:sz w:val="4"/>
                <w:szCs w:val="4"/>
                <w:color w:val="auto"/>
              </w:rPr>
            </w:pPr>
          </w:p>
        </w:tc>
        <w:tc>
          <w:tcPr>
            <w:tcW w:w="11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right w:val="single" w:sz="8" w:color="CCEEFF"/>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r>
      <w:tr>
        <w:trPr>
          <w:trHeight w:val="203"/>
        </w:trPr>
        <w:tc>
          <w:tcPr>
            <w:tcW w:w="1180" w:type="dxa"/>
            <w:vAlign w:val="bottom"/>
            <w:gridSpan w:val="3"/>
          </w:tcPr>
          <w:p>
            <w:pPr>
              <w:ind w:left="40"/>
              <w:spacing w:after="0" w:line="202" w:lineRule="exact"/>
              <w:rPr>
                <w:sz w:val="20"/>
                <w:szCs w:val="20"/>
                <w:color w:val="auto"/>
              </w:rPr>
            </w:pPr>
            <w:r>
              <w:rPr>
                <w:rFonts w:ascii="Arial" w:cs="Arial" w:eastAsia="Arial" w:hAnsi="Arial"/>
                <w:sz w:val="18"/>
                <w:szCs w:val="18"/>
                <w:color w:val="auto"/>
              </w:rPr>
              <w:t>Item 3.</w:t>
            </w:r>
          </w:p>
        </w:tc>
        <w:tc>
          <w:tcPr>
            <w:tcW w:w="7640" w:type="dxa"/>
            <w:vAlign w:val="bottom"/>
            <w:gridSpan w:val="41"/>
          </w:tcPr>
          <w:p>
            <w:pPr>
              <w:spacing w:after="0" w:line="202" w:lineRule="exact"/>
              <w:rPr>
                <w:rFonts w:ascii="Arial" w:cs="Arial" w:eastAsia="Arial" w:hAnsi="Arial"/>
                <w:sz w:val="18"/>
                <w:szCs w:val="18"/>
                <w:color w:val="0000FF"/>
              </w:rPr>
            </w:pPr>
            <w:hyperlink w:anchor="page31">
              <w:r>
                <w:rPr>
                  <w:rFonts w:ascii="Arial" w:cs="Arial" w:eastAsia="Arial" w:hAnsi="Arial"/>
                  <w:sz w:val="18"/>
                  <w:szCs w:val="18"/>
                  <w:color w:val="0000FF"/>
                </w:rPr>
                <w:t>Legal Proceedings</w:t>
              </w:r>
            </w:hyperlink>
          </w:p>
        </w:tc>
        <w:tc>
          <w:tcPr>
            <w:tcW w:w="2600" w:type="dxa"/>
            <w:vAlign w:val="bottom"/>
            <w:gridSpan w:val="4"/>
          </w:tcPr>
          <w:p>
            <w:pPr>
              <w:ind w:left="1160"/>
              <w:spacing w:after="0" w:line="202" w:lineRule="exact"/>
              <w:rPr>
                <w:rFonts w:ascii="Arial" w:cs="Arial" w:eastAsia="Arial" w:hAnsi="Arial"/>
                <w:sz w:val="18"/>
                <w:szCs w:val="18"/>
                <w:color w:val="0000FF"/>
              </w:rPr>
            </w:pPr>
            <w:hyperlink w:anchor="page31">
              <w:r>
                <w:rPr>
                  <w:rFonts w:ascii="Arial" w:cs="Arial" w:eastAsia="Arial" w:hAnsi="Arial"/>
                  <w:sz w:val="18"/>
                  <w:szCs w:val="18"/>
                  <w:color w:val="0000FF"/>
                </w:rPr>
                <w:t>31</w:t>
              </w:r>
            </w:hyperlink>
          </w:p>
        </w:tc>
      </w:tr>
      <w:tr>
        <w:trPr>
          <w:trHeight w:val="48"/>
        </w:trPr>
        <w:tc>
          <w:tcPr>
            <w:tcW w:w="40" w:type="dxa"/>
            <w:vAlign w:val="bottom"/>
          </w:tcPr>
          <w:p>
            <w:pPr>
              <w:spacing w:after="0"/>
              <w:rPr>
                <w:sz w:val="4"/>
                <w:szCs w:val="4"/>
                <w:color w:val="auto"/>
              </w:rPr>
            </w:pPr>
          </w:p>
        </w:tc>
        <w:tc>
          <w:tcPr>
            <w:tcW w:w="840" w:type="dxa"/>
            <w:vAlign w:val="bottom"/>
          </w:tcPr>
          <w:p>
            <w:pPr>
              <w:spacing w:after="0"/>
              <w:rPr>
                <w:sz w:val="4"/>
                <w:szCs w:val="4"/>
                <w:color w:val="auto"/>
              </w:rPr>
            </w:pPr>
          </w:p>
        </w:tc>
        <w:tc>
          <w:tcPr>
            <w:tcW w:w="300" w:type="dxa"/>
            <w:vAlign w:val="bottom"/>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260" w:type="dxa"/>
            <w:vAlign w:val="bottom"/>
          </w:tcPr>
          <w:p>
            <w:pPr>
              <w:spacing w:after="0"/>
              <w:rPr>
                <w:sz w:val="4"/>
                <w:szCs w:val="4"/>
                <w:color w:val="auto"/>
              </w:rPr>
            </w:pPr>
          </w:p>
        </w:tc>
      </w:tr>
      <w:tr>
        <w:trPr>
          <w:trHeight w:val="250"/>
        </w:trPr>
        <w:tc>
          <w:tcPr>
            <w:tcW w:w="1180" w:type="dxa"/>
            <w:vAlign w:val="bottom"/>
            <w:gridSpan w:val="3"/>
            <w:shd w:val="clear" w:color="auto" w:fill="CCEEFF"/>
          </w:tcPr>
          <w:p>
            <w:pPr>
              <w:ind w:left="40"/>
              <w:spacing w:after="0" w:line="202" w:lineRule="exact"/>
              <w:rPr>
                <w:sz w:val="20"/>
                <w:szCs w:val="20"/>
                <w:color w:val="auto"/>
              </w:rPr>
            </w:pPr>
            <w:r>
              <w:rPr>
                <w:rFonts w:ascii="Arial" w:cs="Arial" w:eastAsia="Arial" w:hAnsi="Arial"/>
                <w:sz w:val="18"/>
                <w:szCs w:val="18"/>
                <w:color w:val="auto"/>
              </w:rPr>
              <w:t>Item 4.</w:t>
            </w:r>
          </w:p>
        </w:tc>
        <w:tc>
          <w:tcPr>
            <w:tcW w:w="7640" w:type="dxa"/>
            <w:vAlign w:val="bottom"/>
            <w:gridSpan w:val="41"/>
            <w:shd w:val="clear" w:color="auto" w:fill="CCEEFF"/>
          </w:tcPr>
          <w:p>
            <w:pPr>
              <w:spacing w:after="0" w:line="202" w:lineRule="exact"/>
              <w:rPr>
                <w:rFonts w:ascii="Arial" w:cs="Arial" w:eastAsia="Arial" w:hAnsi="Arial"/>
                <w:sz w:val="18"/>
                <w:szCs w:val="18"/>
                <w:color w:val="0000FF"/>
              </w:rPr>
            </w:pPr>
            <w:hyperlink w:anchor="page31">
              <w:r>
                <w:rPr>
                  <w:rFonts w:ascii="Arial" w:cs="Arial" w:eastAsia="Arial" w:hAnsi="Arial"/>
                  <w:sz w:val="18"/>
                  <w:szCs w:val="18"/>
                  <w:color w:val="0000FF"/>
                </w:rPr>
                <w:t>Mine Safety Disclosures</w:t>
              </w:r>
            </w:hyperlink>
          </w:p>
        </w:tc>
        <w:tc>
          <w:tcPr>
            <w:tcW w:w="2600" w:type="dxa"/>
            <w:vAlign w:val="bottom"/>
            <w:gridSpan w:val="4"/>
            <w:shd w:val="clear" w:color="auto" w:fill="CCEEFF"/>
          </w:tcPr>
          <w:p>
            <w:pPr>
              <w:ind w:left="1160"/>
              <w:spacing w:after="0" w:line="202" w:lineRule="exact"/>
              <w:rPr>
                <w:rFonts w:ascii="Arial" w:cs="Arial" w:eastAsia="Arial" w:hAnsi="Arial"/>
                <w:sz w:val="18"/>
                <w:szCs w:val="18"/>
                <w:color w:val="0000FF"/>
              </w:rPr>
            </w:pPr>
            <w:hyperlink w:anchor="page31">
              <w:r>
                <w:rPr>
                  <w:rFonts w:ascii="Arial" w:cs="Arial" w:eastAsia="Arial" w:hAnsi="Arial"/>
                  <w:sz w:val="18"/>
                  <w:szCs w:val="18"/>
                  <w:color w:val="0000FF"/>
                </w:rPr>
                <w:t>31</w:t>
              </w:r>
            </w:hyperlink>
          </w:p>
        </w:tc>
      </w:tr>
      <w:tr>
        <w:trPr>
          <w:trHeight w:val="243"/>
        </w:trPr>
        <w:tc>
          <w:tcPr>
            <w:tcW w:w="1180" w:type="dxa"/>
            <w:vAlign w:val="bottom"/>
            <w:tcBorders>
              <w:top w:val="single" w:sz="8" w:color="CCEEFF"/>
            </w:tcBorders>
            <w:gridSpan w:val="3"/>
          </w:tcPr>
          <w:p>
            <w:pPr>
              <w:ind w:left="40"/>
              <w:spacing w:after="0"/>
              <w:rPr>
                <w:sz w:val="20"/>
                <w:szCs w:val="20"/>
                <w:color w:val="auto"/>
              </w:rPr>
            </w:pPr>
            <w:r>
              <w:rPr>
                <w:rFonts w:ascii="Arial" w:cs="Arial" w:eastAsia="Arial" w:hAnsi="Arial"/>
                <w:sz w:val="18"/>
                <w:szCs w:val="18"/>
                <w:b w:val="1"/>
                <w:bCs w:val="1"/>
                <w:color w:val="auto"/>
              </w:rPr>
              <w:t>Part II</w:t>
            </w:r>
          </w:p>
        </w:tc>
        <w:tc>
          <w:tcPr>
            <w:tcW w:w="240" w:type="dxa"/>
            <w:vAlign w:val="bottom"/>
            <w:tcBorders>
              <w:top w:val="single" w:sz="8" w:color="0000FF"/>
            </w:tcBorders>
          </w:tcPr>
          <w:p>
            <w:pPr>
              <w:spacing w:after="0"/>
              <w:rPr>
                <w:sz w:val="21"/>
                <w:szCs w:val="21"/>
                <w:color w:val="auto"/>
              </w:rPr>
            </w:pPr>
          </w:p>
        </w:tc>
        <w:tc>
          <w:tcPr>
            <w:tcW w:w="36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220" w:type="dxa"/>
            <w:vAlign w:val="bottom"/>
            <w:tcBorders>
              <w:top w:val="single" w:sz="8" w:color="0000FF"/>
            </w:tcBorders>
          </w:tcPr>
          <w:p>
            <w:pPr>
              <w:spacing w:after="0"/>
              <w:rPr>
                <w:sz w:val="21"/>
                <w:szCs w:val="21"/>
                <w:color w:val="auto"/>
              </w:rPr>
            </w:pPr>
          </w:p>
        </w:tc>
        <w:tc>
          <w:tcPr>
            <w:tcW w:w="20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16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340" w:type="dxa"/>
            <w:vAlign w:val="bottom"/>
            <w:tcBorders>
              <w:top w:val="single" w:sz="8" w:color="CCEEFF"/>
            </w:tcBorders>
          </w:tcPr>
          <w:p>
            <w:pPr>
              <w:spacing w:after="0"/>
              <w:rPr>
                <w:sz w:val="21"/>
                <w:szCs w:val="21"/>
                <w:color w:val="auto"/>
              </w:rPr>
            </w:pPr>
          </w:p>
        </w:tc>
        <w:tc>
          <w:tcPr>
            <w:tcW w:w="980" w:type="dxa"/>
            <w:vAlign w:val="bottom"/>
            <w:tcBorders>
              <w:top w:val="single" w:sz="8" w:color="CCEEFF"/>
            </w:tcBorders>
          </w:tcPr>
          <w:p>
            <w:pPr>
              <w:spacing w:after="0"/>
              <w:rPr>
                <w:sz w:val="21"/>
                <w:szCs w:val="21"/>
                <w:color w:val="auto"/>
              </w:rPr>
            </w:pPr>
          </w:p>
        </w:tc>
        <w:tc>
          <w:tcPr>
            <w:tcW w:w="1040" w:type="dxa"/>
            <w:vAlign w:val="bottom"/>
            <w:tcBorders>
              <w:top w:val="single" w:sz="8" w:color="CCEEFF"/>
            </w:tcBorders>
          </w:tcPr>
          <w:p>
            <w:pPr>
              <w:spacing w:after="0"/>
              <w:rPr>
                <w:sz w:val="21"/>
                <w:szCs w:val="21"/>
                <w:color w:val="auto"/>
              </w:rPr>
            </w:pPr>
          </w:p>
        </w:tc>
        <w:tc>
          <w:tcPr>
            <w:tcW w:w="110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1160" w:type="dxa"/>
            <w:vAlign w:val="bottom"/>
            <w:tcBorders>
              <w:top w:val="single" w:sz="8" w:color="CCEEFF"/>
            </w:tcBorders>
          </w:tcPr>
          <w:p>
            <w:pPr>
              <w:spacing w:after="0"/>
              <w:rPr>
                <w:sz w:val="21"/>
                <w:szCs w:val="21"/>
                <w:color w:val="auto"/>
              </w:rPr>
            </w:pPr>
          </w:p>
        </w:tc>
        <w:tc>
          <w:tcPr>
            <w:tcW w:w="1160" w:type="dxa"/>
            <w:vAlign w:val="bottom"/>
            <w:tcBorders>
              <w:top w:val="single" w:sz="8" w:color="CCEE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1260" w:type="dxa"/>
            <w:vAlign w:val="bottom"/>
            <w:tcBorders>
              <w:top w:val="single" w:sz="8" w:color="CCEEFF"/>
            </w:tcBorders>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03"/>
        </w:trPr>
        <w:tc>
          <w:tcPr>
            <w:tcW w:w="1180" w:type="dxa"/>
            <w:vAlign w:val="bottom"/>
            <w:gridSpan w:val="3"/>
            <w:shd w:val="clear" w:color="auto" w:fill="CCEEFF"/>
          </w:tcPr>
          <w:p>
            <w:pPr>
              <w:ind w:left="40"/>
              <w:spacing w:after="0" w:line="202" w:lineRule="exact"/>
              <w:rPr>
                <w:sz w:val="20"/>
                <w:szCs w:val="20"/>
                <w:color w:val="auto"/>
              </w:rPr>
            </w:pPr>
            <w:r>
              <w:rPr>
                <w:rFonts w:ascii="Arial" w:cs="Arial" w:eastAsia="Arial" w:hAnsi="Arial"/>
                <w:sz w:val="18"/>
                <w:szCs w:val="18"/>
                <w:color w:val="auto"/>
              </w:rPr>
              <w:t>Item 5.</w:t>
            </w:r>
          </w:p>
        </w:tc>
        <w:tc>
          <w:tcPr>
            <w:tcW w:w="7640" w:type="dxa"/>
            <w:vAlign w:val="bottom"/>
            <w:gridSpan w:val="41"/>
            <w:shd w:val="clear" w:color="auto" w:fill="CCEEFF"/>
          </w:tcPr>
          <w:p>
            <w:pPr>
              <w:spacing w:after="0" w:line="202" w:lineRule="exact"/>
              <w:rPr>
                <w:rFonts w:ascii="Arial" w:cs="Arial" w:eastAsia="Arial" w:hAnsi="Arial"/>
                <w:sz w:val="18"/>
                <w:szCs w:val="18"/>
                <w:color w:val="0000FF"/>
              </w:rPr>
            </w:pPr>
            <w:hyperlink w:anchor="page32">
              <w:r>
                <w:rPr>
                  <w:rFonts w:ascii="Arial" w:cs="Arial" w:eastAsia="Arial" w:hAnsi="Arial"/>
                  <w:sz w:val="18"/>
                  <w:szCs w:val="18"/>
                  <w:color w:val="0000FF"/>
                </w:rPr>
                <w:t>Market for Registrant’s Common Equity, Related Stockholder Matters and</w:t>
              </w:r>
            </w:hyperlink>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196"/>
        </w:trPr>
        <w:tc>
          <w:tcPr>
            <w:tcW w:w="4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0000FF"/>
            </w:tcBorders>
            <w:shd w:val="clear" w:color="auto" w:fill="CCEEFF"/>
          </w:tcPr>
          <w:p>
            <w:pPr>
              <w:spacing w:after="0"/>
              <w:rPr>
                <w:sz w:val="17"/>
                <w:szCs w:val="17"/>
                <w:color w:val="auto"/>
              </w:rPr>
            </w:pPr>
          </w:p>
        </w:tc>
        <w:tc>
          <w:tcPr>
            <w:tcW w:w="2680" w:type="dxa"/>
            <w:vAlign w:val="bottom"/>
            <w:tcBorders>
              <w:top w:val="single" w:sz="8" w:color="0000FF"/>
            </w:tcBorders>
            <w:gridSpan w:val="32"/>
            <w:shd w:val="clear" w:color="auto" w:fill="CCEEFF"/>
          </w:tcPr>
          <w:p>
            <w:pPr>
              <w:spacing w:after="0" w:line="196" w:lineRule="exact"/>
              <w:rPr>
                <w:rFonts w:ascii="Arial" w:cs="Arial" w:eastAsia="Arial" w:hAnsi="Arial"/>
                <w:sz w:val="18"/>
                <w:szCs w:val="18"/>
                <w:color w:val="0000FF"/>
                <w:w w:val="89"/>
              </w:rPr>
            </w:pPr>
            <w:hyperlink w:anchor="page32">
              <w:r>
                <w:rPr>
                  <w:rFonts w:ascii="Arial" w:cs="Arial" w:eastAsia="Arial" w:hAnsi="Arial"/>
                  <w:sz w:val="18"/>
                  <w:szCs w:val="18"/>
                  <w:color w:val="0000FF"/>
                  <w:w w:val="89"/>
                </w:rPr>
                <w:t>Issuer Purchases of Equity Securities</w:t>
              </w:r>
            </w:hyperlink>
          </w:p>
        </w:tc>
        <w:tc>
          <w:tcPr>
            <w:tcW w:w="2440" w:type="dxa"/>
            <w:vAlign w:val="bottom"/>
            <w:tcBorders>
              <w:top w:val="single" w:sz="8" w:color="0000FF"/>
            </w:tcBorders>
            <w:gridSpan w:val="5"/>
            <w:shd w:val="clear" w:color="auto" w:fill="CCEEFF"/>
          </w:tcPr>
          <w:p>
            <w:pPr>
              <w:spacing w:after="0"/>
              <w:rPr>
                <w:sz w:val="17"/>
                <w:szCs w:val="17"/>
                <w:color w:val="auto"/>
              </w:rPr>
            </w:pPr>
          </w:p>
        </w:tc>
        <w:tc>
          <w:tcPr>
            <w:tcW w:w="2280" w:type="dxa"/>
            <w:vAlign w:val="bottom"/>
            <w:tcBorders>
              <w:top w:val="single" w:sz="8" w:color="CCEEFF"/>
            </w:tcBorders>
            <w:gridSpan w:val="3"/>
            <w:shd w:val="clear" w:color="auto" w:fill="CCEEFF"/>
          </w:tcPr>
          <w:p>
            <w:pPr>
              <w:spacing w:after="0"/>
              <w:rPr>
                <w:sz w:val="17"/>
                <w:szCs w:val="17"/>
                <w:color w:val="auto"/>
              </w:rPr>
            </w:pPr>
          </w:p>
        </w:tc>
        <w:tc>
          <w:tcPr>
            <w:tcW w:w="2600" w:type="dxa"/>
            <w:vAlign w:val="bottom"/>
            <w:tcBorders>
              <w:top w:val="single" w:sz="8" w:color="CCEEFF"/>
            </w:tcBorders>
            <w:gridSpan w:val="4"/>
            <w:shd w:val="clear" w:color="auto" w:fill="CCEEFF"/>
          </w:tcPr>
          <w:p>
            <w:pPr>
              <w:ind w:left="1160"/>
              <w:spacing w:after="0" w:line="196" w:lineRule="exact"/>
              <w:rPr>
                <w:rFonts w:ascii="Arial" w:cs="Arial" w:eastAsia="Arial" w:hAnsi="Arial"/>
                <w:sz w:val="18"/>
                <w:szCs w:val="18"/>
                <w:color w:val="0000FF"/>
              </w:rPr>
            </w:pPr>
            <w:hyperlink w:anchor="page32">
              <w:r>
                <w:rPr>
                  <w:rFonts w:ascii="Arial" w:cs="Arial" w:eastAsia="Arial" w:hAnsi="Arial"/>
                  <w:sz w:val="18"/>
                  <w:szCs w:val="18"/>
                  <w:color w:val="0000FF"/>
                </w:rPr>
                <w:t>32</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20" w:type="dxa"/>
            <w:vAlign w:val="bottom"/>
            <w:tcBorders>
              <w:top w:val="single" w:sz="8" w:color="0000FF"/>
            </w:tcBorders>
            <w:shd w:val="clear" w:color="auto" w:fill="CCEEFF"/>
          </w:tcPr>
          <w:p>
            <w:pPr>
              <w:spacing w:after="0"/>
              <w:rPr>
                <w:sz w:val="4"/>
                <w:szCs w:val="4"/>
                <w:color w:val="auto"/>
              </w:rPr>
            </w:pPr>
          </w:p>
        </w:tc>
        <w:tc>
          <w:tcPr>
            <w:tcW w:w="2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160" w:type="dxa"/>
            <w:vAlign w:val="bottom"/>
            <w:tcBorders>
              <w:top w:val="single" w:sz="8" w:color="CCEEFF"/>
            </w:tcBorders>
            <w:shd w:val="clear" w:color="auto" w:fill="CCEEFF"/>
          </w:tcPr>
          <w:p>
            <w:pPr>
              <w:spacing w:after="0"/>
              <w:rPr>
                <w:sz w:val="4"/>
                <w:szCs w:val="4"/>
                <w:color w:val="auto"/>
              </w:rPr>
            </w:pPr>
          </w:p>
        </w:tc>
        <w:tc>
          <w:tcPr>
            <w:tcW w:w="11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right w:val="single" w:sz="8" w:color="CCEEFF"/>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r>
      <w:tr>
        <w:trPr>
          <w:trHeight w:val="203"/>
        </w:trPr>
        <w:tc>
          <w:tcPr>
            <w:tcW w:w="1180" w:type="dxa"/>
            <w:vAlign w:val="bottom"/>
            <w:gridSpan w:val="3"/>
          </w:tcPr>
          <w:p>
            <w:pPr>
              <w:ind w:left="40"/>
              <w:spacing w:after="0" w:line="202" w:lineRule="exact"/>
              <w:rPr>
                <w:sz w:val="20"/>
                <w:szCs w:val="20"/>
                <w:color w:val="auto"/>
              </w:rPr>
            </w:pPr>
            <w:r>
              <w:rPr>
                <w:rFonts w:ascii="Arial" w:cs="Arial" w:eastAsia="Arial" w:hAnsi="Arial"/>
                <w:sz w:val="18"/>
                <w:szCs w:val="18"/>
                <w:color w:val="auto"/>
              </w:rPr>
              <w:t>Item 6.</w:t>
            </w:r>
          </w:p>
        </w:tc>
        <w:tc>
          <w:tcPr>
            <w:tcW w:w="7640" w:type="dxa"/>
            <w:vAlign w:val="bottom"/>
            <w:gridSpan w:val="41"/>
          </w:tcPr>
          <w:p>
            <w:pPr>
              <w:spacing w:after="0" w:line="202" w:lineRule="exact"/>
              <w:rPr>
                <w:rFonts w:ascii="Arial" w:cs="Arial" w:eastAsia="Arial" w:hAnsi="Arial"/>
                <w:sz w:val="18"/>
                <w:szCs w:val="18"/>
                <w:color w:val="0000FF"/>
              </w:rPr>
            </w:pPr>
            <w:hyperlink w:anchor="page32">
              <w:r>
                <w:rPr>
                  <w:rFonts w:ascii="Arial" w:cs="Arial" w:eastAsia="Arial" w:hAnsi="Arial"/>
                  <w:sz w:val="18"/>
                  <w:szCs w:val="18"/>
                  <w:color w:val="0000FF"/>
                </w:rPr>
                <w:t>Selected Financial Data</w:t>
              </w:r>
            </w:hyperlink>
          </w:p>
        </w:tc>
        <w:tc>
          <w:tcPr>
            <w:tcW w:w="2600" w:type="dxa"/>
            <w:vAlign w:val="bottom"/>
            <w:gridSpan w:val="4"/>
          </w:tcPr>
          <w:p>
            <w:pPr>
              <w:ind w:left="1160"/>
              <w:spacing w:after="0" w:line="202" w:lineRule="exact"/>
              <w:rPr>
                <w:rFonts w:ascii="Arial" w:cs="Arial" w:eastAsia="Arial" w:hAnsi="Arial"/>
                <w:sz w:val="18"/>
                <w:szCs w:val="18"/>
                <w:color w:val="0000FF"/>
              </w:rPr>
            </w:pPr>
            <w:hyperlink w:anchor="page32">
              <w:r>
                <w:rPr>
                  <w:rFonts w:ascii="Arial" w:cs="Arial" w:eastAsia="Arial" w:hAnsi="Arial"/>
                  <w:sz w:val="18"/>
                  <w:szCs w:val="18"/>
                  <w:color w:val="0000FF"/>
                </w:rPr>
                <w:t>33</w:t>
              </w:r>
            </w:hyperlink>
          </w:p>
        </w:tc>
      </w:tr>
      <w:tr>
        <w:trPr>
          <w:trHeight w:val="48"/>
        </w:trPr>
        <w:tc>
          <w:tcPr>
            <w:tcW w:w="40" w:type="dxa"/>
            <w:vAlign w:val="bottom"/>
          </w:tcPr>
          <w:p>
            <w:pPr>
              <w:spacing w:after="0"/>
              <w:rPr>
                <w:sz w:val="4"/>
                <w:szCs w:val="4"/>
                <w:color w:val="auto"/>
              </w:rPr>
            </w:pPr>
          </w:p>
        </w:tc>
        <w:tc>
          <w:tcPr>
            <w:tcW w:w="840" w:type="dxa"/>
            <w:vAlign w:val="bottom"/>
          </w:tcPr>
          <w:p>
            <w:pPr>
              <w:spacing w:after="0"/>
              <w:rPr>
                <w:sz w:val="4"/>
                <w:szCs w:val="4"/>
                <w:color w:val="auto"/>
              </w:rPr>
            </w:pPr>
          </w:p>
        </w:tc>
        <w:tc>
          <w:tcPr>
            <w:tcW w:w="300" w:type="dxa"/>
            <w:vAlign w:val="bottom"/>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260" w:type="dxa"/>
            <w:vAlign w:val="bottom"/>
          </w:tcPr>
          <w:p>
            <w:pPr>
              <w:spacing w:after="0"/>
              <w:rPr>
                <w:sz w:val="4"/>
                <w:szCs w:val="4"/>
                <w:color w:val="auto"/>
              </w:rPr>
            </w:pPr>
          </w:p>
        </w:tc>
      </w:tr>
      <w:tr>
        <w:trPr>
          <w:trHeight w:val="203"/>
        </w:trPr>
        <w:tc>
          <w:tcPr>
            <w:tcW w:w="1180" w:type="dxa"/>
            <w:vAlign w:val="bottom"/>
            <w:gridSpan w:val="3"/>
            <w:shd w:val="clear" w:color="auto" w:fill="CCEEFF"/>
          </w:tcPr>
          <w:p>
            <w:pPr>
              <w:ind w:left="40"/>
              <w:spacing w:after="0" w:line="202" w:lineRule="exact"/>
              <w:rPr>
                <w:sz w:val="20"/>
                <w:szCs w:val="20"/>
                <w:color w:val="auto"/>
              </w:rPr>
            </w:pPr>
            <w:r>
              <w:rPr>
                <w:rFonts w:ascii="Arial" w:cs="Arial" w:eastAsia="Arial" w:hAnsi="Arial"/>
                <w:sz w:val="18"/>
                <w:szCs w:val="18"/>
                <w:color w:val="auto"/>
              </w:rPr>
              <w:t>Item 7.</w:t>
            </w:r>
          </w:p>
        </w:tc>
        <w:tc>
          <w:tcPr>
            <w:tcW w:w="7640" w:type="dxa"/>
            <w:vAlign w:val="bottom"/>
            <w:gridSpan w:val="41"/>
            <w:shd w:val="clear" w:color="auto" w:fill="CCEEFF"/>
          </w:tcPr>
          <w:p>
            <w:pPr>
              <w:spacing w:after="0" w:line="202" w:lineRule="exact"/>
              <w:rPr>
                <w:rFonts w:ascii="Arial" w:cs="Arial" w:eastAsia="Arial" w:hAnsi="Arial"/>
                <w:sz w:val="18"/>
                <w:szCs w:val="18"/>
                <w:color w:val="0000FF"/>
              </w:rPr>
            </w:pPr>
            <w:hyperlink w:anchor="page33">
              <w:r>
                <w:rPr>
                  <w:rFonts w:ascii="Arial" w:cs="Arial" w:eastAsia="Arial" w:hAnsi="Arial"/>
                  <w:sz w:val="18"/>
                  <w:szCs w:val="18"/>
                  <w:color w:val="0000FF"/>
                </w:rPr>
                <w:t>Management’s Discussion and Analysis of Financial Condition and Results of Operations</w:t>
              </w:r>
            </w:hyperlink>
          </w:p>
        </w:tc>
        <w:tc>
          <w:tcPr>
            <w:tcW w:w="2600" w:type="dxa"/>
            <w:vAlign w:val="bottom"/>
            <w:gridSpan w:val="4"/>
            <w:shd w:val="clear" w:color="auto" w:fill="CCEEFF"/>
          </w:tcPr>
          <w:p>
            <w:pPr>
              <w:ind w:left="1160"/>
              <w:spacing w:after="0" w:line="202" w:lineRule="exact"/>
              <w:rPr>
                <w:rFonts w:ascii="Arial" w:cs="Arial" w:eastAsia="Arial" w:hAnsi="Arial"/>
                <w:sz w:val="18"/>
                <w:szCs w:val="18"/>
                <w:color w:val="0000FF"/>
              </w:rPr>
            </w:pPr>
            <w:hyperlink w:anchor="page33">
              <w:r>
                <w:rPr>
                  <w:rFonts w:ascii="Arial" w:cs="Arial" w:eastAsia="Arial" w:hAnsi="Arial"/>
                  <w:sz w:val="18"/>
                  <w:szCs w:val="18"/>
                  <w:color w:val="0000FF"/>
                </w:rPr>
                <w:t>34</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36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20" w:type="dxa"/>
            <w:vAlign w:val="bottom"/>
            <w:tcBorders>
              <w:top w:val="single" w:sz="8" w:color="0000FF"/>
            </w:tcBorders>
            <w:shd w:val="clear" w:color="auto" w:fill="CCEEFF"/>
          </w:tcPr>
          <w:p>
            <w:pPr>
              <w:spacing w:after="0"/>
              <w:rPr>
                <w:sz w:val="4"/>
                <w:szCs w:val="4"/>
                <w:color w:val="auto"/>
              </w:rPr>
            </w:pPr>
          </w:p>
        </w:tc>
        <w:tc>
          <w:tcPr>
            <w:tcW w:w="2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340" w:type="dxa"/>
            <w:vAlign w:val="bottom"/>
            <w:tcBorders>
              <w:top w:val="single" w:sz="8" w:color="0000FF"/>
            </w:tcBorders>
            <w:shd w:val="clear" w:color="auto" w:fill="CCEEFF"/>
          </w:tcPr>
          <w:p>
            <w:pPr>
              <w:spacing w:after="0"/>
              <w:rPr>
                <w:sz w:val="4"/>
                <w:szCs w:val="4"/>
                <w:color w:val="auto"/>
              </w:rPr>
            </w:pPr>
          </w:p>
        </w:tc>
        <w:tc>
          <w:tcPr>
            <w:tcW w:w="980" w:type="dxa"/>
            <w:vAlign w:val="bottom"/>
            <w:tcBorders>
              <w:top w:val="single" w:sz="8" w:color="0000FF"/>
            </w:tcBorders>
            <w:shd w:val="clear" w:color="auto" w:fill="CCEEFF"/>
          </w:tcPr>
          <w:p>
            <w:pPr>
              <w:spacing w:after="0"/>
              <w:rPr>
                <w:sz w:val="4"/>
                <w:szCs w:val="4"/>
                <w:color w:val="auto"/>
              </w:rPr>
            </w:pPr>
          </w:p>
        </w:tc>
        <w:tc>
          <w:tcPr>
            <w:tcW w:w="1040" w:type="dxa"/>
            <w:vAlign w:val="bottom"/>
            <w:tcBorders>
              <w:top w:val="single" w:sz="8" w:color="0000FF"/>
            </w:tcBorders>
            <w:shd w:val="clear" w:color="auto" w:fill="CCEEFF"/>
          </w:tcPr>
          <w:p>
            <w:pPr>
              <w:spacing w:after="0"/>
              <w:rPr>
                <w:sz w:val="4"/>
                <w:szCs w:val="4"/>
                <w:color w:val="auto"/>
              </w:rPr>
            </w:pPr>
          </w:p>
        </w:tc>
        <w:tc>
          <w:tcPr>
            <w:tcW w:w="11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160" w:type="dxa"/>
            <w:vAlign w:val="bottom"/>
            <w:tcBorders>
              <w:top w:val="single" w:sz="8" w:color="CCEEFF"/>
            </w:tcBorders>
            <w:shd w:val="clear" w:color="auto" w:fill="CCEEFF"/>
          </w:tcPr>
          <w:p>
            <w:pPr>
              <w:spacing w:after="0"/>
              <w:rPr>
                <w:sz w:val="4"/>
                <w:szCs w:val="4"/>
                <w:color w:val="auto"/>
              </w:rPr>
            </w:pPr>
          </w:p>
        </w:tc>
        <w:tc>
          <w:tcPr>
            <w:tcW w:w="11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right w:val="single" w:sz="8" w:color="CCEEFF"/>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60" w:type="dxa"/>
            <w:vAlign w:val="bottom"/>
            <w:gridSpan w:val="39"/>
          </w:tcPr>
          <w:p>
            <w:pPr>
              <w:spacing w:after="0" w:line="202" w:lineRule="exact"/>
              <w:rPr>
                <w:rFonts w:ascii="Arial" w:cs="Arial" w:eastAsia="Arial" w:hAnsi="Arial"/>
                <w:sz w:val="18"/>
                <w:szCs w:val="18"/>
                <w:color w:val="0000FF"/>
              </w:rPr>
            </w:pPr>
            <w:hyperlink w:anchor="page34">
              <w:r>
                <w:rPr>
                  <w:rFonts w:ascii="Arial" w:cs="Arial" w:eastAsia="Arial" w:hAnsi="Arial"/>
                  <w:sz w:val="18"/>
                  <w:szCs w:val="18"/>
                  <w:color w:val="0000FF"/>
                </w:rPr>
                <w:t>Overview</w:t>
              </w:r>
            </w:hyperlink>
          </w:p>
        </w:tc>
        <w:tc>
          <w:tcPr>
            <w:tcW w:w="1180" w:type="dxa"/>
            <w:vAlign w:val="bottom"/>
            <w:gridSpan w:val="2"/>
          </w:tcPr>
          <w:p>
            <w:pPr>
              <w:spacing w:after="0"/>
              <w:rPr>
                <w:sz w:val="17"/>
                <w:szCs w:val="17"/>
                <w:color w:val="auto"/>
              </w:rPr>
            </w:pPr>
          </w:p>
        </w:tc>
        <w:tc>
          <w:tcPr>
            <w:tcW w:w="2600" w:type="dxa"/>
            <w:vAlign w:val="bottom"/>
            <w:gridSpan w:val="4"/>
          </w:tcPr>
          <w:p>
            <w:pPr>
              <w:ind w:left="1160"/>
              <w:spacing w:after="0" w:line="202" w:lineRule="exact"/>
              <w:rPr>
                <w:rFonts w:ascii="Arial" w:cs="Arial" w:eastAsia="Arial" w:hAnsi="Arial"/>
                <w:sz w:val="18"/>
                <w:szCs w:val="18"/>
                <w:color w:val="0000FF"/>
              </w:rPr>
            </w:pPr>
            <w:hyperlink w:anchor="page34">
              <w:r>
                <w:rPr>
                  <w:rFonts w:ascii="Arial" w:cs="Arial" w:eastAsia="Arial" w:hAnsi="Arial"/>
                  <w:sz w:val="18"/>
                  <w:szCs w:val="18"/>
                  <w:color w:val="0000FF"/>
                </w:rPr>
                <w:t>34</w:t>
              </w:r>
            </w:hyperlink>
          </w:p>
        </w:tc>
      </w:tr>
      <w:tr>
        <w:trPr>
          <w:trHeight w:val="48"/>
        </w:trPr>
        <w:tc>
          <w:tcPr>
            <w:tcW w:w="40" w:type="dxa"/>
            <w:vAlign w:val="bottom"/>
          </w:tcPr>
          <w:p>
            <w:pPr>
              <w:spacing w:after="0"/>
              <w:rPr>
                <w:sz w:val="4"/>
                <w:szCs w:val="4"/>
                <w:color w:val="auto"/>
              </w:rPr>
            </w:pPr>
          </w:p>
        </w:tc>
        <w:tc>
          <w:tcPr>
            <w:tcW w:w="840" w:type="dxa"/>
            <w:vAlign w:val="bottom"/>
          </w:tcPr>
          <w:p>
            <w:pPr>
              <w:spacing w:after="0"/>
              <w:rPr>
                <w:sz w:val="4"/>
                <w:szCs w:val="4"/>
                <w:color w:val="auto"/>
              </w:rPr>
            </w:pPr>
          </w:p>
        </w:tc>
        <w:tc>
          <w:tcPr>
            <w:tcW w:w="300" w:type="dxa"/>
            <w:vAlign w:val="bottom"/>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26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640" w:type="dxa"/>
            <w:vAlign w:val="bottom"/>
            <w:gridSpan w:val="41"/>
            <w:shd w:val="clear" w:color="auto" w:fill="CCEEFF"/>
          </w:tcPr>
          <w:p>
            <w:pPr>
              <w:spacing w:after="0" w:line="202" w:lineRule="exact"/>
              <w:rPr>
                <w:rFonts w:ascii="Arial" w:cs="Arial" w:eastAsia="Arial" w:hAnsi="Arial"/>
                <w:sz w:val="18"/>
                <w:szCs w:val="18"/>
                <w:color w:val="0000FF"/>
              </w:rPr>
            </w:pPr>
            <w:hyperlink w:anchor="page34">
              <w:r>
                <w:rPr>
                  <w:rFonts w:ascii="Arial" w:cs="Arial" w:eastAsia="Arial" w:hAnsi="Arial"/>
                  <w:sz w:val="18"/>
                  <w:szCs w:val="18"/>
                  <w:color w:val="0000FF"/>
                </w:rPr>
                <w:t>2012 Compared to 2011</w:t>
              </w:r>
            </w:hyperlink>
          </w:p>
        </w:tc>
        <w:tc>
          <w:tcPr>
            <w:tcW w:w="2600" w:type="dxa"/>
            <w:vAlign w:val="bottom"/>
            <w:gridSpan w:val="4"/>
            <w:shd w:val="clear" w:color="auto" w:fill="CCEEFF"/>
          </w:tcPr>
          <w:p>
            <w:pPr>
              <w:ind w:left="1160"/>
              <w:spacing w:after="0" w:line="202" w:lineRule="exact"/>
              <w:rPr>
                <w:rFonts w:ascii="Arial" w:cs="Arial" w:eastAsia="Arial" w:hAnsi="Arial"/>
                <w:sz w:val="18"/>
                <w:szCs w:val="18"/>
                <w:color w:val="0000FF"/>
              </w:rPr>
            </w:pPr>
            <w:hyperlink w:anchor="page34">
              <w:r>
                <w:rPr>
                  <w:rFonts w:ascii="Arial" w:cs="Arial" w:eastAsia="Arial" w:hAnsi="Arial"/>
                  <w:sz w:val="18"/>
                  <w:szCs w:val="18"/>
                  <w:color w:val="0000FF"/>
                </w:rPr>
                <w:t>35</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36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20" w:type="dxa"/>
            <w:vAlign w:val="bottom"/>
            <w:tcBorders>
              <w:top w:val="single" w:sz="8" w:color="0000FF"/>
            </w:tcBorders>
            <w:shd w:val="clear" w:color="auto" w:fill="CCEEFF"/>
          </w:tcPr>
          <w:p>
            <w:pPr>
              <w:spacing w:after="0"/>
              <w:rPr>
                <w:sz w:val="4"/>
                <w:szCs w:val="4"/>
                <w:color w:val="auto"/>
              </w:rPr>
            </w:pPr>
          </w:p>
        </w:tc>
        <w:tc>
          <w:tcPr>
            <w:tcW w:w="2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160" w:type="dxa"/>
            <w:vAlign w:val="bottom"/>
            <w:tcBorders>
              <w:top w:val="single" w:sz="8" w:color="CCEEFF"/>
            </w:tcBorders>
            <w:shd w:val="clear" w:color="auto" w:fill="CCEEFF"/>
          </w:tcPr>
          <w:p>
            <w:pPr>
              <w:spacing w:after="0"/>
              <w:rPr>
                <w:sz w:val="4"/>
                <w:szCs w:val="4"/>
                <w:color w:val="auto"/>
              </w:rPr>
            </w:pPr>
          </w:p>
        </w:tc>
        <w:tc>
          <w:tcPr>
            <w:tcW w:w="11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right w:val="single" w:sz="8" w:color="CCEEFF"/>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40" w:type="dxa"/>
            <w:vAlign w:val="bottom"/>
            <w:gridSpan w:val="41"/>
          </w:tcPr>
          <w:p>
            <w:pPr>
              <w:spacing w:after="0" w:line="202" w:lineRule="exact"/>
              <w:rPr>
                <w:rFonts w:ascii="Arial" w:cs="Arial" w:eastAsia="Arial" w:hAnsi="Arial"/>
                <w:sz w:val="18"/>
                <w:szCs w:val="18"/>
                <w:color w:val="0000FF"/>
              </w:rPr>
            </w:pPr>
            <w:hyperlink w:anchor="page37">
              <w:r>
                <w:rPr>
                  <w:rFonts w:ascii="Arial" w:cs="Arial" w:eastAsia="Arial" w:hAnsi="Arial"/>
                  <w:sz w:val="18"/>
                  <w:szCs w:val="18"/>
                  <w:color w:val="0000FF"/>
                </w:rPr>
                <w:t>2011 Compared to 2010</w:t>
              </w:r>
            </w:hyperlink>
          </w:p>
        </w:tc>
        <w:tc>
          <w:tcPr>
            <w:tcW w:w="2600" w:type="dxa"/>
            <w:vAlign w:val="bottom"/>
            <w:gridSpan w:val="4"/>
          </w:tcPr>
          <w:p>
            <w:pPr>
              <w:ind w:left="1160"/>
              <w:spacing w:after="0" w:line="202" w:lineRule="exact"/>
              <w:rPr>
                <w:rFonts w:ascii="Arial" w:cs="Arial" w:eastAsia="Arial" w:hAnsi="Arial"/>
                <w:sz w:val="18"/>
                <w:szCs w:val="18"/>
                <w:color w:val="0000FF"/>
              </w:rPr>
            </w:pPr>
            <w:hyperlink w:anchor="page37">
              <w:r>
                <w:rPr>
                  <w:rFonts w:ascii="Arial" w:cs="Arial" w:eastAsia="Arial" w:hAnsi="Arial"/>
                  <w:sz w:val="18"/>
                  <w:szCs w:val="18"/>
                  <w:color w:val="0000FF"/>
                </w:rPr>
                <w:t>37</w:t>
              </w:r>
            </w:hyperlink>
          </w:p>
        </w:tc>
      </w:tr>
      <w:tr>
        <w:trPr>
          <w:trHeight w:val="48"/>
        </w:trPr>
        <w:tc>
          <w:tcPr>
            <w:tcW w:w="40" w:type="dxa"/>
            <w:vAlign w:val="bottom"/>
          </w:tcPr>
          <w:p>
            <w:pPr>
              <w:spacing w:after="0"/>
              <w:rPr>
                <w:sz w:val="4"/>
                <w:szCs w:val="4"/>
                <w:color w:val="auto"/>
              </w:rPr>
            </w:pPr>
          </w:p>
        </w:tc>
        <w:tc>
          <w:tcPr>
            <w:tcW w:w="840" w:type="dxa"/>
            <w:vAlign w:val="bottom"/>
          </w:tcPr>
          <w:p>
            <w:pPr>
              <w:spacing w:after="0"/>
              <w:rPr>
                <w:sz w:val="4"/>
                <w:szCs w:val="4"/>
                <w:color w:val="auto"/>
              </w:rPr>
            </w:pPr>
          </w:p>
        </w:tc>
        <w:tc>
          <w:tcPr>
            <w:tcW w:w="300" w:type="dxa"/>
            <w:vAlign w:val="bottom"/>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26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640" w:type="dxa"/>
            <w:vAlign w:val="bottom"/>
            <w:gridSpan w:val="41"/>
            <w:shd w:val="clear" w:color="auto" w:fill="CCEEFF"/>
          </w:tcPr>
          <w:p>
            <w:pPr>
              <w:spacing w:after="0" w:line="202" w:lineRule="exact"/>
              <w:rPr>
                <w:rFonts w:ascii="Arial" w:cs="Arial" w:eastAsia="Arial" w:hAnsi="Arial"/>
                <w:sz w:val="18"/>
                <w:szCs w:val="18"/>
                <w:color w:val="0000FF"/>
              </w:rPr>
            </w:pPr>
            <w:hyperlink w:anchor="page39">
              <w:r>
                <w:rPr>
                  <w:rFonts w:ascii="Arial" w:cs="Arial" w:eastAsia="Arial" w:hAnsi="Arial"/>
                  <w:sz w:val="18"/>
                  <w:szCs w:val="18"/>
                  <w:color w:val="0000FF"/>
                </w:rPr>
                <w:t>Critical Accounting Policies</w:t>
              </w:r>
            </w:hyperlink>
          </w:p>
        </w:tc>
        <w:tc>
          <w:tcPr>
            <w:tcW w:w="2600" w:type="dxa"/>
            <w:vAlign w:val="bottom"/>
            <w:gridSpan w:val="4"/>
            <w:shd w:val="clear" w:color="auto" w:fill="CCEEFF"/>
          </w:tcPr>
          <w:p>
            <w:pPr>
              <w:ind w:left="1160"/>
              <w:spacing w:after="0" w:line="202" w:lineRule="exact"/>
              <w:rPr>
                <w:rFonts w:ascii="Arial" w:cs="Arial" w:eastAsia="Arial" w:hAnsi="Arial"/>
                <w:sz w:val="18"/>
                <w:szCs w:val="18"/>
                <w:color w:val="0000FF"/>
              </w:rPr>
            </w:pPr>
            <w:hyperlink w:anchor="page39">
              <w:r>
                <w:rPr>
                  <w:rFonts w:ascii="Arial" w:cs="Arial" w:eastAsia="Arial" w:hAnsi="Arial"/>
                  <w:sz w:val="18"/>
                  <w:szCs w:val="18"/>
                  <w:color w:val="0000FF"/>
                </w:rPr>
                <w:t>39</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36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20" w:type="dxa"/>
            <w:vAlign w:val="bottom"/>
            <w:tcBorders>
              <w:top w:val="single" w:sz="8" w:color="0000FF"/>
            </w:tcBorders>
            <w:shd w:val="clear" w:color="auto" w:fill="CCEEFF"/>
          </w:tcPr>
          <w:p>
            <w:pPr>
              <w:spacing w:after="0"/>
              <w:rPr>
                <w:sz w:val="4"/>
                <w:szCs w:val="4"/>
                <w:color w:val="auto"/>
              </w:rPr>
            </w:pPr>
          </w:p>
        </w:tc>
        <w:tc>
          <w:tcPr>
            <w:tcW w:w="2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160" w:type="dxa"/>
            <w:vAlign w:val="bottom"/>
            <w:tcBorders>
              <w:top w:val="single" w:sz="8" w:color="CCEEFF"/>
            </w:tcBorders>
            <w:shd w:val="clear" w:color="auto" w:fill="CCEEFF"/>
          </w:tcPr>
          <w:p>
            <w:pPr>
              <w:spacing w:after="0"/>
              <w:rPr>
                <w:sz w:val="4"/>
                <w:szCs w:val="4"/>
                <w:color w:val="auto"/>
              </w:rPr>
            </w:pPr>
          </w:p>
        </w:tc>
        <w:tc>
          <w:tcPr>
            <w:tcW w:w="11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right w:val="single" w:sz="8" w:color="CCEEFF"/>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40" w:type="dxa"/>
            <w:vAlign w:val="bottom"/>
            <w:gridSpan w:val="23"/>
          </w:tcPr>
          <w:p>
            <w:pPr>
              <w:spacing w:after="0" w:line="202" w:lineRule="exact"/>
              <w:rPr>
                <w:rFonts w:ascii="Arial" w:cs="Arial" w:eastAsia="Arial" w:hAnsi="Arial"/>
                <w:sz w:val="18"/>
                <w:szCs w:val="18"/>
                <w:color w:val="0000FF"/>
              </w:rPr>
            </w:pPr>
            <w:hyperlink w:anchor="page40">
              <w:r>
                <w:rPr>
                  <w:rFonts w:ascii="Arial" w:cs="Arial" w:eastAsia="Arial" w:hAnsi="Arial"/>
                  <w:sz w:val="18"/>
                  <w:szCs w:val="18"/>
                  <w:color w:val="0000FF"/>
                </w:rPr>
                <w:t>Outlook</w:t>
              </w:r>
            </w:hyperlink>
          </w:p>
        </w:tc>
        <w:tc>
          <w:tcPr>
            <w:tcW w:w="5600" w:type="dxa"/>
            <w:vAlign w:val="bottom"/>
            <w:gridSpan w:val="18"/>
          </w:tcPr>
          <w:p>
            <w:pPr>
              <w:spacing w:after="0"/>
              <w:rPr>
                <w:sz w:val="17"/>
                <w:szCs w:val="17"/>
                <w:color w:val="auto"/>
              </w:rPr>
            </w:pPr>
          </w:p>
        </w:tc>
        <w:tc>
          <w:tcPr>
            <w:tcW w:w="2600" w:type="dxa"/>
            <w:vAlign w:val="bottom"/>
            <w:gridSpan w:val="4"/>
          </w:tcPr>
          <w:p>
            <w:pPr>
              <w:ind w:left="1160"/>
              <w:spacing w:after="0" w:line="202" w:lineRule="exact"/>
              <w:rPr>
                <w:rFonts w:ascii="Arial" w:cs="Arial" w:eastAsia="Arial" w:hAnsi="Arial"/>
                <w:sz w:val="18"/>
                <w:szCs w:val="18"/>
                <w:color w:val="0000FF"/>
              </w:rPr>
            </w:pPr>
            <w:hyperlink w:anchor="page40">
              <w:r>
                <w:rPr>
                  <w:rFonts w:ascii="Arial" w:cs="Arial" w:eastAsia="Arial" w:hAnsi="Arial"/>
                  <w:sz w:val="18"/>
                  <w:szCs w:val="18"/>
                  <w:color w:val="0000FF"/>
                </w:rPr>
                <w:t>41</w:t>
              </w:r>
            </w:hyperlink>
          </w:p>
        </w:tc>
      </w:tr>
      <w:tr>
        <w:trPr>
          <w:trHeight w:val="48"/>
        </w:trPr>
        <w:tc>
          <w:tcPr>
            <w:tcW w:w="40" w:type="dxa"/>
            <w:vAlign w:val="bottom"/>
          </w:tcPr>
          <w:p>
            <w:pPr>
              <w:spacing w:after="0"/>
              <w:rPr>
                <w:sz w:val="4"/>
                <w:szCs w:val="4"/>
                <w:color w:val="auto"/>
              </w:rPr>
            </w:pPr>
          </w:p>
        </w:tc>
        <w:tc>
          <w:tcPr>
            <w:tcW w:w="840" w:type="dxa"/>
            <w:vAlign w:val="bottom"/>
          </w:tcPr>
          <w:p>
            <w:pPr>
              <w:spacing w:after="0"/>
              <w:rPr>
                <w:sz w:val="4"/>
                <w:szCs w:val="4"/>
                <w:color w:val="auto"/>
              </w:rPr>
            </w:pPr>
          </w:p>
        </w:tc>
        <w:tc>
          <w:tcPr>
            <w:tcW w:w="300" w:type="dxa"/>
            <w:vAlign w:val="bottom"/>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26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640" w:type="dxa"/>
            <w:vAlign w:val="bottom"/>
            <w:gridSpan w:val="41"/>
            <w:shd w:val="clear" w:color="auto" w:fill="CCEEFF"/>
          </w:tcPr>
          <w:p>
            <w:pPr>
              <w:spacing w:after="0" w:line="202" w:lineRule="exact"/>
              <w:rPr>
                <w:rFonts w:ascii="Arial" w:cs="Arial" w:eastAsia="Arial" w:hAnsi="Arial"/>
                <w:sz w:val="18"/>
                <w:szCs w:val="18"/>
                <w:color w:val="0000FF"/>
              </w:rPr>
            </w:pPr>
            <w:hyperlink w:anchor="page47">
              <w:r>
                <w:rPr>
                  <w:rFonts w:ascii="Arial" w:cs="Arial" w:eastAsia="Arial" w:hAnsi="Arial"/>
                  <w:sz w:val="18"/>
                  <w:szCs w:val="18"/>
                  <w:color w:val="0000FF"/>
                </w:rPr>
                <w:t>Liquidity and Capital Resources</w:t>
              </w:r>
            </w:hyperlink>
          </w:p>
        </w:tc>
        <w:tc>
          <w:tcPr>
            <w:tcW w:w="2600" w:type="dxa"/>
            <w:vAlign w:val="bottom"/>
            <w:gridSpan w:val="4"/>
            <w:shd w:val="clear" w:color="auto" w:fill="CCEEFF"/>
          </w:tcPr>
          <w:p>
            <w:pPr>
              <w:ind w:left="1160"/>
              <w:spacing w:after="0" w:line="202" w:lineRule="exact"/>
              <w:rPr>
                <w:rFonts w:ascii="Arial" w:cs="Arial" w:eastAsia="Arial" w:hAnsi="Arial"/>
                <w:sz w:val="18"/>
                <w:szCs w:val="18"/>
                <w:color w:val="0000FF"/>
              </w:rPr>
            </w:pPr>
            <w:hyperlink w:anchor="page47">
              <w:r>
                <w:rPr>
                  <w:rFonts w:ascii="Arial" w:cs="Arial" w:eastAsia="Arial" w:hAnsi="Arial"/>
                  <w:sz w:val="18"/>
                  <w:szCs w:val="18"/>
                  <w:color w:val="0000FF"/>
                </w:rPr>
                <w:t>47</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36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20" w:type="dxa"/>
            <w:vAlign w:val="bottom"/>
            <w:tcBorders>
              <w:top w:val="single" w:sz="8" w:color="0000FF"/>
            </w:tcBorders>
            <w:shd w:val="clear" w:color="auto" w:fill="CCEEFF"/>
          </w:tcPr>
          <w:p>
            <w:pPr>
              <w:spacing w:after="0"/>
              <w:rPr>
                <w:sz w:val="4"/>
                <w:szCs w:val="4"/>
                <w:color w:val="auto"/>
              </w:rPr>
            </w:pPr>
          </w:p>
        </w:tc>
        <w:tc>
          <w:tcPr>
            <w:tcW w:w="2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160" w:type="dxa"/>
            <w:vAlign w:val="bottom"/>
            <w:tcBorders>
              <w:top w:val="single" w:sz="8" w:color="CCEEFF"/>
            </w:tcBorders>
            <w:shd w:val="clear" w:color="auto" w:fill="CCEEFF"/>
          </w:tcPr>
          <w:p>
            <w:pPr>
              <w:spacing w:after="0"/>
              <w:rPr>
                <w:sz w:val="4"/>
                <w:szCs w:val="4"/>
                <w:color w:val="auto"/>
              </w:rPr>
            </w:pPr>
          </w:p>
        </w:tc>
        <w:tc>
          <w:tcPr>
            <w:tcW w:w="11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right w:val="single" w:sz="8" w:color="CCEEFF"/>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320" w:type="dxa"/>
            <w:vAlign w:val="bottom"/>
            <w:gridSpan w:val="27"/>
          </w:tcPr>
          <w:p>
            <w:pPr>
              <w:spacing w:after="0" w:line="202" w:lineRule="exact"/>
              <w:rPr>
                <w:rFonts w:ascii="Arial" w:cs="Arial" w:eastAsia="Arial" w:hAnsi="Arial"/>
                <w:sz w:val="18"/>
                <w:szCs w:val="18"/>
                <w:color w:val="0000FF"/>
              </w:rPr>
            </w:pPr>
            <w:hyperlink w:anchor="page50">
              <w:r>
                <w:rPr>
                  <w:rFonts w:ascii="Arial" w:cs="Arial" w:eastAsia="Arial" w:hAnsi="Arial"/>
                  <w:sz w:val="18"/>
                  <w:szCs w:val="18"/>
                  <w:color w:val="0000FF"/>
                </w:rPr>
                <w:t>Capital Requirements</w:t>
              </w:r>
            </w:hyperlink>
          </w:p>
        </w:tc>
        <w:tc>
          <w:tcPr>
            <w:tcW w:w="5320" w:type="dxa"/>
            <w:vAlign w:val="bottom"/>
            <w:gridSpan w:val="14"/>
          </w:tcPr>
          <w:p>
            <w:pPr>
              <w:spacing w:after="0"/>
              <w:rPr>
                <w:sz w:val="17"/>
                <w:szCs w:val="17"/>
                <w:color w:val="auto"/>
              </w:rPr>
            </w:pPr>
          </w:p>
        </w:tc>
        <w:tc>
          <w:tcPr>
            <w:tcW w:w="2600" w:type="dxa"/>
            <w:vAlign w:val="bottom"/>
            <w:gridSpan w:val="4"/>
          </w:tcPr>
          <w:p>
            <w:pPr>
              <w:ind w:left="1160"/>
              <w:spacing w:after="0" w:line="202" w:lineRule="exact"/>
              <w:rPr>
                <w:rFonts w:ascii="Arial" w:cs="Arial" w:eastAsia="Arial" w:hAnsi="Arial"/>
                <w:sz w:val="18"/>
                <w:szCs w:val="18"/>
                <w:color w:val="0000FF"/>
              </w:rPr>
            </w:pPr>
            <w:hyperlink w:anchor="page50">
              <w:r>
                <w:rPr>
                  <w:rFonts w:ascii="Arial" w:cs="Arial" w:eastAsia="Arial" w:hAnsi="Arial"/>
                  <w:sz w:val="18"/>
                  <w:szCs w:val="18"/>
                  <w:color w:val="0000FF"/>
                </w:rPr>
                <w:t>50</w:t>
              </w:r>
            </w:hyperlink>
          </w:p>
        </w:tc>
      </w:tr>
      <w:tr>
        <w:trPr>
          <w:trHeight w:val="48"/>
        </w:trPr>
        <w:tc>
          <w:tcPr>
            <w:tcW w:w="40" w:type="dxa"/>
            <w:vAlign w:val="bottom"/>
          </w:tcPr>
          <w:p>
            <w:pPr>
              <w:spacing w:after="0"/>
              <w:rPr>
                <w:sz w:val="4"/>
                <w:szCs w:val="4"/>
                <w:color w:val="auto"/>
              </w:rPr>
            </w:pPr>
          </w:p>
        </w:tc>
        <w:tc>
          <w:tcPr>
            <w:tcW w:w="840" w:type="dxa"/>
            <w:vAlign w:val="bottom"/>
          </w:tcPr>
          <w:p>
            <w:pPr>
              <w:spacing w:after="0"/>
              <w:rPr>
                <w:sz w:val="4"/>
                <w:szCs w:val="4"/>
                <w:color w:val="auto"/>
              </w:rPr>
            </w:pPr>
          </w:p>
        </w:tc>
        <w:tc>
          <w:tcPr>
            <w:tcW w:w="300" w:type="dxa"/>
            <w:vAlign w:val="bottom"/>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26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640" w:type="dxa"/>
            <w:vAlign w:val="bottom"/>
            <w:gridSpan w:val="41"/>
            <w:shd w:val="clear" w:color="auto" w:fill="CCEEFF"/>
          </w:tcPr>
          <w:p>
            <w:pPr>
              <w:spacing w:after="0" w:line="202" w:lineRule="exact"/>
              <w:rPr>
                <w:rFonts w:ascii="Arial" w:cs="Arial" w:eastAsia="Arial" w:hAnsi="Arial"/>
                <w:sz w:val="18"/>
                <w:szCs w:val="18"/>
                <w:color w:val="0000FF"/>
              </w:rPr>
            </w:pPr>
            <w:hyperlink w:anchor="page51">
              <w:r>
                <w:rPr>
                  <w:rFonts w:ascii="Arial" w:cs="Arial" w:eastAsia="Arial" w:hAnsi="Arial"/>
                  <w:sz w:val="18"/>
                  <w:szCs w:val="18"/>
                  <w:color w:val="0000FF"/>
                </w:rPr>
                <w:t>Environmental and Other Matters</w:t>
              </w:r>
            </w:hyperlink>
          </w:p>
        </w:tc>
        <w:tc>
          <w:tcPr>
            <w:tcW w:w="2600" w:type="dxa"/>
            <w:vAlign w:val="bottom"/>
            <w:gridSpan w:val="4"/>
            <w:shd w:val="clear" w:color="auto" w:fill="CCEEFF"/>
          </w:tcPr>
          <w:p>
            <w:pPr>
              <w:ind w:left="1160"/>
              <w:spacing w:after="0" w:line="202" w:lineRule="exact"/>
              <w:rPr>
                <w:rFonts w:ascii="Arial" w:cs="Arial" w:eastAsia="Arial" w:hAnsi="Arial"/>
                <w:sz w:val="18"/>
                <w:szCs w:val="18"/>
                <w:color w:val="0000FF"/>
              </w:rPr>
            </w:pPr>
            <w:hyperlink w:anchor="page51">
              <w:r>
                <w:rPr>
                  <w:rFonts w:ascii="Arial" w:cs="Arial" w:eastAsia="Arial" w:hAnsi="Arial"/>
                  <w:sz w:val="18"/>
                  <w:szCs w:val="18"/>
                  <w:color w:val="0000FF"/>
                </w:rPr>
                <w:t>51</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36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20" w:type="dxa"/>
            <w:vAlign w:val="bottom"/>
            <w:tcBorders>
              <w:top w:val="single" w:sz="8" w:color="0000FF"/>
            </w:tcBorders>
            <w:shd w:val="clear" w:color="auto" w:fill="CCEEFF"/>
          </w:tcPr>
          <w:p>
            <w:pPr>
              <w:spacing w:after="0"/>
              <w:rPr>
                <w:sz w:val="4"/>
                <w:szCs w:val="4"/>
                <w:color w:val="auto"/>
              </w:rPr>
            </w:pPr>
          </w:p>
        </w:tc>
        <w:tc>
          <w:tcPr>
            <w:tcW w:w="2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160" w:type="dxa"/>
            <w:vAlign w:val="bottom"/>
            <w:tcBorders>
              <w:top w:val="single" w:sz="8" w:color="CCEEFF"/>
            </w:tcBorders>
            <w:shd w:val="clear" w:color="auto" w:fill="CCEEFF"/>
          </w:tcPr>
          <w:p>
            <w:pPr>
              <w:spacing w:after="0"/>
              <w:rPr>
                <w:sz w:val="4"/>
                <w:szCs w:val="4"/>
                <w:color w:val="auto"/>
              </w:rPr>
            </w:pPr>
          </w:p>
        </w:tc>
        <w:tc>
          <w:tcPr>
            <w:tcW w:w="11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right w:val="single" w:sz="8" w:color="CCEEFF"/>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20" w:type="dxa"/>
            <w:vAlign w:val="bottom"/>
            <w:gridSpan w:val="28"/>
          </w:tcPr>
          <w:p>
            <w:pPr>
              <w:spacing w:after="0" w:line="202" w:lineRule="exact"/>
              <w:rPr>
                <w:rFonts w:ascii="Arial" w:cs="Arial" w:eastAsia="Arial" w:hAnsi="Arial"/>
                <w:sz w:val="18"/>
                <w:szCs w:val="18"/>
                <w:color w:val="0000FF"/>
              </w:rPr>
            </w:pPr>
            <w:hyperlink w:anchor="page51">
              <w:r>
                <w:rPr>
                  <w:rFonts w:ascii="Arial" w:cs="Arial" w:eastAsia="Arial" w:hAnsi="Arial"/>
                  <w:sz w:val="18"/>
                  <w:szCs w:val="18"/>
                  <w:color w:val="0000FF"/>
                </w:rPr>
                <w:t>Market Risk</w:t>
              </w:r>
            </w:hyperlink>
          </w:p>
        </w:tc>
        <w:tc>
          <w:tcPr>
            <w:tcW w:w="5220" w:type="dxa"/>
            <w:vAlign w:val="bottom"/>
            <w:gridSpan w:val="13"/>
          </w:tcPr>
          <w:p>
            <w:pPr>
              <w:spacing w:after="0"/>
              <w:rPr>
                <w:sz w:val="17"/>
                <w:szCs w:val="17"/>
                <w:color w:val="auto"/>
              </w:rPr>
            </w:pPr>
          </w:p>
        </w:tc>
        <w:tc>
          <w:tcPr>
            <w:tcW w:w="2600" w:type="dxa"/>
            <w:vAlign w:val="bottom"/>
            <w:gridSpan w:val="4"/>
          </w:tcPr>
          <w:p>
            <w:pPr>
              <w:ind w:left="1160"/>
              <w:spacing w:after="0" w:line="202" w:lineRule="exact"/>
              <w:rPr>
                <w:rFonts w:ascii="Arial" w:cs="Arial" w:eastAsia="Arial" w:hAnsi="Arial"/>
                <w:sz w:val="18"/>
                <w:szCs w:val="18"/>
                <w:color w:val="0000FF"/>
              </w:rPr>
            </w:pPr>
            <w:hyperlink w:anchor="page51">
              <w:r>
                <w:rPr>
                  <w:rFonts w:ascii="Arial" w:cs="Arial" w:eastAsia="Arial" w:hAnsi="Arial"/>
                  <w:sz w:val="18"/>
                  <w:szCs w:val="18"/>
                  <w:color w:val="0000FF"/>
                </w:rPr>
                <w:t>51</w:t>
              </w:r>
            </w:hyperlink>
          </w:p>
        </w:tc>
      </w:tr>
      <w:tr>
        <w:trPr>
          <w:trHeight w:val="48"/>
        </w:trPr>
        <w:tc>
          <w:tcPr>
            <w:tcW w:w="40" w:type="dxa"/>
            <w:vAlign w:val="bottom"/>
          </w:tcPr>
          <w:p>
            <w:pPr>
              <w:spacing w:after="0"/>
              <w:rPr>
                <w:sz w:val="4"/>
                <w:szCs w:val="4"/>
                <w:color w:val="auto"/>
              </w:rPr>
            </w:pPr>
          </w:p>
        </w:tc>
        <w:tc>
          <w:tcPr>
            <w:tcW w:w="840" w:type="dxa"/>
            <w:vAlign w:val="bottom"/>
          </w:tcPr>
          <w:p>
            <w:pPr>
              <w:spacing w:after="0"/>
              <w:rPr>
                <w:sz w:val="4"/>
                <w:szCs w:val="4"/>
                <w:color w:val="auto"/>
              </w:rPr>
            </w:pPr>
          </w:p>
        </w:tc>
        <w:tc>
          <w:tcPr>
            <w:tcW w:w="300" w:type="dxa"/>
            <w:vAlign w:val="bottom"/>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26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640" w:type="dxa"/>
            <w:vAlign w:val="bottom"/>
            <w:gridSpan w:val="41"/>
            <w:shd w:val="clear" w:color="auto" w:fill="CCEEFF"/>
          </w:tcPr>
          <w:p>
            <w:pPr>
              <w:spacing w:after="0" w:line="202" w:lineRule="exact"/>
              <w:rPr>
                <w:rFonts w:ascii="Arial" w:cs="Arial" w:eastAsia="Arial" w:hAnsi="Arial"/>
                <w:sz w:val="18"/>
                <w:szCs w:val="18"/>
                <w:color w:val="0000FF"/>
              </w:rPr>
            </w:pPr>
            <w:hyperlink w:anchor="page52">
              <w:r>
                <w:rPr>
                  <w:rFonts w:ascii="Arial" w:cs="Arial" w:eastAsia="Arial" w:hAnsi="Arial"/>
                  <w:sz w:val="18"/>
                  <w:szCs w:val="18"/>
                  <w:color w:val="0000FF"/>
                </w:rPr>
                <w:t>Recently Adopted Accounting Standards</w:t>
              </w:r>
            </w:hyperlink>
          </w:p>
        </w:tc>
        <w:tc>
          <w:tcPr>
            <w:tcW w:w="2600" w:type="dxa"/>
            <w:vAlign w:val="bottom"/>
            <w:gridSpan w:val="4"/>
            <w:shd w:val="clear" w:color="auto" w:fill="CCEEFF"/>
          </w:tcPr>
          <w:p>
            <w:pPr>
              <w:ind w:left="1160"/>
              <w:spacing w:after="0" w:line="202" w:lineRule="exact"/>
              <w:rPr>
                <w:rFonts w:ascii="Arial" w:cs="Arial" w:eastAsia="Arial" w:hAnsi="Arial"/>
                <w:sz w:val="18"/>
                <w:szCs w:val="18"/>
                <w:color w:val="0000FF"/>
              </w:rPr>
            </w:pPr>
            <w:hyperlink w:anchor="page52">
              <w:r>
                <w:rPr>
                  <w:rFonts w:ascii="Arial" w:cs="Arial" w:eastAsia="Arial" w:hAnsi="Arial"/>
                  <w:sz w:val="18"/>
                  <w:szCs w:val="18"/>
                  <w:color w:val="0000FF"/>
                </w:rPr>
                <w:t>52</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36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20" w:type="dxa"/>
            <w:vAlign w:val="bottom"/>
            <w:tcBorders>
              <w:top w:val="single" w:sz="8" w:color="0000FF"/>
            </w:tcBorders>
            <w:shd w:val="clear" w:color="auto" w:fill="CCEEFF"/>
          </w:tcPr>
          <w:p>
            <w:pPr>
              <w:spacing w:after="0"/>
              <w:rPr>
                <w:sz w:val="4"/>
                <w:szCs w:val="4"/>
                <w:color w:val="auto"/>
              </w:rPr>
            </w:pPr>
          </w:p>
        </w:tc>
        <w:tc>
          <w:tcPr>
            <w:tcW w:w="2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160" w:type="dxa"/>
            <w:vAlign w:val="bottom"/>
            <w:tcBorders>
              <w:top w:val="single" w:sz="8" w:color="CCEEFF"/>
            </w:tcBorders>
            <w:shd w:val="clear" w:color="auto" w:fill="CCEEFF"/>
          </w:tcPr>
          <w:p>
            <w:pPr>
              <w:spacing w:after="0"/>
              <w:rPr>
                <w:sz w:val="4"/>
                <w:szCs w:val="4"/>
                <w:color w:val="auto"/>
              </w:rPr>
            </w:pPr>
          </w:p>
        </w:tc>
        <w:tc>
          <w:tcPr>
            <w:tcW w:w="11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right w:val="single" w:sz="8" w:color="CCEEFF"/>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r>
      <w:tr>
        <w:trPr>
          <w:trHeight w:val="203"/>
        </w:trPr>
        <w:tc>
          <w:tcPr>
            <w:tcW w:w="1180" w:type="dxa"/>
            <w:vAlign w:val="bottom"/>
            <w:gridSpan w:val="3"/>
          </w:tcPr>
          <w:p>
            <w:pPr>
              <w:ind w:left="40"/>
              <w:spacing w:after="0" w:line="202" w:lineRule="exact"/>
              <w:rPr>
                <w:sz w:val="20"/>
                <w:szCs w:val="20"/>
                <w:color w:val="auto"/>
              </w:rPr>
            </w:pPr>
            <w:r>
              <w:rPr>
                <w:rFonts w:ascii="Arial" w:cs="Arial" w:eastAsia="Arial" w:hAnsi="Arial"/>
                <w:sz w:val="18"/>
                <w:szCs w:val="18"/>
                <w:color w:val="auto"/>
              </w:rPr>
              <w:t>Item 7A.</w:t>
            </w:r>
          </w:p>
        </w:tc>
        <w:tc>
          <w:tcPr>
            <w:tcW w:w="7640" w:type="dxa"/>
            <w:vAlign w:val="bottom"/>
            <w:gridSpan w:val="41"/>
          </w:tcPr>
          <w:p>
            <w:pPr>
              <w:spacing w:after="0" w:line="202" w:lineRule="exact"/>
              <w:rPr>
                <w:rFonts w:ascii="Arial" w:cs="Arial" w:eastAsia="Arial" w:hAnsi="Arial"/>
                <w:sz w:val="18"/>
                <w:szCs w:val="18"/>
                <w:color w:val="0000FF"/>
              </w:rPr>
            </w:pPr>
            <w:hyperlink w:anchor="page52">
              <w:r>
                <w:rPr>
                  <w:rFonts w:ascii="Arial" w:cs="Arial" w:eastAsia="Arial" w:hAnsi="Arial"/>
                  <w:sz w:val="18"/>
                  <w:szCs w:val="18"/>
                  <w:color w:val="0000FF"/>
                </w:rPr>
                <w:t>Quantitative and Qualitative Disclosures about Market Risk</w:t>
              </w:r>
            </w:hyperlink>
          </w:p>
        </w:tc>
        <w:tc>
          <w:tcPr>
            <w:tcW w:w="2600" w:type="dxa"/>
            <w:vAlign w:val="bottom"/>
            <w:gridSpan w:val="4"/>
          </w:tcPr>
          <w:p>
            <w:pPr>
              <w:ind w:left="1160"/>
              <w:spacing w:after="0" w:line="202" w:lineRule="exact"/>
              <w:rPr>
                <w:rFonts w:ascii="Arial" w:cs="Arial" w:eastAsia="Arial" w:hAnsi="Arial"/>
                <w:sz w:val="18"/>
                <w:szCs w:val="18"/>
                <w:color w:val="0000FF"/>
              </w:rPr>
            </w:pPr>
            <w:hyperlink w:anchor="page52">
              <w:r>
                <w:rPr>
                  <w:rFonts w:ascii="Arial" w:cs="Arial" w:eastAsia="Arial" w:hAnsi="Arial"/>
                  <w:sz w:val="18"/>
                  <w:szCs w:val="18"/>
                  <w:color w:val="0000FF"/>
                </w:rPr>
                <w:t>52</w:t>
              </w:r>
            </w:hyperlink>
          </w:p>
        </w:tc>
      </w:tr>
      <w:tr>
        <w:trPr>
          <w:trHeight w:val="48"/>
        </w:trPr>
        <w:tc>
          <w:tcPr>
            <w:tcW w:w="40" w:type="dxa"/>
            <w:vAlign w:val="bottom"/>
          </w:tcPr>
          <w:p>
            <w:pPr>
              <w:spacing w:after="0"/>
              <w:rPr>
                <w:sz w:val="4"/>
                <w:szCs w:val="4"/>
                <w:color w:val="auto"/>
              </w:rPr>
            </w:pPr>
          </w:p>
        </w:tc>
        <w:tc>
          <w:tcPr>
            <w:tcW w:w="840" w:type="dxa"/>
            <w:vAlign w:val="bottom"/>
          </w:tcPr>
          <w:p>
            <w:pPr>
              <w:spacing w:after="0"/>
              <w:rPr>
                <w:sz w:val="4"/>
                <w:szCs w:val="4"/>
                <w:color w:val="auto"/>
              </w:rPr>
            </w:pPr>
          </w:p>
        </w:tc>
        <w:tc>
          <w:tcPr>
            <w:tcW w:w="300" w:type="dxa"/>
            <w:vAlign w:val="bottom"/>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980" w:type="dxa"/>
            <w:vAlign w:val="bottom"/>
            <w:tcBorders>
              <w:top w:val="single" w:sz="8" w:color="0000FF"/>
            </w:tcBorders>
          </w:tcPr>
          <w:p>
            <w:pPr>
              <w:spacing w:after="0"/>
              <w:rPr>
                <w:sz w:val="4"/>
                <w:szCs w:val="4"/>
                <w:color w:val="auto"/>
              </w:rPr>
            </w:pPr>
          </w:p>
        </w:tc>
        <w:tc>
          <w:tcPr>
            <w:tcW w:w="10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260" w:type="dxa"/>
            <w:vAlign w:val="bottom"/>
          </w:tcPr>
          <w:p>
            <w:pPr>
              <w:spacing w:after="0"/>
              <w:rPr>
                <w:sz w:val="4"/>
                <w:szCs w:val="4"/>
                <w:color w:val="auto"/>
              </w:rPr>
            </w:pPr>
          </w:p>
        </w:tc>
      </w:tr>
      <w:tr>
        <w:trPr>
          <w:trHeight w:val="203"/>
        </w:trPr>
        <w:tc>
          <w:tcPr>
            <w:tcW w:w="1180" w:type="dxa"/>
            <w:vAlign w:val="bottom"/>
            <w:gridSpan w:val="3"/>
            <w:shd w:val="clear" w:color="auto" w:fill="CCEEFF"/>
          </w:tcPr>
          <w:p>
            <w:pPr>
              <w:ind w:left="40"/>
              <w:spacing w:after="0" w:line="202" w:lineRule="exact"/>
              <w:rPr>
                <w:sz w:val="20"/>
                <w:szCs w:val="20"/>
                <w:color w:val="auto"/>
              </w:rPr>
            </w:pPr>
            <w:r>
              <w:rPr>
                <w:rFonts w:ascii="Arial" w:cs="Arial" w:eastAsia="Arial" w:hAnsi="Arial"/>
                <w:sz w:val="18"/>
                <w:szCs w:val="18"/>
                <w:color w:val="auto"/>
              </w:rPr>
              <w:t>Item 8.</w:t>
            </w:r>
          </w:p>
        </w:tc>
        <w:tc>
          <w:tcPr>
            <w:tcW w:w="3340" w:type="dxa"/>
            <w:vAlign w:val="bottom"/>
            <w:gridSpan w:val="36"/>
            <w:shd w:val="clear" w:color="auto" w:fill="CCEEFF"/>
          </w:tcPr>
          <w:p>
            <w:pPr>
              <w:spacing w:after="0" w:line="202" w:lineRule="exact"/>
              <w:rPr>
                <w:rFonts w:ascii="Arial" w:cs="Arial" w:eastAsia="Arial" w:hAnsi="Arial"/>
                <w:sz w:val="18"/>
                <w:szCs w:val="18"/>
                <w:color w:val="0000FF"/>
                <w:w w:val="89"/>
              </w:rPr>
            </w:pPr>
            <w:hyperlink w:anchor="page52">
              <w:r>
                <w:rPr>
                  <w:rFonts w:ascii="Arial" w:cs="Arial" w:eastAsia="Arial" w:hAnsi="Arial"/>
                  <w:sz w:val="18"/>
                  <w:szCs w:val="18"/>
                  <w:color w:val="0000FF"/>
                  <w:w w:val="89"/>
                </w:rPr>
                <w:t>Financial Statements and Supplementary Data</w:t>
              </w:r>
            </w:hyperlink>
          </w:p>
        </w:tc>
        <w:tc>
          <w:tcPr>
            <w:tcW w:w="4300" w:type="dxa"/>
            <w:vAlign w:val="bottom"/>
            <w:gridSpan w:val="5"/>
            <w:shd w:val="clear" w:color="auto" w:fill="CCEEFF"/>
          </w:tcPr>
          <w:p>
            <w:pPr>
              <w:spacing w:after="0"/>
              <w:rPr>
                <w:sz w:val="17"/>
                <w:szCs w:val="17"/>
                <w:color w:val="auto"/>
              </w:rPr>
            </w:pPr>
          </w:p>
        </w:tc>
        <w:tc>
          <w:tcPr>
            <w:tcW w:w="2600" w:type="dxa"/>
            <w:vAlign w:val="bottom"/>
            <w:gridSpan w:val="4"/>
            <w:shd w:val="clear" w:color="auto" w:fill="CCEEFF"/>
          </w:tcPr>
          <w:p>
            <w:pPr>
              <w:ind w:left="1160"/>
              <w:spacing w:after="0" w:line="202" w:lineRule="exact"/>
              <w:rPr>
                <w:rFonts w:ascii="Arial" w:cs="Arial" w:eastAsia="Arial" w:hAnsi="Arial"/>
                <w:sz w:val="18"/>
                <w:szCs w:val="18"/>
                <w:color w:val="0000FF"/>
              </w:rPr>
            </w:pPr>
            <w:hyperlink w:anchor="page52">
              <w:r>
                <w:rPr>
                  <w:rFonts w:ascii="Arial" w:cs="Arial" w:eastAsia="Arial" w:hAnsi="Arial"/>
                  <w:sz w:val="18"/>
                  <w:szCs w:val="18"/>
                  <w:color w:val="0000FF"/>
                </w:rPr>
                <w:t>52</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36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20" w:type="dxa"/>
            <w:vAlign w:val="bottom"/>
            <w:tcBorders>
              <w:top w:val="single" w:sz="8" w:color="0000FF"/>
            </w:tcBorders>
            <w:shd w:val="clear" w:color="auto" w:fill="CCEEFF"/>
          </w:tcPr>
          <w:p>
            <w:pPr>
              <w:spacing w:after="0"/>
              <w:rPr>
                <w:sz w:val="4"/>
                <w:szCs w:val="4"/>
                <w:color w:val="auto"/>
              </w:rPr>
            </w:pPr>
          </w:p>
        </w:tc>
        <w:tc>
          <w:tcPr>
            <w:tcW w:w="2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340" w:type="dxa"/>
            <w:vAlign w:val="bottom"/>
            <w:tcBorders>
              <w:top w:val="single" w:sz="8" w:color="0000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160" w:type="dxa"/>
            <w:vAlign w:val="bottom"/>
            <w:tcBorders>
              <w:top w:val="single" w:sz="8" w:color="CCEEFF"/>
            </w:tcBorders>
            <w:shd w:val="clear" w:color="auto" w:fill="CCEEFF"/>
          </w:tcPr>
          <w:p>
            <w:pPr>
              <w:spacing w:after="0"/>
              <w:rPr>
                <w:sz w:val="4"/>
                <w:szCs w:val="4"/>
                <w:color w:val="auto"/>
              </w:rPr>
            </w:pPr>
          </w:p>
        </w:tc>
        <w:tc>
          <w:tcPr>
            <w:tcW w:w="11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right w:val="single" w:sz="8" w:color="CCEEFF"/>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r>
      <w:tr>
        <w:trPr>
          <w:trHeight w:val="203"/>
        </w:trPr>
        <w:tc>
          <w:tcPr>
            <w:tcW w:w="1180" w:type="dxa"/>
            <w:vAlign w:val="bottom"/>
            <w:gridSpan w:val="3"/>
          </w:tcPr>
          <w:p>
            <w:pPr>
              <w:ind w:left="40"/>
              <w:spacing w:after="0" w:line="202" w:lineRule="exact"/>
              <w:rPr>
                <w:sz w:val="20"/>
                <w:szCs w:val="20"/>
                <w:color w:val="auto"/>
              </w:rPr>
            </w:pPr>
            <w:r>
              <w:rPr>
                <w:rFonts w:ascii="Arial" w:cs="Arial" w:eastAsia="Arial" w:hAnsi="Arial"/>
                <w:sz w:val="18"/>
                <w:szCs w:val="18"/>
                <w:color w:val="auto"/>
              </w:rPr>
              <w:t>Item 9.</w:t>
            </w:r>
          </w:p>
        </w:tc>
        <w:tc>
          <w:tcPr>
            <w:tcW w:w="7640" w:type="dxa"/>
            <w:vAlign w:val="bottom"/>
            <w:gridSpan w:val="41"/>
          </w:tcPr>
          <w:p>
            <w:pPr>
              <w:spacing w:after="0" w:line="202" w:lineRule="exact"/>
              <w:rPr>
                <w:rFonts w:ascii="Arial" w:cs="Arial" w:eastAsia="Arial" w:hAnsi="Arial"/>
                <w:sz w:val="18"/>
                <w:szCs w:val="18"/>
                <w:color w:val="0000FF"/>
              </w:rPr>
            </w:pPr>
            <w:hyperlink w:anchor="page52">
              <w:r>
                <w:rPr>
                  <w:rFonts w:ascii="Arial" w:cs="Arial" w:eastAsia="Arial" w:hAnsi="Arial"/>
                  <w:sz w:val="18"/>
                  <w:szCs w:val="18"/>
                  <w:color w:val="0000FF"/>
                </w:rPr>
                <w:t>Changes in and Disagreements with Accountants on Accounting and Financial Disclosure</w:t>
              </w:r>
            </w:hyperlink>
          </w:p>
        </w:tc>
        <w:tc>
          <w:tcPr>
            <w:tcW w:w="2600" w:type="dxa"/>
            <w:vAlign w:val="bottom"/>
            <w:gridSpan w:val="4"/>
          </w:tcPr>
          <w:p>
            <w:pPr>
              <w:ind w:left="1160"/>
              <w:spacing w:after="0" w:line="202" w:lineRule="exact"/>
              <w:rPr>
                <w:rFonts w:ascii="Arial" w:cs="Arial" w:eastAsia="Arial" w:hAnsi="Arial"/>
                <w:sz w:val="18"/>
                <w:szCs w:val="18"/>
                <w:color w:val="0000FF"/>
              </w:rPr>
            </w:pPr>
            <w:hyperlink w:anchor="page52">
              <w:r>
                <w:rPr>
                  <w:rFonts w:ascii="Arial" w:cs="Arial" w:eastAsia="Arial" w:hAnsi="Arial"/>
                  <w:sz w:val="18"/>
                  <w:szCs w:val="18"/>
                  <w:color w:val="0000FF"/>
                </w:rPr>
                <w:t>52</w:t>
              </w:r>
            </w:hyperlink>
          </w:p>
        </w:tc>
      </w:tr>
      <w:tr>
        <w:trPr>
          <w:trHeight w:val="48"/>
        </w:trPr>
        <w:tc>
          <w:tcPr>
            <w:tcW w:w="40" w:type="dxa"/>
            <w:vAlign w:val="bottom"/>
          </w:tcPr>
          <w:p>
            <w:pPr>
              <w:spacing w:after="0"/>
              <w:rPr>
                <w:sz w:val="4"/>
                <w:szCs w:val="4"/>
                <w:color w:val="auto"/>
              </w:rPr>
            </w:pPr>
          </w:p>
        </w:tc>
        <w:tc>
          <w:tcPr>
            <w:tcW w:w="840" w:type="dxa"/>
            <w:vAlign w:val="bottom"/>
          </w:tcPr>
          <w:p>
            <w:pPr>
              <w:spacing w:after="0"/>
              <w:rPr>
                <w:sz w:val="4"/>
                <w:szCs w:val="4"/>
                <w:color w:val="auto"/>
              </w:rPr>
            </w:pPr>
          </w:p>
        </w:tc>
        <w:tc>
          <w:tcPr>
            <w:tcW w:w="300" w:type="dxa"/>
            <w:vAlign w:val="bottom"/>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980" w:type="dxa"/>
            <w:vAlign w:val="bottom"/>
            <w:tcBorders>
              <w:top w:val="single" w:sz="8" w:color="0000FF"/>
            </w:tcBorders>
          </w:tcPr>
          <w:p>
            <w:pPr>
              <w:spacing w:after="0"/>
              <w:rPr>
                <w:sz w:val="4"/>
                <w:szCs w:val="4"/>
                <w:color w:val="auto"/>
              </w:rPr>
            </w:pPr>
          </w:p>
        </w:tc>
        <w:tc>
          <w:tcPr>
            <w:tcW w:w="1040" w:type="dxa"/>
            <w:vAlign w:val="bottom"/>
            <w:tcBorders>
              <w:top w:val="single" w:sz="8" w:color="0000FF"/>
            </w:tcBorders>
          </w:tcPr>
          <w:p>
            <w:pPr>
              <w:spacing w:after="0"/>
              <w:rPr>
                <w:sz w:val="4"/>
                <w:szCs w:val="4"/>
                <w:color w:val="auto"/>
              </w:rPr>
            </w:pPr>
          </w:p>
        </w:tc>
        <w:tc>
          <w:tcPr>
            <w:tcW w:w="11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1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260" w:type="dxa"/>
            <w:vAlign w:val="bottom"/>
          </w:tcPr>
          <w:p>
            <w:pPr>
              <w:spacing w:after="0"/>
              <w:rPr>
                <w:sz w:val="4"/>
                <w:szCs w:val="4"/>
                <w:color w:val="auto"/>
              </w:rPr>
            </w:pPr>
          </w:p>
        </w:tc>
      </w:tr>
      <w:tr>
        <w:trPr>
          <w:trHeight w:val="203"/>
        </w:trPr>
        <w:tc>
          <w:tcPr>
            <w:tcW w:w="1180" w:type="dxa"/>
            <w:vAlign w:val="bottom"/>
            <w:gridSpan w:val="3"/>
            <w:shd w:val="clear" w:color="auto" w:fill="CCEEFF"/>
          </w:tcPr>
          <w:p>
            <w:pPr>
              <w:ind w:left="40"/>
              <w:spacing w:after="0" w:line="202" w:lineRule="exact"/>
              <w:rPr>
                <w:sz w:val="20"/>
                <w:szCs w:val="20"/>
                <w:color w:val="auto"/>
              </w:rPr>
            </w:pPr>
            <w:r>
              <w:rPr>
                <w:rFonts w:ascii="Arial" w:cs="Arial" w:eastAsia="Arial" w:hAnsi="Arial"/>
                <w:sz w:val="18"/>
                <w:szCs w:val="18"/>
                <w:color w:val="auto"/>
              </w:rPr>
              <w:t>Item 9A.</w:t>
            </w:r>
          </w:p>
        </w:tc>
        <w:tc>
          <w:tcPr>
            <w:tcW w:w="1780" w:type="dxa"/>
            <w:vAlign w:val="bottom"/>
            <w:gridSpan w:val="20"/>
            <w:shd w:val="clear" w:color="auto" w:fill="CCEEFF"/>
          </w:tcPr>
          <w:p>
            <w:pPr>
              <w:spacing w:after="0" w:line="202" w:lineRule="exact"/>
              <w:rPr>
                <w:rFonts w:ascii="Arial" w:cs="Arial" w:eastAsia="Arial" w:hAnsi="Arial"/>
                <w:sz w:val="18"/>
                <w:szCs w:val="18"/>
                <w:color w:val="0000FF"/>
                <w:w w:val="88"/>
              </w:rPr>
            </w:pPr>
            <w:hyperlink w:anchor="page52">
              <w:r>
                <w:rPr>
                  <w:rFonts w:ascii="Arial" w:cs="Arial" w:eastAsia="Arial" w:hAnsi="Arial"/>
                  <w:sz w:val="18"/>
                  <w:szCs w:val="18"/>
                  <w:color w:val="0000FF"/>
                  <w:w w:val="88"/>
                </w:rPr>
                <w:t>Controls and Procedures</w:t>
              </w:r>
            </w:hyperlink>
          </w:p>
        </w:tc>
        <w:tc>
          <w:tcPr>
            <w:tcW w:w="5860" w:type="dxa"/>
            <w:vAlign w:val="bottom"/>
            <w:gridSpan w:val="21"/>
            <w:shd w:val="clear" w:color="auto" w:fill="CCEEFF"/>
          </w:tcPr>
          <w:p>
            <w:pPr>
              <w:spacing w:after="0"/>
              <w:rPr>
                <w:sz w:val="17"/>
                <w:szCs w:val="17"/>
                <w:color w:val="auto"/>
              </w:rPr>
            </w:pPr>
          </w:p>
        </w:tc>
        <w:tc>
          <w:tcPr>
            <w:tcW w:w="2600" w:type="dxa"/>
            <w:vAlign w:val="bottom"/>
            <w:gridSpan w:val="4"/>
            <w:shd w:val="clear" w:color="auto" w:fill="CCEEFF"/>
          </w:tcPr>
          <w:p>
            <w:pPr>
              <w:ind w:left="1160"/>
              <w:spacing w:after="0" w:line="202" w:lineRule="exact"/>
              <w:rPr>
                <w:rFonts w:ascii="Arial" w:cs="Arial" w:eastAsia="Arial" w:hAnsi="Arial"/>
                <w:sz w:val="18"/>
                <w:szCs w:val="18"/>
                <w:color w:val="0000FF"/>
              </w:rPr>
            </w:pPr>
            <w:hyperlink w:anchor="page52">
              <w:r>
                <w:rPr>
                  <w:rFonts w:ascii="Arial" w:cs="Arial" w:eastAsia="Arial" w:hAnsi="Arial"/>
                  <w:sz w:val="18"/>
                  <w:szCs w:val="18"/>
                  <w:color w:val="0000FF"/>
                </w:rPr>
                <w:t>52</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36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20" w:type="dxa"/>
            <w:vAlign w:val="bottom"/>
            <w:tcBorders>
              <w:top w:val="single" w:sz="8" w:color="0000FF"/>
            </w:tcBorders>
            <w:shd w:val="clear" w:color="auto" w:fill="CCEEFF"/>
          </w:tcPr>
          <w:p>
            <w:pPr>
              <w:spacing w:after="0"/>
              <w:rPr>
                <w:sz w:val="4"/>
                <w:szCs w:val="4"/>
                <w:color w:val="auto"/>
              </w:rPr>
            </w:pPr>
          </w:p>
        </w:tc>
        <w:tc>
          <w:tcPr>
            <w:tcW w:w="2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160" w:type="dxa"/>
            <w:vAlign w:val="bottom"/>
            <w:tcBorders>
              <w:top w:val="single" w:sz="8" w:color="CCEEFF"/>
            </w:tcBorders>
            <w:shd w:val="clear" w:color="auto" w:fill="CCEEFF"/>
          </w:tcPr>
          <w:p>
            <w:pPr>
              <w:spacing w:after="0"/>
              <w:rPr>
                <w:sz w:val="4"/>
                <w:szCs w:val="4"/>
                <w:color w:val="auto"/>
              </w:rPr>
            </w:pPr>
          </w:p>
        </w:tc>
        <w:tc>
          <w:tcPr>
            <w:tcW w:w="11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right w:val="single" w:sz="8" w:color="CCEEFF"/>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r>
      <w:tr>
        <w:trPr>
          <w:trHeight w:val="203"/>
        </w:trPr>
        <w:tc>
          <w:tcPr>
            <w:tcW w:w="1180" w:type="dxa"/>
            <w:vAlign w:val="bottom"/>
            <w:gridSpan w:val="3"/>
          </w:tcPr>
          <w:p>
            <w:pPr>
              <w:ind w:left="40"/>
              <w:spacing w:after="0" w:line="202" w:lineRule="exact"/>
              <w:rPr>
                <w:sz w:val="20"/>
                <w:szCs w:val="20"/>
                <w:color w:val="auto"/>
              </w:rPr>
            </w:pPr>
            <w:r>
              <w:rPr>
                <w:rFonts w:ascii="Arial" w:cs="Arial" w:eastAsia="Arial" w:hAnsi="Arial"/>
                <w:sz w:val="18"/>
                <w:szCs w:val="18"/>
                <w:color w:val="auto"/>
              </w:rPr>
              <w:t>Item 9B.</w:t>
            </w:r>
          </w:p>
        </w:tc>
        <w:tc>
          <w:tcPr>
            <w:tcW w:w="1320" w:type="dxa"/>
            <w:vAlign w:val="bottom"/>
            <w:gridSpan w:val="10"/>
          </w:tcPr>
          <w:p>
            <w:pPr>
              <w:spacing w:after="0" w:line="202" w:lineRule="exact"/>
              <w:rPr>
                <w:sz w:val="20"/>
                <w:szCs w:val="20"/>
                <w:color w:val="auto"/>
              </w:rPr>
            </w:pPr>
            <w:r>
              <w:rPr>
                <w:rFonts w:ascii="Arial" w:cs="Arial" w:eastAsia="Arial" w:hAnsi="Arial"/>
                <w:sz w:val="18"/>
                <w:szCs w:val="18"/>
                <w:color w:val="0000FF"/>
                <w:w w:val="92"/>
              </w:rPr>
              <w:t>Other Information</w:t>
            </w:r>
          </w:p>
        </w:tc>
        <w:tc>
          <w:tcPr>
            <w:tcW w:w="460" w:type="dxa"/>
            <w:vAlign w:val="bottom"/>
            <w:gridSpan w:val="10"/>
          </w:tcPr>
          <w:p>
            <w:pPr>
              <w:spacing w:after="0"/>
              <w:rPr>
                <w:sz w:val="17"/>
                <w:szCs w:val="17"/>
                <w:color w:val="auto"/>
              </w:rPr>
            </w:pPr>
          </w:p>
        </w:tc>
        <w:tc>
          <w:tcPr>
            <w:tcW w:w="5860" w:type="dxa"/>
            <w:vAlign w:val="bottom"/>
            <w:gridSpan w:val="21"/>
          </w:tcPr>
          <w:p>
            <w:pPr>
              <w:spacing w:after="0"/>
              <w:rPr>
                <w:sz w:val="17"/>
                <w:szCs w:val="17"/>
                <w:color w:val="auto"/>
              </w:rPr>
            </w:pPr>
          </w:p>
        </w:tc>
        <w:tc>
          <w:tcPr>
            <w:tcW w:w="2600" w:type="dxa"/>
            <w:vAlign w:val="bottom"/>
            <w:gridSpan w:val="4"/>
          </w:tcPr>
          <w:p>
            <w:pPr>
              <w:ind w:left="1160"/>
              <w:spacing w:after="0" w:line="202" w:lineRule="exact"/>
              <w:rPr>
                <w:rFonts w:ascii="Arial" w:cs="Arial" w:eastAsia="Arial" w:hAnsi="Arial"/>
                <w:sz w:val="18"/>
                <w:szCs w:val="18"/>
                <w:color w:val="0000FF"/>
              </w:rPr>
            </w:pPr>
            <w:hyperlink w:anchor="page53">
              <w:r>
                <w:rPr>
                  <w:rFonts w:ascii="Arial" w:cs="Arial" w:eastAsia="Arial" w:hAnsi="Arial"/>
                  <w:sz w:val="18"/>
                  <w:szCs w:val="18"/>
                  <w:color w:val="0000FF"/>
                </w:rPr>
                <w:t>53</w:t>
              </w:r>
            </w:hyperlink>
          </w:p>
        </w:tc>
      </w:tr>
      <w:tr>
        <w:trPr>
          <w:trHeight w:val="20"/>
        </w:trPr>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2012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364" w:right="239" w:bottom="936"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246620" cy="1714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5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Part III</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1040" w:type="dxa"/>
            <w:vAlign w:val="bottom"/>
            <w:gridSpan w:val="2"/>
          </w:tcPr>
          <w:p>
            <w:pPr>
              <w:spacing w:after="0"/>
              <w:rPr>
                <w:sz w:val="20"/>
                <w:szCs w:val="20"/>
                <w:color w:val="auto"/>
              </w:rPr>
            </w:pPr>
            <w:r>
              <w:rPr>
                <w:rFonts w:ascii="Arial" w:cs="Arial" w:eastAsia="Arial" w:hAnsi="Arial"/>
                <w:sz w:val="18"/>
                <w:szCs w:val="18"/>
                <w:color w:val="auto"/>
              </w:rPr>
              <w:t>Item 10.</w:t>
            </w:r>
          </w:p>
        </w:tc>
        <w:tc>
          <w:tcPr>
            <w:tcW w:w="8100" w:type="dxa"/>
            <w:vAlign w:val="bottom"/>
            <w:gridSpan w:val="8"/>
          </w:tcPr>
          <w:p>
            <w:pPr>
              <w:spacing w:after="0"/>
              <w:rPr>
                <w:rFonts w:ascii="Arial" w:cs="Arial" w:eastAsia="Arial" w:hAnsi="Arial"/>
                <w:sz w:val="18"/>
                <w:szCs w:val="18"/>
                <w:color w:val="0000FF"/>
              </w:rPr>
            </w:pPr>
            <w:hyperlink w:anchor="page54">
              <w:r>
                <w:rPr>
                  <w:rFonts w:ascii="Arial" w:cs="Arial" w:eastAsia="Arial" w:hAnsi="Arial"/>
                  <w:sz w:val="18"/>
                  <w:szCs w:val="18"/>
                  <w:color w:val="0000FF"/>
                </w:rPr>
                <w:t>Directors, Executive Officers and Corporate Governance</w:t>
              </w:r>
            </w:hyperlink>
          </w:p>
        </w:tc>
        <w:tc>
          <w:tcPr>
            <w:tcW w:w="2240" w:type="dxa"/>
            <w:vAlign w:val="bottom"/>
            <w:gridSpan w:val="3"/>
          </w:tcPr>
          <w:p>
            <w:pPr>
              <w:jc w:val="right"/>
              <w:ind w:right="1260"/>
              <w:spacing w:after="0"/>
              <w:rPr>
                <w:rFonts w:ascii="Arial" w:cs="Arial" w:eastAsia="Arial" w:hAnsi="Arial"/>
                <w:sz w:val="18"/>
                <w:szCs w:val="18"/>
                <w:color w:val="0000FF"/>
              </w:rPr>
            </w:pPr>
            <w:hyperlink w:anchor="page54">
              <w:r>
                <w:rPr>
                  <w:rFonts w:ascii="Arial" w:cs="Arial" w:eastAsia="Arial" w:hAnsi="Arial"/>
                  <w:sz w:val="18"/>
                  <w:szCs w:val="18"/>
                  <w:color w:val="0000FF"/>
                </w:rPr>
                <w:t>54</w:t>
              </w:r>
            </w:hyperlink>
          </w:p>
        </w:tc>
      </w:tr>
      <w:tr>
        <w:trPr>
          <w:trHeight w:val="48"/>
        </w:trPr>
        <w:tc>
          <w:tcPr>
            <w:tcW w:w="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2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106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920" w:type="dxa"/>
            <w:vAlign w:val="bottom"/>
            <w:tcBorders>
              <w:top w:val="single" w:sz="8" w:color="0000FF"/>
            </w:tcBorders>
          </w:tcPr>
          <w:p>
            <w:pPr>
              <w:spacing w:after="0"/>
              <w:rPr>
                <w:sz w:val="4"/>
                <w:szCs w:val="4"/>
                <w:color w:val="auto"/>
              </w:rPr>
            </w:pPr>
          </w:p>
        </w:tc>
        <w:tc>
          <w:tcPr>
            <w:tcW w:w="1360" w:type="dxa"/>
            <w:vAlign w:val="bottom"/>
          </w:tcPr>
          <w:p>
            <w:pPr>
              <w:spacing w:after="0"/>
              <w:rPr>
                <w:sz w:val="4"/>
                <w:szCs w:val="4"/>
                <w:color w:val="auto"/>
              </w:rPr>
            </w:pPr>
          </w:p>
        </w:tc>
        <w:tc>
          <w:tcPr>
            <w:tcW w:w="184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126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Item 11.</w:t>
            </w:r>
          </w:p>
        </w:tc>
        <w:tc>
          <w:tcPr>
            <w:tcW w:w="1800" w:type="dxa"/>
            <w:vAlign w:val="bottom"/>
            <w:gridSpan w:val="2"/>
            <w:shd w:val="clear" w:color="auto" w:fill="CCEEFF"/>
          </w:tcPr>
          <w:p>
            <w:pPr>
              <w:spacing w:after="0" w:line="202" w:lineRule="exact"/>
              <w:rPr>
                <w:rFonts w:ascii="Arial" w:cs="Arial" w:eastAsia="Arial" w:hAnsi="Arial"/>
                <w:sz w:val="18"/>
                <w:szCs w:val="18"/>
                <w:color w:val="0000FF"/>
                <w:w w:val="89"/>
              </w:rPr>
            </w:pPr>
            <w:hyperlink w:anchor="page54">
              <w:r>
                <w:rPr>
                  <w:rFonts w:ascii="Arial" w:cs="Arial" w:eastAsia="Arial" w:hAnsi="Arial"/>
                  <w:sz w:val="18"/>
                  <w:szCs w:val="18"/>
                  <w:color w:val="0000FF"/>
                  <w:w w:val="89"/>
                </w:rPr>
                <w:t>Executive Compensation</w:t>
              </w:r>
            </w:hyperlink>
          </w:p>
        </w:tc>
        <w:tc>
          <w:tcPr>
            <w:tcW w:w="6300" w:type="dxa"/>
            <w:vAlign w:val="bottom"/>
            <w:gridSpan w:val="6"/>
            <w:shd w:val="clear" w:color="auto" w:fill="CCEEFF"/>
          </w:tcPr>
          <w:p>
            <w:pPr>
              <w:spacing w:after="0"/>
              <w:rPr>
                <w:sz w:val="17"/>
                <w:szCs w:val="17"/>
                <w:color w:val="auto"/>
              </w:rPr>
            </w:pPr>
          </w:p>
        </w:tc>
        <w:tc>
          <w:tcPr>
            <w:tcW w:w="2240" w:type="dxa"/>
            <w:vAlign w:val="bottom"/>
            <w:gridSpan w:val="3"/>
            <w:shd w:val="clear" w:color="auto" w:fill="CCEEFF"/>
          </w:tcPr>
          <w:p>
            <w:pPr>
              <w:jc w:val="right"/>
              <w:ind w:right="1260"/>
              <w:spacing w:after="0" w:line="202" w:lineRule="exact"/>
              <w:rPr>
                <w:rFonts w:ascii="Arial" w:cs="Arial" w:eastAsia="Arial" w:hAnsi="Arial"/>
                <w:sz w:val="18"/>
                <w:szCs w:val="18"/>
                <w:color w:val="0000FF"/>
              </w:rPr>
            </w:pPr>
            <w:hyperlink w:anchor="page54">
              <w:r>
                <w:rPr>
                  <w:rFonts w:ascii="Arial" w:cs="Arial" w:eastAsia="Arial" w:hAnsi="Arial"/>
                  <w:sz w:val="18"/>
                  <w:szCs w:val="18"/>
                  <w:color w:val="0000FF"/>
                </w:rPr>
                <w:t>54</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62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1360" w:type="dxa"/>
            <w:vAlign w:val="bottom"/>
            <w:tcBorders>
              <w:top w:val="single" w:sz="8" w:color="CCEEFF"/>
            </w:tcBorders>
            <w:shd w:val="clear" w:color="auto" w:fill="CCEEFF"/>
          </w:tcPr>
          <w:p>
            <w:pPr>
              <w:spacing w:after="0"/>
              <w:rPr>
                <w:sz w:val="4"/>
                <w:szCs w:val="4"/>
                <w:color w:val="auto"/>
              </w:rPr>
            </w:pPr>
          </w:p>
        </w:tc>
        <w:tc>
          <w:tcPr>
            <w:tcW w:w="18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1040" w:type="dxa"/>
            <w:vAlign w:val="bottom"/>
            <w:gridSpan w:val="2"/>
          </w:tcPr>
          <w:p>
            <w:pPr>
              <w:spacing w:after="0" w:line="202" w:lineRule="exact"/>
              <w:rPr>
                <w:sz w:val="20"/>
                <w:szCs w:val="20"/>
                <w:color w:val="auto"/>
              </w:rPr>
            </w:pPr>
            <w:r>
              <w:rPr>
                <w:rFonts w:ascii="Arial" w:cs="Arial" w:eastAsia="Arial" w:hAnsi="Arial"/>
                <w:sz w:val="18"/>
                <w:szCs w:val="18"/>
                <w:color w:val="auto"/>
              </w:rPr>
              <w:t>Item 12.</w:t>
            </w:r>
          </w:p>
        </w:tc>
        <w:tc>
          <w:tcPr>
            <w:tcW w:w="8100" w:type="dxa"/>
            <w:vAlign w:val="bottom"/>
            <w:gridSpan w:val="8"/>
          </w:tcPr>
          <w:p>
            <w:pPr>
              <w:spacing w:after="0" w:line="202" w:lineRule="exact"/>
              <w:rPr>
                <w:rFonts w:ascii="Arial" w:cs="Arial" w:eastAsia="Arial" w:hAnsi="Arial"/>
                <w:sz w:val="18"/>
                <w:szCs w:val="18"/>
                <w:color w:val="0000FF"/>
              </w:rPr>
            </w:pPr>
            <w:hyperlink w:anchor="page54">
              <w:r>
                <w:rPr>
                  <w:rFonts w:ascii="Arial" w:cs="Arial" w:eastAsia="Arial" w:hAnsi="Arial"/>
                  <w:sz w:val="18"/>
                  <w:szCs w:val="18"/>
                  <w:color w:val="0000FF"/>
                </w:rPr>
                <w:t>Security Ownership of Certain Beneficial Owners and Management and Related Stockholder Matters</w:t>
              </w:r>
            </w:hyperlink>
          </w:p>
        </w:tc>
        <w:tc>
          <w:tcPr>
            <w:tcW w:w="2240" w:type="dxa"/>
            <w:vAlign w:val="bottom"/>
            <w:gridSpan w:val="3"/>
          </w:tcPr>
          <w:p>
            <w:pPr>
              <w:jc w:val="right"/>
              <w:ind w:right="1260"/>
              <w:spacing w:after="0" w:line="202" w:lineRule="exact"/>
              <w:rPr>
                <w:rFonts w:ascii="Arial" w:cs="Arial" w:eastAsia="Arial" w:hAnsi="Arial"/>
                <w:sz w:val="18"/>
                <w:szCs w:val="18"/>
                <w:color w:val="0000FF"/>
              </w:rPr>
            </w:pPr>
            <w:hyperlink w:anchor="page54">
              <w:r>
                <w:rPr>
                  <w:rFonts w:ascii="Arial" w:cs="Arial" w:eastAsia="Arial" w:hAnsi="Arial"/>
                  <w:sz w:val="18"/>
                  <w:szCs w:val="18"/>
                  <w:color w:val="0000FF"/>
                </w:rPr>
                <w:t>54</w:t>
              </w:r>
            </w:hyperlink>
          </w:p>
        </w:tc>
      </w:tr>
      <w:tr>
        <w:trPr>
          <w:trHeight w:val="48"/>
        </w:trPr>
        <w:tc>
          <w:tcPr>
            <w:tcW w:w="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2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106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920" w:type="dxa"/>
            <w:vAlign w:val="bottom"/>
            <w:tcBorders>
              <w:top w:val="single" w:sz="8" w:color="0000FF"/>
            </w:tcBorders>
          </w:tcPr>
          <w:p>
            <w:pPr>
              <w:spacing w:after="0"/>
              <w:rPr>
                <w:sz w:val="4"/>
                <w:szCs w:val="4"/>
                <w:color w:val="auto"/>
              </w:rPr>
            </w:pPr>
          </w:p>
        </w:tc>
        <w:tc>
          <w:tcPr>
            <w:tcW w:w="1360" w:type="dxa"/>
            <w:vAlign w:val="bottom"/>
            <w:tcBorders>
              <w:top w:val="single" w:sz="8" w:color="0000FF"/>
            </w:tcBorders>
          </w:tcPr>
          <w:p>
            <w:pPr>
              <w:spacing w:after="0"/>
              <w:rPr>
                <w:sz w:val="4"/>
                <w:szCs w:val="4"/>
                <w:color w:val="auto"/>
              </w:rPr>
            </w:pPr>
          </w:p>
        </w:tc>
        <w:tc>
          <w:tcPr>
            <w:tcW w:w="1840" w:type="dxa"/>
            <w:vAlign w:val="bottom"/>
            <w:tcBorders>
              <w:top w:val="single" w:sz="8" w:color="0000FF"/>
            </w:tcBorders>
          </w:tcPr>
          <w:p>
            <w:pPr>
              <w:spacing w:after="0"/>
              <w:rPr>
                <w:sz w:val="4"/>
                <w:szCs w:val="4"/>
                <w:color w:val="auto"/>
              </w:rPr>
            </w:pPr>
          </w:p>
        </w:tc>
        <w:tc>
          <w:tcPr>
            <w:tcW w:w="8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126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Item 13.</w:t>
            </w:r>
          </w:p>
        </w:tc>
        <w:tc>
          <w:tcPr>
            <w:tcW w:w="8100" w:type="dxa"/>
            <w:vAlign w:val="bottom"/>
            <w:gridSpan w:val="8"/>
            <w:shd w:val="clear" w:color="auto" w:fill="CCEEFF"/>
          </w:tcPr>
          <w:p>
            <w:pPr>
              <w:spacing w:after="0" w:line="202" w:lineRule="exact"/>
              <w:rPr>
                <w:rFonts w:ascii="Arial" w:cs="Arial" w:eastAsia="Arial" w:hAnsi="Arial"/>
                <w:sz w:val="18"/>
                <w:szCs w:val="18"/>
                <w:color w:val="0000FF"/>
              </w:rPr>
            </w:pPr>
            <w:hyperlink w:anchor="page54">
              <w:r>
                <w:rPr>
                  <w:rFonts w:ascii="Arial" w:cs="Arial" w:eastAsia="Arial" w:hAnsi="Arial"/>
                  <w:sz w:val="18"/>
                  <w:szCs w:val="18"/>
                  <w:color w:val="0000FF"/>
                </w:rPr>
                <w:t>Certain Relationships and Related Transactions, and Director Independence</w:t>
              </w:r>
            </w:hyperlink>
          </w:p>
        </w:tc>
        <w:tc>
          <w:tcPr>
            <w:tcW w:w="2240" w:type="dxa"/>
            <w:vAlign w:val="bottom"/>
            <w:gridSpan w:val="3"/>
            <w:shd w:val="clear" w:color="auto" w:fill="CCEEFF"/>
          </w:tcPr>
          <w:p>
            <w:pPr>
              <w:jc w:val="right"/>
              <w:ind w:right="1260"/>
              <w:spacing w:after="0" w:line="202" w:lineRule="exact"/>
              <w:rPr>
                <w:rFonts w:ascii="Arial" w:cs="Arial" w:eastAsia="Arial" w:hAnsi="Arial"/>
                <w:sz w:val="18"/>
                <w:szCs w:val="18"/>
                <w:color w:val="0000FF"/>
              </w:rPr>
            </w:pPr>
            <w:hyperlink w:anchor="page54">
              <w:r>
                <w:rPr>
                  <w:rFonts w:ascii="Arial" w:cs="Arial" w:eastAsia="Arial" w:hAnsi="Arial"/>
                  <w:sz w:val="18"/>
                  <w:szCs w:val="18"/>
                  <w:color w:val="0000FF"/>
                </w:rPr>
                <w:t>55</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62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106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920" w:type="dxa"/>
            <w:vAlign w:val="bottom"/>
            <w:tcBorders>
              <w:top w:val="single" w:sz="8" w:color="0000FF"/>
            </w:tcBorders>
            <w:shd w:val="clear" w:color="auto" w:fill="CCEEFF"/>
          </w:tcPr>
          <w:p>
            <w:pPr>
              <w:spacing w:after="0"/>
              <w:rPr>
                <w:sz w:val="4"/>
                <w:szCs w:val="4"/>
                <w:color w:val="auto"/>
              </w:rPr>
            </w:pPr>
          </w:p>
        </w:tc>
        <w:tc>
          <w:tcPr>
            <w:tcW w:w="1360" w:type="dxa"/>
            <w:vAlign w:val="bottom"/>
            <w:tcBorders>
              <w:top w:val="single" w:sz="8" w:color="0000FF"/>
            </w:tcBorders>
            <w:shd w:val="clear" w:color="auto" w:fill="CCEEFF"/>
          </w:tcPr>
          <w:p>
            <w:pPr>
              <w:spacing w:after="0"/>
              <w:rPr>
                <w:sz w:val="4"/>
                <w:szCs w:val="4"/>
                <w:color w:val="auto"/>
              </w:rPr>
            </w:pPr>
          </w:p>
        </w:tc>
        <w:tc>
          <w:tcPr>
            <w:tcW w:w="18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1040" w:type="dxa"/>
            <w:vAlign w:val="bottom"/>
            <w:gridSpan w:val="2"/>
          </w:tcPr>
          <w:p>
            <w:pPr>
              <w:spacing w:after="0" w:line="202" w:lineRule="exact"/>
              <w:rPr>
                <w:sz w:val="20"/>
                <w:szCs w:val="20"/>
                <w:color w:val="auto"/>
              </w:rPr>
            </w:pPr>
            <w:r>
              <w:rPr>
                <w:rFonts w:ascii="Arial" w:cs="Arial" w:eastAsia="Arial" w:hAnsi="Arial"/>
                <w:sz w:val="18"/>
                <w:szCs w:val="18"/>
                <w:color w:val="auto"/>
              </w:rPr>
              <w:t>Item 14.</w:t>
            </w:r>
          </w:p>
        </w:tc>
        <w:tc>
          <w:tcPr>
            <w:tcW w:w="5440" w:type="dxa"/>
            <w:vAlign w:val="bottom"/>
            <w:gridSpan w:val="6"/>
          </w:tcPr>
          <w:p>
            <w:pPr>
              <w:spacing w:after="0" w:line="202" w:lineRule="exact"/>
              <w:rPr>
                <w:rFonts w:ascii="Arial" w:cs="Arial" w:eastAsia="Arial" w:hAnsi="Arial"/>
                <w:sz w:val="18"/>
                <w:szCs w:val="18"/>
                <w:color w:val="0000FF"/>
              </w:rPr>
            </w:pPr>
            <w:hyperlink w:anchor="page55">
              <w:r>
                <w:rPr>
                  <w:rFonts w:ascii="Arial" w:cs="Arial" w:eastAsia="Arial" w:hAnsi="Arial"/>
                  <w:sz w:val="18"/>
                  <w:szCs w:val="18"/>
                  <w:color w:val="0000FF"/>
                </w:rPr>
                <w:t>Principal Accounting Fees and Services</w:t>
              </w:r>
            </w:hyperlink>
          </w:p>
        </w:tc>
        <w:tc>
          <w:tcPr>
            <w:tcW w:w="2660" w:type="dxa"/>
            <w:vAlign w:val="bottom"/>
            <w:gridSpan w:val="2"/>
          </w:tcPr>
          <w:p>
            <w:pPr>
              <w:spacing w:after="0"/>
              <w:rPr>
                <w:sz w:val="17"/>
                <w:szCs w:val="17"/>
                <w:color w:val="auto"/>
              </w:rPr>
            </w:pPr>
          </w:p>
        </w:tc>
        <w:tc>
          <w:tcPr>
            <w:tcW w:w="2240" w:type="dxa"/>
            <w:vAlign w:val="bottom"/>
            <w:gridSpan w:val="3"/>
          </w:tcPr>
          <w:p>
            <w:pPr>
              <w:jc w:val="right"/>
              <w:ind w:right="1260"/>
              <w:spacing w:after="0" w:line="202" w:lineRule="exact"/>
              <w:rPr>
                <w:rFonts w:ascii="Arial" w:cs="Arial" w:eastAsia="Arial" w:hAnsi="Arial"/>
                <w:sz w:val="18"/>
                <w:szCs w:val="18"/>
                <w:color w:val="0000FF"/>
              </w:rPr>
            </w:pPr>
            <w:hyperlink w:anchor="page55">
              <w:r>
                <w:rPr>
                  <w:rFonts w:ascii="Arial" w:cs="Arial" w:eastAsia="Arial" w:hAnsi="Arial"/>
                  <w:sz w:val="18"/>
                  <w:szCs w:val="18"/>
                  <w:color w:val="0000FF"/>
                </w:rPr>
                <w:t>55</w:t>
              </w:r>
            </w:hyperlink>
          </w:p>
        </w:tc>
      </w:tr>
      <w:tr>
        <w:trPr>
          <w:trHeight w:val="48"/>
        </w:trPr>
        <w:tc>
          <w:tcPr>
            <w:tcW w:w="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2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1060" w:type="dxa"/>
            <w:vAlign w:val="bottom"/>
            <w:tcBorders>
              <w:top w:val="single" w:sz="8" w:color="0000FF"/>
            </w:tcBorders>
          </w:tcPr>
          <w:p>
            <w:pPr>
              <w:spacing w:after="0"/>
              <w:rPr>
                <w:sz w:val="4"/>
                <w:szCs w:val="4"/>
                <w:color w:val="auto"/>
              </w:rPr>
            </w:pPr>
          </w:p>
        </w:tc>
        <w:tc>
          <w:tcPr>
            <w:tcW w:w="3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84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126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Part IV</w:t>
            </w:r>
          </w:p>
        </w:tc>
        <w:tc>
          <w:tcPr>
            <w:tcW w:w="16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03"/>
        </w:trPr>
        <w:tc>
          <w:tcPr>
            <w:tcW w:w="40" w:type="dxa"/>
            <w:vAlign w:val="bottom"/>
          </w:tcPr>
          <w:p>
            <w:pPr>
              <w:spacing w:after="0"/>
              <w:rPr>
                <w:sz w:val="17"/>
                <w:szCs w:val="17"/>
                <w:color w:val="auto"/>
              </w:rPr>
            </w:pPr>
          </w:p>
        </w:tc>
        <w:tc>
          <w:tcPr>
            <w:tcW w:w="1040" w:type="dxa"/>
            <w:vAlign w:val="bottom"/>
            <w:gridSpan w:val="2"/>
          </w:tcPr>
          <w:p>
            <w:pPr>
              <w:spacing w:after="0" w:line="202" w:lineRule="exact"/>
              <w:rPr>
                <w:sz w:val="20"/>
                <w:szCs w:val="20"/>
                <w:color w:val="auto"/>
              </w:rPr>
            </w:pPr>
            <w:r>
              <w:rPr>
                <w:rFonts w:ascii="Arial" w:cs="Arial" w:eastAsia="Arial" w:hAnsi="Arial"/>
                <w:sz w:val="18"/>
                <w:szCs w:val="18"/>
                <w:color w:val="auto"/>
              </w:rPr>
              <w:t>Item 15.</w:t>
            </w:r>
          </w:p>
        </w:tc>
        <w:tc>
          <w:tcPr>
            <w:tcW w:w="8100" w:type="dxa"/>
            <w:vAlign w:val="bottom"/>
            <w:gridSpan w:val="8"/>
          </w:tcPr>
          <w:p>
            <w:pPr>
              <w:spacing w:after="0" w:line="202" w:lineRule="exact"/>
              <w:rPr>
                <w:rFonts w:ascii="Arial" w:cs="Arial" w:eastAsia="Arial" w:hAnsi="Arial"/>
                <w:sz w:val="18"/>
                <w:szCs w:val="18"/>
                <w:color w:val="0000FF"/>
              </w:rPr>
            </w:pPr>
            <w:hyperlink w:anchor="page56">
              <w:r>
                <w:rPr>
                  <w:rFonts w:ascii="Arial" w:cs="Arial" w:eastAsia="Arial" w:hAnsi="Arial"/>
                  <w:sz w:val="18"/>
                  <w:szCs w:val="18"/>
                  <w:color w:val="0000FF"/>
                </w:rPr>
                <w:t>Exhibits and Financial Statement Schedules</w:t>
              </w:r>
            </w:hyperlink>
          </w:p>
        </w:tc>
        <w:tc>
          <w:tcPr>
            <w:tcW w:w="2240" w:type="dxa"/>
            <w:vAlign w:val="bottom"/>
            <w:gridSpan w:val="3"/>
          </w:tcPr>
          <w:p>
            <w:pPr>
              <w:jc w:val="right"/>
              <w:ind w:right="1260"/>
              <w:spacing w:after="0" w:line="202" w:lineRule="exact"/>
              <w:rPr>
                <w:rFonts w:ascii="Arial" w:cs="Arial" w:eastAsia="Arial" w:hAnsi="Arial"/>
                <w:sz w:val="18"/>
                <w:szCs w:val="18"/>
                <w:color w:val="0000FF"/>
              </w:rPr>
            </w:pPr>
            <w:hyperlink w:anchor="page56">
              <w:r>
                <w:rPr>
                  <w:rFonts w:ascii="Arial" w:cs="Arial" w:eastAsia="Arial" w:hAnsi="Arial"/>
                  <w:sz w:val="18"/>
                  <w:szCs w:val="18"/>
                  <w:color w:val="0000FF"/>
                </w:rPr>
                <w:t>56</w:t>
              </w:r>
            </w:hyperlink>
          </w:p>
        </w:tc>
      </w:tr>
      <w:tr>
        <w:trPr>
          <w:trHeight w:val="48"/>
        </w:trPr>
        <w:tc>
          <w:tcPr>
            <w:tcW w:w="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2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106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92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84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1260" w:type="dxa"/>
            <w:vAlign w:val="bottom"/>
          </w:tcPr>
          <w:p>
            <w:pPr>
              <w:spacing w:after="0"/>
              <w:rPr>
                <w:sz w:val="4"/>
                <w:szCs w:val="4"/>
                <w:color w:val="auto"/>
              </w:rPr>
            </w:pPr>
          </w:p>
        </w:tc>
      </w:tr>
      <w:tr>
        <w:trPr>
          <w:trHeight w:val="270"/>
        </w:trPr>
        <w:tc>
          <w:tcPr>
            <w:tcW w:w="4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84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r>
      <w:tr>
        <w:trPr>
          <w:trHeight w:val="203"/>
        </w:trPr>
        <w:tc>
          <w:tcPr>
            <w:tcW w:w="40" w:type="dxa"/>
            <w:vAlign w:val="bottom"/>
          </w:tcPr>
          <w:p>
            <w:pPr>
              <w:spacing w:after="0"/>
              <w:rPr>
                <w:sz w:val="17"/>
                <w:szCs w:val="17"/>
                <w:color w:val="auto"/>
              </w:rPr>
            </w:pPr>
          </w:p>
        </w:tc>
        <w:tc>
          <w:tcPr>
            <w:tcW w:w="1040" w:type="dxa"/>
            <w:vAlign w:val="bottom"/>
            <w:gridSpan w:val="2"/>
          </w:tcPr>
          <w:p>
            <w:pPr>
              <w:spacing w:after="0" w:line="202" w:lineRule="exact"/>
              <w:rPr>
                <w:rFonts w:ascii="Arial" w:cs="Arial" w:eastAsia="Arial" w:hAnsi="Arial"/>
                <w:sz w:val="18"/>
                <w:szCs w:val="18"/>
                <w:b w:val="1"/>
                <w:bCs w:val="1"/>
                <w:color w:val="0000FF"/>
              </w:rPr>
            </w:pPr>
            <w:hyperlink w:anchor="page61">
              <w:r>
                <w:rPr>
                  <w:rFonts w:ascii="Arial" w:cs="Arial" w:eastAsia="Arial" w:hAnsi="Arial"/>
                  <w:sz w:val="18"/>
                  <w:szCs w:val="18"/>
                  <w:b w:val="1"/>
                  <w:bCs w:val="1"/>
                  <w:color w:val="0000FF"/>
                </w:rPr>
                <w:t>Signatures</w:t>
              </w:r>
            </w:hyperlink>
          </w:p>
        </w:tc>
        <w:tc>
          <w:tcPr>
            <w:tcW w:w="1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40" w:type="dxa"/>
            <w:vAlign w:val="bottom"/>
            <w:gridSpan w:val="3"/>
          </w:tcPr>
          <w:p>
            <w:pPr>
              <w:jc w:val="right"/>
              <w:ind w:right="1260"/>
              <w:spacing w:after="0" w:line="202" w:lineRule="exact"/>
              <w:rPr>
                <w:rFonts w:ascii="Arial" w:cs="Arial" w:eastAsia="Arial" w:hAnsi="Arial"/>
                <w:sz w:val="18"/>
                <w:szCs w:val="18"/>
                <w:color w:val="0000FF"/>
              </w:rPr>
            </w:pPr>
            <w:hyperlink w:anchor="page61">
              <w:r>
                <w:rPr>
                  <w:rFonts w:ascii="Arial" w:cs="Arial" w:eastAsia="Arial" w:hAnsi="Arial"/>
                  <w:sz w:val="18"/>
                  <w:szCs w:val="18"/>
                  <w:color w:val="0000FF"/>
                </w:rPr>
                <w:t>62</w:t>
              </w:r>
            </w:hyperlink>
          </w:p>
        </w:tc>
      </w:tr>
      <w:tr>
        <w:trPr>
          <w:trHeight w:val="48"/>
        </w:trPr>
        <w:tc>
          <w:tcPr>
            <w:tcW w:w="40" w:type="dxa"/>
            <w:vAlign w:val="bottom"/>
          </w:tcPr>
          <w:p>
            <w:pPr>
              <w:spacing w:after="0"/>
              <w:rPr>
                <w:sz w:val="4"/>
                <w:szCs w:val="4"/>
                <w:color w:val="auto"/>
              </w:rPr>
            </w:pPr>
          </w:p>
        </w:tc>
        <w:tc>
          <w:tcPr>
            <w:tcW w:w="820" w:type="dxa"/>
            <w:vAlign w:val="bottom"/>
            <w:tcBorders>
              <w:top w:val="single" w:sz="8" w:color="0000FF"/>
            </w:tcBorders>
          </w:tcPr>
          <w:p>
            <w:pPr>
              <w:spacing w:after="0"/>
              <w:rPr>
                <w:sz w:val="4"/>
                <w:szCs w:val="4"/>
                <w:color w:val="auto"/>
              </w:rPr>
            </w:pPr>
          </w:p>
        </w:tc>
        <w:tc>
          <w:tcPr>
            <w:tcW w:w="220" w:type="dxa"/>
            <w:vAlign w:val="bottom"/>
          </w:tcPr>
          <w:p>
            <w:pPr>
              <w:spacing w:after="0"/>
              <w:rPr>
                <w:sz w:val="4"/>
                <w:szCs w:val="4"/>
                <w:color w:val="auto"/>
              </w:rPr>
            </w:pPr>
          </w:p>
        </w:tc>
        <w:tc>
          <w:tcPr>
            <w:tcW w:w="16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3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84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1260" w:type="dxa"/>
            <w:vAlign w:val="bottom"/>
          </w:tcPr>
          <w:p>
            <w:pPr>
              <w:spacing w:after="0"/>
              <w:rPr>
                <w:sz w:val="4"/>
                <w:szCs w:val="4"/>
                <w:color w:val="auto"/>
              </w:rPr>
            </w:pPr>
          </w:p>
        </w:tc>
      </w:tr>
      <w:tr>
        <w:trPr>
          <w:trHeight w:val="270"/>
        </w:trPr>
        <w:tc>
          <w:tcPr>
            <w:tcW w:w="4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840" w:type="dxa"/>
            <w:vAlign w:val="bottom"/>
            <w:gridSpan w:val="2"/>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84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r>
      <w:tr>
        <w:trPr>
          <w:trHeight w:val="203"/>
        </w:trPr>
        <w:tc>
          <w:tcPr>
            <w:tcW w:w="40" w:type="dxa"/>
            <w:vAlign w:val="bottom"/>
          </w:tcPr>
          <w:p>
            <w:pPr>
              <w:spacing w:after="0"/>
              <w:rPr>
                <w:sz w:val="17"/>
                <w:szCs w:val="17"/>
                <w:color w:val="auto"/>
              </w:rPr>
            </w:pPr>
          </w:p>
        </w:tc>
        <w:tc>
          <w:tcPr>
            <w:tcW w:w="9140" w:type="dxa"/>
            <w:vAlign w:val="bottom"/>
            <w:gridSpan w:val="10"/>
          </w:tcPr>
          <w:p>
            <w:pPr>
              <w:spacing w:after="0" w:line="202" w:lineRule="exact"/>
              <w:rPr>
                <w:rFonts w:ascii="Arial" w:cs="Arial" w:eastAsia="Arial" w:hAnsi="Arial"/>
                <w:sz w:val="18"/>
                <w:szCs w:val="18"/>
                <w:b w:val="1"/>
                <w:bCs w:val="1"/>
                <w:color w:val="0000FF"/>
              </w:rPr>
            </w:pPr>
            <w:hyperlink w:anchor="page64">
              <w:r>
                <w:rPr>
                  <w:rFonts w:ascii="Arial" w:cs="Arial" w:eastAsia="Arial" w:hAnsi="Arial"/>
                  <w:sz w:val="18"/>
                  <w:szCs w:val="18"/>
                  <w:b w:val="1"/>
                  <w:bCs w:val="1"/>
                  <w:color w:val="0000FF"/>
                </w:rPr>
                <w:t>Consolidated Financial Statements</w:t>
              </w:r>
            </w:hyperlink>
          </w:p>
        </w:tc>
        <w:tc>
          <w:tcPr>
            <w:tcW w:w="2240" w:type="dxa"/>
            <w:vAlign w:val="bottom"/>
            <w:gridSpan w:val="3"/>
          </w:tcPr>
          <w:p>
            <w:pPr>
              <w:jc w:val="right"/>
              <w:ind w:right="1260"/>
              <w:spacing w:after="0" w:line="202" w:lineRule="exact"/>
              <w:rPr>
                <w:rFonts w:ascii="Arial" w:cs="Arial" w:eastAsia="Arial" w:hAnsi="Arial"/>
                <w:sz w:val="18"/>
                <w:szCs w:val="18"/>
                <w:color w:val="0000FF"/>
              </w:rPr>
            </w:pPr>
            <w:hyperlink w:anchor="page64">
              <w:r>
                <w:rPr>
                  <w:rFonts w:ascii="Arial" w:cs="Arial" w:eastAsia="Arial" w:hAnsi="Arial"/>
                  <w:sz w:val="18"/>
                  <w:szCs w:val="18"/>
                  <w:color w:val="0000FF"/>
                </w:rPr>
                <w:t>65</w:t>
              </w:r>
            </w:hyperlink>
          </w:p>
        </w:tc>
      </w:tr>
      <w:tr>
        <w:trPr>
          <w:trHeight w:val="20"/>
        </w:trPr>
        <w:tc>
          <w:tcPr>
            <w:tcW w:w="4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2012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364"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Definitions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abbreviations or acronyms are used in the text. References in this report to “we,” “us” and “our” are to ALLETE, Inc. and its subsidiaries, collectively.</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80" w:type="dxa"/>
            <w:vAlign w:val="bottom"/>
          </w:tcPr>
          <w:p>
            <w:pPr>
              <w:ind w:left="40"/>
              <w:spacing w:after="0"/>
              <w:rPr>
                <w:sz w:val="20"/>
                <w:szCs w:val="20"/>
                <w:color w:val="auto"/>
              </w:rPr>
            </w:pPr>
            <w:r>
              <w:rPr>
                <w:rFonts w:ascii="Arial" w:cs="Arial" w:eastAsia="Arial" w:hAnsi="Arial"/>
                <w:sz w:val="18"/>
                <w:szCs w:val="18"/>
                <w:b w:val="1"/>
                <w:bCs w:val="1"/>
                <w:color w:val="auto"/>
              </w:rPr>
              <w:t>Abbreviation or Acronym</w:t>
            </w:r>
          </w:p>
        </w:tc>
        <w:tc>
          <w:tcPr>
            <w:tcW w:w="9140" w:type="dxa"/>
            <w:vAlign w:val="bottom"/>
          </w:tcPr>
          <w:p>
            <w:pPr>
              <w:ind w:left="260"/>
              <w:spacing w:after="0"/>
              <w:rPr>
                <w:sz w:val="20"/>
                <w:szCs w:val="20"/>
                <w:color w:val="auto"/>
              </w:rPr>
            </w:pPr>
            <w:r>
              <w:rPr>
                <w:rFonts w:ascii="Arial" w:cs="Arial" w:eastAsia="Arial" w:hAnsi="Arial"/>
                <w:sz w:val="18"/>
                <w:szCs w:val="18"/>
                <w:b w:val="1"/>
                <w:bCs w:val="1"/>
                <w:color w:val="auto"/>
              </w:rPr>
              <w:t>Term</w:t>
            </w:r>
          </w:p>
        </w:tc>
      </w:tr>
      <w:tr>
        <w:trPr>
          <w:trHeight w:val="27"/>
        </w:trPr>
        <w:tc>
          <w:tcPr>
            <w:tcW w:w="2280" w:type="dxa"/>
            <w:vAlign w:val="bottom"/>
          </w:tcPr>
          <w:p>
            <w:pPr>
              <w:spacing w:after="0"/>
              <w:rPr>
                <w:sz w:val="2"/>
                <w:szCs w:val="2"/>
                <w:color w:val="auto"/>
              </w:rPr>
            </w:pPr>
          </w:p>
        </w:tc>
        <w:tc>
          <w:tcPr>
            <w:tcW w:w="9140" w:type="dxa"/>
            <w:vAlign w:val="bottom"/>
          </w:tcPr>
          <w:p>
            <w:pPr>
              <w:spacing w:after="0"/>
              <w:rPr>
                <w:sz w:val="2"/>
                <w:szCs w:val="2"/>
                <w:color w:val="auto"/>
              </w:rPr>
            </w:pPr>
          </w:p>
        </w:tc>
      </w:tr>
      <w:tr>
        <w:trPr>
          <w:trHeight w:val="250"/>
        </w:trPr>
        <w:tc>
          <w:tcPr>
            <w:tcW w:w="2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w:t>
            </w:r>
          </w:p>
        </w:tc>
        <w:tc>
          <w:tcPr>
            <w:tcW w:w="91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Alternating Current</w:t>
            </w:r>
          </w:p>
        </w:tc>
      </w:tr>
      <w:tr>
        <w:trPr>
          <w:trHeight w:val="229"/>
        </w:trPr>
        <w:tc>
          <w:tcPr>
            <w:tcW w:w="2280" w:type="dxa"/>
            <w:vAlign w:val="bottom"/>
          </w:tcPr>
          <w:p>
            <w:pPr>
              <w:ind w:left="40"/>
              <w:spacing w:after="0"/>
              <w:rPr>
                <w:sz w:val="20"/>
                <w:szCs w:val="20"/>
                <w:color w:val="auto"/>
              </w:rPr>
            </w:pPr>
            <w:r>
              <w:rPr>
                <w:rFonts w:ascii="Arial" w:cs="Arial" w:eastAsia="Arial" w:hAnsi="Arial"/>
                <w:sz w:val="18"/>
                <w:szCs w:val="18"/>
                <w:color w:val="auto"/>
              </w:rPr>
              <w:t>AFUDC</w:t>
            </w:r>
          </w:p>
        </w:tc>
        <w:tc>
          <w:tcPr>
            <w:tcW w:w="9140" w:type="dxa"/>
            <w:vAlign w:val="bottom"/>
          </w:tcPr>
          <w:p>
            <w:pPr>
              <w:ind w:left="260"/>
              <w:spacing w:after="0"/>
              <w:rPr>
                <w:sz w:val="20"/>
                <w:szCs w:val="20"/>
                <w:color w:val="auto"/>
              </w:rPr>
            </w:pPr>
            <w:r>
              <w:rPr>
                <w:rFonts w:ascii="Arial" w:cs="Arial" w:eastAsia="Arial" w:hAnsi="Arial"/>
                <w:sz w:val="18"/>
                <w:szCs w:val="18"/>
                <w:color w:val="auto"/>
                <w:w w:val="97"/>
              </w:rPr>
              <w:t>Allowance for Funds Used During Construction - the cost of both debt and equity funds used to finance utility plant</w:t>
            </w:r>
          </w:p>
        </w:tc>
      </w:tr>
      <w:tr>
        <w:trPr>
          <w:trHeight w:val="230"/>
        </w:trPr>
        <w:tc>
          <w:tcPr>
            <w:tcW w:w="2280" w:type="dxa"/>
            <w:vAlign w:val="bottom"/>
          </w:tcPr>
          <w:p>
            <w:pPr>
              <w:spacing w:after="0"/>
              <w:rPr>
                <w:sz w:val="20"/>
                <w:szCs w:val="20"/>
                <w:color w:val="auto"/>
              </w:rPr>
            </w:pPr>
          </w:p>
        </w:tc>
        <w:tc>
          <w:tcPr>
            <w:tcW w:w="9140" w:type="dxa"/>
            <w:vAlign w:val="bottom"/>
          </w:tcPr>
          <w:p>
            <w:pPr>
              <w:ind w:left="260"/>
              <w:spacing w:after="0"/>
              <w:rPr>
                <w:sz w:val="20"/>
                <w:szCs w:val="20"/>
                <w:color w:val="auto"/>
              </w:rPr>
            </w:pPr>
            <w:r>
              <w:rPr>
                <w:rFonts w:ascii="Arial" w:cs="Arial" w:eastAsia="Arial" w:hAnsi="Arial"/>
                <w:sz w:val="18"/>
                <w:szCs w:val="18"/>
                <w:color w:val="auto"/>
              </w:rPr>
              <w:t>additions during construction periods</w:t>
            </w:r>
          </w:p>
        </w:tc>
      </w:tr>
      <w:tr>
        <w:trPr>
          <w:trHeight w:val="27"/>
        </w:trPr>
        <w:tc>
          <w:tcPr>
            <w:tcW w:w="2280" w:type="dxa"/>
            <w:vAlign w:val="bottom"/>
          </w:tcPr>
          <w:p>
            <w:pPr>
              <w:spacing w:after="0"/>
              <w:rPr>
                <w:sz w:val="2"/>
                <w:szCs w:val="2"/>
                <w:color w:val="auto"/>
              </w:rPr>
            </w:pPr>
          </w:p>
        </w:tc>
        <w:tc>
          <w:tcPr>
            <w:tcW w:w="9140" w:type="dxa"/>
            <w:vAlign w:val="bottom"/>
          </w:tcPr>
          <w:p>
            <w:pPr>
              <w:spacing w:after="0"/>
              <w:rPr>
                <w:sz w:val="2"/>
                <w:szCs w:val="2"/>
                <w:color w:val="auto"/>
              </w:rPr>
            </w:pPr>
          </w:p>
        </w:tc>
      </w:tr>
      <w:tr>
        <w:trPr>
          <w:trHeight w:val="250"/>
        </w:trPr>
        <w:tc>
          <w:tcPr>
            <w:tcW w:w="2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ALLETE</w:t>
            </w:r>
          </w:p>
        </w:tc>
        <w:tc>
          <w:tcPr>
            <w:tcW w:w="91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ALLETE, Inc.</w:t>
            </w:r>
          </w:p>
        </w:tc>
      </w:tr>
      <w:tr>
        <w:trPr>
          <w:trHeight w:val="243"/>
        </w:trPr>
        <w:tc>
          <w:tcPr>
            <w:tcW w:w="2280" w:type="dxa"/>
            <w:vAlign w:val="bottom"/>
          </w:tcPr>
          <w:p>
            <w:pPr>
              <w:ind w:left="40"/>
              <w:spacing w:after="0"/>
              <w:rPr>
                <w:sz w:val="20"/>
                <w:szCs w:val="20"/>
                <w:color w:val="auto"/>
              </w:rPr>
            </w:pPr>
            <w:r>
              <w:rPr>
                <w:rFonts w:ascii="Arial" w:cs="Arial" w:eastAsia="Arial" w:hAnsi="Arial"/>
                <w:sz w:val="18"/>
                <w:szCs w:val="18"/>
                <w:color w:val="auto"/>
              </w:rPr>
              <w:t>ALLETE Clean Energy</w:t>
            </w:r>
          </w:p>
        </w:tc>
        <w:tc>
          <w:tcPr>
            <w:tcW w:w="9140" w:type="dxa"/>
            <w:vAlign w:val="bottom"/>
          </w:tcPr>
          <w:p>
            <w:pPr>
              <w:ind w:left="260"/>
              <w:spacing w:after="0"/>
              <w:rPr>
                <w:sz w:val="20"/>
                <w:szCs w:val="20"/>
                <w:color w:val="auto"/>
              </w:rPr>
            </w:pPr>
            <w:r>
              <w:rPr>
                <w:rFonts w:ascii="Arial" w:cs="Arial" w:eastAsia="Arial" w:hAnsi="Arial"/>
                <w:sz w:val="18"/>
                <w:szCs w:val="18"/>
                <w:color w:val="auto"/>
              </w:rPr>
              <w:t>ALLETE Clean Energy, Inc.</w:t>
            </w:r>
          </w:p>
        </w:tc>
      </w:tr>
      <w:tr>
        <w:trPr>
          <w:trHeight w:val="27"/>
        </w:trPr>
        <w:tc>
          <w:tcPr>
            <w:tcW w:w="2280" w:type="dxa"/>
            <w:vAlign w:val="bottom"/>
          </w:tcPr>
          <w:p>
            <w:pPr>
              <w:spacing w:after="0"/>
              <w:rPr>
                <w:sz w:val="2"/>
                <w:szCs w:val="2"/>
                <w:color w:val="auto"/>
              </w:rPr>
            </w:pPr>
          </w:p>
        </w:tc>
        <w:tc>
          <w:tcPr>
            <w:tcW w:w="9140" w:type="dxa"/>
            <w:vAlign w:val="bottom"/>
          </w:tcPr>
          <w:p>
            <w:pPr>
              <w:spacing w:after="0"/>
              <w:rPr>
                <w:sz w:val="2"/>
                <w:szCs w:val="2"/>
                <w:color w:val="auto"/>
              </w:rPr>
            </w:pPr>
          </w:p>
        </w:tc>
      </w:tr>
      <w:tr>
        <w:trPr>
          <w:trHeight w:val="250"/>
        </w:trPr>
        <w:tc>
          <w:tcPr>
            <w:tcW w:w="2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ALLETE Properties</w:t>
            </w:r>
          </w:p>
        </w:tc>
        <w:tc>
          <w:tcPr>
            <w:tcW w:w="91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ALLETE Properties, LLC and its subsidiaries</w:t>
            </w:r>
          </w:p>
        </w:tc>
      </w:tr>
      <w:tr>
        <w:trPr>
          <w:trHeight w:val="243"/>
        </w:trPr>
        <w:tc>
          <w:tcPr>
            <w:tcW w:w="2280" w:type="dxa"/>
            <w:vAlign w:val="bottom"/>
          </w:tcPr>
          <w:p>
            <w:pPr>
              <w:ind w:left="40"/>
              <w:spacing w:after="0"/>
              <w:rPr>
                <w:sz w:val="20"/>
                <w:szCs w:val="20"/>
                <w:color w:val="auto"/>
              </w:rPr>
            </w:pPr>
            <w:r>
              <w:rPr>
                <w:rFonts w:ascii="Arial" w:cs="Arial" w:eastAsia="Arial" w:hAnsi="Arial"/>
                <w:sz w:val="18"/>
                <w:szCs w:val="18"/>
                <w:color w:val="auto"/>
              </w:rPr>
              <w:t>ArcelorMittal</w:t>
            </w:r>
          </w:p>
        </w:tc>
        <w:tc>
          <w:tcPr>
            <w:tcW w:w="9140" w:type="dxa"/>
            <w:vAlign w:val="bottom"/>
          </w:tcPr>
          <w:p>
            <w:pPr>
              <w:ind w:left="260"/>
              <w:spacing w:after="0"/>
              <w:rPr>
                <w:sz w:val="20"/>
                <w:szCs w:val="20"/>
                <w:color w:val="auto"/>
              </w:rPr>
            </w:pPr>
            <w:r>
              <w:rPr>
                <w:rFonts w:ascii="Arial" w:cs="Arial" w:eastAsia="Arial" w:hAnsi="Arial"/>
                <w:sz w:val="18"/>
                <w:szCs w:val="18"/>
                <w:color w:val="auto"/>
              </w:rPr>
              <w:t>ArcelorMittal USA, Inc.</w:t>
            </w:r>
          </w:p>
        </w:tc>
      </w:tr>
      <w:tr>
        <w:trPr>
          <w:trHeight w:val="27"/>
        </w:trPr>
        <w:tc>
          <w:tcPr>
            <w:tcW w:w="2280" w:type="dxa"/>
            <w:vAlign w:val="bottom"/>
          </w:tcPr>
          <w:p>
            <w:pPr>
              <w:spacing w:after="0"/>
              <w:rPr>
                <w:sz w:val="2"/>
                <w:szCs w:val="2"/>
                <w:color w:val="auto"/>
              </w:rPr>
            </w:pPr>
          </w:p>
        </w:tc>
        <w:tc>
          <w:tcPr>
            <w:tcW w:w="9140" w:type="dxa"/>
            <w:vAlign w:val="bottom"/>
          </w:tcPr>
          <w:p>
            <w:pPr>
              <w:spacing w:after="0"/>
              <w:rPr>
                <w:sz w:val="2"/>
                <w:szCs w:val="2"/>
                <w:color w:val="auto"/>
              </w:rPr>
            </w:pPr>
          </w:p>
        </w:tc>
      </w:tr>
      <w:tr>
        <w:trPr>
          <w:trHeight w:val="250"/>
        </w:trPr>
        <w:tc>
          <w:tcPr>
            <w:tcW w:w="2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ARS</w:t>
            </w:r>
          </w:p>
        </w:tc>
        <w:tc>
          <w:tcPr>
            <w:tcW w:w="91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Auction Rate Securities</w:t>
            </w:r>
          </w:p>
        </w:tc>
      </w:tr>
      <w:tr>
        <w:trPr>
          <w:trHeight w:val="243"/>
        </w:trPr>
        <w:tc>
          <w:tcPr>
            <w:tcW w:w="2280" w:type="dxa"/>
            <w:vAlign w:val="bottom"/>
          </w:tcPr>
          <w:p>
            <w:pPr>
              <w:ind w:left="40"/>
              <w:spacing w:after="0"/>
              <w:rPr>
                <w:sz w:val="20"/>
                <w:szCs w:val="20"/>
                <w:color w:val="auto"/>
              </w:rPr>
            </w:pPr>
            <w:r>
              <w:rPr>
                <w:rFonts w:ascii="Arial" w:cs="Arial" w:eastAsia="Arial" w:hAnsi="Arial"/>
                <w:sz w:val="18"/>
                <w:szCs w:val="18"/>
                <w:color w:val="auto"/>
              </w:rPr>
              <w:t>ATC</w:t>
            </w:r>
          </w:p>
        </w:tc>
        <w:tc>
          <w:tcPr>
            <w:tcW w:w="9140" w:type="dxa"/>
            <w:vAlign w:val="bottom"/>
          </w:tcPr>
          <w:p>
            <w:pPr>
              <w:ind w:left="260"/>
              <w:spacing w:after="0"/>
              <w:rPr>
                <w:sz w:val="20"/>
                <w:szCs w:val="20"/>
                <w:color w:val="auto"/>
              </w:rPr>
            </w:pPr>
            <w:r>
              <w:rPr>
                <w:rFonts w:ascii="Arial" w:cs="Arial" w:eastAsia="Arial" w:hAnsi="Arial"/>
                <w:sz w:val="18"/>
                <w:szCs w:val="18"/>
                <w:color w:val="auto"/>
              </w:rPr>
              <w:t>American Transmission Company LLC</w:t>
            </w:r>
          </w:p>
        </w:tc>
      </w:tr>
      <w:tr>
        <w:trPr>
          <w:trHeight w:val="27"/>
        </w:trPr>
        <w:tc>
          <w:tcPr>
            <w:tcW w:w="2280" w:type="dxa"/>
            <w:vAlign w:val="bottom"/>
          </w:tcPr>
          <w:p>
            <w:pPr>
              <w:spacing w:after="0"/>
              <w:rPr>
                <w:sz w:val="2"/>
                <w:szCs w:val="2"/>
                <w:color w:val="auto"/>
              </w:rPr>
            </w:pPr>
          </w:p>
        </w:tc>
        <w:tc>
          <w:tcPr>
            <w:tcW w:w="9140" w:type="dxa"/>
            <w:vAlign w:val="bottom"/>
          </w:tcPr>
          <w:p>
            <w:pPr>
              <w:spacing w:after="0"/>
              <w:rPr>
                <w:sz w:val="2"/>
                <w:szCs w:val="2"/>
                <w:color w:val="auto"/>
              </w:rPr>
            </w:pPr>
          </w:p>
        </w:tc>
      </w:tr>
      <w:tr>
        <w:trPr>
          <w:trHeight w:val="250"/>
        </w:trPr>
        <w:tc>
          <w:tcPr>
            <w:tcW w:w="2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Basin</w:t>
            </w:r>
          </w:p>
        </w:tc>
        <w:tc>
          <w:tcPr>
            <w:tcW w:w="91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Basin Electric Power Cooperative</w:t>
            </w:r>
          </w:p>
        </w:tc>
      </w:tr>
      <w:tr>
        <w:trPr>
          <w:trHeight w:val="243"/>
        </w:trPr>
        <w:tc>
          <w:tcPr>
            <w:tcW w:w="2280" w:type="dxa"/>
            <w:vAlign w:val="bottom"/>
          </w:tcPr>
          <w:p>
            <w:pPr>
              <w:ind w:left="40"/>
              <w:spacing w:after="0"/>
              <w:rPr>
                <w:sz w:val="20"/>
                <w:szCs w:val="20"/>
                <w:color w:val="auto"/>
              </w:rPr>
            </w:pPr>
            <w:r>
              <w:rPr>
                <w:rFonts w:ascii="Arial" w:cs="Arial" w:eastAsia="Arial" w:hAnsi="Arial"/>
                <w:sz w:val="18"/>
                <w:szCs w:val="18"/>
                <w:color w:val="auto"/>
              </w:rPr>
              <w:t>Bison 1</w:t>
            </w:r>
          </w:p>
        </w:tc>
        <w:tc>
          <w:tcPr>
            <w:tcW w:w="9140" w:type="dxa"/>
            <w:vAlign w:val="bottom"/>
          </w:tcPr>
          <w:p>
            <w:pPr>
              <w:ind w:left="260"/>
              <w:spacing w:after="0"/>
              <w:rPr>
                <w:sz w:val="20"/>
                <w:szCs w:val="20"/>
                <w:color w:val="auto"/>
              </w:rPr>
            </w:pPr>
            <w:r>
              <w:rPr>
                <w:rFonts w:ascii="Arial" w:cs="Arial" w:eastAsia="Arial" w:hAnsi="Arial"/>
                <w:sz w:val="18"/>
                <w:szCs w:val="18"/>
                <w:color w:val="auto"/>
              </w:rPr>
              <w:t>Bison 1 Wind Project</w:t>
            </w:r>
          </w:p>
        </w:tc>
      </w:tr>
      <w:tr>
        <w:trPr>
          <w:trHeight w:val="27"/>
        </w:trPr>
        <w:tc>
          <w:tcPr>
            <w:tcW w:w="2280" w:type="dxa"/>
            <w:vAlign w:val="bottom"/>
          </w:tcPr>
          <w:p>
            <w:pPr>
              <w:spacing w:after="0"/>
              <w:rPr>
                <w:sz w:val="2"/>
                <w:szCs w:val="2"/>
                <w:color w:val="auto"/>
              </w:rPr>
            </w:pPr>
          </w:p>
        </w:tc>
        <w:tc>
          <w:tcPr>
            <w:tcW w:w="9140" w:type="dxa"/>
            <w:vAlign w:val="bottom"/>
          </w:tcPr>
          <w:p>
            <w:pPr>
              <w:spacing w:after="0"/>
              <w:rPr>
                <w:sz w:val="2"/>
                <w:szCs w:val="2"/>
                <w:color w:val="auto"/>
              </w:rPr>
            </w:pPr>
          </w:p>
        </w:tc>
      </w:tr>
      <w:tr>
        <w:trPr>
          <w:trHeight w:val="250"/>
        </w:trPr>
        <w:tc>
          <w:tcPr>
            <w:tcW w:w="2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Bison 2</w:t>
            </w:r>
          </w:p>
        </w:tc>
        <w:tc>
          <w:tcPr>
            <w:tcW w:w="91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Bison 2 Wind Project</w:t>
            </w:r>
          </w:p>
        </w:tc>
      </w:tr>
      <w:tr>
        <w:trPr>
          <w:trHeight w:val="243"/>
        </w:trPr>
        <w:tc>
          <w:tcPr>
            <w:tcW w:w="2280" w:type="dxa"/>
            <w:vAlign w:val="bottom"/>
          </w:tcPr>
          <w:p>
            <w:pPr>
              <w:ind w:left="40"/>
              <w:spacing w:after="0"/>
              <w:rPr>
                <w:sz w:val="20"/>
                <w:szCs w:val="20"/>
                <w:color w:val="auto"/>
              </w:rPr>
            </w:pPr>
            <w:r>
              <w:rPr>
                <w:rFonts w:ascii="Arial" w:cs="Arial" w:eastAsia="Arial" w:hAnsi="Arial"/>
                <w:sz w:val="18"/>
                <w:szCs w:val="18"/>
                <w:color w:val="auto"/>
              </w:rPr>
              <w:t>Bison 3</w:t>
            </w:r>
          </w:p>
        </w:tc>
        <w:tc>
          <w:tcPr>
            <w:tcW w:w="9140" w:type="dxa"/>
            <w:vAlign w:val="bottom"/>
          </w:tcPr>
          <w:p>
            <w:pPr>
              <w:ind w:left="260"/>
              <w:spacing w:after="0"/>
              <w:rPr>
                <w:sz w:val="20"/>
                <w:szCs w:val="20"/>
                <w:color w:val="auto"/>
              </w:rPr>
            </w:pPr>
            <w:r>
              <w:rPr>
                <w:rFonts w:ascii="Arial" w:cs="Arial" w:eastAsia="Arial" w:hAnsi="Arial"/>
                <w:sz w:val="18"/>
                <w:szCs w:val="18"/>
                <w:color w:val="auto"/>
              </w:rPr>
              <w:t>Bison 3 Wind Project</w:t>
            </w:r>
          </w:p>
        </w:tc>
      </w:tr>
      <w:tr>
        <w:trPr>
          <w:trHeight w:val="27"/>
        </w:trPr>
        <w:tc>
          <w:tcPr>
            <w:tcW w:w="2280" w:type="dxa"/>
            <w:vAlign w:val="bottom"/>
          </w:tcPr>
          <w:p>
            <w:pPr>
              <w:spacing w:after="0"/>
              <w:rPr>
                <w:sz w:val="2"/>
                <w:szCs w:val="2"/>
                <w:color w:val="auto"/>
              </w:rPr>
            </w:pPr>
          </w:p>
        </w:tc>
        <w:tc>
          <w:tcPr>
            <w:tcW w:w="9140" w:type="dxa"/>
            <w:vAlign w:val="bottom"/>
          </w:tcPr>
          <w:p>
            <w:pPr>
              <w:spacing w:after="0"/>
              <w:rPr>
                <w:sz w:val="2"/>
                <w:szCs w:val="2"/>
                <w:color w:val="auto"/>
              </w:rPr>
            </w:pPr>
          </w:p>
        </w:tc>
      </w:tr>
      <w:tr>
        <w:trPr>
          <w:trHeight w:val="250"/>
        </w:trPr>
        <w:tc>
          <w:tcPr>
            <w:tcW w:w="2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Bison</w:t>
            </w:r>
          </w:p>
        </w:tc>
        <w:tc>
          <w:tcPr>
            <w:tcW w:w="91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Bison Wind Energy Center</w:t>
            </w:r>
          </w:p>
        </w:tc>
      </w:tr>
      <w:tr>
        <w:trPr>
          <w:trHeight w:val="243"/>
        </w:trPr>
        <w:tc>
          <w:tcPr>
            <w:tcW w:w="2280" w:type="dxa"/>
            <w:vAlign w:val="bottom"/>
          </w:tcPr>
          <w:p>
            <w:pPr>
              <w:ind w:left="40"/>
              <w:spacing w:after="0"/>
              <w:rPr>
                <w:sz w:val="20"/>
                <w:szCs w:val="20"/>
                <w:color w:val="auto"/>
              </w:rPr>
            </w:pPr>
            <w:r>
              <w:rPr>
                <w:rFonts w:ascii="Arial" w:cs="Arial" w:eastAsia="Arial" w:hAnsi="Arial"/>
                <w:sz w:val="18"/>
                <w:szCs w:val="18"/>
                <w:color w:val="auto"/>
              </w:rPr>
              <w:t>BNI Coal</w:t>
            </w:r>
          </w:p>
        </w:tc>
        <w:tc>
          <w:tcPr>
            <w:tcW w:w="9140" w:type="dxa"/>
            <w:vAlign w:val="bottom"/>
          </w:tcPr>
          <w:p>
            <w:pPr>
              <w:ind w:left="260"/>
              <w:spacing w:after="0"/>
              <w:rPr>
                <w:sz w:val="20"/>
                <w:szCs w:val="20"/>
                <w:color w:val="auto"/>
              </w:rPr>
            </w:pPr>
            <w:r>
              <w:rPr>
                <w:rFonts w:ascii="Arial" w:cs="Arial" w:eastAsia="Arial" w:hAnsi="Arial"/>
                <w:sz w:val="18"/>
                <w:szCs w:val="18"/>
                <w:color w:val="auto"/>
              </w:rPr>
              <w:t>BNI Coal, Ltd.</w:t>
            </w:r>
          </w:p>
        </w:tc>
      </w:tr>
      <w:tr>
        <w:trPr>
          <w:trHeight w:val="27"/>
        </w:trPr>
        <w:tc>
          <w:tcPr>
            <w:tcW w:w="2280" w:type="dxa"/>
            <w:vAlign w:val="bottom"/>
          </w:tcPr>
          <w:p>
            <w:pPr>
              <w:spacing w:after="0"/>
              <w:rPr>
                <w:sz w:val="2"/>
                <w:szCs w:val="2"/>
                <w:color w:val="auto"/>
              </w:rPr>
            </w:pPr>
          </w:p>
        </w:tc>
        <w:tc>
          <w:tcPr>
            <w:tcW w:w="9140" w:type="dxa"/>
            <w:vAlign w:val="bottom"/>
          </w:tcPr>
          <w:p>
            <w:pPr>
              <w:spacing w:after="0"/>
              <w:rPr>
                <w:sz w:val="2"/>
                <w:szCs w:val="2"/>
                <w:color w:val="auto"/>
              </w:rPr>
            </w:pPr>
          </w:p>
        </w:tc>
      </w:tr>
      <w:tr>
        <w:trPr>
          <w:trHeight w:val="250"/>
        </w:trPr>
        <w:tc>
          <w:tcPr>
            <w:tcW w:w="2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Boswell</w:t>
            </w:r>
          </w:p>
        </w:tc>
        <w:tc>
          <w:tcPr>
            <w:tcW w:w="91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Boswell Energy Center</w:t>
            </w:r>
          </w:p>
        </w:tc>
      </w:tr>
      <w:tr>
        <w:trPr>
          <w:trHeight w:val="243"/>
        </w:trPr>
        <w:tc>
          <w:tcPr>
            <w:tcW w:w="2280" w:type="dxa"/>
            <w:vAlign w:val="bottom"/>
          </w:tcPr>
          <w:p>
            <w:pPr>
              <w:ind w:left="40"/>
              <w:spacing w:after="0"/>
              <w:rPr>
                <w:sz w:val="20"/>
                <w:szCs w:val="20"/>
                <w:color w:val="auto"/>
              </w:rPr>
            </w:pPr>
            <w:r>
              <w:rPr>
                <w:rFonts w:ascii="Arial" w:cs="Arial" w:eastAsia="Arial" w:hAnsi="Arial"/>
                <w:sz w:val="18"/>
                <w:szCs w:val="18"/>
                <w:color w:val="auto"/>
              </w:rPr>
              <w:t>CAIR</w:t>
            </w:r>
          </w:p>
        </w:tc>
        <w:tc>
          <w:tcPr>
            <w:tcW w:w="9140" w:type="dxa"/>
            <w:vAlign w:val="bottom"/>
          </w:tcPr>
          <w:p>
            <w:pPr>
              <w:ind w:left="260"/>
              <w:spacing w:after="0"/>
              <w:rPr>
                <w:sz w:val="20"/>
                <w:szCs w:val="20"/>
                <w:color w:val="auto"/>
              </w:rPr>
            </w:pPr>
            <w:r>
              <w:rPr>
                <w:rFonts w:ascii="Arial" w:cs="Arial" w:eastAsia="Arial" w:hAnsi="Arial"/>
                <w:sz w:val="18"/>
                <w:szCs w:val="18"/>
                <w:color w:val="auto"/>
              </w:rPr>
              <w:t>Clean Air Interstate Rule</w:t>
            </w:r>
          </w:p>
        </w:tc>
      </w:tr>
      <w:tr>
        <w:trPr>
          <w:trHeight w:val="27"/>
        </w:trPr>
        <w:tc>
          <w:tcPr>
            <w:tcW w:w="2280" w:type="dxa"/>
            <w:vAlign w:val="bottom"/>
          </w:tcPr>
          <w:p>
            <w:pPr>
              <w:spacing w:after="0"/>
              <w:rPr>
                <w:sz w:val="2"/>
                <w:szCs w:val="2"/>
                <w:color w:val="auto"/>
              </w:rPr>
            </w:pPr>
          </w:p>
        </w:tc>
        <w:tc>
          <w:tcPr>
            <w:tcW w:w="9140" w:type="dxa"/>
            <w:vAlign w:val="bottom"/>
          </w:tcPr>
          <w:p>
            <w:pPr>
              <w:spacing w:after="0"/>
              <w:rPr>
                <w:sz w:val="2"/>
                <w:szCs w:val="2"/>
                <w:color w:val="auto"/>
              </w:rPr>
            </w:pPr>
          </w:p>
        </w:tc>
      </w:tr>
      <w:tr>
        <w:trPr>
          <w:trHeight w:val="250"/>
        </w:trPr>
        <w:tc>
          <w:tcPr>
            <w:tcW w:w="2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w:t>
            </w:r>
            <w:r>
              <w:rPr>
                <w:rFonts w:ascii="Arial" w:cs="Arial" w:eastAsia="Arial" w:hAnsi="Arial"/>
                <w:sz w:val="12"/>
                <w:szCs w:val="12"/>
                <w:color w:val="auto"/>
              </w:rPr>
              <w:t>2</w:t>
            </w:r>
          </w:p>
        </w:tc>
        <w:tc>
          <w:tcPr>
            <w:tcW w:w="91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Carbon Dioxide</w:t>
            </w:r>
          </w:p>
        </w:tc>
      </w:tr>
      <w:tr>
        <w:trPr>
          <w:trHeight w:val="243"/>
        </w:trPr>
        <w:tc>
          <w:tcPr>
            <w:tcW w:w="2280" w:type="dxa"/>
            <w:vAlign w:val="bottom"/>
          </w:tcPr>
          <w:p>
            <w:pPr>
              <w:ind w:left="40"/>
              <w:spacing w:after="0"/>
              <w:rPr>
                <w:sz w:val="20"/>
                <w:szCs w:val="20"/>
                <w:color w:val="auto"/>
              </w:rPr>
            </w:pPr>
            <w:r>
              <w:rPr>
                <w:rFonts w:ascii="Arial" w:cs="Arial" w:eastAsia="Arial" w:hAnsi="Arial"/>
                <w:sz w:val="18"/>
                <w:szCs w:val="18"/>
                <w:color w:val="auto"/>
              </w:rPr>
              <w:t>Company</w:t>
            </w:r>
          </w:p>
        </w:tc>
        <w:tc>
          <w:tcPr>
            <w:tcW w:w="9140" w:type="dxa"/>
            <w:vAlign w:val="bottom"/>
          </w:tcPr>
          <w:p>
            <w:pPr>
              <w:ind w:left="260"/>
              <w:spacing w:after="0"/>
              <w:rPr>
                <w:sz w:val="20"/>
                <w:szCs w:val="20"/>
                <w:color w:val="auto"/>
              </w:rPr>
            </w:pPr>
            <w:r>
              <w:rPr>
                <w:rFonts w:ascii="Arial" w:cs="Arial" w:eastAsia="Arial" w:hAnsi="Arial"/>
                <w:sz w:val="18"/>
                <w:szCs w:val="18"/>
                <w:color w:val="auto"/>
              </w:rPr>
              <w:t>ALLETE, Inc. and its subsidiaries</w:t>
            </w:r>
          </w:p>
        </w:tc>
      </w:tr>
      <w:tr>
        <w:trPr>
          <w:trHeight w:val="27"/>
        </w:trPr>
        <w:tc>
          <w:tcPr>
            <w:tcW w:w="2280" w:type="dxa"/>
            <w:vAlign w:val="bottom"/>
          </w:tcPr>
          <w:p>
            <w:pPr>
              <w:spacing w:after="0"/>
              <w:rPr>
                <w:sz w:val="2"/>
                <w:szCs w:val="2"/>
                <w:color w:val="auto"/>
              </w:rPr>
            </w:pPr>
          </w:p>
        </w:tc>
        <w:tc>
          <w:tcPr>
            <w:tcW w:w="9140" w:type="dxa"/>
            <w:vAlign w:val="bottom"/>
          </w:tcPr>
          <w:p>
            <w:pPr>
              <w:spacing w:after="0"/>
              <w:rPr>
                <w:sz w:val="2"/>
                <w:szCs w:val="2"/>
                <w:color w:val="auto"/>
              </w:rPr>
            </w:pPr>
          </w:p>
        </w:tc>
      </w:tr>
      <w:tr>
        <w:trPr>
          <w:trHeight w:val="250"/>
        </w:trPr>
        <w:tc>
          <w:tcPr>
            <w:tcW w:w="2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CSAPR</w:t>
            </w:r>
          </w:p>
        </w:tc>
        <w:tc>
          <w:tcPr>
            <w:tcW w:w="91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Cross-State Air Pollution Rule</w:t>
            </w:r>
          </w:p>
        </w:tc>
      </w:tr>
      <w:tr>
        <w:trPr>
          <w:trHeight w:val="243"/>
        </w:trPr>
        <w:tc>
          <w:tcPr>
            <w:tcW w:w="2280" w:type="dxa"/>
            <w:vAlign w:val="bottom"/>
          </w:tcPr>
          <w:p>
            <w:pPr>
              <w:ind w:left="40"/>
              <w:spacing w:after="0"/>
              <w:rPr>
                <w:sz w:val="20"/>
                <w:szCs w:val="20"/>
                <w:color w:val="auto"/>
              </w:rPr>
            </w:pPr>
            <w:r>
              <w:rPr>
                <w:rFonts w:ascii="Arial" w:cs="Arial" w:eastAsia="Arial" w:hAnsi="Arial"/>
                <w:sz w:val="18"/>
                <w:szCs w:val="18"/>
                <w:color w:val="auto"/>
              </w:rPr>
              <w:t>DC</w:t>
            </w:r>
          </w:p>
        </w:tc>
        <w:tc>
          <w:tcPr>
            <w:tcW w:w="9140" w:type="dxa"/>
            <w:vAlign w:val="bottom"/>
          </w:tcPr>
          <w:p>
            <w:pPr>
              <w:ind w:left="260"/>
              <w:spacing w:after="0"/>
              <w:rPr>
                <w:sz w:val="20"/>
                <w:szCs w:val="20"/>
                <w:color w:val="auto"/>
              </w:rPr>
            </w:pPr>
            <w:r>
              <w:rPr>
                <w:rFonts w:ascii="Arial" w:cs="Arial" w:eastAsia="Arial" w:hAnsi="Arial"/>
                <w:sz w:val="18"/>
                <w:szCs w:val="18"/>
                <w:color w:val="auto"/>
              </w:rPr>
              <w:t>Direct Current</w:t>
            </w:r>
          </w:p>
        </w:tc>
      </w:tr>
      <w:tr>
        <w:trPr>
          <w:trHeight w:val="27"/>
        </w:trPr>
        <w:tc>
          <w:tcPr>
            <w:tcW w:w="2280" w:type="dxa"/>
            <w:vAlign w:val="bottom"/>
          </w:tcPr>
          <w:p>
            <w:pPr>
              <w:spacing w:after="0"/>
              <w:rPr>
                <w:sz w:val="2"/>
                <w:szCs w:val="2"/>
                <w:color w:val="auto"/>
              </w:rPr>
            </w:pPr>
          </w:p>
        </w:tc>
        <w:tc>
          <w:tcPr>
            <w:tcW w:w="9140" w:type="dxa"/>
            <w:vAlign w:val="bottom"/>
          </w:tcPr>
          <w:p>
            <w:pPr>
              <w:spacing w:after="0"/>
              <w:rPr>
                <w:sz w:val="2"/>
                <w:szCs w:val="2"/>
                <w:color w:val="auto"/>
              </w:rPr>
            </w:pPr>
          </w:p>
        </w:tc>
      </w:tr>
      <w:tr>
        <w:trPr>
          <w:trHeight w:val="250"/>
        </w:trPr>
        <w:tc>
          <w:tcPr>
            <w:tcW w:w="2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EPA</w:t>
            </w:r>
          </w:p>
        </w:tc>
        <w:tc>
          <w:tcPr>
            <w:tcW w:w="91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Environmental Protection Agency</w:t>
            </w:r>
          </w:p>
        </w:tc>
      </w:tr>
      <w:tr>
        <w:trPr>
          <w:trHeight w:val="243"/>
        </w:trPr>
        <w:tc>
          <w:tcPr>
            <w:tcW w:w="2280" w:type="dxa"/>
            <w:vAlign w:val="bottom"/>
          </w:tcPr>
          <w:p>
            <w:pPr>
              <w:ind w:left="40"/>
              <w:spacing w:after="0"/>
              <w:rPr>
                <w:sz w:val="20"/>
                <w:szCs w:val="20"/>
                <w:color w:val="auto"/>
              </w:rPr>
            </w:pPr>
            <w:r>
              <w:rPr>
                <w:rFonts w:ascii="Arial" w:cs="Arial" w:eastAsia="Arial" w:hAnsi="Arial"/>
                <w:sz w:val="18"/>
                <w:szCs w:val="18"/>
                <w:color w:val="auto"/>
              </w:rPr>
              <w:t>ESOP</w:t>
            </w:r>
          </w:p>
        </w:tc>
        <w:tc>
          <w:tcPr>
            <w:tcW w:w="9140" w:type="dxa"/>
            <w:vAlign w:val="bottom"/>
          </w:tcPr>
          <w:p>
            <w:pPr>
              <w:ind w:left="260"/>
              <w:spacing w:after="0"/>
              <w:rPr>
                <w:sz w:val="20"/>
                <w:szCs w:val="20"/>
                <w:color w:val="auto"/>
              </w:rPr>
            </w:pPr>
            <w:r>
              <w:rPr>
                <w:rFonts w:ascii="Arial" w:cs="Arial" w:eastAsia="Arial" w:hAnsi="Arial"/>
                <w:sz w:val="18"/>
                <w:szCs w:val="18"/>
                <w:color w:val="auto"/>
              </w:rPr>
              <w:t>Employee Stock Ownership Plan</w:t>
            </w:r>
          </w:p>
        </w:tc>
      </w:tr>
      <w:tr>
        <w:trPr>
          <w:trHeight w:val="27"/>
        </w:trPr>
        <w:tc>
          <w:tcPr>
            <w:tcW w:w="2280" w:type="dxa"/>
            <w:vAlign w:val="bottom"/>
          </w:tcPr>
          <w:p>
            <w:pPr>
              <w:spacing w:after="0"/>
              <w:rPr>
                <w:sz w:val="2"/>
                <w:szCs w:val="2"/>
                <w:color w:val="auto"/>
              </w:rPr>
            </w:pPr>
          </w:p>
        </w:tc>
        <w:tc>
          <w:tcPr>
            <w:tcW w:w="9140" w:type="dxa"/>
            <w:vAlign w:val="bottom"/>
          </w:tcPr>
          <w:p>
            <w:pPr>
              <w:spacing w:after="0"/>
              <w:rPr>
                <w:sz w:val="2"/>
                <w:szCs w:val="2"/>
                <w:color w:val="auto"/>
              </w:rPr>
            </w:pPr>
          </w:p>
        </w:tc>
      </w:tr>
      <w:tr>
        <w:trPr>
          <w:trHeight w:val="250"/>
        </w:trPr>
        <w:tc>
          <w:tcPr>
            <w:tcW w:w="2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FERC</w:t>
            </w:r>
          </w:p>
        </w:tc>
        <w:tc>
          <w:tcPr>
            <w:tcW w:w="91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Federal Energy Regulatory Commission</w:t>
            </w:r>
          </w:p>
        </w:tc>
      </w:tr>
      <w:tr>
        <w:trPr>
          <w:trHeight w:val="243"/>
        </w:trPr>
        <w:tc>
          <w:tcPr>
            <w:tcW w:w="2280" w:type="dxa"/>
            <w:vAlign w:val="bottom"/>
          </w:tcPr>
          <w:p>
            <w:pPr>
              <w:ind w:left="40"/>
              <w:spacing w:after="0"/>
              <w:rPr>
                <w:sz w:val="20"/>
                <w:szCs w:val="20"/>
                <w:color w:val="auto"/>
              </w:rPr>
            </w:pPr>
            <w:r>
              <w:rPr>
                <w:rFonts w:ascii="Arial" w:cs="Arial" w:eastAsia="Arial" w:hAnsi="Arial"/>
                <w:sz w:val="18"/>
                <w:szCs w:val="18"/>
                <w:color w:val="auto"/>
              </w:rPr>
              <w:t>Form 8-K</w:t>
            </w:r>
          </w:p>
        </w:tc>
        <w:tc>
          <w:tcPr>
            <w:tcW w:w="9140" w:type="dxa"/>
            <w:vAlign w:val="bottom"/>
          </w:tcPr>
          <w:p>
            <w:pPr>
              <w:ind w:left="260"/>
              <w:spacing w:after="0"/>
              <w:rPr>
                <w:sz w:val="20"/>
                <w:szCs w:val="20"/>
                <w:color w:val="auto"/>
              </w:rPr>
            </w:pPr>
            <w:r>
              <w:rPr>
                <w:rFonts w:ascii="Arial" w:cs="Arial" w:eastAsia="Arial" w:hAnsi="Arial"/>
                <w:sz w:val="18"/>
                <w:szCs w:val="18"/>
                <w:color w:val="auto"/>
              </w:rPr>
              <w:t>ALLETE Current Report on Form 8-K</w:t>
            </w:r>
          </w:p>
        </w:tc>
      </w:tr>
      <w:tr>
        <w:trPr>
          <w:trHeight w:val="27"/>
        </w:trPr>
        <w:tc>
          <w:tcPr>
            <w:tcW w:w="2280" w:type="dxa"/>
            <w:vAlign w:val="bottom"/>
          </w:tcPr>
          <w:p>
            <w:pPr>
              <w:spacing w:after="0"/>
              <w:rPr>
                <w:sz w:val="2"/>
                <w:szCs w:val="2"/>
                <w:color w:val="auto"/>
              </w:rPr>
            </w:pPr>
          </w:p>
        </w:tc>
        <w:tc>
          <w:tcPr>
            <w:tcW w:w="9140" w:type="dxa"/>
            <w:vAlign w:val="bottom"/>
          </w:tcPr>
          <w:p>
            <w:pPr>
              <w:spacing w:after="0"/>
              <w:rPr>
                <w:sz w:val="2"/>
                <w:szCs w:val="2"/>
                <w:color w:val="auto"/>
              </w:rPr>
            </w:pPr>
          </w:p>
        </w:tc>
      </w:tr>
      <w:tr>
        <w:trPr>
          <w:trHeight w:val="250"/>
        </w:trPr>
        <w:tc>
          <w:tcPr>
            <w:tcW w:w="2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Form 10-K</w:t>
            </w:r>
          </w:p>
        </w:tc>
        <w:tc>
          <w:tcPr>
            <w:tcW w:w="91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ALLETE Annual Report on Form 10-K</w:t>
            </w:r>
          </w:p>
        </w:tc>
      </w:tr>
      <w:tr>
        <w:trPr>
          <w:trHeight w:val="243"/>
        </w:trPr>
        <w:tc>
          <w:tcPr>
            <w:tcW w:w="2280" w:type="dxa"/>
            <w:vAlign w:val="bottom"/>
          </w:tcPr>
          <w:p>
            <w:pPr>
              <w:ind w:left="40"/>
              <w:spacing w:after="0"/>
              <w:rPr>
                <w:sz w:val="20"/>
                <w:szCs w:val="20"/>
                <w:color w:val="auto"/>
              </w:rPr>
            </w:pPr>
            <w:r>
              <w:rPr>
                <w:rFonts w:ascii="Arial" w:cs="Arial" w:eastAsia="Arial" w:hAnsi="Arial"/>
                <w:sz w:val="18"/>
                <w:szCs w:val="18"/>
                <w:color w:val="auto"/>
              </w:rPr>
              <w:t>Form 10-Q</w:t>
            </w:r>
          </w:p>
        </w:tc>
        <w:tc>
          <w:tcPr>
            <w:tcW w:w="9140" w:type="dxa"/>
            <w:vAlign w:val="bottom"/>
          </w:tcPr>
          <w:p>
            <w:pPr>
              <w:ind w:left="260"/>
              <w:spacing w:after="0"/>
              <w:rPr>
                <w:sz w:val="20"/>
                <w:szCs w:val="20"/>
                <w:color w:val="auto"/>
              </w:rPr>
            </w:pPr>
            <w:r>
              <w:rPr>
                <w:rFonts w:ascii="Arial" w:cs="Arial" w:eastAsia="Arial" w:hAnsi="Arial"/>
                <w:sz w:val="18"/>
                <w:szCs w:val="18"/>
                <w:color w:val="auto"/>
              </w:rPr>
              <w:t>ALLETE Quarterly Report on Form 10-Q</w:t>
            </w:r>
          </w:p>
        </w:tc>
      </w:tr>
      <w:tr>
        <w:trPr>
          <w:trHeight w:val="27"/>
        </w:trPr>
        <w:tc>
          <w:tcPr>
            <w:tcW w:w="2280" w:type="dxa"/>
            <w:vAlign w:val="bottom"/>
          </w:tcPr>
          <w:p>
            <w:pPr>
              <w:spacing w:after="0"/>
              <w:rPr>
                <w:sz w:val="2"/>
                <w:szCs w:val="2"/>
                <w:color w:val="auto"/>
              </w:rPr>
            </w:pPr>
          </w:p>
        </w:tc>
        <w:tc>
          <w:tcPr>
            <w:tcW w:w="9140" w:type="dxa"/>
            <w:vAlign w:val="bottom"/>
          </w:tcPr>
          <w:p>
            <w:pPr>
              <w:spacing w:after="0"/>
              <w:rPr>
                <w:sz w:val="2"/>
                <w:szCs w:val="2"/>
                <w:color w:val="auto"/>
              </w:rPr>
            </w:pPr>
          </w:p>
        </w:tc>
      </w:tr>
      <w:tr>
        <w:trPr>
          <w:trHeight w:val="250"/>
        </w:trPr>
        <w:tc>
          <w:tcPr>
            <w:tcW w:w="2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GAAP</w:t>
            </w:r>
          </w:p>
        </w:tc>
        <w:tc>
          <w:tcPr>
            <w:tcW w:w="91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Accounting Principles Generally Accepted in the United States</w:t>
            </w:r>
          </w:p>
        </w:tc>
      </w:tr>
      <w:tr>
        <w:trPr>
          <w:trHeight w:val="243"/>
        </w:trPr>
        <w:tc>
          <w:tcPr>
            <w:tcW w:w="2280" w:type="dxa"/>
            <w:vAlign w:val="bottom"/>
          </w:tcPr>
          <w:p>
            <w:pPr>
              <w:ind w:left="40"/>
              <w:spacing w:after="0"/>
              <w:rPr>
                <w:sz w:val="20"/>
                <w:szCs w:val="20"/>
                <w:color w:val="auto"/>
              </w:rPr>
            </w:pPr>
            <w:r>
              <w:rPr>
                <w:rFonts w:ascii="Arial" w:cs="Arial" w:eastAsia="Arial" w:hAnsi="Arial"/>
                <w:sz w:val="18"/>
                <w:szCs w:val="18"/>
                <w:color w:val="auto"/>
              </w:rPr>
              <w:t>GHG</w:t>
            </w:r>
          </w:p>
        </w:tc>
        <w:tc>
          <w:tcPr>
            <w:tcW w:w="9140" w:type="dxa"/>
            <w:vAlign w:val="bottom"/>
          </w:tcPr>
          <w:p>
            <w:pPr>
              <w:ind w:left="260"/>
              <w:spacing w:after="0"/>
              <w:rPr>
                <w:sz w:val="20"/>
                <w:szCs w:val="20"/>
                <w:color w:val="auto"/>
              </w:rPr>
            </w:pPr>
            <w:r>
              <w:rPr>
                <w:rFonts w:ascii="Arial" w:cs="Arial" w:eastAsia="Arial" w:hAnsi="Arial"/>
                <w:sz w:val="18"/>
                <w:szCs w:val="18"/>
                <w:color w:val="auto"/>
              </w:rPr>
              <w:t>Greenhouse Gases</w:t>
            </w:r>
          </w:p>
        </w:tc>
      </w:tr>
      <w:tr>
        <w:trPr>
          <w:trHeight w:val="27"/>
        </w:trPr>
        <w:tc>
          <w:tcPr>
            <w:tcW w:w="2280" w:type="dxa"/>
            <w:vAlign w:val="bottom"/>
          </w:tcPr>
          <w:p>
            <w:pPr>
              <w:spacing w:after="0"/>
              <w:rPr>
                <w:sz w:val="2"/>
                <w:szCs w:val="2"/>
                <w:color w:val="auto"/>
              </w:rPr>
            </w:pPr>
          </w:p>
        </w:tc>
        <w:tc>
          <w:tcPr>
            <w:tcW w:w="9140" w:type="dxa"/>
            <w:vAlign w:val="bottom"/>
          </w:tcPr>
          <w:p>
            <w:pPr>
              <w:spacing w:after="0"/>
              <w:rPr>
                <w:sz w:val="2"/>
                <w:szCs w:val="2"/>
                <w:color w:val="auto"/>
              </w:rPr>
            </w:pPr>
          </w:p>
        </w:tc>
      </w:tr>
      <w:tr>
        <w:trPr>
          <w:trHeight w:val="250"/>
        </w:trPr>
        <w:tc>
          <w:tcPr>
            <w:tcW w:w="2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Hibbard</w:t>
            </w:r>
          </w:p>
        </w:tc>
        <w:tc>
          <w:tcPr>
            <w:tcW w:w="91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Hibbard Renewable Energy Center</w:t>
            </w:r>
          </w:p>
        </w:tc>
      </w:tr>
      <w:tr>
        <w:trPr>
          <w:trHeight w:val="243"/>
        </w:trPr>
        <w:tc>
          <w:tcPr>
            <w:tcW w:w="2280" w:type="dxa"/>
            <w:vAlign w:val="bottom"/>
          </w:tcPr>
          <w:p>
            <w:pPr>
              <w:ind w:left="40"/>
              <w:spacing w:after="0"/>
              <w:rPr>
                <w:sz w:val="20"/>
                <w:szCs w:val="20"/>
                <w:color w:val="auto"/>
              </w:rPr>
            </w:pPr>
            <w:r>
              <w:rPr>
                <w:rFonts w:ascii="Arial" w:cs="Arial" w:eastAsia="Arial" w:hAnsi="Arial"/>
                <w:sz w:val="18"/>
                <w:szCs w:val="18"/>
                <w:color w:val="auto"/>
              </w:rPr>
              <w:t>IBEW</w:t>
            </w:r>
          </w:p>
        </w:tc>
        <w:tc>
          <w:tcPr>
            <w:tcW w:w="9140" w:type="dxa"/>
            <w:vAlign w:val="bottom"/>
          </w:tcPr>
          <w:p>
            <w:pPr>
              <w:ind w:left="260"/>
              <w:spacing w:after="0"/>
              <w:rPr>
                <w:sz w:val="20"/>
                <w:szCs w:val="20"/>
                <w:color w:val="auto"/>
              </w:rPr>
            </w:pPr>
            <w:r>
              <w:rPr>
                <w:rFonts w:ascii="Arial" w:cs="Arial" w:eastAsia="Arial" w:hAnsi="Arial"/>
                <w:sz w:val="18"/>
                <w:szCs w:val="18"/>
                <w:color w:val="auto"/>
              </w:rPr>
              <w:t>International Brotherhood of Electrical Workers</w:t>
            </w:r>
          </w:p>
        </w:tc>
      </w:tr>
      <w:tr>
        <w:trPr>
          <w:trHeight w:val="27"/>
        </w:trPr>
        <w:tc>
          <w:tcPr>
            <w:tcW w:w="2280" w:type="dxa"/>
            <w:vAlign w:val="bottom"/>
          </w:tcPr>
          <w:p>
            <w:pPr>
              <w:spacing w:after="0"/>
              <w:rPr>
                <w:sz w:val="2"/>
                <w:szCs w:val="2"/>
                <w:color w:val="auto"/>
              </w:rPr>
            </w:pPr>
          </w:p>
        </w:tc>
        <w:tc>
          <w:tcPr>
            <w:tcW w:w="9140" w:type="dxa"/>
            <w:vAlign w:val="bottom"/>
          </w:tcPr>
          <w:p>
            <w:pPr>
              <w:spacing w:after="0"/>
              <w:rPr>
                <w:sz w:val="2"/>
                <w:szCs w:val="2"/>
                <w:color w:val="auto"/>
              </w:rPr>
            </w:pPr>
          </w:p>
        </w:tc>
      </w:tr>
      <w:tr>
        <w:trPr>
          <w:trHeight w:val="250"/>
        </w:trPr>
        <w:tc>
          <w:tcPr>
            <w:tcW w:w="2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 Direct</w:t>
            </w:r>
          </w:p>
        </w:tc>
        <w:tc>
          <w:tcPr>
            <w:tcW w:w="91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ALLETE’s Direct Stock Purchase and Dividend Reinvestment Plan</w:t>
            </w:r>
          </w:p>
        </w:tc>
      </w:tr>
      <w:tr>
        <w:trPr>
          <w:trHeight w:val="243"/>
        </w:trPr>
        <w:tc>
          <w:tcPr>
            <w:tcW w:w="2280" w:type="dxa"/>
            <w:vAlign w:val="bottom"/>
          </w:tcPr>
          <w:p>
            <w:pPr>
              <w:ind w:left="40"/>
              <w:spacing w:after="0"/>
              <w:rPr>
                <w:sz w:val="20"/>
                <w:szCs w:val="20"/>
                <w:color w:val="auto"/>
              </w:rPr>
            </w:pPr>
            <w:r>
              <w:rPr>
                <w:rFonts w:ascii="Arial" w:cs="Arial" w:eastAsia="Arial" w:hAnsi="Arial"/>
                <w:sz w:val="18"/>
                <w:szCs w:val="18"/>
                <w:color w:val="auto"/>
              </w:rPr>
              <w:t>Item___</w:t>
            </w:r>
          </w:p>
        </w:tc>
        <w:tc>
          <w:tcPr>
            <w:tcW w:w="9140" w:type="dxa"/>
            <w:vAlign w:val="bottom"/>
          </w:tcPr>
          <w:p>
            <w:pPr>
              <w:ind w:left="260"/>
              <w:spacing w:after="0"/>
              <w:rPr>
                <w:sz w:val="20"/>
                <w:szCs w:val="20"/>
                <w:color w:val="auto"/>
              </w:rPr>
            </w:pPr>
            <w:r>
              <w:rPr>
                <w:rFonts w:ascii="Arial" w:cs="Arial" w:eastAsia="Arial" w:hAnsi="Arial"/>
                <w:sz w:val="18"/>
                <w:szCs w:val="18"/>
                <w:color w:val="auto"/>
              </w:rPr>
              <w:t>Item___of this Form 10-K</w:t>
            </w:r>
          </w:p>
        </w:tc>
      </w:tr>
      <w:tr>
        <w:trPr>
          <w:trHeight w:val="27"/>
        </w:trPr>
        <w:tc>
          <w:tcPr>
            <w:tcW w:w="2280" w:type="dxa"/>
            <w:vAlign w:val="bottom"/>
          </w:tcPr>
          <w:p>
            <w:pPr>
              <w:spacing w:after="0"/>
              <w:rPr>
                <w:sz w:val="2"/>
                <w:szCs w:val="2"/>
                <w:color w:val="auto"/>
              </w:rPr>
            </w:pPr>
          </w:p>
        </w:tc>
        <w:tc>
          <w:tcPr>
            <w:tcW w:w="9140" w:type="dxa"/>
            <w:vAlign w:val="bottom"/>
          </w:tcPr>
          <w:p>
            <w:pPr>
              <w:spacing w:after="0"/>
              <w:rPr>
                <w:sz w:val="2"/>
                <w:szCs w:val="2"/>
                <w:color w:val="auto"/>
              </w:rPr>
            </w:pPr>
          </w:p>
        </w:tc>
      </w:tr>
      <w:tr>
        <w:trPr>
          <w:trHeight w:val="250"/>
        </w:trPr>
        <w:tc>
          <w:tcPr>
            <w:tcW w:w="2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kV</w:t>
            </w:r>
          </w:p>
        </w:tc>
        <w:tc>
          <w:tcPr>
            <w:tcW w:w="91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Kilovolt(s)</w:t>
            </w:r>
          </w:p>
        </w:tc>
      </w:tr>
      <w:tr>
        <w:trPr>
          <w:trHeight w:val="243"/>
        </w:trPr>
        <w:tc>
          <w:tcPr>
            <w:tcW w:w="2280" w:type="dxa"/>
            <w:vAlign w:val="bottom"/>
          </w:tcPr>
          <w:p>
            <w:pPr>
              <w:ind w:left="40"/>
              <w:spacing w:after="0"/>
              <w:rPr>
                <w:sz w:val="20"/>
                <w:szCs w:val="20"/>
                <w:color w:val="auto"/>
              </w:rPr>
            </w:pPr>
            <w:r>
              <w:rPr>
                <w:rFonts w:ascii="Arial" w:cs="Arial" w:eastAsia="Arial" w:hAnsi="Arial"/>
                <w:sz w:val="18"/>
                <w:szCs w:val="18"/>
                <w:color w:val="auto"/>
              </w:rPr>
              <w:t>Laskin</w:t>
            </w:r>
          </w:p>
        </w:tc>
        <w:tc>
          <w:tcPr>
            <w:tcW w:w="9140" w:type="dxa"/>
            <w:vAlign w:val="bottom"/>
          </w:tcPr>
          <w:p>
            <w:pPr>
              <w:ind w:left="260"/>
              <w:spacing w:after="0"/>
              <w:rPr>
                <w:sz w:val="20"/>
                <w:szCs w:val="20"/>
                <w:color w:val="auto"/>
              </w:rPr>
            </w:pPr>
            <w:r>
              <w:rPr>
                <w:rFonts w:ascii="Arial" w:cs="Arial" w:eastAsia="Arial" w:hAnsi="Arial"/>
                <w:sz w:val="18"/>
                <w:szCs w:val="18"/>
                <w:color w:val="auto"/>
              </w:rPr>
              <w:t>Laskin Energy Center</w:t>
            </w:r>
          </w:p>
        </w:tc>
      </w:tr>
      <w:tr>
        <w:trPr>
          <w:trHeight w:val="27"/>
        </w:trPr>
        <w:tc>
          <w:tcPr>
            <w:tcW w:w="2280" w:type="dxa"/>
            <w:vAlign w:val="bottom"/>
          </w:tcPr>
          <w:p>
            <w:pPr>
              <w:spacing w:after="0"/>
              <w:rPr>
                <w:sz w:val="2"/>
                <w:szCs w:val="2"/>
                <w:color w:val="auto"/>
              </w:rPr>
            </w:pPr>
          </w:p>
        </w:tc>
        <w:tc>
          <w:tcPr>
            <w:tcW w:w="9140" w:type="dxa"/>
            <w:vAlign w:val="bottom"/>
          </w:tcPr>
          <w:p>
            <w:pPr>
              <w:spacing w:after="0"/>
              <w:rPr>
                <w:sz w:val="2"/>
                <w:szCs w:val="2"/>
                <w:color w:val="auto"/>
              </w:rPr>
            </w:pPr>
          </w:p>
        </w:tc>
      </w:tr>
      <w:tr>
        <w:trPr>
          <w:trHeight w:val="250"/>
        </w:trPr>
        <w:tc>
          <w:tcPr>
            <w:tcW w:w="2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LIBOR</w:t>
            </w:r>
          </w:p>
        </w:tc>
        <w:tc>
          <w:tcPr>
            <w:tcW w:w="91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London Inter Bank Offered Rate</w:t>
            </w:r>
          </w:p>
        </w:tc>
      </w:tr>
      <w:tr>
        <w:trPr>
          <w:trHeight w:val="243"/>
        </w:trPr>
        <w:tc>
          <w:tcPr>
            <w:tcW w:w="2280" w:type="dxa"/>
            <w:vAlign w:val="bottom"/>
          </w:tcPr>
          <w:p>
            <w:pPr>
              <w:ind w:left="40"/>
              <w:spacing w:after="0"/>
              <w:rPr>
                <w:sz w:val="20"/>
                <w:szCs w:val="20"/>
                <w:color w:val="auto"/>
              </w:rPr>
            </w:pPr>
            <w:r>
              <w:rPr>
                <w:rFonts w:ascii="Arial" w:cs="Arial" w:eastAsia="Arial" w:hAnsi="Arial"/>
                <w:sz w:val="18"/>
                <w:szCs w:val="18"/>
                <w:color w:val="auto"/>
              </w:rPr>
              <w:t>MACT</w:t>
            </w:r>
          </w:p>
        </w:tc>
        <w:tc>
          <w:tcPr>
            <w:tcW w:w="9140" w:type="dxa"/>
            <w:vAlign w:val="bottom"/>
          </w:tcPr>
          <w:p>
            <w:pPr>
              <w:ind w:left="260"/>
              <w:spacing w:after="0"/>
              <w:rPr>
                <w:sz w:val="20"/>
                <w:szCs w:val="20"/>
                <w:color w:val="auto"/>
              </w:rPr>
            </w:pPr>
            <w:r>
              <w:rPr>
                <w:rFonts w:ascii="Arial" w:cs="Arial" w:eastAsia="Arial" w:hAnsi="Arial"/>
                <w:sz w:val="18"/>
                <w:szCs w:val="18"/>
                <w:color w:val="auto"/>
              </w:rPr>
              <w:t>Maximum Achievable Control Technology</w:t>
            </w:r>
          </w:p>
        </w:tc>
      </w:tr>
      <w:tr>
        <w:trPr>
          <w:trHeight w:val="27"/>
        </w:trPr>
        <w:tc>
          <w:tcPr>
            <w:tcW w:w="2280" w:type="dxa"/>
            <w:vAlign w:val="bottom"/>
          </w:tcPr>
          <w:p>
            <w:pPr>
              <w:spacing w:after="0"/>
              <w:rPr>
                <w:sz w:val="2"/>
                <w:szCs w:val="2"/>
                <w:color w:val="auto"/>
              </w:rPr>
            </w:pPr>
          </w:p>
        </w:tc>
        <w:tc>
          <w:tcPr>
            <w:tcW w:w="9140" w:type="dxa"/>
            <w:vAlign w:val="bottom"/>
          </w:tcPr>
          <w:p>
            <w:pPr>
              <w:spacing w:after="0"/>
              <w:rPr>
                <w:sz w:val="2"/>
                <w:szCs w:val="2"/>
                <w:color w:val="auto"/>
              </w:rPr>
            </w:pPr>
          </w:p>
        </w:tc>
      </w:tr>
      <w:tr>
        <w:trPr>
          <w:trHeight w:val="250"/>
        </w:trPr>
        <w:tc>
          <w:tcPr>
            <w:tcW w:w="2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Magnetation</w:t>
            </w:r>
          </w:p>
        </w:tc>
        <w:tc>
          <w:tcPr>
            <w:tcW w:w="91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Magnetation, Inc.</w:t>
            </w:r>
          </w:p>
        </w:tc>
      </w:tr>
      <w:tr>
        <w:trPr>
          <w:trHeight w:val="243"/>
        </w:trPr>
        <w:tc>
          <w:tcPr>
            <w:tcW w:w="2280" w:type="dxa"/>
            <w:vAlign w:val="bottom"/>
          </w:tcPr>
          <w:p>
            <w:pPr>
              <w:ind w:left="40"/>
              <w:spacing w:after="0"/>
              <w:rPr>
                <w:sz w:val="20"/>
                <w:szCs w:val="20"/>
                <w:color w:val="auto"/>
              </w:rPr>
            </w:pPr>
            <w:r>
              <w:rPr>
                <w:rFonts w:ascii="Arial" w:cs="Arial" w:eastAsia="Arial" w:hAnsi="Arial"/>
                <w:sz w:val="18"/>
                <w:szCs w:val="18"/>
                <w:color w:val="auto"/>
              </w:rPr>
              <w:t>Manitoba Hydro</w:t>
            </w:r>
          </w:p>
        </w:tc>
        <w:tc>
          <w:tcPr>
            <w:tcW w:w="9140" w:type="dxa"/>
            <w:vAlign w:val="bottom"/>
          </w:tcPr>
          <w:p>
            <w:pPr>
              <w:ind w:left="260"/>
              <w:spacing w:after="0"/>
              <w:rPr>
                <w:sz w:val="20"/>
                <w:szCs w:val="20"/>
                <w:color w:val="auto"/>
              </w:rPr>
            </w:pPr>
            <w:r>
              <w:rPr>
                <w:rFonts w:ascii="Arial" w:cs="Arial" w:eastAsia="Arial" w:hAnsi="Arial"/>
                <w:sz w:val="18"/>
                <w:szCs w:val="18"/>
                <w:color w:val="auto"/>
              </w:rPr>
              <w:t>Manitoba Hydro-Electric Board</w:t>
            </w:r>
          </w:p>
        </w:tc>
      </w:tr>
      <w:tr>
        <w:trPr>
          <w:trHeight w:val="27"/>
        </w:trPr>
        <w:tc>
          <w:tcPr>
            <w:tcW w:w="2280" w:type="dxa"/>
            <w:vAlign w:val="bottom"/>
          </w:tcPr>
          <w:p>
            <w:pPr>
              <w:spacing w:after="0"/>
              <w:rPr>
                <w:sz w:val="2"/>
                <w:szCs w:val="2"/>
                <w:color w:val="auto"/>
              </w:rPr>
            </w:pPr>
          </w:p>
        </w:tc>
        <w:tc>
          <w:tcPr>
            <w:tcW w:w="9140" w:type="dxa"/>
            <w:vAlign w:val="bottom"/>
          </w:tcPr>
          <w:p>
            <w:pPr>
              <w:spacing w:after="0"/>
              <w:rPr>
                <w:sz w:val="2"/>
                <w:szCs w:val="2"/>
                <w:color w:val="auto"/>
              </w:rPr>
            </w:pPr>
          </w:p>
        </w:tc>
      </w:tr>
      <w:tr>
        <w:trPr>
          <w:trHeight w:val="250"/>
        </w:trPr>
        <w:tc>
          <w:tcPr>
            <w:tcW w:w="2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MATS</w:t>
            </w:r>
          </w:p>
        </w:tc>
        <w:tc>
          <w:tcPr>
            <w:tcW w:w="91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Mercury and Air Toxics Standards</w:t>
            </w:r>
          </w:p>
        </w:tc>
      </w:tr>
      <w:tr>
        <w:trPr>
          <w:trHeight w:val="243"/>
        </w:trPr>
        <w:tc>
          <w:tcPr>
            <w:tcW w:w="2280" w:type="dxa"/>
            <w:vAlign w:val="bottom"/>
          </w:tcPr>
          <w:p>
            <w:pPr>
              <w:ind w:left="40"/>
              <w:spacing w:after="0"/>
              <w:rPr>
                <w:sz w:val="20"/>
                <w:szCs w:val="20"/>
                <w:color w:val="auto"/>
              </w:rPr>
            </w:pPr>
            <w:r>
              <w:rPr>
                <w:rFonts w:ascii="Arial" w:cs="Arial" w:eastAsia="Arial" w:hAnsi="Arial"/>
                <w:sz w:val="18"/>
                <w:szCs w:val="18"/>
                <w:color w:val="auto"/>
              </w:rPr>
              <w:t>MBtu</w:t>
            </w:r>
          </w:p>
        </w:tc>
        <w:tc>
          <w:tcPr>
            <w:tcW w:w="9140" w:type="dxa"/>
            <w:vAlign w:val="bottom"/>
          </w:tcPr>
          <w:p>
            <w:pPr>
              <w:ind w:left="260"/>
              <w:spacing w:after="0"/>
              <w:rPr>
                <w:sz w:val="20"/>
                <w:szCs w:val="20"/>
                <w:color w:val="auto"/>
              </w:rPr>
            </w:pPr>
            <w:r>
              <w:rPr>
                <w:rFonts w:ascii="Arial" w:cs="Arial" w:eastAsia="Arial" w:hAnsi="Arial"/>
                <w:sz w:val="18"/>
                <w:szCs w:val="18"/>
                <w:color w:val="auto"/>
              </w:rPr>
              <w:t>Million British thermal units</w:t>
            </w:r>
          </w:p>
        </w:tc>
      </w:tr>
      <w:tr>
        <w:trPr>
          <w:trHeight w:val="27"/>
        </w:trPr>
        <w:tc>
          <w:tcPr>
            <w:tcW w:w="2280" w:type="dxa"/>
            <w:vAlign w:val="bottom"/>
          </w:tcPr>
          <w:p>
            <w:pPr>
              <w:spacing w:after="0"/>
              <w:rPr>
                <w:sz w:val="2"/>
                <w:szCs w:val="2"/>
                <w:color w:val="auto"/>
              </w:rPr>
            </w:pPr>
          </w:p>
        </w:tc>
        <w:tc>
          <w:tcPr>
            <w:tcW w:w="9140" w:type="dxa"/>
            <w:vAlign w:val="bottom"/>
          </w:tcPr>
          <w:p>
            <w:pPr>
              <w:spacing w:after="0"/>
              <w:rPr>
                <w:sz w:val="2"/>
                <w:szCs w:val="2"/>
                <w:color w:val="auto"/>
              </w:rPr>
            </w:pPr>
          </w:p>
        </w:tc>
      </w:tr>
      <w:tr>
        <w:trPr>
          <w:trHeight w:val="250"/>
        </w:trPr>
        <w:tc>
          <w:tcPr>
            <w:tcW w:w="2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Medicare Part D</w:t>
            </w:r>
          </w:p>
        </w:tc>
        <w:tc>
          <w:tcPr>
            <w:tcW w:w="91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Medicare Part D provision of the Patient Protection and Affordable Care Act of 2010</w:t>
            </w:r>
          </w:p>
        </w:tc>
      </w:tr>
      <w:tr>
        <w:trPr>
          <w:trHeight w:val="445"/>
        </w:trPr>
        <w:tc>
          <w:tcPr>
            <w:tcW w:w="2280" w:type="dxa"/>
            <w:vAlign w:val="bottom"/>
          </w:tcPr>
          <w:p>
            <w:pPr>
              <w:spacing w:after="0"/>
              <w:rPr>
                <w:sz w:val="24"/>
                <w:szCs w:val="24"/>
                <w:color w:val="auto"/>
              </w:rPr>
            </w:pPr>
          </w:p>
        </w:tc>
        <w:tc>
          <w:tcPr>
            <w:tcW w:w="9140" w:type="dxa"/>
            <w:vAlign w:val="bottom"/>
          </w:tcPr>
          <w:p>
            <w:pPr>
              <w:ind w:left="2460"/>
              <w:spacing w:after="0"/>
              <w:rPr>
                <w:sz w:val="20"/>
                <w:szCs w:val="20"/>
                <w:color w:val="auto"/>
              </w:rPr>
            </w:pPr>
            <w:r>
              <w:rPr>
                <w:rFonts w:ascii="Arial" w:cs="Arial" w:eastAsia="Arial" w:hAnsi="Arial"/>
                <w:sz w:val="18"/>
                <w:szCs w:val="18"/>
                <w:color w:val="auto"/>
              </w:rPr>
              <w:t>ALLETE 2012 Form 10-K</w:t>
            </w:r>
          </w:p>
        </w:tc>
      </w:tr>
      <w:tr>
        <w:trPr>
          <w:trHeight w:val="230"/>
        </w:trPr>
        <w:tc>
          <w:tcPr>
            <w:tcW w:w="2280" w:type="dxa"/>
            <w:vAlign w:val="bottom"/>
          </w:tcPr>
          <w:p>
            <w:pPr>
              <w:spacing w:after="0"/>
              <w:rPr>
                <w:sz w:val="20"/>
                <w:szCs w:val="20"/>
                <w:color w:val="auto"/>
              </w:rPr>
            </w:pPr>
          </w:p>
        </w:tc>
        <w:tc>
          <w:tcPr>
            <w:tcW w:w="9140" w:type="dxa"/>
            <w:vAlign w:val="bottom"/>
          </w:tcPr>
          <w:p>
            <w:pPr>
              <w:ind w:left="3380"/>
              <w:spacing w:after="0"/>
              <w:rPr>
                <w:sz w:val="20"/>
                <w:szCs w:val="20"/>
                <w:color w:val="auto"/>
              </w:rPr>
            </w:pPr>
            <w:r>
              <w:rPr>
                <w:rFonts w:ascii="Arial" w:cs="Arial" w:eastAsia="Arial" w:hAnsi="Arial"/>
                <w:sz w:val="18"/>
                <w:szCs w:val="18"/>
                <w:color w:val="auto"/>
              </w:rPr>
              <w:t>4</w:t>
            </w:r>
          </w:p>
        </w:tc>
      </w:tr>
    </w:tbl>
    <w:p>
      <w:pPr>
        <w:sectPr>
          <w:pgSz w:w="11900" w:h="16838" w:orient="portrait"/>
          <w:cols w:equalWidth="0" w:num="1">
            <w:col w:w="11420"/>
          </w:cols>
          <w:pgMar w:left="240" w:top="364" w:right="23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180" w:type="dxa"/>
            <w:vAlign w:val="bottom"/>
          </w:tcPr>
          <w:p>
            <w:pPr>
              <w:spacing w:after="0"/>
              <w:rPr>
                <w:sz w:val="20"/>
                <w:szCs w:val="20"/>
                <w:color w:val="auto"/>
              </w:rPr>
            </w:pPr>
          </w:p>
        </w:tc>
        <w:tc>
          <w:tcPr>
            <w:tcW w:w="9240" w:type="dxa"/>
            <w:vAlign w:val="bottom"/>
          </w:tcPr>
          <w:p>
            <w:pPr>
              <w:jc w:val="center"/>
              <w:ind w:right="2070"/>
              <w:spacing w:after="0"/>
              <w:rPr>
                <w:sz w:val="20"/>
                <w:szCs w:val="20"/>
                <w:color w:val="auto"/>
              </w:rPr>
            </w:pPr>
            <w:r>
              <w:rPr>
                <w:rFonts w:ascii="Arial" w:cs="Arial" w:eastAsia="Arial" w:hAnsi="Arial"/>
                <w:sz w:val="18"/>
                <w:szCs w:val="18"/>
                <w:b w:val="1"/>
                <w:bCs w:val="1"/>
                <w:color w:val="auto"/>
                <w:w w:val="89"/>
              </w:rPr>
              <w:t>Definitions (continued)</w:t>
            </w:r>
          </w:p>
        </w:tc>
      </w:tr>
      <w:tr>
        <w:trPr>
          <w:trHeight w:val="351"/>
        </w:trPr>
        <w:tc>
          <w:tcPr>
            <w:tcW w:w="2180" w:type="dxa"/>
            <w:vAlign w:val="bottom"/>
          </w:tcPr>
          <w:p>
            <w:pPr>
              <w:spacing w:after="0"/>
              <w:rPr>
                <w:sz w:val="24"/>
                <w:szCs w:val="24"/>
                <w:color w:val="auto"/>
              </w:rPr>
            </w:pPr>
          </w:p>
        </w:tc>
        <w:tc>
          <w:tcPr>
            <w:tcW w:w="9240" w:type="dxa"/>
            <w:vAlign w:val="bottom"/>
          </w:tcPr>
          <w:p>
            <w:pPr>
              <w:spacing w:after="0"/>
              <w:rPr>
                <w:sz w:val="24"/>
                <w:szCs w:val="24"/>
                <w:color w:val="auto"/>
              </w:rPr>
            </w:pPr>
          </w:p>
        </w:tc>
      </w:tr>
      <w:tr>
        <w:trPr>
          <w:trHeight w:val="250"/>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Mesabi Nugget</w:t>
            </w:r>
          </w:p>
        </w:tc>
        <w:tc>
          <w:tcPr>
            <w:tcW w:w="9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Mesabi Nugget Delaware, LLC</w:t>
            </w:r>
          </w:p>
        </w:tc>
      </w:tr>
      <w:tr>
        <w:trPr>
          <w:trHeight w:val="243"/>
        </w:trPr>
        <w:tc>
          <w:tcPr>
            <w:tcW w:w="2180" w:type="dxa"/>
            <w:vAlign w:val="bottom"/>
          </w:tcPr>
          <w:p>
            <w:pPr>
              <w:ind w:left="40"/>
              <w:spacing w:after="0"/>
              <w:rPr>
                <w:sz w:val="20"/>
                <w:szCs w:val="20"/>
                <w:color w:val="auto"/>
              </w:rPr>
            </w:pPr>
            <w:r>
              <w:rPr>
                <w:rFonts w:ascii="Arial" w:cs="Arial" w:eastAsia="Arial" w:hAnsi="Arial"/>
                <w:sz w:val="18"/>
                <w:szCs w:val="18"/>
                <w:color w:val="auto"/>
              </w:rPr>
              <w:t>Minnesota Power</w:t>
            </w:r>
          </w:p>
        </w:tc>
        <w:tc>
          <w:tcPr>
            <w:tcW w:w="9240" w:type="dxa"/>
            <w:vAlign w:val="bottom"/>
          </w:tcPr>
          <w:p>
            <w:pPr>
              <w:ind w:left="360"/>
              <w:spacing w:after="0"/>
              <w:rPr>
                <w:sz w:val="20"/>
                <w:szCs w:val="20"/>
                <w:color w:val="auto"/>
              </w:rPr>
            </w:pPr>
            <w:r>
              <w:rPr>
                <w:rFonts w:ascii="Arial" w:cs="Arial" w:eastAsia="Arial" w:hAnsi="Arial"/>
                <w:sz w:val="18"/>
                <w:szCs w:val="18"/>
                <w:color w:val="auto"/>
              </w:rPr>
              <w:t>An operating division of ALLETE, Inc.</w:t>
            </w:r>
          </w:p>
        </w:tc>
      </w:tr>
      <w:tr>
        <w:trPr>
          <w:trHeight w:val="27"/>
        </w:trPr>
        <w:tc>
          <w:tcPr>
            <w:tcW w:w="2180" w:type="dxa"/>
            <w:vAlign w:val="bottom"/>
          </w:tcPr>
          <w:p>
            <w:pPr>
              <w:spacing w:after="0"/>
              <w:rPr>
                <w:sz w:val="2"/>
                <w:szCs w:val="2"/>
                <w:color w:val="auto"/>
              </w:rPr>
            </w:pPr>
          </w:p>
        </w:tc>
        <w:tc>
          <w:tcPr>
            <w:tcW w:w="9240" w:type="dxa"/>
            <w:vAlign w:val="bottom"/>
          </w:tcPr>
          <w:p>
            <w:pPr>
              <w:spacing w:after="0"/>
              <w:rPr>
                <w:sz w:val="2"/>
                <w:szCs w:val="2"/>
                <w:color w:val="auto"/>
              </w:rPr>
            </w:pPr>
          </w:p>
        </w:tc>
      </w:tr>
      <w:tr>
        <w:trPr>
          <w:trHeight w:val="250"/>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Minnkota Power</w:t>
            </w:r>
          </w:p>
        </w:tc>
        <w:tc>
          <w:tcPr>
            <w:tcW w:w="9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Minnkota Power Cooperative, Inc.</w:t>
            </w:r>
          </w:p>
        </w:tc>
      </w:tr>
      <w:tr>
        <w:trPr>
          <w:trHeight w:val="243"/>
        </w:trPr>
        <w:tc>
          <w:tcPr>
            <w:tcW w:w="2180" w:type="dxa"/>
            <w:vAlign w:val="bottom"/>
          </w:tcPr>
          <w:p>
            <w:pPr>
              <w:ind w:left="40"/>
              <w:spacing w:after="0"/>
              <w:rPr>
                <w:sz w:val="20"/>
                <w:szCs w:val="20"/>
                <w:color w:val="auto"/>
              </w:rPr>
            </w:pPr>
            <w:r>
              <w:rPr>
                <w:rFonts w:ascii="Arial" w:cs="Arial" w:eastAsia="Arial" w:hAnsi="Arial"/>
                <w:sz w:val="18"/>
                <w:szCs w:val="18"/>
                <w:color w:val="auto"/>
              </w:rPr>
              <w:t>MISO</w:t>
            </w:r>
          </w:p>
        </w:tc>
        <w:tc>
          <w:tcPr>
            <w:tcW w:w="9240" w:type="dxa"/>
            <w:vAlign w:val="bottom"/>
          </w:tcPr>
          <w:p>
            <w:pPr>
              <w:ind w:left="360"/>
              <w:spacing w:after="0"/>
              <w:rPr>
                <w:sz w:val="20"/>
                <w:szCs w:val="20"/>
                <w:color w:val="auto"/>
              </w:rPr>
            </w:pPr>
            <w:r>
              <w:rPr>
                <w:rFonts w:ascii="Arial" w:cs="Arial" w:eastAsia="Arial" w:hAnsi="Arial"/>
                <w:sz w:val="18"/>
                <w:szCs w:val="18"/>
                <w:color w:val="auto"/>
              </w:rPr>
              <w:t>Midwest Independent Transmission System Operator, Inc.</w:t>
            </w:r>
          </w:p>
        </w:tc>
      </w:tr>
      <w:tr>
        <w:trPr>
          <w:trHeight w:val="27"/>
        </w:trPr>
        <w:tc>
          <w:tcPr>
            <w:tcW w:w="2180" w:type="dxa"/>
            <w:vAlign w:val="bottom"/>
          </w:tcPr>
          <w:p>
            <w:pPr>
              <w:spacing w:after="0"/>
              <w:rPr>
                <w:sz w:val="2"/>
                <w:szCs w:val="2"/>
                <w:color w:val="auto"/>
              </w:rPr>
            </w:pPr>
          </w:p>
        </w:tc>
        <w:tc>
          <w:tcPr>
            <w:tcW w:w="9240" w:type="dxa"/>
            <w:vAlign w:val="bottom"/>
          </w:tcPr>
          <w:p>
            <w:pPr>
              <w:spacing w:after="0"/>
              <w:rPr>
                <w:sz w:val="2"/>
                <w:szCs w:val="2"/>
                <w:color w:val="auto"/>
              </w:rPr>
            </w:pPr>
          </w:p>
        </w:tc>
      </w:tr>
      <w:tr>
        <w:trPr>
          <w:trHeight w:val="250"/>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Moody’s</w:t>
            </w:r>
          </w:p>
        </w:tc>
        <w:tc>
          <w:tcPr>
            <w:tcW w:w="9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Moody’s Investors Service, Inc.</w:t>
            </w:r>
          </w:p>
        </w:tc>
      </w:tr>
      <w:tr>
        <w:trPr>
          <w:trHeight w:val="243"/>
        </w:trPr>
        <w:tc>
          <w:tcPr>
            <w:tcW w:w="2180" w:type="dxa"/>
            <w:vAlign w:val="bottom"/>
          </w:tcPr>
          <w:p>
            <w:pPr>
              <w:ind w:left="40"/>
              <w:spacing w:after="0"/>
              <w:rPr>
                <w:sz w:val="20"/>
                <w:szCs w:val="20"/>
                <w:color w:val="auto"/>
              </w:rPr>
            </w:pPr>
            <w:r>
              <w:rPr>
                <w:rFonts w:ascii="Arial" w:cs="Arial" w:eastAsia="Arial" w:hAnsi="Arial"/>
                <w:sz w:val="18"/>
                <w:szCs w:val="18"/>
                <w:color w:val="auto"/>
              </w:rPr>
              <w:t>MPCA</w:t>
            </w:r>
          </w:p>
        </w:tc>
        <w:tc>
          <w:tcPr>
            <w:tcW w:w="9240" w:type="dxa"/>
            <w:vAlign w:val="bottom"/>
          </w:tcPr>
          <w:p>
            <w:pPr>
              <w:ind w:left="360"/>
              <w:spacing w:after="0"/>
              <w:rPr>
                <w:sz w:val="20"/>
                <w:szCs w:val="20"/>
                <w:color w:val="auto"/>
              </w:rPr>
            </w:pPr>
            <w:r>
              <w:rPr>
                <w:rFonts w:ascii="Arial" w:cs="Arial" w:eastAsia="Arial" w:hAnsi="Arial"/>
                <w:sz w:val="18"/>
                <w:szCs w:val="18"/>
                <w:color w:val="auto"/>
              </w:rPr>
              <w:t>Minnesota Pollution Control Agency</w:t>
            </w:r>
          </w:p>
        </w:tc>
      </w:tr>
      <w:tr>
        <w:trPr>
          <w:trHeight w:val="27"/>
        </w:trPr>
        <w:tc>
          <w:tcPr>
            <w:tcW w:w="2180" w:type="dxa"/>
            <w:vAlign w:val="bottom"/>
          </w:tcPr>
          <w:p>
            <w:pPr>
              <w:spacing w:after="0"/>
              <w:rPr>
                <w:sz w:val="2"/>
                <w:szCs w:val="2"/>
                <w:color w:val="auto"/>
              </w:rPr>
            </w:pPr>
          </w:p>
        </w:tc>
        <w:tc>
          <w:tcPr>
            <w:tcW w:w="9240" w:type="dxa"/>
            <w:vAlign w:val="bottom"/>
          </w:tcPr>
          <w:p>
            <w:pPr>
              <w:spacing w:after="0"/>
              <w:rPr>
                <w:sz w:val="2"/>
                <w:szCs w:val="2"/>
                <w:color w:val="auto"/>
              </w:rPr>
            </w:pPr>
          </w:p>
        </w:tc>
      </w:tr>
      <w:tr>
        <w:trPr>
          <w:trHeight w:val="250"/>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MPUC</w:t>
            </w:r>
          </w:p>
        </w:tc>
        <w:tc>
          <w:tcPr>
            <w:tcW w:w="9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Minnesota Public Utilities Commission</w:t>
            </w:r>
          </w:p>
        </w:tc>
      </w:tr>
      <w:tr>
        <w:trPr>
          <w:trHeight w:val="243"/>
        </w:trPr>
        <w:tc>
          <w:tcPr>
            <w:tcW w:w="2180" w:type="dxa"/>
            <w:vAlign w:val="bottom"/>
          </w:tcPr>
          <w:p>
            <w:pPr>
              <w:ind w:left="40"/>
              <w:spacing w:after="0"/>
              <w:rPr>
                <w:sz w:val="20"/>
                <w:szCs w:val="20"/>
                <w:color w:val="auto"/>
              </w:rPr>
            </w:pPr>
            <w:r>
              <w:rPr>
                <w:rFonts w:ascii="Arial" w:cs="Arial" w:eastAsia="Arial" w:hAnsi="Arial"/>
                <w:sz w:val="18"/>
                <w:szCs w:val="18"/>
                <w:color w:val="auto"/>
              </w:rPr>
              <w:t>MW / MWh</w:t>
            </w:r>
          </w:p>
        </w:tc>
        <w:tc>
          <w:tcPr>
            <w:tcW w:w="9240" w:type="dxa"/>
            <w:vAlign w:val="bottom"/>
          </w:tcPr>
          <w:p>
            <w:pPr>
              <w:ind w:left="360"/>
              <w:spacing w:after="0"/>
              <w:rPr>
                <w:sz w:val="20"/>
                <w:szCs w:val="20"/>
                <w:color w:val="auto"/>
              </w:rPr>
            </w:pPr>
            <w:r>
              <w:rPr>
                <w:rFonts w:ascii="Arial" w:cs="Arial" w:eastAsia="Arial" w:hAnsi="Arial"/>
                <w:sz w:val="18"/>
                <w:szCs w:val="18"/>
                <w:color w:val="auto"/>
              </w:rPr>
              <w:t>Megawatt(s) / Megawatt-hour(s)</w:t>
            </w:r>
          </w:p>
        </w:tc>
      </w:tr>
      <w:tr>
        <w:trPr>
          <w:trHeight w:val="27"/>
        </w:trPr>
        <w:tc>
          <w:tcPr>
            <w:tcW w:w="2180" w:type="dxa"/>
            <w:vAlign w:val="bottom"/>
          </w:tcPr>
          <w:p>
            <w:pPr>
              <w:spacing w:after="0"/>
              <w:rPr>
                <w:sz w:val="2"/>
                <w:szCs w:val="2"/>
                <w:color w:val="auto"/>
              </w:rPr>
            </w:pPr>
          </w:p>
        </w:tc>
        <w:tc>
          <w:tcPr>
            <w:tcW w:w="9240" w:type="dxa"/>
            <w:vAlign w:val="bottom"/>
          </w:tcPr>
          <w:p>
            <w:pPr>
              <w:spacing w:after="0"/>
              <w:rPr>
                <w:sz w:val="2"/>
                <w:szCs w:val="2"/>
                <w:color w:val="auto"/>
              </w:rPr>
            </w:pPr>
          </w:p>
        </w:tc>
      </w:tr>
      <w:tr>
        <w:trPr>
          <w:trHeight w:val="250"/>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NAAQS</w:t>
            </w:r>
          </w:p>
        </w:tc>
        <w:tc>
          <w:tcPr>
            <w:tcW w:w="9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National Ambient Air Quality Standards</w:t>
            </w:r>
          </w:p>
        </w:tc>
      </w:tr>
      <w:tr>
        <w:trPr>
          <w:trHeight w:val="243"/>
        </w:trPr>
        <w:tc>
          <w:tcPr>
            <w:tcW w:w="2180" w:type="dxa"/>
            <w:vAlign w:val="bottom"/>
          </w:tcPr>
          <w:p>
            <w:pPr>
              <w:ind w:left="40"/>
              <w:spacing w:after="0"/>
              <w:rPr>
                <w:sz w:val="20"/>
                <w:szCs w:val="20"/>
                <w:color w:val="auto"/>
              </w:rPr>
            </w:pPr>
            <w:r>
              <w:rPr>
                <w:rFonts w:ascii="Arial" w:cs="Arial" w:eastAsia="Arial" w:hAnsi="Arial"/>
                <w:sz w:val="18"/>
                <w:szCs w:val="18"/>
                <w:color w:val="auto"/>
              </w:rPr>
              <w:t>NDPSC</w:t>
            </w:r>
          </w:p>
        </w:tc>
        <w:tc>
          <w:tcPr>
            <w:tcW w:w="9240" w:type="dxa"/>
            <w:vAlign w:val="bottom"/>
          </w:tcPr>
          <w:p>
            <w:pPr>
              <w:ind w:left="360"/>
              <w:spacing w:after="0"/>
              <w:rPr>
                <w:sz w:val="20"/>
                <w:szCs w:val="20"/>
                <w:color w:val="auto"/>
              </w:rPr>
            </w:pPr>
            <w:r>
              <w:rPr>
                <w:rFonts w:ascii="Arial" w:cs="Arial" w:eastAsia="Arial" w:hAnsi="Arial"/>
                <w:sz w:val="18"/>
                <w:szCs w:val="18"/>
                <w:color w:val="auto"/>
              </w:rPr>
              <w:t>North Dakota Public Service Commission</w:t>
            </w:r>
          </w:p>
        </w:tc>
      </w:tr>
      <w:tr>
        <w:trPr>
          <w:trHeight w:val="27"/>
        </w:trPr>
        <w:tc>
          <w:tcPr>
            <w:tcW w:w="2180" w:type="dxa"/>
            <w:vAlign w:val="bottom"/>
          </w:tcPr>
          <w:p>
            <w:pPr>
              <w:spacing w:after="0"/>
              <w:rPr>
                <w:sz w:val="2"/>
                <w:szCs w:val="2"/>
                <w:color w:val="auto"/>
              </w:rPr>
            </w:pPr>
          </w:p>
        </w:tc>
        <w:tc>
          <w:tcPr>
            <w:tcW w:w="9240" w:type="dxa"/>
            <w:vAlign w:val="bottom"/>
          </w:tcPr>
          <w:p>
            <w:pPr>
              <w:spacing w:after="0"/>
              <w:rPr>
                <w:sz w:val="2"/>
                <w:szCs w:val="2"/>
                <w:color w:val="auto"/>
              </w:rPr>
            </w:pPr>
          </w:p>
        </w:tc>
      </w:tr>
      <w:tr>
        <w:trPr>
          <w:trHeight w:val="250"/>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NERC</w:t>
            </w:r>
          </w:p>
        </w:tc>
        <w:tc>
          <w:tcPr>
            <w:tcW w:w="9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North American Electric Reliability Corporation</w:t>
            </w:r>
          </w:p>
        </w:tc>
      </w:tr>
      <w:tr>
        <w:trPr>
          <w:trHeight w:val="243"/>
        </w:trPr>
        <w:tc>
          <w:tcPr>
            <w:tcW w:w="2180" w:type="dxa"/>
            <w:vAlign w:val="bottom"/>
          </w:tcPr>
          <w:p>
            <w:pPr>
              <w:ind w:left="40"/>
              <w:spacing w:after="0"/>
              <w:rPr>
                <w:sz w:val="20"/>
                <w:szCs w:val="20"/>
                <w:color w:val="auto"/>
              </w:rPr>
            </w:pPr>
            <w:r>
              <w:rPr>
                <w:rFonts w:ascii="Arial" w:cs="Arial" w:eastAsia="Arial" w:hAnsi="Arial"/>
                <w:sz w:val="18"/>
                <w:szCs w:val="18"/>
                <w:color w:val="auto"/>
              </w:rPr>
              <w:t>NOL</w:t>
            </w:r>
          </w:p>
        </w:tc>
        <w:tc>
          <w:tcPr>
            <w:tcW w:w="9240" w:type="dxa"/>
            <w:vAlign w:val="bottom"/>
          </w:tcPr>
          <w:p>
            <w:pPr>
              <w:ind w:left="360"/>
              <w:spacing w:after="0"/>
              <w:rPr>
                <w:sz w:val="20"/>
                <w:szCs w:val="20"/>
                <w:color w:val="auto"/>
              </w:rPr>
            </w:pPr>
            <w:r>
              <w:rPr>
                <w:rFonts w:ascii="Arial" w:cs="Arial" w:eastAsia="Arial" w:hAnsi="Arial"/>
                <w:sz w:val="18"/>
                <w:szCs w:val="18"/>
                <w:color w:val="auto"/>
              </w:rPr>
              <w:t>Net Operating Loss</w:t>
            </w:r>
          </w:p>
        </w:tc>
      </w:tr>
      <w:tr>
        <w:trPr>
          <w:trHeight w:val="27"/>
        </w:trPr>
        <w:tc>
          <w:tcPr>
            <w:tcW w:w="2180" w:type="dxa"/>
            <w:vAlign w:val="bottom"/>
          </w:tcPr>
          <w:p>
            <w:pPr>
              <w:spacing w:after="0"/>
              <w:rPr>
                <w:sz w:val="2"/>
                <w:szCs w:val="2"/>
                <w:color w:val="auto"/>
              </w:rPr>
            </w:pPr>
          </w:p>
        </w:tc>
        <w:tc>
          <w:tcPr>
            <w:tcW w:w="9240" w:type="dxa"/>
            <w:vAlign w:val="bottom"/>
          </w:tcPr>
          <w:p>
            <w:pPr>
              <w:spacing w:after="0"/>
              <w:rPr>
                <w:sz w:val="2"/>
                <w:szCs w:val="2"/>
                <w:color w:val="auto"/>
              </w:rPr>
            </w:pPr>
          </w:p>
        </w:tc>
      </w:tr>
      <w:tr>
        <w:trPr>
          <w:trHeight w:val="250"/>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Non-residential</w:t>
            </w:r>
          </w:p>
        </w:tc>
        <w:tc>
          <w:tcPr>
            <w:tcW w:w="9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Retail commercial, non-retail commercial, office, industrial, warehouse, storage and institutional</w:t>
            </w:r>
          </w:p>
        </w:tc>
      </w:tr>
      <w:tr>
        <w:trPr>
          <w:trHeight w:val="243"/>
        </w:trPr>
        <w:tc>
          <w:tcPr>
            <w:tcW w:w="2180" w:type="dxa"/>
            <w:vAlign w:val="bottom"/>
          </w:tcPr>
          <w:p>
            <w:pPr>
              <w:ind w:left="40"/>
              <w:spacing w:after="0"/>
              <w:rPr>
                <w:sz w:val="20"/>
                <w:szCs w:val="20"/>
                <w:color w:val="auto"/>
              </w:rPr>
            </w:pPr>
            <w:r>
              <w:rPr>
                <w:rFonts w:ascii="Arial" w:cs="Arial" w:eastAsia="Arial" w:hAnsi="Arial"/>
                <w:sz w:val="18"/>
                <w:szCs w:val="18"/>
                <w:color w:val="auto"/>
              </w:rPr>
              <w:t>NO</w:t>
            </w:r>
            <w:r>
              <w:rPr>
                <w:rFonts w:ascii="Arial" w:cs="Arial" w:eastAsia="Arial" w:hAnsi="Arial"/>
                <w:sz w:val="12"/>
                <w:szCs w:val="12"/>
                <w:color w:val="auto"/>
              </w:rPr>
              <w:t>2</w:t>
            </w:r>
          </w:p>
        </w:tc>
        <w:tc>
          <w:tcPr>
            <w:tcW w:w="9240" w:type="dxa"/>
            <w:vAlign w:val="bottom"/>
          </w:tcPr>
          <w:p>
            <w:pPr>
              <w:ind w:left="360"/>
              <w:spacing w:after="0"/>
              <w:rPr>
                <w:sz w:val="20"/>
                <w:szCs w:val="20"/>
                <w:color w:val="auto"/>
              </w:rPr>
            </w:pPr>
            <w:r>
              <w:rPr>
                <w:rFonts w:ascii="Arial" w:cs="Arial" w:eastAsia="Arial" w:hAnsi="Arial"/>
                <w:sz w:val="18"/>
                <w:szCs w:val="18"/>
                <w:color w:val="auto"/>
              </w:rPr>
              <w:t>Nitrogen Dioxide</w:t>
            </w:r>
          </w:p>
        </w:tc>
      </w:tr>
      <w:tr>
        <w:trPr>
          <w:trHeight w:val="27"/>
        </w:trPr>
        <w:tc>
          <w:tcPr>
            <w:tcW w:w="2180" w:type="dxa"/>
            <w:vAlign w:val="bottom"/>
          </w:tcPr>
          <w:p>
            <w:pPr>
              <w:spacing w:after="0"/>
              <w:rPr>
                <w:sz w:val="2"/>
                <w:szCs w:val="2"/>
                <w:color w:val="auto"/>
              </w:rPr>
            </w:pPr>
          </w:p>
        </w:tc>
        <w:tc>
          <w:tcPr>
            <w:tcW w:w="9240" w:type="dxa"/>
            <w:vAlign w:val="bottom"/>
          </w:tcPr>
          <w:p>
            <w:pPr>
              <w:spacing w:after="0"/>
              <w:rPr>
                <w:sz w:val="2"/>
                <w:szCs w:val="2"/>
                <w:color w:val="auto"/>
              </w:rPr>
            </w:pPr>
          </w:p>
        </w:tc>
      </w:tr>
      <w:tr>
        <w:trPr>
          <w:trHeight w:val="250"/>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w:t>
            </w:r>
            <w:r>
              <w:rPr>
                <w:rFonts w:ascii="Arial" w:cs="Arial" w:eastAsia="Arial" w:hAnsi="Arial"/>
                <w:sz w:val="12"/>
                <w:szCs w:val="12"/>
                <w:color w:val="auto"/>
              </w:rPr>
              <w:t>X</w:t>
            </w:r>
          </w:p>
        </w:tc>
        <w:tc>
          <w:tcPr>
            <w:tcW w:w="9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Nitrogen Oxides</w:t>
            </w:r>
          </w:p>
        </w:tc>
      </w:tr>
      <w:tr>
        <w:trPr>
          <w:trHeight w:val="243"/>
        </w:trPr>
        <w:tc>
          <w:tcPr>
            <w:tcW w:w="2180" w:type="dxa"/>
            <w:vAlign w:val="bottom"/>
          </w:tcPr>
          <w:p>
            <w:pPr>
              <w:ind w:left="40"/>
              <w:spacing w:after="0"/>
              <w:rPr>
                <w:sz w:val="20"/>
                <w:szCs w:val="20"/>
                <w:color w:val="auto"/>
              </w:rPr>
            </w:pPr>
            <w:r>
              <w:rPr>
                <w:rFonts w:ascii="Arial" w:cs="Arial" w:eastAsia="Arial" w:hAnsi="Arial"/>
                <w:sz w:val="18"/>
                <w:szCs w:val="18"/>
                <w:color w:val="auto"/>
              </w:rPr>
              <w:t>Note ___</w:t>
            </w:r>
          </w:p>
        </w:tc>
        <w:tc>
          <w:tcPr>
            <w:tcW w:w="9240" w:type="dxa"/>
            <w:vAlign w:val="bottom"/>
          </w:tcPr>
          <w:p>
            <w:pPr>
              <w:ind w:left="360"/>
              <w:spacing w:after="0"/>
              <w:rPr>
                <w:sz w:val="20"/>
                <w:szCs w:val="20"/>
                <w:color w:val="auto"/>
              </w:rPr>
            </w:pPr>
            <w:r>
              <w:rPr>
                <w:rFonts w:ascii="Arial" w:cs="Arial" w:eastAsia="Arial" w:hAnsi="Arial"/>
                <w:sz w:val="18"/>
                <w:szCs w:val="18"/>
                <w:color w:val="auto"/>
              </w:rPr>
              <w:t>Note ___ to the consolidated financial statements in this Form 10-K</w:t>
            </w:r>
          </w:p>
        </w:tc>
      </w:tr>
      <w:tr>
        <w:trPr>
          <w:trHeight w:val="27"/>
        </w:trPr>
        <w:tc>
          <w:tcPr>
            <w:tcW w:w="2180" w:type="dxa"/>
            <w:vAlign w:val="bottom"/>
          </w:tcPr>
          <w:p>
            <w:pPr>
              <w:spacing w:after="0"/>
              <w:rPr>
                <w:sz w:val="2"/>
                <w:szCs w:val="2"/>
                <w:color w:val="auto"/>
              </w:rPr>
            </w:pPr>
          </w:p>
        </w:tc>
        <w:tc>
          <w:tcPr>
            <w:tcW w:w="9240" w:type="dxa"/>
            <w:vAlign w:val="bottom"/>
          </w:tcPr>
          <w:p>
            <w:pPr>
              <w:spacing w:after="0"/>
              <w:rPr>
                <w:sz w:val="2"/>
                <w:szCs w:val="2"/>
                <w:color w:val="auto"/>
              </w:rPr>
            </w:pPr>
          </w:p>
        </w:tc>
      </w:tr>
      <w:tr>
        <w:trPr>
          <w:trHeight w:val="250"/>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NPDES</w:t>
            </w:r>
          </w:p>
        </w:tc>
        <w:tc>
          <w:tcPr>
            <w:tcW w:w="9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National Pollutant Discharge Elimination System</w:t>
            </w:r>
          </w:p>
        </w:tc>
      </w:tr>
      <w:tr>
        <w:trPr>
          <w:trHeight w:val="243"/>
        </w:trPr>
        <w:tc>
          <w:tcPr>
            <w:tcW w:w="2180" w:type="dxa"/>
            <w:vAlign w:val="bottom"/>
          </w:tcPr>
          <w:p>
            <w:pPr>
              <w:ind w:left="40"/>
              <w:spacing w:after="0"/>
              <w:rPr>
                <w:sz w:val="20"/>
                <w:szCs w:val="20"/>
                <w:color w:val="auto"/>
              </w:rPr>
            </w:pPr>
            <w:r>
              <w:rPr>
                <w:rFonts w:ascii="Arial" w:cs="Arial" w:eastAsia="Arial" w:hAnsi="Arial"/>
                <w:sz w:val="18"/>
                <w:szCs w:val="18"/>
                <w:color w:val="auto"/>
              </w:rPr>
              <w:t>NYSE</w:t>
            </w:r>
          </w:p>
        </w:tc>
        <w:tc>
          <w:tcPr>
            <w:tcW w:w="9240" w:type="dxa"/>
            <w:vAlign w:val="bottom"/>
          </w:tcPr>
          <w:p>
            <w:pPr>
              <w:ind w:left="360"/>
              <w:spacing w:after="0"/>
              <w:rPr>
                <w:sz w:val="20"/>
                <w:szCs w:val="20"/>
                <w:color w:val="auto"/>
              </w:rPr>
            </w:pPr>
            <w:r>
              <w:rPr>
                <w:rFonts w:ascii="Arial" w:cs="Arial" w:eastAsia="Arial" w:hAnsi="Arial"/>
                <w:sz w:val="18"/>
                <w:szCs w:val="18"/>
                <w:color w:val="auto"/>
              </w:rPr>
              <w:t>New York Stock Exchange</w:t>
            </w:r>
          </w:p>
        </w:tc>
      </w:tr>
      <w:tr>
        <w:trPr>
          <w:trHeight w:val="27"/>
        </w:trPr>
        <w:tc>
          <w:tcPr>
            <w:tcW w:w="2180" w:type="dxa"/>
            <w:vAlign w:val="bottom"/>
          </w:tcPr>
          <w:p>
            <w:pPr>
              <w:spacing w:after="0"/>
              <w:rPr>
                <w:sz w:val="2"/>
                <w:szCs w:val="2"/>
                <w:color w:val="auto"/>
              </w:rPr>
            </w:pPr>
          </w:p>
        </w:tc>
        <w:tc>
          <w:tcPr>
            <w:tcW w:w="9240" w:type="dxa"/>
            <w:vAlign w:val="bottom"/>
          </w:tcPr>
          <w:p>
            <w:pPr>
              <w:spacing w:after="0"/>
              <w:rPr>
                <w:sz w:val="2"/>
                <w:szCs w:val="2"/>
                <w:color w:val="auto"/>
              </w:rPr>
            </w:pPr>
          </w:p>
        </w:tc>
      </w:tr>
      <w:tr>
        <w:trPr>
          <w:trHeight w:val="250"/>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Oliver Wind I</w:t>
            </w:r>
          </w:p>
        </w:tc>
        <w:tc>
          <w:tcPr>
            <w:tcW w:w="9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Oliver Wind I Energy Center</w:t>
            </w:r>
          </w:p>
        </w:tc>
      </w:tr>
      <w:tr>
        <w:trPr>
          <w:trHeight w:val="243"/>
        </w:trPr>
        <w:tc>
          <w:tcPr>
            <w:tcW w:w="2180" w:type="dxa"/>
            <w:vAlign w:val="bottom"/>
          </w:tcPr>
          <w:p>
            <w:pPr>
              <w:ind w:left="40"/>
              <w:spacing w:after="0"/>
              <w:rPr>
                <w:sz w:val="20"/>
                <w:szCs w:val="20"/>
                <w:color w:val="auto"/>
              </w:rPr>
            </w:pPr>
            <w:r>
              <w:rPr>
                <w:rFonts w:ascii="Arial" w:cs="Arial" w:eastAsia="Arial" w:hAnsi="Arial"/>
                <w:sz w:val="18"/>
                <w:szCs w:val="18"/>
                <w:color w:val="auto"/>
              </w:rPr>
              <w:t>Oliver Wind II</w:t>
            </w:r>
          </w:p>
        </w:tc>
        <w:tc>
          <w:tcPr>
            <w:tcW w:w="9240" w:type="dxa"/>
            <w:vAlign w:val="bottom"/>
          </w:tcPr>
          <w:p>
            <w:pPr>
              <w:ind w:left="360"/>
              <w:spacing w:after="0"/>
              <w:rPr>
                <w:sz w:val="20"/>
                <w:szCs w:val="20"/>
                <w:color w:val="auto"/>
              </w:rPr>
            </w:pPr>
            <w:r>
              <w:rPr>
                <w:rFonts w:ascii="Arial" w:cs="Arial" w:eastAsia="Arial" w:hAnsi="Arial"/>
                <w:sz w:val="18"/>
                <w:szCs w:val="18"/>
                <w:color w:val="auto"/>
              </w:rPr>
              <w:t>Oliver Wind II Energy Center</w:t>
            </w:r>
          </w:p>
        </w:tc>
      </w:tr>
      <w:tr>
        <w:trPr>
          <w:trHeight w:val="27"/>
        </w:trPr>
        <w:tc>
          <w:tcPr>
            <w:tcW w:w="2180" w:type="dxa"/>
            <w:vAlign w:val="bottom"/>
          </w:tcPr>
          <w:p>
            <w:pPr>
              <w:spacing w:after="0"/>
              <w:rPr>
                <w:sz w:val="2"/>
                <w:szCs w:val="2"/>
                <w:color w:val="auto"/>
              </w:rPr>
            </w:pPr>
          </w:p>
        </w:tc>
        <w:tc>
          <w:tcPr>
            <w:tcW w:w="9240" w:type="dxa"/>
            <w:vAlign w:val="bottom"/>
          </w:tcPr>
          <w:p>
            <w:pPr>
              <w:spacing w:after="0"/>
              <w:rPr>
                <w:sz w:val="2"/>
                <w:szCs w:val="2"/>
                <w:color w:val="auto"/>
              </w:rPr>
            </w:pPr>
          </w:p>
        </w:tc>
      </w:tr>
      <w:tr>
        <w:trPr>
          <w:trHeight w:val="250"/>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Palm Coast Park</w:t>
            </w:r>
          </w:p>
        </w:tc>
        <w:tc>
          <w:tcPr>
            <w:tcW w:w="9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Palm Coast Park development project in Florida</w:t>
            </w:r>
          </w:p>
        </w:tc>
      </w:tr>
      <w:tr>
        <w:trPr>
          <w:trHeight w:val="243"/>
        </w:trPr>
        <w:tc>
          <w:tcPr>
            <w:tcW w:w="2180" w:type="dxa"/>
            <w:vAlign w:val="bottom"/>
          </w:tcPr>
          <w:p>
            <w:pPr>
              <w:ind w:left="40"/>
              <w:spacing w:after="0"/>
              <w:rPr>
                <w:sz w:val="20"/>
                <w:szCs w:val="20"/>
                <w:color w:val="auto"/>
              </w:rPr>
            </w:pPr>
            <w:r>
              <w:rPr>
                <w:rFonts w:ascii="Arial" w:cs="Arial" w:eastAsia="Arial" w:hAnsi="Arial"/>
                <w:sz w:val="18"/>
                <w:szCs w:val="18"/>
                <w:color w:val="auto"/>
              </w:rPr>
              <w:t>Palm Coast Park District</w:t>
            </w:r>
          </w:p>
        </w:tc>
        <w:tc>
          <w:tcPr>
            <w:tcW w:w="9240" w:type="dxa"/>
            <w:vAlign w:val="bottom"/>
          </w:tcPr>
          <w:p>
            <w:pPr>
              <w:ind w:left="360"/>
              <w:spacing w:after="0"/>
              <w:rPr>
                <w:sz w:val="20"/>
                <w:szCs w:val="20"/>
                <w:color w:val="auto"/>
              </w:rPr>
            </w:pPr>
            <w:r>
              <w:rPr>
                <w:rFonts w:ascii="Arial" w:cs="Arial" w:eastAsia="Arial" w:hAnsi="Arial"/>
                <w:sz w:val="18"/>
                <w:szCs w:val="18"/>
                <w:color w:val="auto"/>
              </w:rPr>
              <w:t>Palm Coast Park Community Development District</w:t>
            </w:r>
          </w:p>
        </w:tc>
      </w:tr>
      <w:tr>
        <w:trPr>
          <w:trHeight w:val="27"/>
        </w:trPr>
        <w:tc>
          <w:tcPr>
            <w:tcW w:w="2180" w:type="dxa"/>
            <w:vAlign w:val="bottom"/>
          </w:tcPr>
          <w:p>
            <w:pPr>
              <w:spacing w:after="0"/>
              <w:rPr>
                <w:sz w:val="2"/>
                <w:szCs w:val="2"/>
                <w:color w:val="auto"/>
              </w:rPr>
            </w:pPr>
          </w:p>
        </w:tc>
        <w:tc>
          <w:tcPr>
            <w:tcW w:w="9240" w:type="dxa"/>
            <w:vAlign w:val="bottom"/>
          </w:tcPr>
          <w:p>
            <w:pPr>
              <w:spacing w:after="0"/>
              <w:rPr>
                <w:sz w:val="2"/>
                <w:szCs w:val="2"/>
                <w:color w:val="auto"/>
              </w:rPr>
            </w:pPr>
          </w:p>
        </w:tc>
      </w:tr>
      <w:tr>
        <w:trPr>
          <w:trHeight w:val="250"/>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PolyMet</w:t>
            </w:r>
          </w:p>
        </w:tc>
        <w:tc>
          <w:tcPr>
            <w:tcW w:w="9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PolyMet Mining Corporation</w:t>
            </w:r>
          </w:p>
        </w:tc>
      </w:tr>
      <w:tr>
        <w:trPr>
          <w:trHeight w:val="243"/>
        </w:trPr>
        <w:tc>
          <w:tcPr>
            <w:tcW w:w="2180" w:type="dxa"/>
            <w:vAlign w:val="bottom"/>
          </w:tcPr>
          <w:p>
            <w:pPr>
              <w:ind w:left="40"/>
              <w:spacing w:after="0"/>
              <w:rPr>
                <w:sz w:val="20"/>
                <w:szCs w:val="20"/>
                <w:color w:val="auto"/>
              </w:rPr>
            </w:pPr>
            <w:r>
              <w:rPr>
                <w:rFonts w:ascii="Arial" w:cs="Arial" w:eastAsia="Arial" w:hAnsi="Arial"/>
                <w:sz w:val="18"/>
                <w:szCs w:val="18"/>
                <w:color w:val="auto"/>
              </w:rPr>
              <w:t>PPA</w:t>
            </w:r>
          </w:p>
        </w:tc>
        <w:tc>
          <w:tcPr>
            <w:tcW w:w="9240" w:type="dxa"/>
            <w:vAlign w:val="bottom"/>
          </w:tcPr>
          <w:p>
            <w:pPr>
              <w:ind w:left="360"/>
              <w:spacing w:after="0"/>
              <w:rPr>
                <w:sz w:val="20"/>
                <w:szCs w:val="20"/>
                <w:color w:val="auto"/>
              </w:rPr>
            </w:pPr>
            <w:r>
              <w:rPr>
                <w:rFonts w:ascii="Arial" w:cs="Arial" w:eastAsia="Arial" w:hAnsi="Arial"/>
                <w:sz w:val="18"/>
                <w:szCs w:val="18"/>
                <w:color w:val="auto"/>
              </w:rPr>
              <w:t>Power Purchase Agreement</w:t>
            </w:r>
          </w:p>
        </w:tc>
      </w:tr>
      <w:tr>
        <w:trPr>
          <w:trHeight w:val="27"/>
        </w:trPr>
        <w:tc>
          <w:tcPr>
            <w:tcW w:w="2180" w:type="dxa"/>
            <w:vAlign w:val="bottom"/>
          </w:tcPr>
          <w:p>
            <w:pPr>
              <w:spacing w:after="0"/>
              <w:rPr>
                <w:sz w:val="2"/>
                <w:szCs w:val="2"/>
                <w:color w:val="auto"/>
              </w:rPr>
            </w:pPr>
          </w:p>
        </w:tc>
        <w:tc>
          <w:tcPr>
            <w:tcW w:w="9240" w:type="dxa"/>
            <w:vAlign w:val="bottom"/>
          </w:tcPr>
          <w:p>
            <w:pPr>
              <w:spacing w:after="0"/>
              <w:rPr>
                <w:sz w:val="2"/>
                <w:szCs w:val="2"/>
                <w:color w:val="auto"/>
              </w:rPr>
            </w:pPr>
          </w:p>
        </w:tc>
      </w:tr>
      <w:tr>
        <w:trPr>
          <w:trHeight w:val="250"/>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PPACA</w:t>
            </w:r>
          </w:p>
        </w:tc>
        <w:tc>
          <w:tcPr>
            <w:tcW w:w="9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Patient Protection and Affordable Care Act of 2010</w:t>
            </w:r>
          </w:p>
        </w:tc>
      </w:tr>
      <w:tr>
        <w:trPr>
          <w:trHeight w:val="243"/>
        </w:trPr>
        <w:tc>
          <w:tcPr>
            <w:tcW w:w="2180" w:type="dxa"/>
            <w:vAlign w:val="bottom"/>
          </w:tcPr>
          <w:p>
            <w:pPr>
              <w:ind w:left="40"/>
              <w:spacing w:after="0"/>
              <w:rPr>
                <w:sz w:val="20"/>
                <w:szCs w:val="20"/>
                <w:color w:val="auto"/>
              </w:rPr>
            </w:pPr>
            <w:r>
              <w:rPr>
                <w:rFonts w:ascii="Arial" w:cs="Arial" w:eastAsia="Arial" w:hAnsi="Arial"/>
                <w:sz w:val="18"/>
                <w:szCs w:val="18"/>
                <w:color w:val="auto"/>
              </w:rPr>
              <w:t>PSCW</w:t>
            </w:r>
          </w:p>
        </w:tc>
        <w:tc>
          <w:tcPr>
            <w:tcW w:w="9240" w:type="dxa"/>
            <w:vAlign w:val="bottom"/>
          </w:tcPr>
          <w:p>
            <w:pPr>
              <w:ind w:left="360"/>
              <w:spacing w:after="0"/>
              <w:rPr>
                <w:sz w:val="20"/>
                <w:szCs w:val="20"/>
                <w:color w:val="auto"/>
              </w:rPr>
            </w:pPr>
            <w:r>
              <w:rPr>
                <w:rFonts w:ascii="Arial" w:cs="Arial" w:eastAsia="Arial" w:hAnsi="Arial"/>
                <w:sz w:val="18"/>
                <w:szCs w:val="18"/>
                <w:color w:val="auto"/>
              </w:rPr>
              <w:t>Public Service Commission of Wisconsin</w:t>
            </w:r>
          </w:p>
        </w:tc>
      </w:tr>
      <w:tr>
        <w:trPr>
          <w:trHeight w:val="27"/>
        </w:trPr>
        <w:tc>
          <w:tcPr>
            <w:tcW w:w="2180" w:type="dxa"/>
            <w:vAlign w:val="bottom"/>
          </w:tcPr>
          <w:p>
            <w:pPr>
              <w:spacing w:after="0"/>
              <w:rPr>
                <w:sz w:val="2"/>
                <w:szCs w:val="2"/>
                <w:color w:val="auto"/>
              </w:rPr>
            </w:pPr>
          </w:p>
        </w:tc>
        <w:tc>
          <w:tcPr>
            <w:tcW w:w="9240" w:type="dxa"/>
            <w:vAlign w:val="bottom"/>
          </w:tcPr>
          <w:p>
            <w:pPr>
              <w:spacing w:after="0"/>
              <w:rPr>
                <w:sz w:val="2"/>
                <w:szCs w:val="2"/>
                <w:color w:val="auto"/>
              </w:rPr>
            </w:pPr>
          </w:p>
        </w:tc>
      </w:tr>
      <w:tr>
        <w:trPr>
          <w:trHeight w:val="250"/>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Rainy River Energy</w:t>
            </w:r>
          </w:p>
        </w:tc>
        <w:tc>
          <w:tcPr>
            <w:tcW w:w="9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Rainy River Energy Corporation - Wisconsin</w:t>
            </w:r>
          </w:p>
        </w:tc>
      </w:tr>
      <w:tr>
        <w:trPr>
          <w:trHeight w:val="243"/>
        </w:trPr>
        <w:tc>
          <w:tcPr>
            <w:tcW w:w="2180" w:type="dxa"/>
            <w:vAlign w:val="bottom"/>
          </w:tcPr>
          <w:p>
            <w:pPr>
              <w:ind w:left="40"/>
              <w:spacing w:after="0"/>
              <w:rPr>
                <w:sz w:val="20"/>
                <w:szCs w:val="20"/>
                <w:color w:val="auto"/>
              </w:rPr>
            </w:pPr>
            <w:r>
              <w:rPr>
                <w:rFonts w:ascii="Arial" w:cs="Arial" w:eastAsia="Arial" w:hAnsi="Arial"/>
                <w:sz w:val="18"/>
                <w:szCs w:val="18"/>
                <w:color w:val="auto"/>
              </w:rPr>
              <w:t>RSOP</w:t>
            </w:r>
          </w:p>
        </w:tc>
        <w:tc>
          <w:tcPr>
            <w:tcW w:w="9240" w:type="dxa"/>
            <w:vAlign w:val="bottom"/>
          </w:tcPr>
          <w:p>
            <w:pPr>
              <w:ind w:left="360"/>
              <w:spacing w:after="0"/>
              <w:rPr>
                <w:sz w:val="20"/>
                <w:szCs w:val="20"/>
                <w:color w:val="auto"/>
              </w:rPr>
            </w:pPr>
            <w:r>
              <w:rPr>
                <w:rFonts w:ascii="Arial" w:cs="Arial" w:eastAsia="Arial" w:hAnsi="Arial"/>
                <w:sz w:val="18"/>
                <w:szCs w:val="18"/>
                <w:color w:val="auto"/>
              </w:rPr>
              <w:t>Retirement Savings and Stock Ownership Plan</w:t>
            </w:r>
          </w:p>
        </w:tc>
      </w:tr>
      <w:tr>
        <w:trPr>
          <w:trHeight w:val="27"/>
        </w:trPr>
        <w:tc>
          <w:tcPr>
            <w:tcW w:w="2180" w:type="dxa"/>
            <w:vAlign w:val="bottom"/>
          </w:tcPr>
          <w:p>
            <w:pPr>
              <w:spacing w:after="0"/>
              <w:rPr>
                <w:sz w:val="2"/>
                <w:szCs w:val="2"/>
                <w:color w:val="auto"/>
              </w:rPr>
            </w:pPr>
          </w:p>
        </w:tc>
        <w:tc>
          <w:tcPr>
            <w:tcW w:w="9240" w:type="dxa"/>
            <w:vAlign w:val="bottom"/>
          </w:tcPr>
          <w:p>
            <w:pPr>
              <w:spacing w:after="0"/>
              <w:rPr>
                <w:sz w:val="2"/>
                <w:szCs w:val="2"/>
                <w:color w:val="auto"/>
              </w:rPr>
            </w:pPr>
          </w:p>
        </w:tc>
      </w:tr>
      <w:tr>
        <w:trPr>
          <w:trHeight w:val="250"/>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SEC</w:t>
            </w:r>
          </w:p>
        </w:tc>
        <w:tc>
          <w:tcPr>
            <w:tcW w:w="9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Securities and Exchange Commission</w:t>
            </w:r>
          </w:p>
        </w:tc>
      </w:tr>
      <w:tr>
        <w:trPr>
          <w:trHeight w:val="243"/>
        </w:trPr>
        <w:tc>
          <w:tcPr>
            <w:tcW w:w="2180" w:type="dxa"/>
            <w:vAlign w:val="bottom"/>
          </w:tcPr>
          <w:p>
            <w:pPr>
              <w:ind w:left="40"/>
              <w:spacing w:after="0"/>
              <w:rPr>
                <w:sz w:val="20"/>
                <w:szCs w:val="20"/>
                <w:color w:val="auto"/>
              </w:rPr>
            </w:pPr>
            <w:r>
              <w:rPr>
                <w:rFonts w:ascii="Arial" w:cs="Arial" w:eastAsia="Arial" w:hAnsi="Arial"/>
                <w:sz w:val="18"/>
                <w:szCs w:val="18"/>
                <w:color w:val="auto"/>
              </w:rPr>
              <w:t>SO</w:t>
            </w:r>
            <w:r>
              <w:rPr>
                <w:rFonts w:ascii="Arial" w:cs="Arial" w:eastAsia="Arial" w:hAnsi="Arial"/>
                <w:sz w:val="12"/>
                <w:szCs w:val="12"/>
                <w:color w:val="auto"/>
              </w:rPr>
              <w:t>2</w:t>
            </w:r>
          </w:p>
        </w:tc>
        <w:tc>
          <w:tcPr>
            <w:tcW w:w="9240" w:type="dxa"/>
            <w:vAlign w:val="bottom"/>
          </w:tcPr>
          <w:p>
            <w:pPr>
              <w:ind w:left="360"/>
              <w:spacing w:after="0"/>
              <w:rPr>
                <w:sz w:val="20"/>
                <w:szCs w:val="20"/>
                <w:color w:val="auto"/>
              </w:rPr>
            </w:pPr>
            <w:r>
              <w:rPr>
                <w:rFonts w:ascii="Arial" w:cs="Arial" w:eastAsia="Arial" w:hAnsi="Arial"/>
                <w:sz w:val="18"/>
                <w:szCs w:val="18"/>
                <w:color w:val="auto"/>
              </w:rPr>
              <w:t>Sulfur Dioxide</w:t>
            </w:r>
          </w:p>
        </w:tc>
      </w:tr>
      <w:tr>
        <w:trPr>
          <w:trHeight w:val="27"/>
        </w:trPr>
        <w:tc>
          <w:tcPr>
            <w:tcW w:w="2180" w:type="dxa"/>
            <w:vAlign w:val="bottom"/>
          </w:tcPr>
          <w:p>
            <w:pPr>
              <w:spacing w:after="0"/>
              <w:rPr>
                <w:sz w:val="2"/>
                <w:szCs w:val="2"/>
                <w:color w:val="auto"/>
              </w:rPr>
            </w:pPr>
          </w:p>
        </w:tc>
        <w:tc>
          <w:tcPr>
            <w:tcW w:w="9240" w:type="dxa"/>
            <w:vAlign w:val="bottom"/>
          </w:tcPr>
          <w:p>
            <w:pPr>
              <w:spacing w:after="0"/>
              <w:rPr>
                <w:sz w:val="2"/>
                <w:szCs w:val="2"/>
                <w:color w:val="auto"/>
              </w:rPr>
            </w:pPr>
          </w:p>
        </w:tc>
      </w:tr>
      <w:tr>
        <w:trPr>
          <w:trHeight w:val="250"/>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Square Butte</w:t>
            </w:r>
          </w:p>
        </w:tc>
        <w:tc>
          <w:tcPr>
            <w:tcW w:w="9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Square Butte Electric Cooperative</w:t>
            </w:r>
          </w:p>
        </w:tc>
      </w:tr>
      <w:tr>
        <w:trPr>
          <w:trHeight w:val="243"/>
        </w:trPr>
        <w:tc>
          <w:tcPr>
            <w:tcW w:w="2180" w:type="dxa"/>
            <w:vAlign w:val="bottom"/>
          </w:tcPr>
          <w:p>
            <w:pPr>
              <w:ind w:left="40"/>
              <w:spacing w:after="0"/>
              <w:rPr>
                <w:sz w:val="20"/>
                <w:szCs w:val="20"/>
                <w:color w:val="auto"/>
              </w:rPr>
            </w:pPr>
            <w:r>
              <w:rPr>
                <w:rFonts w:ascii="Arial" w:cs="Arial" w:eastAsia="Arial" w:hAnsi="Arial"/>
                <w:sz w:val="18"/>
                <w:szCs w:val="18"/>
                <w:color w:val="auto"/>
              </w:rPr>
              <w:t>Standard &amp; Poor’s</w:t>
            </w:r>
          </w:p>
        </w:tc>
        <w:tc>
          <w:tcPr>
            <w:tcW w:w="9240" w:type="dxa"/>
            <w:vAlign w:val="bottom"/>
          </w:tcPr>
          <w:p>
            <w:pPr>
              <w:ind w:left="360"/>
              <w:spacing w:after="0"/>
              <w:rPr>
                <w:sz w:val="20"/>
                <w:szCs w:val="20"/>
                <w:color w:val="auto"/>
              </w:rPr>
            </w:pPr>
            <w:r>
              <w:rPr>
                <w:rFonts w:ascii="Arial" w:cs="Arial" w:eastAsia="Arial" w:hAnsi="Arial"/>
                <w:sz w:val="18"/>
                <w:szCs w:val="18"/>
                <w:color w:val="auto"/>
              </w:rPr>
              <w:t>Standard &amp; Poor’s Ratings Services</w:t>
            </w:r>
          </w:p>
        </w:tc>
      </w:tr>
      <w:tr>
        <w:trPr>
          <w:trHeight w:val="27"/>
        </w:trPr>
        <w:tc>
          <w:tcPr>
            <w:tcW w:w="2180" w:type="dxa"/>
            <w:vAlign w:val="bottom"/>
          </w:tcPr>
          <w:p>
            <w:pPr>
              <w:spacing w:after="0"/>
              <w:rPr>
                <w:sz w:val="2"/>
                <w:szCs w:val="2"/>
                <w:color w:val="auto"/>
              </w:rPr>
            </w:pPr>
          </w:p>
        </w:tc>
        <w:tc>
          <w:tcPr>
            <w:tcW w:w="9240" w:type="dxa"/>
            <w:vAlign w:val="bottom"/>
          </w:tcPr>
          <w:p>
            <w:pPr>
              <w:spacing w:after="0"/>
              <w:rPr>
                <w:sz w:val="2"/>
                <w:szCs w:val="2"/>
                <w:color w:val="auto"/>
              </w:rPr>
            </w:pPr>
          </w:p>
        </w:tc>
      </w:tr>
      <w:tr>
        <w:trPr>
          <w:trHeight w:val="250"/>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SWL&amp;P</w:t>
            </w:r>
          </w:p>
        </w:tc>
        <w:tc>
          <w:tcPr>
            <w:tcW w:w="9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Superior Water, Light and Power Company</w:t>
            </w:r>
          </w:p>
        </w:tc>
      </w:tr>
      <w:tr>
        <w:trPr>
          <w:trHeight w:val="243"/>
        </w:trPr>
        <w:tc>
          <w:tcPr>
            <w:tcW w:w="2180" w:type="dxa"/>
            <w:vAlign w:val="bottom"/>
          </w:tcPr>
          <w:p>
            <w:pPr>
              <w:ind w:left="40"/>
              <w:spacing w:after="0"/>
              <w:rPr>
                <w:sz w:val="20"/>
                <w:szCs w:val="20"/>
                <w:color w:val="auto"/>
              </w:rPr>
            </w:pPr>
            <w:r>
              <w:rPr>
                <w:rFonts w:ascii="Arial" w:cs="Arial" w:eastAsia="Arial" w:hAnsi="Arial"/>
                <w:sz w:val="18"/>
                <w:szCs w:val="18"/>
                <w:color w:val="auto"/>
              </w:rPr>
              <w:t>Taconite Harbor</w:t>
            </w:r>
          </w:p>
        </w:tc>
        <w:tc>
          <w:tcPr>
            <w:tcW w:w="9240" w:type="dxa"/>
            <w:vAlign w:val="bottom"/>
          </w:tcPr>
          <w:p>
            <w:pPr>
              <w:ind w:left="360"/>
              <w:spacing w:after="0"/>
              <w:rPr>
                <w:sz w:val="20"/>
                <w:szCs w:val="20"/>
                <w:color w:val="auto"/>
              </w:rPr>
            </w:pPr>
            <w:r>
              <w:rPr>
                <w:rFonts w:ascii="Arial" w:cs="Arial" w:eastAsia="Arial" w:hAnsi="Arial"/>
                <w:sz w:val="18"/>
                <w:szCs w:val="18"/>
                <w:color w:val="auto"/>
              </w:rPr>
              <w:t>Taconite Harbor Energy Center</w:t>
            </w:r>
          </w:p>
        </w:tc>
      </w:tr>
      <w:tr>
        <w:trPr>
          <w:trHeight w:val="27"/>
        </w:trPr>
        <w:tc>
          <w:tcPr>
            <w:tcW w:w="2180" w:type="dxa"/>
            <w:vAlign w:val="bottom"/>
          </w:tcPr>
          <w:p>
            <w:pPr>
              <w:spacing w:after="0"/>
              <w:rPr>
                <w:sz w:val="2"/>
                <w:szCs w:val="2"/>
                <w:color w:val="auto"/>
              </w:rPr>
            </w:pPr>
          </w:p>
        </w:tc>
        <w:tc>
          <w:tcPr>
            <w:tcW w:w="9240" w:type="dxa"/>
            <w:vAlign w:val="bottom"/>
          </w:tcPr>
          <w:p>
            <w:pPr>
              <w:spacing w:after="0"/>
              <w:rPr>
                <w:sz w:val="2"/>
                <w:szCs w:val="2"/>
                <w:color w:val="auto"/>
              </w:rPr>
            </w:pPr>
          </w:p>
        </w:tc>
      </w:tr>
      <w:tr>
        <w:trPr>
          <w:trHeight w:val="250"/>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Taconite Ridge</w:t>
            </w:r>
          </w:p>
        </w:tc>
        <w:tc>
          <w:tcPr>
            <w:tcW w:w="9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Taconite Ridge Energy Center</w:t>
            </w:r>
          </w:p>
        </w:tc>
      </w:tr>
      <w:tr>
        <w:trPr>
          <w:trHeight w:val="243"/>
        </w:trPr>
        <w:tc>
          <w:tcPr>
            <w:tcW w:w="2180" w:type="dxa"/>
            <w:vAlign w:val="bottom"/>
          </w:tcPr>
          <w:p>
            <w:pPr>
              <w:ind w:left="40"/>
              <w:spacing w:after="0"/>
              <w:rPr>
                <w:sz w:val="20"/>
                <w:szCs w:val="20"/>
                <w:color w:val="auto"/>
              </w:rPr>
            </w:pPr>
            <w:r>
              <w:rPr>
                <w:rFonts w:ascii="Arial" w:cs="Arial" w:eastAsia="Arial" w:hAnsi="Arial"/>
                <w:sz w:val="18"/>
                <w:szCs w:val="18"/>
                <w:color w:val="auto"/>
              </w:rPr>
              <w:t>Town Center</w:t>
            </w:r>
          </w:p>
        </w:tc>
        <w:tc>
          <w:tcPr>
            <w:tcW w:w="9240" w:type="dxa"/>
            <w:vAlign w:val="bottom"/>
          </w:tcPr>
          <w:p>
            <w:pPr>
              <w:ind w:left="360"/>
              <w:spacing w:after="0"/>
              <w:rPr>
                <w:sz w:val="20"/>
                <w:szCs w:val="20"/>
                <w:color w:val="auto"/>
              </w:rPr>
            </w:pPr>
            <w:r>
              <w:rPr>
                <w:rFonts w:ascii="Arial" w:cs="Arial" w:eastAsia="Arial" w:hAnsi="Arial"/>
                <w:sz w:val="18"/>
                <w:szCs w:val="18"/>
                <w:color w:val="auto"/>
              </w:rPr>
              <w:t>Town Center at Palm Coast development project in Florida</w:t>
            </w:r>
          </w:p>
        </w:tc>
      </w:tr>
      <w:tr>
        <w:trPr>
          <w:trHeight w:val="27"/>
        </w:trPr>
        <w:tc>
          <w:tcPr>
            <w:tcW w:w="2180" w:type="dxa"/>
            <w:vAlign w:val="bottom"/>
          </w:tcPr>
          <w:p>
            <w:pPr>
              <w:spacing w:after="0"/>
              <w:rPr>
                <w:sz w:val="2"/>
                <w:szCs w:val="2"/>
                <w:color w:val="auto"/>
              </w:rPr>
            </w:pPr>
          </w:p>
        </w:tc>
        <w:tc>
          <w:tcPr>
            <w:tcW w:w="9240" w:type="dxa"/>
            <w:vAlign w:val="bottom"/>
          </w:tcPr>
          <w:p>
            <w:pPr>
              <w:spacing w:after="0"/>
              <w:rPr>
                <w:sz w:val="2"/>
                <w:szCs w:val="2"/>
                <w:color w:val="auto"/>
              </w:rPr>
            </w:pPr>
          </w:p>
        </w:tc>
      </w:tr>
      <w:tr>
        <w:trPr>
          <w:trHeight w:val="250"/>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Town Center District</w:t>
            </w:r>
          </w:p>
        </w:tc>
        <w:tc>
          <w:tcPr>
            <w:tcW w:w="9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Town Center at Palm Coast Community Development District</w:t>
            </w:r>
          </w:p>
        </w:tc>
      </w:tr>
      <w:tr>
        <w:trPr>
          <w:trHeight w:val="243"/>
        </w:trPr>
        <w:tc>
          <w:tcPr>
            <w:tcW w:w="2180" w:type="dxa"/>
            <w:vAlign w:val="bottom"/>
          </w:tcPr>
          <w:p>
            <w:pPr>
              <w:ind w:left="40"/>
              <w:spacing w:after="0"/>
              <w:rPr>
                <w:sz w:val="20"/>
                <w:szCs w:val="20"/>
                <w:color w:val="auto"/>
              </w:rPr>
            </w:pPr>
            <w:r>
              <w:rPr>
                <w:rFonts w:ascii="Arial" w:cs="Arial" w:eastAsia="Arial" w:hAnsi="Arial"/>
                <w:sz w:val="18"/>
                <w:szCs w:val="18"/>
                <w:color w:val="auto"/>
              </w:rPr>
              <w:t>U.S.</w:t>
            </w:r>
          </w:p>
        </w:tc>
        <w:tc>
          <w:tcPr>
            <w:tcW w:w="9240" w:type="dxa"/>
            <w:vAlign w:val="bottom"/>
          </w:tcPr>
          <w:p>
            <w:pPr>
              <w:ind w:left="360"/>
              <w:spacing w:after="0"/>
              <w:rPr>
                <w:sz w:val="20"/>
                <w:szCs w:val="20"/>
                <w:color w:val="auto"/>
              </w:rPr>
            </w:pPr>
            <w:r>
              <w:rPr>
                <w:rFonts w:ascii="Arial" w:cs="Arial" w:eastAsia="Arial" w:hAnsi="Arial"/>
                <w:sz w:val="18"/>
                <w:szCs w:val="18"/>
                <w:color w:val="auto"/>
              </w:rPr>
              <w:t>United States of America</w:t>
            </w:r>
          </w:p>
        </w:tc>
      </w:tr>
      <w:tr>
        <w:trPr>
          <w:trHeight w:val="27"/>
        </w:trPr>
        <w:tc>
          <w:tcPr>
            <w:tcW w:w="2180" w:type="dxa"/>
            <w:vAlign w:val="bottom"/>
          </w:tcPr>
          <w:p>
            <w:pPr>
              <w:spacing w:after="0"/>
              <w:rPr>
                <w:sz w:val="2"/>
                <w:szCs w:val="2"/>
                <w:color w:val="auto"/>
              </w:rPr>
            </w:pPr>
          </w:p>
        </w:tc>
        <w:tc>
          <w:tcPr>
            <w:tcW w:w="9240" w:type="dxa"/>
            <w:vAlign w:val="bottom"/>
          </w:tcPr>
          <w:p>
            <w:pPr>
              <w:spacing w:after="0"/>
              <w:rPr>
                <w:sz w:val="2"/>
                <w:szCs w:val="2"/>
                <w:color w:val="auto"/>
              </w:rPr>
            </w:pPr>
          </w:p>
        </w:tc>
      </w:tr>
      <w:tr>
        <w:trPr>
          <w:trHeight w:val="250"/>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USS Corporation</w:t>
            </w:r>
          </w:p>
        </w:tc>
        <w:tc>
          <w:tcPr>
            <w:tcW w:w="9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United States Steel Corporation</w:t>
            </w:r>
          </w:p>
        </w:tc>
      </w:tr>
      <w:tr>
        <w:trPr>
          <w:trHeight w:val="445"/>
        </w:trPr>
        <w:tc>
          <w:tcPr>
            <w:tcW w:w="2180" w:type="dxa"/>
            <w:vAlign w:val="bottom"/>
          </w:tcPr>
          <w:p>
            <w:pPr>
              <w:spacing w:after="0"/>
              <w:rPr>
                <w:sz w:val="24"/>
                <w:szCs w:val="24"/>
                <w:color w:val="auto"/>
              </w:rPr>
            </w:pPr>
          </w:p>
        </w:tc>
        <w:tc>
          <w:tcPr>
            <w:tcW w:w="9240" w:type="dxa"/>
            <w:vAlign w:val="bottom"/>
          </w:tcPr>
          <w:p>
            <w:pPr>
              <w:jc w:val="center"/>
              <w:ind w:right="2090"/>
              <w:spacing w:after="0"/>
              <w:rPr>
                <w:sz w:val="20"/>
                <w:szCs w:val="20"/>
                <w:color w:val="auto"/>
              </w:rPr>
            </w:pPr>
            <w:r>
              <w:rPr>
                <w:rFonts w:ascii="Arial" w:cs="Arial" w:eastAsia="Arial" w:hAnsi="Arial"/>
                <w:sz w:val="18"/>
                <w:szCs w:val="18"/>
                <w:color w:val="auto"/>
                <w:w w:val="95"/>
              </w:rPr>
              <w:t>ALLETE 2012 Form 10-K</w:t>
            </w:r>
          </w:p>
        </w:tc>
      </w:tr>
      <w:tr>
        <w:trPr>
          <w:trHeight w:val="230"/>
        </w:trPr>
        <w:tc>
          <w:tcPr>
            <w:tcW w:w="2180" w:type="dxa"/>
            <w:vAlign w:val="bottom"/>
          </w:tcPr>
          <w:p>
            <w:pPr>
              <w:spacing w:after="0"/>
              <w:rPr>
                <w:sz w:val="20"/>
                <w:szCs w:val="20"/>
                <w:color w:val="auto"/>
              </w:rPr>
            </w:pPr>
          </w:p>
        </w:tc>
        <w:tc>
          <w:tcPr>
            <w:tcW w:w="9240" w:type="dxa"/>
            <w:vAlign w:val="bottom"/>
          </w:tcPr>
          <w:p>
            <w:pPr>
              <w:jc w:val="center"/>
              <w:ind w:right="2090"/>
              <w:spacing w:after="0"/>
              <w:rPr>
                <w:sz w:val="20"/>
                <w:szCs w:val="20"/>
                <w:color w:val="auto"/>
              </w:rPr>
            </w:pPr>
            <w:r>
              <w:rPr>
                <w:rFonts w:ascii="Arial" w:cs="Arial" w:eastAsia="Arial" w:hAnsi="Arial"/>
                <w:sz w:val="18"/>
                <w:szCs w:val="18"/>
                <w:color w:val="auto"/>
                <w:w w:val="99"/>
              </w:rPr>
              <w:t>5</w:t>
            </w:r>
          </w:p>
        </w:tc>
      </w:tr>
    </w:tbl>
    <w:p>
      <w:pPr>
        <w:sectPr>
          <w:pgSz w:w="11900" w:h="16838" w:orient="portrait"/>
          <w:cols w:equalWidth="0" w:num="1">
            <w:col w:w="11420"/>
          </w:cols>
          <w:pgMar w:left="240" w:top="364"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Statements in this report that are not statements of historical facts are considered “forward-looking” and, accordingly, involve risks and uncertainties that could cause actual results to differ materially from those discussed. Although such forward-looking statements have been made in good faith and are based on reasonable assumptions, there can be no assurance that the expected results will be achieved. Any statements that express, or involve discussions as to, future expectations, risks, beliefs, plans, objectives, assumptions, events, uncertainties, financial performance, or growth strategies (often, but not always, through the use of words or phrases such as “anticipates,” “believes,” “estimates,” “expects,” “intends,” “plans,” “projects,” “likely,” “will continue,” “could,” “may,” “potential,” “target,” “outlook” or words of similar meaning) are not statements of historical facts and may be forward-looking.</w:t>
      </w:r>
    </w:p>
    <w:p>
      <w:pPr>
        <w:spacing w:after="0" w:line="16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connection with the safe harbor provisions of the Private Securities Litigation Reform Act of 1995, we are providing this cautionary statement to identify important factors that could cause our actual results to differ materially from those indicated in forward-looking statements made by or on behalf of ALLETE in this Form 10-K, in presentations, on our website, in response to questions or otherwise. These statements are qualified in their entirety by reference to, and are accompanied by, the following important factors, in addition to any assumptions and other factors referred to specifically in connection with such forward-looking statements that could cause our actual results to differ materially from those indicated in the forward-looking statements:</w:t>
      </w:r>
    </w:p>
    <w:p>
      <w:pPr>
        <w:spacing w:after="0" w:line="158"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successfully implement our strategic objectives;</w:t>
      </w:r>
    </w:p>
    <w:p>
      <w:pPr>
        <w:spacing w:after="0" w:line="23" w:lineRule="exact"/>
        <w:rPr>
          <w:rFonts w:ascii="Arial" w:cs="Arial" w:eastAsia="Arial" w:hAnsi="Arial"/>
          <w:sz w:val="18"/>
          <w:szCs w:val="18"/>
          <w:color w:val="auto"/>
        </w:rPr>
      </w:pPr>
    </w:p>
    <w:p>
      <w:pPr>
        <w:jc w:val="both"/>
        <w:ind w:left="340" w:hanging="332"/>
        <w:spacing w:after="0" w:line="281" w:lineRule="auto"/>
        <w:tabs>
          <w:tab w:leader="none" w:pos="340" w:val="left"/>
        </w:tabs>
        <w:numPr>
          <w:ilvl w:val="0"/>
          <w:numId w:val="4"/>
        </w:numPr>
        <w:rPr>
          <w:rFonts w:ascii="Arial" w:cs="Arial" w:eastAsia="Arial" w:hAnsi="Arial"/>
          <w:sz w:val="16"/>
          <w:szCs w:val="16"/>
          <w:color w:val="auto"/>
        </w:rPr>
      </w:pPr>
      <w:r>
        <w:rPr>
          <w:rFonts w:ascii="Arial" w:cs="Arial" w:eastAsia="Arial" w:hAnsi="Arial"/>
          <w:sz w:val="16"/>
          <w:szCs w:val="16"/>
          <w:color w:val="auto"/>
        </w:rPr>
        <w:t>regulatory or legislative actions, including those of the United States Congress, state legislatures, the FERC, the MPUC, the PSCW, the NDPSC, the EPA and various state, local and county regulators, and city administrators, that impact our allowed rates of return, capital structure, ability to secure financing, industry and rate structure, acquisition and disposal of assets and facilities, operation and construction of plant facilities, recovery of purchased power, capital investments and other expenses, including present or prospective wholesale and retail competition and environmental matters;</w:t>
      </w:r>
    </w:p>
    <w:p>
      <w:pPr>
        <w:spacing w:after="0" w:line="2" w:lineRule="exact"/>
        <w:rPr>
          <w:rFonts w:ascii="Arial" w:cs="Arial" w:eastAsia="Arial" w:hAnsi="Arial"/>
          <w:sz w:val="16"/>
          <w:szCs w:val="16"/>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manage expansion and integrate acquisitions;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current and potential industrial and municipal customers’ ability to execute announced expansion plans;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impacts on our Regulated Operations of climate change and future regulation to restrict the emissions of GHG;</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effects of restructuring initiatives in the electric industry;</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economic and geographic factors, including political and economic risks;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and compliance with laws and regulations;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weather conditions, natural disasters and pandemic diseases;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war, acts of terrorism and cyber attacks;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wholesale power market conditions;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population growth rates and demographic patterns;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effects of competition, including competition for retail and wholesale customers;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zoning and permitting of land held for resale, real estate development or changes in the real estate market;</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pricing, availability and transportation of fuel and other commodities and the ability to recover the costs of such commodities;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tax rates or policies or in rates of inflation;</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project delays or changes in project costs;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availability and management of construction materials and skilled construction labor for capital projects;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operating expenses and capital expenditures;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global and domestic economic conditions affecting us or our customers;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access capital markets and bank financing;</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interest rates and the performance of the financial markets;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replace a mature workforce and retain qualified, skilled and experienced personnel; and</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outcome of legal and administrative proceedings (whether civil or criminal) and settlements.</w:t>
      </w:r>
    </w:p>
    <w:p>
      <w:pPr>
        <w:spacing w:after="0" w:line="21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Additional disclosures regarding factors that could cause our results or performance to differ from those anticipated by this report are discussed in Item 1A under the heading “Risk Factors” beginning on page 27 of this Form 10-K. Any forward-looking statement speaks only as of the date on which such statement is made, and we undertake no obligation to update any forward-looking statement to reflect events or circumstances after the date on which that statement is made or to reflect the occurrence of unanticipated events. New factors emerge from time to time, and it is not possible for management to predict all of these factors, nor can we assess the impact of each of these factors on our businesses or the extent to which any factor, or combination of factors, may cause actual results to differ materially from those contained in any forward-looking statement. Readers are urged to carefully review and consider the various disclosures made by us in this Form 10-K and in our other reports filed with the SEC that attempt to identify the risks and uncertainties that may affect our business.</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2012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364"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Regulated Operations </w:t>
      </w:r>
      <w:r>
        <w:rPr>
          <w:rFonts w:ascii="Arial" w:cs="Arial" w:eastAsia="Arial" w:hAnsi="Arial"/>
          <w:sz w:val="18"/>
          <w:szCs w:val="18"/>
          <w:color w:val="auto"/>
        </w:rPr>
        <w:t>includes our regulated utilities, Minnesota Power and SWL&amp;P, as well as our investment in ATC, a Wisconsin-based regulated utility</w:t>
      </w:r>
      <w:r>
        <w:rPr>
          <w:rFonts w:ascii="Arial" w:cs="Arial" w:eastAsia="Arial" w:hAnsi="Arial"/>
          <w:sz w:val="18"/>
          <w:szCs w:val="18"/>
          <w:b w:val="1"/>
          <w:bCs w:val="1"/>
          <w:color w:val="auto"/>
        </w:rPr>
        <w:t xml:space="preserve"> </w:t>
      </w:r>
      <w:r>
        <w:rPr>
          <w:rFonts w:ascii="Arial" w:cs="Arial" w:eastAsia="Arial" w:hAnsi="Arial"/>
          <w:sz w:val="18"/>
          <w:szCs w:val="18"/>
          <w:color w:val="auto"/>
        </w:rPr>
        <w:t>that owns and maintains electric transmission assets in parts of Wisconsin, Michigan, Minnesota and Illinois. Minnesota Power provides regulated utility electric service in northeastern Minnesota to approximately 143,000 retail customers. Minnesota Power’s non-affiliated municipal customers consist of 16 municipalities in Minnesota and 1 private utility in Wisconsin. SWL&amp;P, a wholly-owned subsidiary of ALLETE, is also a private utility in Wisconsin and a customer of Minnesota Power. SWL&amp;P provides regulated electric, natural gas and water service in northwestern Wisconsin to approximately 15,000 electric customers, 12,000 natural gas customers and 10,000 water customers. Our regulated utility operations include retail and wholesale activities under the jurisdiction of state and federal regulatory authorities</w:t>
      </w:r>
      <w:r>
        <w:rPr>
          <w:rFonts w:ascii="Arial" w:cs="Arial" w:eastAsia="Arial" w:hAnsi="Arial"/>
          <w:sz w:val="18"/>
          <w:szCs w:val="18"/>
          <w:i w:val="1"/>
          <w:iCs w:val="1"/>
          <w:color w:val="auto"/>
        </w:rPr>
        <w:t>.</w:t>
      </w:r>
    </w:p>
    <w:p>
      <w:pPr>
        <w:spacing w:after="0" w:line="189"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color w:val="auto"/>
        </w:rPr>
        <w:t xml:space="preserve">Investments and Other </w:t>
      </w:r>
      <w:r>
        <w:rPr>
          <w:rFonts w:ascii="Arial" w:cs="Arial" w:eastAsia="Arial" w:hAnsi="Arial"/>
          <w:sz w:val="16"/>
          <w:szCs w:val="16"/>
          <w:color w:val="auto"/>
        </w:rPr>
        <w:t>is comprised primarily of BNI Coal, our coal mining operations in North Dakota, ALLETE Properties, our Florida real estate</w:t>
      </w:r>
      <w:r>
        <w:rPr>
          <w:rFonts w:ascii="Arial" w:cs="Arial" w:eastAsia="Arial" w:hAnsi="Arial"/>
          <w:sz w:val="16"/>
          <w:szCs w:val="16"/>
          <w:b w:val="1"/>
          <w:bCs w:val="1"/>
          <w:color w:val="auto"/>
        </w:rPr>
        <w:t xml:space="preserve"> </w:t>
      </w:r>
      <w:r>
        <w:rPr>
          <w:rFonts w:ascii="Arial" w:cs="Arial" w:eastAsia="Arial" w:hAnsi="Arial"/>
          <w:sz w:val="16"/>
          <w:szCs w:val="16"/>
          <w:color w:val="auto"/>
        </w:rPr>
        <w:t>investment, and ALLETE Clean Energy, our business aimed at developing or acquiring capital projects that create energy solutions via wind, solar, biomass, hydro, natural gas/liquids, shale resources, clean coal and other clean energy innovations. This segment also includes other business development and corporate expenditures, a small amount of non-rate base generation, approximately 6,100 acres of land in Minnesota, and earnings on cash and investments.</w:t>
      </w:r>
    </w:p>
    <w:p>
      <w:pPr>
        <w:spacing w:after="0" w:line="15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ALLETE is incorporated under the laws of Minnesota. Our corporate headquarters are in Duluth, Minnesota. Statistical information is presented as of December 31, 2012, unless otherwise indicated. All subsidiaries are wholly-owned unless otherwise specifically indicated. References in this report to “we,” “us” and “our” are to ALLETE and its subsidiaries, collectively.</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00" w:type="dxa"/>
            <w:vAlign w:val="bottom"/>
          </w:tcPr>
          <w:p>
            <w:pPr>
              <w:ind w:left="40"/>
              <w:spacing w:after="0"/>
              <w:rPr>
                <w:sz w:val="20"/>
                <w:szCs w:val="20"/>
                <w:color w:val="auto"/>
              </w:rPr>
            </w:pPr>
            <w:r>
              <w:rPr>
                <w:rFonts w:ascii="Arial" w:cs="Arial" w:eastAsia="Arial" w:hAnsi="Arial"/>
                <w:sz w:val="18"/>
                <w:szCs w:val="18"/>
                <w:b w:val="1"/>
                <w:bCs w:val="1"/>
                <w:color w:val="auto"/>
              </w:rPr>
              <w:t>Year Ended December 31</w:t>
            </w:r>
          </w:p>
        </w:tc>
        <w:tc>
          <w:tcPr>
            <w:tcW w:w="3080" w:type="dxa"/>
            <w:vAlign w:val="bottom"/>
          </w:tcPr>
          <w:p>
            <w:pPr>
              <w:jc w:val="right"/>
              <w:ind w:right="570"/>
              <w:spacing w:after="0"/>
              <w:rPr>
                <w:sz w:val="20"/>
                <w:szCs w:val="20"/>
                <w:color w:val="auto"/>
              </w:rPr>
            </w:pPr>
            <w:r>
              <w:rPr>
                <w:rFonts w:ascii="Arial" w:cs="Arial" w:eastAsia="Arial" w:hAnsi="Arial"/>
                <w:sz w:val="18"/>
                <w:szCs w:val="18"/>
                <w:b w:val="1"/>
                <w:bCs w:val="1"/>
                <w:color w:val="auto"/>
              </w:rPr>
              <w:t>2012</w:t>
            </w:r>
          </w:p>
        </w:tc>
        <w:tc>
          <w:tcPr>
            <w:tcW w:w="1620" w:type="dxa"/>
            <w:vAlign w:val="bottom"/>
          </w:tcPr>
          <w:p>
            <w:pPr>
              <w:jc w:val="right"/>
              <w:ind w:right="550"/>
              <w:spacing w:after="0"/>
              <w:rPr>
                <w:sz w:val="20"/>
                <w:szCs w:val="20"/>
                <w:color w:val="auto"/>
              </w:rPr>
            </w:pPr>
            <w:r>
              <w:rPr>
                <w:rFonts w:ascii="Arial" w:cs="Arial" w:eastAsia="Arial" w:hAnsi="Arial"/>
                <w:sz w:val="18"/>
                <w:szCs w:val="18"/>
                <w:b w:val="1"/>
                <w:bCs w:val="1"/>
                <w:color w:val="auto"/>
              </w:rPr>
              <w:t>2011</w:t>
            </w:r>
          </w:p>
        </w:tc>
        <w:tc>
          <w:tcPr>
            <w:tcW w:w="1320" w:type="dxa"/>
            <w:vAlign w:val="bottom"/>
          </w:tcPr>
          <w:p>
            <w:pPr>
              <w:jc w:val="right"/>
              <w:ind w:right="230"/>
              <w:spacing w:after="0"/>
              <w:rPr>
                <w:sz w:val="20"/>
                <w:szCs w:val="20"/>
                <w:color w:val="auto"/>
              </w:rPr>
            </w:pPr>
            <w:r>
              <w:rPr>
                <w:rFonts w:ascii="Arial" w:cs="Arial" w:eastAsia="Arial" w:hAnsi="Arial"/>
                <w:sz w:val="18"/>
                <w:szCs w:val="18"/>
                <w:b w:val="1"/>
                <w:bCs w:val="1"/>
                <w:color w:val="auto"/>
              </w:rPr>
              <w:t>2010</w:t>
            </w:r>
          </w:p>
        </w:tc>
      </w:tr>
      <w:tr>
        <w:trPr>
          <w:trHeight w:val="27"/>
        </w:trPr>
        <w:tc>
          <w:tcPr>
            <w:tcW w:w="5400" w:type="dxa"/>
            <w:vAlign w:val="bottom"/>
            <w:tcBorders>
              <w:bottom w:val="single" w:sz="8" w:color="auto"/>
            </w:tcBorders>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77"/>
        </w:trPr>
        <w:tc>
          <w:tcPr>
            <w:tcW w:w="5400" w:type="dxa"/>
            <w:vAlign w:val="bottom"/>
            <w:shd w:val="clear" w:color="auto" w:fill="CCEEFF"/>
          </w:tcPr>
          <w:p>
            <w:pPr>
              <w:spacing w:after="0"/>
              <w:rPr>
                <w:sz w:val="24"/>
                <w:szCs w:val="24"/>
                <w:color w:val="auto"/>
              </w:rPr>
            </w:pPr>
          </w:p>
        </w:tc>
        <w:tc>
          <w:tcPr>
            <w:tcW w:w="308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r>
      <w:tr>
        <w:trPr>
          <w:trHeight w:val="243"/>
        </w:trPr>
        <w:tc>
          <w:tcPr>
            <w:tcW w:w="5400" w:type="dxa"/>
            <w:vAlign w:val="bottom"/>
          </w:tcPr>
          <w:p>
            <w:pPr>
              <w:ind w:left="40"/>
              <w:spacing w:after="0"/>
              <w:rPr>
                <w:sz w:val="20"/>
                <w:szCs w:val="20"/>
                <w:color w:val="auto"/>
              </w:rPr>
            </w:pPr>
            <w:r>
              <w:rPr>
                <w:rFonts w:ascii="Arial" w:cs="Arial" w:eastAsia="Arial" w:hAnsi="Arial"/>
                <w:sz w:val="18"/>
                <w:szCs w:val="18"/>
                <w:color w:val="auto"/>
              </w:rPr>
              <w:t>Consolidated Operating Revenue – Millions</w:t>
            </w:r>
          </w:p>
        </w:tc>
        <w:tc>
          <w:tcPr>
            <w:tcW w:w="3080" w:type="dxa"/>
            <w:vAlign w:val="bottom"/>
          </w:tcPr>
          <w:p>
            <w:pPr>
              <w:jc w:val="right"/>
              <w:ind w:right="570"/>
              <w:spacing w:after="0"/>
              <w:rPr>
                <w:sz w:val="20"/>
                <w:szCs w:val="20"/>
                <w:color w:val="auto"/>
              </w:rPr>
            </w:pPr>
            <w:r>
              <w:rPr>
                <w:rFonts w:ascii="Arial" w:cs="Arial" w:eastAsia="Arial" w:hAnsi="Arial"/>
                <w:sz w:val="18"/>
                <w:szCs w:val="18"/>
                <w:color w:val="auto"/>
              </w:rPr>
              <w:t>$961.2</w:t>
            </w:r>
          </w:p>
        </w:tc>
        <w:tc>
          <w:tcPr>
            <w:tcW w:w="1620" w:type="dxa"/>
            <w:vAlign w:val="bottom"/>
          </w:tcPr>
          <w:p>
            <w:pPr>
              <w:jc w:val="right"/>
              <w:ind w:right="550"/>
              <w:spacing w:after="0"/>
              <w:rPr>
                <w:sz w:val="20"/>
                <w:szCs w:val="20"/>
                <w:color w:val="auto"/>
              </w:rPr>
            </w:pPr>
            <w:r>
              <w:rPr>
                <w:rFonts w:ascii="Arial" w:cs="Arial" w:eastAsia="Arial" w:hAnsi="Arial"/>
                <w:sz w:val="18"/>
                <w:szCs w:val="18"/>
                <w:color w:val="auto"/>
              </w:rPr>
              <w:t>$928.2</w:t>
            </w:r>
          </w:p>
        </w:tc>
        <w:tc>
          <w:tcPr>
            <w:tcW w:w="1320" w:type="dxa"/>
            <w:vAlign w:val="bottom"/>
          </w:tcPr>
          <w:p>
            <w:pPr>
              <w:jc w:val="right"/>
              <w:ind w:right="230"/>
              <w:spacing w:after="0"/>
              <w:rPr>
                <w:sz w:val="20"/>
                <w:szCs w:val="20"/>
                <w:color w:val="auto"/>
              </w:rPr>
            </w:pPr>
            <w:r>
              <w:rPr>
                <w:rFonts w:ascii="Arial" w:cs="Arial" w:eastAsia="Arial" w:hAnsi="Arial"/>
                <w:sz w:val="18"/>
                <w:szCs w:val="18"/>
                <w:color w:val="auto"/>
              </w:rPr>
              <w:t>$907.0</w:t>
            </w:r>
          </w:p>
        </w:tc>
      </w:tr>
      <w:tr>
        <w:trPr>
          <w:trHeight w:val="27"/>
        </w:trPr>
        <w:tc>
          <w:tcPr>
            <w:tcW w:w="5400" w:type="dxa"/>
            <w:vAlign w:val="bottom"/>
            <w:tcBorders>
              <w:bottom w:val="single" w:sz="8" w:color="auto"/>
            </w:tcBorders>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91"/>
        </w:trPr>
        <w:tc>
          <w:tcPr>
            <w:tcW w:w="5400" w:type="dxa"/>
            <w:vAlign w:val="bottom"/>
            <w:shd w:val="clear" w:color="auto" w:fill="CCEEFF"/>
          </w:tcPr>
          <w:p>
            <w:pPr>
              <w:spacing w:after="0"/>
              <w:rPr>
                <w:sz w:val="24"/>
                <w:szCs w:val="24"/>
                <w:color w:val="auto"/>
              </w:rPr>
            </w:pPr>
          </w:p>
        </w:tc>
        <w:tc>
          <w:tcPr>
            <w:tcW w:w="308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r>
      <w:tr>
        <w:trPr>
          <w:trHeight w:val="243"/>
        </w:trPr>
        <w:tc>
          <w:tcPr>
            <w:tcW w:w="5400" w:type="dxa"/>
            <w:vAlign w:val="bottom"/>
          </w:tcPr>
          <w:p>
            <w:pPr>
              <w:ind w:left="40"/>
              <w:spacing w:after="0"/>
              <w:rPr>
                <w:sz w:val="20"/>
                <w:szCs w:val="20"/>
                <w:color w:val="auto"/>
              </w:rPr>
            </w:pPr>
            <w:r>
              <w:rPr>
                <w:rFonts w:ascii="Arial" w:cs="Arial" w:eastAsia="Arial" w:hAnsi="Arial"/>
                <w:sz w:val="18"/>
                <w:szCs w:val="18"/>
                <w:color w:val="auto"/>
              </w:rPr>
              <w:t>Percentage of Consolidated Operating Revenue</w:t>
            </w:r>
          </w:p>
        </w:tc>
        <w:tc>
          <w:tcPr>
            <w:tcW w:w="308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540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5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Regulated Operations</w:t>
            </w:r>
          </w:p>
        </w:tc>
        <w:tc>
          <w:tcPr>
            <w:tcW w:w="308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91%</w:t>
            </w:r>
          </w:p>
        </w:tc>
        <w:tc>
          <w:tcPr>
            <w:tcW w:w="162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92%</w:t>
            </w:r>
          </w:p>
        </w:tc>
        <w:tc>
          <w:tcPr>
            <w:tcW w:w="13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92%</w:t>
            </w:r>
          </w:p>
        </w:tc>
      </w:tr>
      <w:tr>
        <w:trPr>
          <w:trHeight w:val="243"/>
        </w:trPr>
        <w:tc>
          <w:tcPr>
            <w:tcW w:w="5400" w:type="dxa"/>
            <w:vAlign w:val="bottom"/>
          </w:tcPr>
          <w:p>
            <w:pPr>
              <w:ind w:left="180"/>
              <w:spacing w:after="0"/>
              <w:rPr>
                <w:sz w:val="20"/>
                <w:szCs w:val="20"/>
                <w:color w:val="auto"/>
              </w:rPr>
            </w:pPr>
            <w:r>
              <w:rPr>
                <w:rFonts w:ascii="Arial" w:cs="Arial" w:eastAsia="Arial" w:hAnsi="Arial"/>
                <w:sz w:val="18"/>
                <w:szCs w:val="18"/>
                <w:color w:val="auto"/>
              </w:rPr>
              <w:t>Investments and Other</w:t>
            </w:r>
          </w:p>
        </w:tc>
        <w:tc>
          <w:tcPr>
            <w:tcW w:w="3080" w:type="dxa"/>
            <w:vAlign w:val="bottom"/>
          </w:tcPr>
          <w:p>
            <w:pPr>
              <w:jc w:val="right"/>
              <w:ind w:right="410"/>
              <w:spacing w:after="0"/>
              <w:rPr>
                <w:sz w:val="20"/>
                <w:szCs w:val="20"/>
                <w:color w:val="auto"/>
              </w:rPr>
            </w:pPr>
            <w:r>
              <w:rPr>
                <w:rFonts w:ascii="Arial" w:cs="Arial" w:eastAsia="Arial" w:hAnsi="Arial"/>
                <w:sz w:val="18"/>
                <w:szCs w:val="18"/>
                <w:color w:val="auto"/>
              </w:rPr>
              <w:t>9%</w:t>
            </w:r>
          </w:p>
        </w:tc>
        <w:tc>
          <w:tcPr>
            <w:tcW w:w="1620" w:type="dxa"/>
            <w:vAlign w:val="bottom"/>
          </w:tcPr>
          <w:p>
            <w:pPr>
              <w:jc w:val="right"/>
              <w:ind w:right="390"/>
              <w:spacing w:after="0"/>
              <w:rPr>
                <w:sz w:val="20"/>
                <w:szCs w:val="20"/>
                <w:color w:val="auto"/>
              </w:rPr>
            </w:pPr>
            <w:r>
              <w:rPr>
                <w:rFonts w:ascii="Arial" w:cs="Arial" w:eastAsia="Arial" w:hAnsi="Arial"/>
                <w:sz w:val="18"/>
                <w:szCs w:val="18"/>
                <w:color w:val="auto"/>
              </w:rPr>
              <w:t>8%</w:t>
            </w:r>
          </w:p>
        </w:tc>
        <w:tc>
          <w:tcPr>
            <w:tcW w:w="1320" w:type="dxa"/>
            <w:vAlign w:val="bottom"/>
          </w:tcPr>
          <w:p>
            <w:pPr>
              <w:jc w:val="right"/>
              <w:ind w:right="90"/>
              <w:spacing w:after="0"/>
              <w:rPr>
                <w:sz w:val="20"/>
                <w:szCs w:val="20"/>
                <w:color w:val="auto"/>
              </w:rPr>
            </w:pPr>
            <w:r>
              <w:rPr>
                <w:rFonts w:ascii="Arial" w:cs="Arial" w:eastAsia="Arial" w:hAnsi="Arial"/>
                <w:sz w:val="18"/>
                <w:szCs w:val="18"/>
                <w:color w:val="auto"/>
              </w:rPr>
              <w:t>8%</w:t>
            </w:r>
          </w:p>
        </w:tc>
      </w:tr>
      <w:tr>
        <w:trPr>
          <w:trHeight w:val="27"/>
        </w:trPr>
        <w:tc>
          <w:tcPr>
            <w:tcW w:w="5400" w:type="dxa"/>
            <w:vAlign w:val="bottom"/>
            <w:tcBorders>
              <w:bottom w:val="single" w:sz="8" w:color="auto"/>
            </w:tcBorders>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5400" w:type="dxa"/>
            <w:vAlign w:val="bottom"/>
            <w:tcBorders>
              <w:bottom w:val="single" w:sz="8" w:color="CCEEFF"/>
            </w:tcBorders>
            <w:shd w:val="clear" w:color="auto" w:fill="CCEEFF"/>
          </w:tcPr>
          <w:p>
            <w:pPr>
              <w:spacing w:after="0"/>
              <w:rPr>
                <w:sz w:val="21"/>
                <w:szCs w:val="21"/>
                <w:color w:val="auto"/>
              </w:rPr>
            </w:pPr>
          </w:p>
        </w:tc>
        <w:tc>
          <w:tcPr>
            <w:tcW w:w="308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100%</w:t>
            </w:r>
          </w:p>
        </w:tc>
        <w:tc>
          <w:tcPr>
            <w:tcW w:w="162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100%</w:t>
            </w:r>
          </w:p>
        </w:tc>
        <w:tc>
          <w:tcPr>
            <w:tcW w:w="13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100%</w:t>
            </w:r>
          </w:p>
        </w:tc>
      </w:tr>
      <w:tr>
        <w:trPr>
          <w:trHeight w:val="20"/>
        </w:trPr>
        <w:tc>
          <w:tcPr>
            <w:tcW w:w="5400" w:type="dxa"/>
            <w:vAlign w:val="bottom"/>
            <w:shd w:val="clear" w:color="auto" w:fill="000000"/>
          </w:tcPr>
          <w:p>
            <w:pPr>
              <w:spacing w:after="0" w:line="20" w:lineRule="exact"/>
              <w:rPr>
                <w:sz w:val="1"/>
                <w:szCs w:val="1"/>
                <w:color w:val="auto"/>
              </w:rPr>
            </w:pPr>
          </w:p>
        </w:tc>
        <w:tc>
          <w:tcPr>
            <w:tcW w:w="3080" w:type="dxa"/>
            <w:vAlign w:val="bottom"/>
            <w:shd w:val="clear" w:color="auto" w:fill="000000"/>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For a detailed discussion of results of operations and trends, see Item 7. Management’s Discussion and Analysis of Financial Condition and Results of Operations. For business segment information, see Note 1. Operations and Significant Accounting Policies and Note 2. Business Segments.</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Regulated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Electric Sales / Customers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80" w:type="dxa"/>
            <w:vAlign w:val="bottom"/>
          </w:tcPr>
          <w:p>
            <w:pPr>
              <w:ind w:left="40"/>
              <w:spacing w:after="0"/>
              <w:rPr>
                <w:sz w:val="20"/>
                <w:szCs w:val="20"/>
                <w:color w:val="auto"/>
              </w:rPr>
            </w:pPr>
            <w:r>
              <w:rPr>
                <w:rFonts w:ascii="Arial" w:cs="Arial" w:eastAsia="Arial" w:hAnsi="Arial"/>
                <w:sz w:val="18"/>
                <w:szCs w:val="18"/>
                <w:b w:val="1"/>
                <w:bCs w:val="1"/>
                <w:color w:val="auto"/>
              </w:rPr>
              <w:t>Regulated Utility Electric Sales</w:t>
            </w:r>
          </w:p>
        </w:tc>
        <w:tc>
          <w:tcPr>
            <w:tcW w:w="18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70"/>
        </w:trPr>
        <w:tc>
          <w:tcPr>
            <w:tcW w:w="3880" w:type="dxa"/>
            <w:vAlign w:val="bottom"/>
          </w:tcPr>
          <w:p>
            <w:pPr>
              <w:ind w:left="40"/>
              <w:spacing w:after="0"/>
              <w:rPr>
                <w:sz w:val="20"/>
                <w:szCs w:val="20"/>
                <w:color w:val="auto"/>
              </w:rPr>
            </w:pPr>
            <w:r>
              <w:rPr>
                <w:rFonts w:ascii="Arial" w:cs="Arial" w:eastAsia="Arial" w:hAnsi="Arial"/>
                <w:sz w:val="18"/>
                <w:szCs w:val="18"/>
                <w:b w:val="1"/>
                <w:bCs w:val="1"/>
                <w:color w:val="auto"/>
              </w:rPr>
              <w:t>Year Ended December 31</w:t>
            </w:r>
          </w:p>
        </w:tc>
        <w:tc>
          <w:tcPr>
            <w:tcW w:w="1860" w:type="dxa"/>
            <w:vAlign w:val="bottom"/>
          </w:tcPr>
          <w:p>
            <w:pPr>
              <w:jc w:val="right"/>
              <w:ind w:right="270"/>
              <w:spacing w:after="0"/>
              <w:rPr>
                <w:sz w:val="20"/>
                <w:szCs w:val="20"/>
                <w:color w:val="auto"/>
              </w:rPr>
            </w:pPr>
            <w:r>
              <w:rPr>
                <w:rFonts w:ascii="Arial" w:cs="Arial" w:eastAsia="Arial" w:hAnsi="Arial"/>
                <w:sz w:val="18"/>
                <w:szCs w:val="18"/>
                <w:b w:val="1"/>
                <w:bCs w:val="1"/>
                <w:color w:val="auto"/>
              </w:rPr>
              <w:t>2012</w:t>
            </w:r>
          </w:p>
        </w:tc>
        <w:tc>
          <w:tcPr>
            <w:tcW w:w="1100" w:type="dxa"/>
            <w:vAlign w:val="bottom"/>
          </w:tcPr>
          <w:p>
            <w:pPr>
              <w:jc w:val="right"/>
              <w:ind w:right="370"/>
              <w:spacing w:after="0"/>
              <w:rPr>
                <w:sz w:val="20"/>
                <w:szCs w:val="20"/>
                <w:color w:val="auto"/>
              </w:rPr>
            </w:pPr>
            <w:r>
              <w:rPr>
                <w:rFonts w:ascii="Arial" w:cs="Arial" w:eastAsia="Arial" w:hAnsi="Arial"/>
                <w:sz w:val="18"/>
                <w:szCs w:val="18"/>
                <w:b w:val="1"/>
                <w:bCs w:val="1"/>
                <w:color w:val="auto"/>
              </w:rPr>
              <w:t>%</w:t>
            </w:r>
          </w:p>
        </w:tc>
        <w:tc>
          <w:tcPr>
            <w:tcW w:w="1320" w:type="dxa"/>
            <w:vAlign w:val="bottom"/>
          </w:tcPr>
          <w:p>
            <w:pPr>
              <w:jc w:val="right"/>
              <w:ind w:right="270"/>
              <w:spacing w:after="0"/>
              <w:rPr>
                <w:sz w:val="20"/>
                <w:szCs w:val="20"/>
                <w:color w:val="auto"/>
              </w:rPr>
            </w:pPr>
            <w:r>
              <w:rPr>
                <w:rFonts w:ascii="Arial" w:cs="Arial" w:eastAsia="Arial" w:hAnsi="Arial"/>
                <w:sz w:val="18"/>
                <w:szCs w:val="18"/>
                <w:b w:val="1"/>
                <w:bCs w:val="1"/>
                <w:color w:val="auto"/>
              </w:rPr>
              <w:t>2011</w:t>
            </w:r>
          </w:p>
        </w:tc>
        <w:tc>
          <w:tcPr>
            <w:tcW w:w="1060" w:type="dxa"/>
            <w:vAlign w:val="bottom"/>
          </w:tcPr>
          <w:p>
            <w:pPr>
              <w:jc w:val="right"/>
              <w:ind w:right="350"/>
              <w:spacing w:after="0"/>
              <w:rPr>
                <w:sz w:val="20"/>
                <w:szCs w:val="20"/>
                <w:color w:val="auto"/>
              </w:rPr>
            </w:pPr>
            <w:r>
              <w:rPr>
                <w:rFonts w:ascii="Arial" w:cs="Arial" w:eastAsia="Arial" w:hAnsi="Arial"/>
                <w:sz w:val="18"/>
                <w:szCs w:val="18"/>
                <w:b w:val="1"/>
                <w:bCs w:val="1"/>
                <w:color w:val="auto"/>
              </w:rPr>
              <w:t>%</w:t>
            </w:r>
          </w:p>
        </w:tc>
        <w:tc>
          <w:tcPr>
            <w:tcW w:w="13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2010</w:t>
            </w:r>
          </w:p>
        </w:tc>
        <w:tc>
          <w:tcPr>
            <w:tcW w:w="900" w:type="dxa"/>
            <w:vAlign w:val="bottom"/>
          </w:tcPr>
          <w:p>
            <w:pPr>
              <w:jc w:val="right"/>
              <w:ind w:right="190"/>
              <w:spacing w:after="0"/>
              <w:rPr>
                <w:sz w:val="20"/>
                <w:szCs w:val="20"/>
                <w:color w:val="auto"/>
              </w:rPr>
            </w:pPr>
            <w:r>
              <w:rPr>
                <w:rFonts w:ascii="Arial" w:cs="Arial" w:eastAsia="Arial" w:hAnsi="Arial"/>
                <w:sz w:val="18"/>
                <w:szCs w:val="18"/>
                <w:b w:val="1"/>
                <w:bCs w:val="1"/>
                <w:color w:val="auto"/>
              </w:rPr>
              <w:t>%</w:t>
            </w:r>
          </w:p>
        </w:tc>
      </w:tr>
      <w:tr>
        <w:trPr>
          <w:trHeight w:val="27"/>
        </w:trPr>
        <w:tc>
          <w:tcPr>
            <w:tcW w:w="388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3880" w:type="dxa"/>
            <w:vAlign w:val="bottom"/>
          </w:tcPr>
          <w:p>
            <w:pPr>
              <w:ind w:left="40"/>
              <w:spacing w:after="0"/>
              <w:rPr>
                <w:sz w:val="20"/>
                <w:szCs w:val="20"/>
                <w:color w:val="auto"/>
              </w:rPr>
            </w:pPr>
            <w:r>
              <w:rPr>
                <w:rFonts w:ascii="Arial" w:cs="Arial" w:eastAsia="Arial" w:hAnsi="Arial"/>
                <w:sz w:val="18"/>
                <w:szCs w:val="18"/>
                <w:b w:val="1"/>
                <w:bCs w:val="1"/>
                <w:color w:val="auto"/>
              </w:rPr>
              <w:t>Millions of Kilowatt-hours</w:t>
            </w:r>
          </w:p>
        </w:tc>
        <w:tc>
          <w:tcPr>
            <w:tcW w:w="18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7"/>
        </w:trPr>
        <w:tc>
          <w:tcPr>
            <w:tcW w:w="38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Retail and Municipals</w:t>
            </w:r>
          </w:p>
        </w:tc>
        <w:tc>
          <w:tcPr>
            <w:tcW w:w="18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3880" w:type="dxa"/>
            <w:vAlign w:val="bottom"/>
          </w:tcPr>
          <w:p>
            <w:pPr>
              <w:ind w:left="180"/>
              <w:spacing w:after="0"/>
              <w:rPr>
                <w:sz w:val="20"/>
                <w:szCs w:val="20"/>
                <w:color w:val="auto"/>
              </w:rPr>
            </w:pPr>
            <w:r>
              <w:rPr>
                <w:rFonts w:ascii="Arial" w:cs="Arial" w:eastAsia="Arial" w:hAnsi="Arial"/>
                <w:sz w:val="18"/>
                <w:szCs w:val="18"/>
                <w:color w:val="auto"/>
              </w:rPr>
              <w:t>Residential</w:t>
            </w:r>
          </w:p>
        </w:tc>
        <w:tc>
          <w:tcPr>
            <w:tcW w:w="1860" w:type="dxa"/>
            <w:vAlign w:val="bottom"/>
          </w:tcPr>
          <w:p>
            <w:pPr>
              <w:jc w:val="right"/>
              <w:ind w:right="270"/>
              <w:spacing w:after="0"/>
              <w:rPr>
                <w:sz w:val="20"/>
                <w:szCs w:val="20"/>
                <w:color w:val="auto"/>
              </w:rPr>
            </w:pPr>
            <w:r>
              <w:rPr>
                <w:rFonts w:ascii="Arial" w:cs="Arial" w:eastAsia="Arial" w:hAnsi="Arial"/>
                <w:sz w:val="18"/>
                <w:szCs w:val="18"/>
                <w:color w:val="auto"/>
              </w:rPr>
              <w:t>1,132</w:t>
            </w:r>
          </w:p>
        </w:tc>
        <w:tc>
          <w:tcPr>
            <w:tcW w:w="1100" w:type="dxa"/>
            <w:vAlign w:val="bottom"/>
          </w:tcPr>
          <w:p>
            <w:pPr>
              <w:jc w:val="right"/>
              <w:ind w:right="370"/>
              <w:spacing w:after="0"/>
              <w:rPr>
                <w:sz w:val="20"/>
                <w:szCs w:val="20"/>
                <w:color w:val="auto"/>
              </w:rPr>
            </w:pPr>
            <w:r>
              <w:rPr>
                <w:rFonts w:ascii="Arial" w:cs="Arial" w:eastAsia="Arial" w:hAnsi="Arial"/>
                <w:sz w:val="18"/>
                <w:szCs w:val="18"/>
                <w:color w:val="auto"/>
              </w:rPr>
              <w:t>9</w:t>
            </w:r>
          </w:p>
        </w:tc>
        <w:tc>
          <w:tcPr>
            <w:tcW w:w="1320" w:type="dxa"/>
            <w:vAlign w:val="bottom"/>
          </w:tcPr>
          <w:p>
            <w:pPr>
              <w:jc w:val="right"/>
              <w:ind w:right="270"/>
              <w:spacing w:after="0"/>
              <w:rPr>
                <w:sz w:val="20"/>
                <w:szCs w:val="20"/>
                <w:color w:val="auto"/>
              </w:rPr>
            </w:pPr>
            <w:r>
              <w:rPr>
                <w:rFonts w:ascii="Arial" w:cs="Arial" w:eastAsia="Arial" w:hAnsi="Arial"/>
                <w:sz w:val="18"/>
                <w:szCs w:val="18"/>
                <w:color w:val="auto"/>
              </w:rPr>
              <w:t>1,159</w:t>
            </w:r>
          </w:p>
        </w:tc>
        <w:tc>
          <w:tcPr>
            <w:tcW w:w="1060" w:type="dxa"/>
            <w:vAlign w:val="bottom"/>
          </w:tcPr>
          <w:p>
            <w:pPr>
              <w:jc w:val="right"/>
              <w:ind w:right="350"/>
              <w:spacing w:after="0"/>
              <w:rPr>
                <w:sz w:val="20"/>
                <w:szCs w:val="20"/>
                <w:color w:val="auto"/>
              </w:rPr>
            </w:pPr>
            <w:r>
              <w:rPr>
                <w:rFonts w:ascii="Arial" w:cs="Arial" w:eastAsia="Arial" w:hAnsi="Arial"/>
                <w:sz w:val="18"/>
                <w:szCs w:val="18"/>
                <w:color w:val="auto"/>
              </w:rPr>
              <w:t>9</w:t>
            </w:r>
          </w:p>
        </w:tc>
        <w:tc>
          <w:tcPr>
            <w:tcW w:w="1300" w:type="dxa"/>
            <w:vAlign w:val="bottom"/>
          </w:tcPr>
          <w:p>
            <w:pPr>
              <w:jc w:val="right"/>
              <w:ind w:right="250"/>
              <w:spacing w:after="0"/>
              <w:rPr>
                <w:sz w:val="20"/>
                <w:szCs w:val="20"/>
                <w:color w:val="auto"/>
              </w:rPr>
            </w:pPr>
            <w:r>
              <w:rPr>
                <w:rFonts w:ascii="Arial" w:cs="Arial" w:eastAsia="Arial" w:hAnsi="Arial"/>
                <w:sz w:val="18"/>
                <w:szCs w:val="18"/>
                <w:color w:val="auto"/>
              </w:rPr>
              <w:t>1,150</w:t>
            </w:r>
          </w:p>
        </w:tc>
        <w:tc>
          <w:tcPr>
            <w:tcW w:w="900" w:type="dxa"/>
            <w:vAlign w:val="bottom"/>
          </w:tcPr>
          <w:p>
            <w:pPr>
              <w:jc w:val="right"/>
              <w:ind w:right="170"/>
              <w:spacing w:after="0"/>
              <w:rPr>
                <w:sz w:val="20"/>
                <w:szCs w:val="20"/>
                <w:color w:val="auto"/>
              </w:rPr>
            </w:pPr>
            <w:r>
              <w:rPr>
                <w:rFonts w:ascii="Arial" w:cs="Arial" w:eastAsia="Arial" w:hAnsi="Arial"/>
                <w:sz w:val="18"/>
                <w:szCs w:val="18"/>
                <w:color w:val="auto"/>
              </w:rPr>
              <w:t>9</w:t>
            </w:r>
          </w:p>
        </w:tc>
      </w:tr>
      <w:tr>
        <w:trPr>
          <w:trHeight w:val="27"/>
        </w:trPr>
        <w:tc>
          <w:tcPr>
            <w:tcW w:w="38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3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Commercial</w:t>
            </w:r>
          </w:p>
        </w:tc>
        <w:tc>
          <w:tcPr>
            <w:tcW w:w="18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1,436</w:t>
            </w:r>
          </w:p>
        </w:tc>
        <w:tc>
          <w:tcPr>
            <w:tcW w:w="110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11</w:t>
            </w:r>
          </w:p>
        </w:tc>
        <w:tc>
          <w:tcPr>
            <w:tcW w:w="132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1,433</w:t>
            </w:r>
          </w:p>
        </w:tc>
        <w:tc>
          <w:tcPr>
            <w:tcW w:w="10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11</w:t>
            </w:r>
          </w:p>
        </w:tc>
        <w:tc>
          <w:tcPr>
            <w:tcW w:w="130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1,433</w:t>
            </w:r>
          </w:p>
        </w:tc>
        <w:tc>
          <w:tcPr>
            <w:tcW w:w="9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11</w:t>
            </w:r>
          </w:p>
        </w:tc>
      </w:tr>
      <w:tr>
        <w:trPr>
          <w:trHeight w:val="243"/>
        </w:trPr>
        <w:tc>
          <w:tcPr>
            <w:tcW w:w="3880" w:type="dxa"/>
            <w:vAlign w:val="bottom"/>
          </w:tcPr>
          <w:p>
            <w:pPr>
              <w:ind w:left="180"/>
              <w:spacing w:after="0"/>
              <w:rPr>
                <w:sz w:val="20"/>
                <w:szCs w:val="20"/>
                <w:color w:val="auto"/>
              </w:rPr>
            </w:pPr>
            <w:r>
              <w:rPr>
                <w:rFonts w:ascii="Arial" w:cs="Arial" w:eastAsia="Arial" w:hAnsi="Arial"/>
                <w:sz w:val="18"/>
                <w:szCs w:val="18"/>
                <w:color w:val="auto"/>
              </w:rPr>
              <w:t>Industrial</w:t>
            </w:r>
          </w:p>
        </w:tc>
        <w:tc>
          <w:tcPr>
            <w:tcW w:w="1860" w:type="dxa"/>
            <w:vAlign w:val="bottom"/>
          </w:tcPr>
          <w:p>
            <w:pPr>
              <w:jc w:val="right"/>
              <w:ind w:right="270"/>
              <w:spacing w:after="0"/>
              <w:rPr>
                <w:sz w:val="20"/>
                <w:szCs w:val="20"/>
                <w:color w:val="auto"/>
              </w:rPr>
            </w:pPr>
            <w:r>
              <w:rPr>
                <w:rFonts w:ascii="Arial" w:cs="Arial" w:eastAsia="Arial" w:hAnsi="Arial"/>
                <w:sz w:val="18"/>
                <w:szCs w:val="18"/>
                <w:color w:val="auto"/>
              </w:rPr>
              <w:t>7,502</w:t>
            </w:r>
          </w:p>
        </w:tc>
        <w:tc>
          <w:tcPr>
            <w:tcW w:w="1100" w:type="dxa"/>
            <w:vAlign w:val="bottom"/>
          </w:tcPr>
          <w:p>
            <w:pPr>
              <w:jc w:val="right"/>
              <w:ind w:right="370"/>
              <w:spacing w:after="0"/>
              <w:rPr>
                <w:sz w:val="20"/>
                <w:szCs w:val="20"/>
                <w:color w:val="auto"/>
              </w:rPr>
            </w:pPr>
            <w:r>
              <w:rPr>
                <w:rFonts w:ascii="Arial" w:cs="Arial" w:eastAsia="Arial" w:hAnsi="Arial"/>
                <w:sz w:val="18"/>
                <w:szCs w:val="18"/>
                <w:color w:val="auto"/>
              </w:rPr>
              <w:t>57</w:t>
            </w:r>
          </w:p>
        </w:tc>
        <w:tc>
          <w:tcPr>
            <w:tcW w:w="1320" w:type="dxa"/>
            <w:vAlign w:val="bottom"/>
          </w:tcPr>
          <w:p>
            <w:pPr>
              <w:jc w:val="right"/>
              <w:ind w:right="270"/>
              <w:spacing w:after="0"/>
              <w:rPr>
                <w:sz w:val="20"/>
                <w:szCs w:val="20"/>
                <w:color w:val="auto"/>
              </w:rPr>
            </w:pPr>
            <w:r>
              <w:rPr>
                <w:rFonts w:ascii="Arial" w:cs="Arial" w:eastAsia="Arial" w:hAnsi="Arial"/>
                <w:sz w:val="18"/>
                <w:szCs w:val="18"/>
                <w:color w:val="auto"/>
              </w:rPr>
              <w:t>7,365</w:t>
            </w:r>
          </w:p>
        </w:tc>
        <w:tc>
          <w:tcPr>
            <w:tcW w:w="1060" w:type="dxa"/>
            <w:vAlign w:val="bottom"/>
          </w:tcPr>
          <w:p>
            <w:pPr>
              <w:jc w:val="right"/>
              <w:ind w:right="350"/>
              <w:spacing w:after="0"/>
              <w:rPr>
                <w:sz w:val="20"/>
                <w:szCs w:val="20"/>
                <w:color w:val="auto"/>
              </w:rPr>
            </w:pPr>
            <w:r>
              <w:rPr>
                <w:rFonts w:ascii="Arial" w:cs="Arial" w:eastAsia="Arial" w:hAnsi="Arial"/>
                <w:sz w:val="18"/>
                <w:szCs w:val="18"/>
                <w:color w:val="auto"/>
              </w:rPr>
              <w:t>56</w:t>
            </w:r>
          </w:p>
        </w:tc>
        <w:tc>
          <w:tcPr>
            <w:tcW w:w="1300" w:type="dxa"/>
            <w:vAlign w:val="bottom"/>
          </w:tcPr>
          <w:p>
            <w:pPr>
              <w:jc w:val="right"/>
              <w:ind w:right="250"/>
              <w:spacing w:after="0"/>
              <w:rPr>
                <w:sz w:val="20"/>
                <w:szCs w:val="20"/>
                <w:color w:val="auto"/>
              </w:rPr>
            </w:pPr>
            <w:r>
              <w:rPr>
                <w:rFonts w:ascii="Arial" w:cs="Arial" w:eastAsia="Arial" w:hAnsi="Arial"/>
                <w:sz w:val="18"/>
                <w:szCs w:val="18"/>
                <w:color w:val="auto"/>
              </w:rPr>
              <w:t>6,804</w:t>
            </w:r>
          </w:p>
        </w:tc>
        <w:tc>
          <w:tcPr>
            <w:tcW w:w="900" w:type="dxa"/>
            <w:vAlign w:val="bottom"/>
          </w:tcPr>
          <w:p>
            <w:pPr>
              <w:jc w:val="right"/>
              <w:ind w:right="190"/>
              <w:spacing w:after="0"/>
              <w:rPr>
                <w:sz w:val="20"/>
                <w:szCs w:val="20"/>
                <w:color w:val="auto"/>
              </w:rPr>
            </w:pPr>
            <w:r>
              <w:rPr>
                <w:rFonts w:ascii="Arial" w:cs="Arial" w:eastAsia="Arial" w:hAnsi="Arial"/>
                <w:sz w:val="18"/>
                <w:szCs w:val="18"/>
                <w:color w:val="auto"/>
              </w:rPr>
              <w:t>52</w:t>
            </w:r>
          </w:p>
        </w:tc>
      </w:tr>
      <w:tr>
        <w:trPr>
          <w:trHeight w:val="27"/>
        </w:trPr>
        <w:tc>
          <w:tcPr>
            <w:tcW w:w="38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5"/>
        </w:trPr>
        <w:tc>
          <w:tcPr>
            <w:tcW w:w="3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Municipals</w:t>
            </w:r>
          </w:p>
        </w:tc>
        <w:tc>
          <w:tcPr>
            <w:tcW w:w="18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1,020</w:t>
            </w:r>
          </w:p>
        </w:tc>
        <w:tc>
          <w:tcPr>
            <w:tcW w:w="110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8</w:t>
            </w:r>
          </w:p>
        </w:tc>
        <w:tc>
          <w:tcPr>
            <w:tcW w:w="132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1,013</w:t>
            </w:r>
          </w:p>
        </w:tc>
        <w:tc>
          <w:tcPr>
            <w:tcW w:w="10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7</w:t>
            </w:r>
          </w:p>
        </w:tc>
        <w:tc>
          <w:tcPr>
            <w:tcW w:w="130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1,006</w:t>
            </w:r>
          </w:p>
        </w:tc>
        <w:tc>
          <w:tcPr>
            <w:tcW w:w="9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7</w:t>
            </w:r>
          </w:p>
        </w:tc>
      </w:tr>
      <w:tr>
        <w:trPr>
          <w:trHeight w:val="237"/>
        </w:trPr>
        <w:tc>
          <w:tcPr>
            <w:tcW w:w="38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Retail and Municipals</w:t>
            </w:r>
          </w:p>
        </w:tc>
        <w:tc>
          <w:tcPr>
            <w:tcW w:w="186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rPr>
              <w:t>11,090</w:t>
            </w:r>
          </w:p>
        </w:tc>
        <w:tc>
          <w:tcPr>
            <w:tcW w:w="110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rPr>
              <w:t>85</w:t>
            </w:r>
          </w:p>
        </w:tc>
        <w:tc>
          <w:tcPr>
            <w:tcW w:w="132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rPr>
              <w:t>10,970</w:t>
            </w:r>
          </w:p>
        </w:tc>
        <w:tc>
          <w:tcPr>
            <w:tcW w:w="10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rPr>
              <w:t>83</w:t>
            </w:r>
          </w:p>
        </w:tc>
        <w:tc>
          <w:tcPr>
            <w:tcW w:w="130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rPr>
              <w:t>10,393</w:t>
            </w:r>
          </w:p>
        </w:tc>
        <w:tc>
          <w:tcPr>
            <w:tcW w:w="9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79</w:t>
            </w:r>
          </w:p>
        </w:tc>
      </w:tr>
      <w:tr>
        <w:trPr>
          <w:trHeight w:val="27"/>
        </w:trPr>
        <w:tc>
          <w:tcPr>
            <w:tcW w:w="388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9"/>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Power Suppliers</w:t>
            </w:r>
          </w:p>
        </w:tc>
        <w:tc>
          <w:tcPr>
            <w:tcW w:w="18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1,999</w:t>
            </w:r>
          </w:p>
        </w:tc>
        <w:tc>
          <w:tcPr>
            <w:tcW w:w="110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15</w:t>
            </w:r>
          </w:p>
        </w:tc>
        <w:tc>
          <w:tcPr>
            <w:tcW w:w="132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2,205</w:t>
            </w:r>
          </w:p>
        </w:tc>
        <w:tc>
          <w:tcPr>
            <w:tcW w:w="10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17</w:t>
            </w:r>
          </w:p>
        </w:tc>
        <w:tc>
          <w:tcPr>
            <w:tcW w:w="130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2,745</w:t>
            </w:r>
          </w:p>
        </w:tc>
        <w:tc>
          <w:tcPr>
            <w:tcW w:w="9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21</w:t>
            </w:r>
          </w:p>
        </w:tc>
      </w:tr>
      <w:tr>
        <w:trPr>
          <w:trHeight w:val="237"/>
        </w:trPr>
        <w:tc>
          <w:tcPr>
            <w:tcW w:w="388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Total Regulated Utility Electric Sales</w:t>
            </w:r>
          </w:p>
        </w:tc>
        <w:tc>
          <w:tcPr>
            <w:tcW w:w="186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rPr>
              <w:t>13,089</w:t>
            </w:r>
          </w:p>
        </w:tc>
        <w:tc>
          <w:tcPr>
            <w:tcW w:w="110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rPr>
              <w:t>100</w:t>
            </w:r>
          </w:p>
        </w:tc>
        <w:tc>
          <w:tcPr>
            <w:tcW w:w="132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rPr>
              <w:t>13,175</w:t>
            </w:r>
          </w:p>
        </w:tc>
        <w:tc>
          <w:tcPr>
            <w:tcW w:w="10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rPr>
              <w:t>100</w:t>
            </w:r>
          </w:p>
        </w:tc>
        <w:tc>
          <w:tcPr>
            <w:tcW w:w="130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rPr>
              <w:t>13,138</w:t>
            </w:r>
          </w:p>
        </w:tc>
        <w:tc>
          <w:tcPr>
            <w:tcW w:w="90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100</w:t>
            </w:r>
          </w:p>
        </w:tc>
      </w:tr>
      <w:tr>
        <w:trPr>
          <w:trHeight w:val="27"/>
        </w:trPr>
        <w:tc>
          <w:tcPr>
            <w:tcW w:w="388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2012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364"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Regulated Operations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operations of our industrial customers, which make up a large portion of our sales portfolio as shown in the table above, are not typically subject to significant seasonal variations. As a result, Minnesota Power is generally not subject to significant seasonal fluctuations in electric sales; however, residential sales as compared to 2011 were down primarily due to unseasonably warm weather during the first four months of 2012. Heating degree days in Duluth, Minnesota were approximately 22 percent lower than the first four months of 2011.</w:t>
      </w:r>
    </w:p>
    <w:p>
      <w:pPr>
        <w:spacing w:after="0" w:line="18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Industrial Customers</w:t>
      </w:r>
      <w:r>
        <w:rPr>
          <w:rFonts w:ascii="Arial" w:cs="Arial" w:eastAsia="Arial" w:hAnsi="Arial"/>
          <w:sz w:val="18"/>
          <w:szCs w:val="18"/>
          <w:color w:val="auto"/>
        </w:rPr>
        <w:t>. In 2012, our industrial customers represented 57 percent of total regulated utility kilowatt-hour sales. Our industrial customers are</w:t>
      </w:r>
      <w:r>
        <w:rPr>
          <w:rFonts w:ascii="Arial" w:cs="Arial" w:eastAsia="Arial" w:hAnsi="Arial"/>
          <w:sz w:val="18"/>
          <w:szCs w:val="18"/>
          <w:b w:val="1"/>
          <w:bCs w:val="1"/>
          <w:color w:val="auto"/>
        </w:rPr>
        <w:t xml:space="preserve"> </w:t>
      </w:r>
      <w:r>
        <w:rPr>
          <w:rFonts w:ascii="Arial" w:cs="Arial" w:eastAsia="Arial" w:hAnsi="Arial"/>
          <w:sz w:val="18"/>
          <w:szCs w:val="18"/>
          <w:color w:val="auto"/>
        </w:rPr>
        <w:t>primarily in the taconite mining, iron concentrate, paper, pulp and wood products, and pipeline industries.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00" w:type="dxa"/>
            <w:vAlign w:val="bottom"/>
          </w:tcPr>
          <w:p>
            <w:pPr>
              <w:ind w:left="40"/>
              <w:spacing w:after="0"/>
              <w:rPr>
                <w:sz w:val="20"/>
                <w:szCs w:val="20"/>
                <w:color w:val="auto"/>
              </w:rPr>
            </w:pPr>
            <w:r>
              <w:rPr>
                <w:rFonts w:ascii="Arial" w:cs="Arial" w:eastAsia="Arial" w:hAnsi="Arial"/>
                <w:sz w:val="18"/>
                <w:szCs w:val="18"/>
                <w:b w:val="1"/>
                <w:bCs w:val="1"/>
                <w:color w:val="auto"/>
              </w:rPr>
              <w:t>Industrial Customer Electric Sales</w:t>
            </w:r>
          </w:p>
        </w:tc>
        <w:tc>
          <w:tcPr>
            <w:tcW w:w="18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70"/>
        </w:trPr>
        <w:tc>
          <w:tcPr>
            <w:tcW w:w="4300" w:type="dxa"/>
            <w:vAlign w:val="bottom"/>
          </w:tcPr>
          <w:p>
            <w:pPr>
              <w:ind w:left="40"/>
              <w:spacing w:after="0"/>
              <w:rPr>
                <w:sz w:val="20"/>
                <w:szCs w:val="20"/>
                <w:color w:val="auto"/>
              </w:rPr>
            </w:pPr>
            <w:r>
              <w:rPr>
                <w:rFonts w:ascii="Arial" w:cs="Arial" w:eastAsia="Arial" w:hAnsi="Arial"/>
                <w:sz w:val="18"/>
                <w:szCs w:val="18"/>
                <w:b w:val="1"/>
                <w:bCs w:val="1"/>
                <w:color w:val="auto"/>
              </w:rPr>
              <w:t>Year Ended December 31</w:t>
            </w:r>
          </w:p>
        </w:tc>
        <w:tc>
          <w:tcPr>
            <w:tcW w:w="1800" w:type="dxa"/>
            <w:vAlign w:val="bottom"/>
          </w:tcPr>
          <w:p>
            <w:pPr>
              <w:jc w:val="right"/>
              <w:ind w:right="270"/>
              <w:spacing w:after="0"/>
              <w:rPr>
                <w:sz w:val="20"/>
                <w:szCs w:val="20"/>
                <w:color w:val="auto"/>
              </w:rPr>
            </w:pPr>
            <w:r>
              <w:rPr>
                <w:rFonts w:ascii="Arial" w:cs="Arial" w:eastAsia="Arial" w:hAnsi="Arial"/>
                <w:sz w:val="18"/>
                <w:szCs w:val="18"/>
                <w:b w:val="1"/>
                <w:bCs w:val="1"/>
                <w:color w:val="auto"/>
              </w:rPr>
              <w:t>2012</w:t>
            </w:r>
          </w:p>
        </w:tc>
        <w:tc>
          <w:tcPr>
            <w:tcW w:w="1060" w:type="dxa"/>
            <w:vAlign w:val="bottom"/>
          </w:tcPr>
          <w:p>
            <w:pPr>
              <w:jc w:val="right"/>
              <w:ind w:right="350"/>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2011</w:t>
            </w:r>
          </w:p>
        </w:tc>
        <w:tc>
          <w:tcPr>
            <w:tcW w:w="1080" w:type="dxa"/>
            <w:vAlign w:val="bottom"/>
          </w:tcPr>
          <w:p>
            <w:pPr>
              <w:jc w:val="right"/>
              <w:ind w:right="370"/>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ind w:right="270"/>
              <w:spacing w:after="0"/>
              <w:rPr>
                <w:sz w:val="20"/>
                <w:szCs w:val="20"/>
                <w:color w:val="auto"/>
              </w:rPr>
            </w:pPr>
            <w:r>
              <w:rPr>
                <w:rFonts w:ascii="Arial" w:cs="Arial" w:eastAsia="Arial" w:hAnsi="Arial"/>
                <w:sz w:val="18"/>
                <w:szCs w:val="18"/>
                <w:b w:val="1"/>
                <w:bCs w:val="1"/>
                <w:color w:val="auto"/>
              </w:rPr>
              <w:t>2010</w:t>
            </w:r>
          </w:p>
        </w:tc>
        <w:tc>
          <w:tcPr>
            <w:tcW w:w="78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r>
      <w:tr>
        <w:trPr>
          <w:trHeight w:val="27"/>
        </w:trPr>
        <w:tc>
          <w:tcPr>
            <w:tcW w:w="43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7"/>
        </w:trPr>
        <w:tc>
          <w:tcPr>
            <w:tcW w:w="4300" w:type="dxa"/>
            <w:vAlign w:val="bottom"/>
          </w:tcPr>
          <w:p>
            <w:pPr>
              <w:ind w:left="40"/>
              <w:spacing w:after="0"/>
              <w:rPr>
                <w:sz w:val="20"/>
                <w:szCs w:val="20"/>
                <w:color w:val="auto"/>
              </w:rPr>
            </w:pPr>
            <w:r>
              <w:rPr>
                <w:rFonts w:ascii="Arial" w:cs="Arial" w:eastAsia="Arial" w:hAnsi="Arial"/>
                <w:sz w:val="18"/>
                <w:szCs w:val="18"/>
                <w:b w:val="1"/>
                <w:bCs w:val="1"/>
                <w:color w:val="auto"/>
              </w:rPr>
              <w:t>Millions of Kilowatt-hours</w:t>
            </w:r>
          </w:p>
        </w:tc>
        <w:tc>
          <w:tcPr>
            <w:tcW w:w="18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7"/>
        </w:trPr>
        <w:tc>
          <w:tcPr>
            <w:tcW w:w="43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4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Taconite/Iron Concentrate</w:t>
            </w:r>
          </w:p>
        </w:tc>
        <w:tc>
          <w:tcPr>
            <w:tcW w:w="180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4,968</w:t>
            </w:r>
          </w:p>
        </w:tc>
        <w:tc>
          <w:tcPr>
            <w:tcW w:w="10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66</w:t>
            </w:r>
          </w:p>
        </w:tc>
        <w:tc>
          <w:tcPr>
            <w:tcW w:w="120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4,874</w:t>
            </w:r>
          </w:p>
        </w:tc>
        <w:tc>
          <w:tcPr>
            <w:tcW w:w="10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66</w:t>
            </w:r>
          </w:p>
        </w:tc>
        <w:tc>
          <w:tcPr>
            <w:tcW w:w="120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4,324</w:t>
            </w:r>
          </w:p>
        </w:tc>
        <w:tc>
          <w:tcPr>
            <w:tcW w:w="7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64</w:t>
            </w:r>
          </w:p>
        </w:tc>
      </w:tr>
      <w:tr>
        <w:trPr>
          <w:trHeight w:val="243"/>
        </w:trPr>
        <w:tc>
          <w:tcPr>
            <w:tcW w:w="4300" w:type="dxa"/>
            <w:vAlign w:val="bottom"/>
          </w:tcPr>
          <w:p>
            <w:pPr>
              <w:ind w:left="40"/>
              <w:spacing w:after="0"/>
              <w:rPr>
                <w:sz w:val="20"/>
                <w:szCs w:val="20"/>
                <w:color w:val="auto"/>
              </w:rPr>
            </w:pPr>
            <w:r>
              <w:rPr>
                <w:rFonts w:ascii="Arial" w:cs="Arial" w:eastAsia="Arial" w:hAnsi="Arial"/>
                <w:sz w:val="18"/>
                <w:szCs w:val="18"/>
                <w:color w:val="auto"/>
              </w:rPr>
              <w:t>Paper, Pulp and Wood Products</w:t>
            </w:r>
          </w:p>
        </w:tc>
        <w:tc>
          <w:tcPr>
            <w:tcW w:w="1800" w:type="dxa"/>
            <w:vAlign w:val="bottom"/>
          </w:tcPr>
          <w:p>
            <w:pPr>
              <w:jc w:val="right"/>
              <w:ind w:right="270"/>
              <w:spacing w:after="0"/>
              <w:rPr>
                <w:sz w:val="20"/>
                <w:szCs w:val="20"/>
                <w:color w:val="auto"/>
              </w:rPr>
            </w:pPr>
            <w:r>
              <w:rPr>
                <w:rFonts w:ascii="Arial" w:cs="Arial" w:eastAsia="Arial" w:hAnsi="Arial"/>
                <w:sz w:val="18"/>
                <w:szCs w:val="18"/>
                <w:color w:val="auto"/>
              </w:rPr>
              <w:t>1,571</w:t>
            </w:r>
          </w:p>
        </w:tc>
        <w:tc>
          <w:tcPr>
            <w:tcW w:w="1060" w:type="dxa"/>
            <w:vAlign w:val="bottom"/>
          </w:tcPr>
          <w:p>
            <w:pPr>
              <w:jc w:val="right"/>
              <w:ind w:right="350"/>
              <w:spacing w:after="0"/>
              <w:rPr>
                <w:sz w:val="20"/>
                <w:szCs w:val="20"/>
                <w:color w:val="auto"/>
              </w:rPr>
            </w:pPr>
            <w:r>
              <w:rPr>
                <w:rFonts w:ascii="Arial" w:cs="Arial" w:eastAsia="Arial" w:hAnsi="Arial"/>
                <w:sz w:val="18"/>
                <w:szCs w:val="18"/>
                <w:color w:val="auto"/>
              </w:rPr>
              <w:t>21</w:t>
            </w:r>
          </w:p>
        </w:tc>
        <w:tc>
          <w:tcPr>
            <w:tcW w:w="1200" w:type="dxa"/>
            <w:vAlign w:val="bottom"/>
          </w:tcPr>
          <w:p>
            <w:pPr>
              <w:jc w:val="right"/>
              <w:ind w:right="250"/>
              <w:spacing w:after="0"/>
              <w:rPr>
                <w:sz w:val="20"/>
                <w:szCs w:val="20"/>
                <w:color w:val="auto"/>
              </w:rPr>
            </w:pPr>
            <w:r>
              <w:rPr>
                <w:rFonts w:ascii="Arial" w:cs="Arial" w:eastAsia="Arial" w:hAnsi="Arial"/>
                <w:sz w:val="18"/>
                <w:szCs w:val="18"/>
                <w:color w:val="auto"/>
              </w:rPr>
              <w:t>1,560</w:t>
            </w:r>
          </w:p>
        </w:tc>
        <w:tc>
          <w:tcPr>
            <w:tcW w:w="1080" w:type="dxa"/>
            <w:vAlign w:val="bottom"/>
          </w:tcPr>
          <w:p>
            <w:pPr>
              <w:jc w:val="right"/>
              <w:ind w:right="370"/>
              <w:spacing w:after="0"/>
              <w:rPr>
                <w:sz w:val="20"/>
                <w:szCs w:val="20"/>
                <w:color w:val="auto"/>
              </w:rPr>
            </w:pPr>
            <w:r>
              <w:rPr>
                <w:rFonts w:ascii="Arial" w:cs="Arial" w:eastAsia="Arial" w:hAnsi="Arial"/>
                <w:sz w:val="18"/>
                <w:szCs w:val="18"/>
                <w:color w:val="auto"/>
              </w:rPr>
              <w:t>21</w:t>
            </w:r>
          </w:p>
        </w:tc>
        <w:tc>
          <w:tcPr>
            <w:tcW w:w="1200" w:type="dxa"/>
            <w:vAlign w:val="bottom"/>
          </w:tcPr>
          <w:p>
            <w:pPr>
              <w:jc w:val="right"/>
              <w:ind w:right="270"/>
              <w:spacing w:after="0"/>
              <w:rPr>
                <w:sz w:val="20"/>
                <w:szCs w:val="20"/>
                <w:color w:val="auto"/>
              </w:rPr>
            </w:pPr>
            <w:r>
              <w:rPr>
                <w:rFonts w:ascii="Arial" w:cs="Arial" w:eastAsia="Arial" w:hAnsi="Arial"/>
                <w:sz w:val="18"/>
                <w:szCs w:val="18"/>
                <w:color w:val="auto"/>
              </w:rPr>
              <w:t>1,573</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23</w:t>
            </w:r>
          </w:p>
        </w:tc>
      </w:tr>
      <w:tr>
        <w:trPr>
          <w:trHeight w:val="27"/>
        </w:trPr>
        <w:tc>
          <w:tcPr>
            <w:tcW w:w="43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5"/>
        </w:trPr>
        <w:tc>
          <w:tcPr>
            <w:tcW w:w="4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Pipelines and Other Industrial</w:t>
            </w:r>
          </w:p>
        </w:tc>
        <w:tc>
          <w:tcPr>
            <w:tcW w:w="180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963</w:t>
            </w:r>
          </w:p>
        </w:tc>
        <w:tc>
          <w:tcPr>
            <w:tcW w:w="10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13</w:t>
            </w:r>
          </w:p>
        </w:tc>
        <w:tc>
          <w:tcPr>
            <w:tcW w:w="120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931</w:t>
            </w:r>
          </w:p>
        </w:tc>
        <w:tc>
          <w:tcPr>
            <w:tcW w:w="10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13</w:t>
            </w:r>
          </w:p>
        </w:tc>
        <w:tc>
          <w:tcPr>
            <w:tcW w:w="120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907</w:t>
            </w:r>
          </w:p>
        </w:tc>
        <w:tc>
          <w:tcPr>
            <w:tcW w:w="7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13</w:t>
            </w:r>
          </w:p>
        </w:tc>
      </w:tr>
      <w:tr>
        <w:trPr>
          <w:trHeight w:val="237"/>
        </w:trPr>
        <w:tc>
          <w:tcPr>
            <w:tcW w:w="4300" w:type="dxa"/>
            <w:vAlign w:val="bottom"/>
            <w:tcBorders>
              <w:top w:val="single" w:sz="8" w:color="auto"/>
            </w:tcBorders>
          </w:tcPr>
          <w:p>
            <w:pPr>
              <w:ind w:left="380"/>
              <w:spacing w:after="0"/>
              <w:rPr>
                <w:sz w:val="20"/>
                <w:szCs w:val="20"/>
                <w:color w:val="auto"/>
              </w:rPr>
            </w:pPr>
            <w:r>
              <w:rPr>
                <w:rFonts w:ascii="Arial" w:cs="Arial" w:eastAsia="Arial" w:hAnsi="Arial"/>
                <w:sz w:val="18"/>
                <w:szCs w:val="18"/>
                <w:color w:val="auto"/>
              </w:rPr>
              <w:t>Total Industrial Customer Electric Sales</w:t>
            </w:r>
          </w:p>
        </w:tc>
        <w:tc>
          <w:tcPr>
            <w:tcW w:w="180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rPr>
              <w:t>7,502</w:t>
            </w:r>
          </w:p>
        </w:tc>
        <w:tc>
          <w:tcPr>
            <w:tcW w:w="10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rPr>
              <w:t>100</w:t>
            </w:r>
          </w:p>
        </w:tc>
        <w:tc>
          <w:tcPr>
            <w:tcW w:w="120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rPr>
              <w:t>7,365</w:t>
            </w:r>
          </w:p>
        </w:tc>
        <w:tc>
          <w:tcPr>
            <w:tcW w:w="108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rPr>
              <w:t>100</w:t>
            </w:r>
          </w:p>
        </w:tc>
        <w:tc>
          <w:tcPr>
            <w:tcW w:w="120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rPr>
              <w:t>6,804</w:t>
            </w:r>
          </w:p>
        </w:tc>
        <w:tc>
          <w:tcPr>
            <w:tcW w:w="7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100</w:t>
            </w:r>
          </w:p>
        </w:tc>
      </w:tr>
      <w:tr>
        <w:trPr>
          <w:trHeight w:val="27"/>
        </w:trPr>
        <w:tc>
          <w:tcPr>
            <w:tcW w:w="43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Five Minnesota Power taconite customers produce approximately 75 percent of the iron ore produced in the U.S. according to the U.S. Geological Survey’s 2011 Minerals Yearbook published in January 2013. Sales to taconite customers and iron concentrate customers represented 4,968 million kilowatt-hours, or 66 percent, of our total industrial sales in 2012. Taconite, an iron-bearing rock of relatively low iron content, is abundantly available in northern Minnesota and an important domestic source of raw material for the steel industry. Taconite processing plants use large quantities of electric power to grind the iron-bearing rock, and agglomerate and pelletize the iron particles into taconite pellets.</w:t>
      </w:r>
    </w:p>
    <w:p>
      <w:pPr>
        <w:spacing w:after="0" w:line="17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Minnesota Power’s five taconite customers have the capability to produce up to approximately 41 million tons of taconite pellets annually. Taconite pellets produced in Minnesota are primarily shipped to North American steel making facilities that are part of the integrated steel industry. Steel produced from these North American facilities is used primarily in the manufacture of automobiles, appliances, pipe and tube products for the gas and oil industry, and in the construction industry. Historically, less than five percent of Minnesota taconite production is exported outside of North America.</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2012, the domestic steel industry’s production levels enabled Minnesota taconite producers to operate at, or near, full capacity for the entire year. According to the American Iron and Steel Institute (AISI), an association of North American steel producers, U.S. raw steel production operated at approximately 75 percent of capacity in 2012, similar to 2011 levels of 75 percent, and up from 70 percent in 2010.</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2012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364"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Regulated Operations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Industrial Customers (Continued)</w:t>
      </w:r>
    </w:p>
    <w:p>
      <w:pPr>
        <w:spacing w:after="0" w:line="21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Annual taconite production in Minnesota remained strong at, or near, full production with 39 million tons produced in both 2012 and 2011, up from 35 million tons in 2010. The following table reflects Minnesota Power’s taconite customers’ production levels for the past ten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1505585</wp:posOffset>
            </wp:positionH>
            <wp:positionV relativeFrom="paragraph">
              <wp:posOffset>66040</wp:posOffset>
            </wp:positionV>
            <wp:extent cx="4253865" cy="2409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253865" cy="2409825"/>
                    </a:xfrm>
                    <a:prstGeom prst="rect">
                      <a:avLst/>
                    </a:prstGeom>
                    <a:noFill/>
                  </pic:spPr>
                </pic:pic>
              </a:graphicData>
            </a:graphic>
          </wp:anchor>
        </w:drawing>
      </w:r>
    </w:p>
    <w:p>
      <w:pPr>
        <w:spacing w:after="0" w:line="93" w:lineRule="exact"/>
        <w:rPr>
          <w:sz w:val="20"/>
          <w:szCs w:val="20"/>
          <w:color w:val="auto"/>
        </w:rPr>
      </w:pPr>
    </w:p>
    <w:tbl>
      <w:tblPr>
        <w:tblLayout w:type="fixed"/>
        <w:tblInd w:w="2380" w:type="dxa"/>
        <w:tblCellMar>
          <w:top w:w="0" w:type="dxa"/>
          <w:left w:w="0" w:type="dxa"/>
          <w:bottom w:w="0" w:type="dxa"/>
          <w:right w:w="0" w:type="dxa"/>
        </w:tblCellMar>
      </w:tblPr>
      <w:tr>
        <w:trPr>
          <w:trHeight w:val="207"/>
        </w:trPr>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7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9"/>
              </w:rPr>
              <w:t>Minnesota Power Taconite Customer Production</w:t>
            </w: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91"/>
        </w:trPr>
        <w:tc>
          <w:tcPr>
            <w:tcW w:w="1440" w:type="dxa"/>
            <w:vAlign w:val="bottom"/>
          </w:tcPr>
          <w:p>
            <w:pPr>
              <w:ind w:left="960"/>
              <w:spacing w:after="0"/>
              <w:rPr>
                <w:sz w:val="20"/>
                <w:szCs w:val="20"/>
                <w:color w:val="auto"/>
              </w:rPr>
            </w:pPr>
            <w:r>
              <w:rPr>
                <w:rFonts w:ascii="Arial" w:cs="Arial" w:eastAsia="Arial" w:hAnsi="Arial"/>
                <w:sz w:val="18"/>
                <w:szCs w:val="18"/>
                <w:b w:val="1"/>
                <w:bCs w:val="1"/>
                <w:color w:val="auto"/>
              </w:rPr>
              <w:t>Year</w:t>
            </w:r>
          </w:p>
        </w:tc>
        <w:tc>
          <w:tcPr>
            <w:tcW w:w="20" w:type="dxa"/>
            <w:vAlign w:val="bottom"/>
          </w:tcPr>
          <w:p>
            <w:pPr>
              <w:spacing w:after="0"/>
              <w:rPr>
                <w:sz w:val="24"/>
                <w:szCs w:val="24"/>
                <w:color w:val="auto"/>
              </w:rPr>
            </w:pPr>
          </w:p>
        </w:tc>
        <w:tc>
          <w:tcPr>
            <w:tcW w:w="5220" w:type="dxa"/>
            <w:vAlign w:val="bottom"/>
            <w:gridSpan w:val="2"/>
          </w:tcPr>
          <w:p>
            <w:pPr>
              <w:jc w:val="center"/>
              <w:ind w:left="2930"/>
              <w:spacing w:after="0"/>
              <w:rPr>
                <w:sz w:val="20"/>
                <w:szCs w:val="20"/>
                <w:color w:val="auto"/>
              </w:rPr>
            </w:pPr>
            <w:r>
              <w:rPr>
                <w:rFonts w:ascii="Arial" w:cs="Arial" w:eastAsia="Arial" w:hAnsi="Arial"/>
                <w:sz w:val="18"/>
                <w:szCs w:val="18"/>
                <w:b w:val="1"/>
                <w:bCs w:val="1"/>
                <w:color w:val="auto"/>
                <w:w w:val="91"/>
              </w:rPr>
              <w:t>Tons (Millions)</w:t>
            </w:r>
          </w:p>
        </w:tc>
        <w:tc>
          <w:tcPr>
            <w:tcW w:w="20" w:type="dxa"/>
            <w:vAlign w:val="bottom"/>
          </w:tcPr>
          <w:p>
            <w:pPr>
              <w:spacing w:after="0"/>
              <w:rPr>
                <w:sz w:val="24"/>
                <w:szCs w:val="24"/>
                <w:color w:val="auto"/>
              </w:rPr>
            </w:pPr>
          </w:p>
        </w:tc>
      </w:tr>
      <w:tr>
        <w:trPr>
          <w:trHeight w:val="27"/>
        </w:trPr>
        <w:tc>
          <w:tcPr>
            <w:tcW w:w="14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37"/>
        </w:trPr>
        <w:tc>
          <w:tcPr>
            <w:tcW w:w="1440" w:type="dxa"/>
            <w:vAlign w:val="bottom"/>
          </w:tcPr>
          <w:p>
            <w:pPr>
              <w:ind w:left="980"/>
              <w:spacing w:after="0"/>
              <w:rPr>
                <w:sz w:val="20"/>
                <w:szCs w:val="20"/>
                <w:color w:val="auto"/>
              </w:rPr>
            </w:pPr>
            <w:r>
              <w:rPr>
                <w:rFonts w:ascii="Arial" w:cs="Arial" w:eastAsia="Arial" w:hAnsi="Arial"/>
                <w:sz w:val="18"/>
                <w:szCs w:val="18"/>
                <w:color w:val="auto"/>
                <w:w w:val="93"/>
              </w:rPr>
              <w:t>2012*</w:t>
            </w:r>
          </w:p>
        </w:tc>
        <w:tc>
          <w:tcPr>
            <w:tcW w:w="5240" w:type="dxa"/>
            <w:vAlign w:val="bottom"/>
            <w:gridSpan w:val="3"/>
          </w:tcPr>
          <w:p>
            <w:pPr>
              <w:jc w:val="center"/>
              <w:ind w:left="2930"/>
              <w:spacing w:after="0"/>
              <w:rPr>
                <w:sz w:val="20"/>
                <w:szCs w:val="20"/>
                <w:color w:val="auto"/>
              </w:rPr>
            </w:pPr>
            <w:r>
              <w:rPr>
                <w:rFonts w:ascii="Arial" w:cs="Arial" w:eastAsia="Arial" w:hAnsi="Arial"/>
                <w:sz w:val="18"/>
                <w:szCs w:val="18"/>
                <w:color w:val="auto"/>
                <w:w w:val="89"/>
              </w:rPr>
              <w:t>39</w:t>
            </w:r>
          </w:p>
        </w:tc>
        <w:tc>
          <w:tcPr>
            <w:tcW w:w="20" w:type="dxa"/>
            <w:vAlign w:val="bottom"/>
          </w:tcPr>
          <w:p>
            <w:pPr>
              <w:spacing w:after="0"/>
              <w:rPr>
                <w:sz w:val="20"/>
                <w:szCs w:val="20"/>
                <w:color w:val="auto"/>
              </w:rPr>
            </w:pPr>
          </w:p>
        </w:tc>
      </w:tr>
      <w:tr>
        <w:trPr>
          <w:trHeight w:val="27"/>
        </w:trPr>
        <w:tc>
          <w:tcPr>
            <w:tcW w:w="1440" w:type="dxa"/>
            <w:vAlign w:val="bottom"/>
          </w:tcPr>
          <w:p>
            <w:pPr>
              <w:spacing w:after="0"/>
              <w:rPr>
                <w:sz w:val="2"/>
                <w:szCs w:val="2"/>
                <w:color w:val="auto"/>
              </w:rPr>
            </w:pPr>
          </w:p>
        </w:tc>
        <w:tc>
          <w:tcPr>
            <w:tcW w:w="20" w:type="dxa"/>
            <w:vAlign w:val="bottom"/>
          </w:tcPr>
          <w:p>
            <w:pPr>
              <w:spacing w:after="0"/>
              <w:rPr>
                <w:sz w:val="2"/>
                <w:szCs w:val="2"/>
                <w:color w:val="auto"/>
              </w:rPr>
            </w:pPr>
          </w:p>
        </w:tc>
        <w:tc>
          <w:tcPr>
            <w:tcW w:w="37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144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8"/>
                <w:szCs w:val="18"/>
                <w:color w:val="auto"/>
              </w:rPr>
              <w:t>2011</w:t>
            </w:r>
          </w:p>
        </w:tc>
        <w:tc>
          <w:tcPr>
            <w:tcW w:w="5240" w:type="dxa"/>
            <w:vAlign w:val="bottom"/>
            <w:tcBorders>
              <w:bottom w:val="single" w:sz="8" w:color="CCEEFF"/>
            </w:tcBorders>
            <w:gridSpan w:val="3"/>
            <w:shd w:val="clear" w:color="auto" w:fill="CCEEFF"/>
          </w:tcPr>
          <w:p>
            <w:pPr>
              <w:jc w:val="center"/>
              <w:ind w:left="2930"/>
              <w:spacing w:after="0"/>
              <w:rPr>
                <w:sz w:val="20"/>
                <w:szCs w:val="20"/>
                <w:color w:val="auto"/>
              </w:rPr>
            </w:pPr>
            <w:r>
              <w:rPr>
                <w:rFonts w:ascii="Arial" w:cs="Arial" w:eastAsia="Arial" w:hAnsi="Arial"/>
                <w:sz w:val="18"/>
                <w:szCs w:val="18"/>
                <w:color w:val="auto"/>
                <w:w w:val="89"/>
              </w:rPr>
              <w:t>39</w:t>
            </w:r>
          </w:p>
        </w:tc>
        <w:tc>
          <w:tcPr>
            <w:tcW w:w="20" w:type="dxa"/>
            <w:vAlign w:val="bottom"/>
          </w:tcPr>
          <w:p>
            <w:pPr>
              <w:spacing w:after="0"/>
              <w:rPr>
                <w:sz w:val="21"/>
                <w:szCs w:val="21"/>
                <w:color w:val="auto"/>
              </w:rPr>
            </w:pPr>
          </w:p>
        </w:tc>
      </w:tr>
      <w:tr>
        <w:trPr>
          <w:trHeight w:val="243"/>
        </w:trPr>
        <w:tc>
          <w:tcPr>
            <w:tcW w:w="1440" w:type="dxa"/>
            <w:vAlign w:val="bottom"/>
          </w:tcPr>
          <w:p>
            <w:pPr>
              <w:ind w:left="960"/>
              <w:spacing w:after="0"/>
              <w:rPr>
                <w:sz w:val="20"/>
                <w:szCs w:val="20"/>
                <w:color w:val="auto"/>
              </w:rPr>
            </w:pPr>
            <w:r>
              <w:rPr>
                <w:rFonts w:ascii="Arial" w:cs="Arial" w:eastAsia="Arial" w:hAnsi="Arial"/>
                <w:sz w:val="18"/>
                <w:szCs w:val="18"/>
                <w:color w:val="auto"/>
              </w:rPr>
              <w:t>2010</w:t>
            </w:r>
          </w:p>
        </w:tc>
        <w:tc>
          <w:tcPr>
            <w:tcW w:w="5240" w:type="dxa"/>
            <w:vAlign w:val="bottom"/>
            <w:gridSpan w:val="3"/>
          </w:tcPr>
          <w:p>
            <w:pPr>
              <w:jc w:val="center"/>
              <w:ind w:left="2930"/>
              <w:spacing w:after="0"/>
              <w:rPr>
                <w:sz w:val="20"/>
                <w:szCs w:val="20"/>
                <w:color w:val="auto"/>
              </w:rPr>
            </w:pPr>
            <w:r>
              <w:rPr>
                <w:rFonts w:ascii="Arial" w:cs="Arial" w:eastAsia="Arial" w:hAnsi="Arial"/>
                <w:sz w:val="18"/>
                <w:szCs w:val="18"/>
                <w:color w:val="auto"/>
                <w:w w:val="89"/>
              </w:rPr>
              <w:t>35</w:t>
            </w:r>
          </w:p>
        </w:tc>
        <w:tc>
          <w:tcPr>
            <w:tcW w:w="20" w:type="dxa"/>
            <w:vAlign w:val="bottom"/>
          </w:tcPr>
          <w:p>
            <w:pPr>
              <w:spacing w:after="0"/>
              <w:rPr>
                <w:sz w:val="21"/>
                <w:szCs w:val="21"/>
                <w:color w:val="auto"/>
              </w:rPr>
            </w:pPr>
          </w:p>
        </w:tc>
      </w:tr>
      <w:tr>
        <w:trPr>
          <w:trHeight w:val="27"/>
        </w:trPr>
        <w:tc>
          <w:tcPr>
            <w:tcW w:w="1440" w:type="dxa"/>
            <w:vAlign w:val="bottom"/>
          </w:tcPr>
          <w:p>
            <w:pPr>
              <w:spacing w:after="0"/>
              <w:rPr>
                <w:sz w:val="2"/>
                <w:szCs w:val="2"/>
                <w:color w:val="auto"/>
              </w:rPr>
            </w:pPr>
          </w:p>
        </w:tc>
        <w:tc>
          <w:tcPr>
            <w:tcW w:w="20" w:type="dxa"/>
            <w:vAlign w:val="bottom"/>
          </w:tcPr>
          <w:p>
            <w:pPr>
              <w:spacing w:after="0"/>
              <w:rPr>
                <w:sz w:val="2"/>
                <w:szCs w:val="2"/>
                <w:color w:val="auto"/>
              </w:rPr>
            </w:pPr>
          </w:p>
        </w:tc>
        <w:tc>
          <w:tcPr>
            <w:tcW w:w="37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144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8"/>
                <w:szCs w:val="18"/>
                <w:color w:val="auto"/>
              </w:rPr>
              <w:t>2009</w:t>
            </w:r>
          </w:p>
        </w:tc>
        <w:tc>
          <w:tcPr>
            <w:tcW w:w="5240" w:type="dxa"/>
            <w:vAlign w:val="bottom"/>
            <w:tcBorders>
              <w:bottom w:val="single" w:sz="8" w:color="CCEEFF"/>
            </w:tcBorders>
            <w:gridSpan w:val="3"/>
            <w:shd w:val="clear" w:color="auto" w:fill="CCEEFF"/>
          </w:tcPr>
          <w:p>
            <w:pPr>
              <w:jc w:val="center"/>
              <w:ind w:left="2930"/>
              <w:spacing w:after="0"/>
              <w:rPr>
                <w:sz w:val="20"/>
                <w:szCs w:val="20"/>
                <w:color w:val="auto"/>
              </w:rPr>
            </w:pPr>
            <w:r>
              <w:rPr>
                <w:rFonts w:ascii="Arial" w:cs="Arial" w:eastAsia="Arial" w:hAnsi="Arial"/>
                <w:sz w:val="18"/>
                <w:szCs w:val="18"/>
                <w:color w:val="auto"/>
                <w:w w:val="89"/>
              </w:rPr>
              <w:t>17</w:t>
            </w:r>
          </w:p>
        </w:tc>
        <w:tc>
          <w:tcPr>
            <w:tcW w:w="20" w:type="dxa"/>
            <w:vAlign w:val="bottom"/>
          </w:tcPr>
          <w:p>
            <w:pPr>
              <w:spacing w:after="0"/>
              <w:rPr>
                <w:sz w:val="21"/>
                <w:szCs w:val="21"/>
                <w:color w:val="auto"/>
              </w:rPr>
            </w:pPr>
          </w:p>
        </w:tc>
      </w:tr>
      <w:tr>
        <w:trPr>
          <w:trHeight w:val="243"/>
        </w:trPr>
        <w:tc>
          <w:tcPr>
            <w:tcW w:w="1440" w:type="dxa"/>
            <w:vAlign w:val="bottom"/>
          </w:tcPr>
          <w:p>
            <w:pPr>
              <w:ind w:left="960"/>
              <w:spacing w:after="0"/>
              <w:rPr>
                <w:sz w:val="20"/>
                <w:szCs w:val="20"/>
                <w:color w:val="auto"/>
              </w:rPr>
            </w:pPr>
            <w:r>
              <w:rPr>
                <w:rFonts w:ascii="Arial" w:cs="Arial" w:eastAsia="Arial" w:hAnsi="Arial"/>
                <w:sz w:val="18"/>
                <w:szCs w:val="18"/>
                <w:color w:val="auto"/>
              </w:rPr>
              <w:t>2008</w:t>
            </w:r>
          </w:p>
        </w:tc>
        <w:tc>
          <w:tcPr>
            <w:tcW w:w="5240" w:type="dxa"/>
            <w:vAlign w:val="bottom"/>
            <w:gridSpan w:val="3"/>
          </w:tcPr>
          <w:p>
            <w:pPr>
              <w:jc w:val="center"/>
              <w:ind w:left="2930"/>
              <w:spacing w:after="0"/>
              <w:rPr>
                <w:sz w:val="20"/>
                <w:szCs w:val="20"/>
                <w:color w:val="auto"/>
              </w:rPr>
            </w:pPr>
            <w:r>
              <w:rPr>
                <w:rFonts w:ascii="Arial" w:cs="Arial" w:eastAsia="Arial" w:hAnsi="Arial"/>
                <w:sz w:val="18"/>
                <w:szCs w:val="18"/>
                <w:color w:val="auto"/>
                <w:w w:val="89"/>
              </w:rPr>
              <w:t>39</w:t>
            </w:r>
          </w:p>
        </w:tc>
        <w:tc>
          <w:tcPr>
            <w:tcW w:w="20" w:type="dxa"/>
            <w:vAlign w:val="bottom"/>
          </w:tcPr>
          <w:p>
            <w:pPr>
              <w:spacing w:after="0"/>
              <w:rPr>
                <w:sz w:val="21"/>
                <w:szCs w:val="21"/>
                <w:color w:val="auto"/>
              </w:rPr>
            </w:pPr>
          </w:p>
        </w:tc>
      </w:tr>
      <w:tr>
        <w:trPr>
          <w:trHeight w:val="27"/>
        </w:trPr>
        <w:tc>
          <w:tcPr>
            <w:tcW w:w="1440" w:type="dxa"/>
            <w:vAlign w:val="bottom"/>
          </w:tcPr>
          <w:p>
            <w:pPr>
              <w:spacing w:after="0"/>
              <w:rPr>
                <w:sz w:val="2"/>
                <w:szCs w:val="2"/>
                <w:color w:val="auto"/>
              </w:rPr>
            </w:pPr>
          </w:p>
        </w:tc>
        <w:tc>
          <w:tcPr>
            <w:tcW w:w="20" w:type="dxa"/>
            <w:vAlign w:val="bottom"/>
          </w:tcPr>
          <w:p>
            <w:pPr>
              <w:spacing w:after="0"/>
              <w:rPr>
                <w:sz w:val="2"/>
                <w:szCs w:val="2"/>
                <w:color w:val="auto"/>
              </w:rPr>
            </w:pPr>
          </w:p>
        </w:tc>
        <w:tc>
          <w:tcPr>
            <w:tcW w:w="37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144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8"/>
                <w:szCs w:val="18"/>
                <w:color w:val="auto"/>
              </w:rPr>
              <w:t>2007</w:t>
            </w:r>
          </w:p>
        </w:tc>
        <w:tc>
          <w:tcPr>
            <w:tcW w:w="5240" w:type="dxa"/>
            <w:vAlign w:val="bottom"/>
            <w:tcBorders>
              <w:bottom w:val="single" w:sz="8" w:color="CCEEFF"/>
            </w:tcBorders>
            <w:gridSpan w:val="3"/>
            <w:shd w:val="clear" w:color="auto" w:fill="CCEEFF"/>
          </w:tcPr>
          <w:p>
            <w:pPr>
              <w:jc w:val="center"/>
              <w:ind w:left="2930"/>
              <w:spacing w:after="0"/>
              <w:rPr>
                <w:sz w:val="20"/>
                <w:szCs w:val="20"/>
                <w:color w:val="auto"/>
              </w:rPr>
            </w:pPr>
            <w:r>
              <w:rPr>
                <w:rFonts w:ascii="Arial" w:cs="Arial" w:eastAsia="Arial" w:hAnsi="Arial"/>
                <w:sz w:val="18"/>
                <w:szCs w:val="18"/>
                <w:color w:val="auto"/>
                <w:w w:val="89"/>
              </w:rPr>
              <w:t>38</w:t>
            </w:r>
          </w:p>
        </w:tc>
        <w:tc>
          <w:tcPr>
            <w:tcW w:w="20" w:type="dxa"/>
            <w:vAlign w:val="bottom"/>
          </w:tcPr>
          <w:p>
            <w:pPr>
              <w:spacing w:after="0"/>
              <w:rPr>
                <w:sz w:val="21"/>
                <w:szCs w:val="21"/>
                <w:color w:val="auto"/>
              </w:rPr>
            </w:pPr>
          </w:p>
        </w:tc>
      </w:tr>
      <w:tr>
        <w:trPr>
          <w:trHeight w:val="243"/>
        </w:trPr>
        <w:tc>
          <w:tcPr>
            <w:tcW w:w="1440" w:type="dxa"/>
            <w:vAlign w:val="bottom"/>
          </w:tcPr>
          <w:p>
            <w:pPr>
              <w:ind w:left="960"/>
              <w:spacing w:after="0"/>
              <w:rPr>
                <w:sz w:val="20"/>
                <w:szCs w:val="20"/>
                <w:color w:val="auto"/>
              </w:rPr>
            </w:pPr>
            <w:r>
              <w:rPr>
                <w:rFonts w:ascii="Arial" w:cs="Arial" w:eastAsia="Arial" w:hAnsi="Arial"/>
                <w:sz w:val="18"/>
                <w:szCs w:val="18"/>
                <w:color w:val="auto"/>
              </w:rPr>
              <w:t>2006</w:t>
            </w:r>
          </w:p>
        </w:tc>
        <w:tc>
          <w:tcPr>
            <w:tcW w:w="5240" w:type="dxa"/>
            <w:vAlign w:val="bottom"/>
            <w:gridSpan w:val="3"/>
          </w:tcPr>
          <w:p>
            <w:pPr>
              <w:jc w:val="center"/>
              <w:ind w:left="2930"/>
              <w:spacing w:after="0"/>
              <w:rPr>
                <w:sz w:val="20"/>
                <w:szCs w:val="20"/>
                <w:color w:val="auto"/>
              </w:rPr>
            </w:pPr>
            <w:r>
              <w:rPr>
                <w:rFonts w:ascii="Arial" w:cs="Arial" w:eastAsia="Arial" w:hAnsi="Arial"/>
                <w:sz w:val="18"/>
                <w:szCs w:val="18"/>
                <w:color w:val="auto"/>
                <w:w w:val="89"/>
              </w:rPr>
              <w:t>39</w:t>
            </w:r>
          </w:p>
        </w:tc>
        <w:tc>
          <w:tcPr>
            <w:tcW w:w="20" w:type="dxa"/>
            <w:vAlign w:val="bottom"/>
          </w:tcPr>
          <w:p>
            <w:pPr>
              <w:spacing w:after="0"/>
              <w:rPr>
                <w:sz w:val="21"/>
                <w:szCs w:val="21"/>
                <w:color w:val="auto"/>
              </w:rPr>
            </w:pPr>
          </w:p>
        </w:tc>
      </w:tr>
      <w:tr>
        <w:trPr>
          <w:trHeight w:val="27"/>
        </w:trPr>
        <w:tc>
          <w:tcPr>
            <w:tcW w:w="1440" w:type="dxa"/>
            <w:vAlign w:val="bottom"/>
          </w:tcPr>
          <w:p>
            <w:pPr>
              <w:spacing w:after="0"/>
              <w:rPr>
                <w:sz w:val="2"/>
                <w:szCs w:val="2"/>
                <w:color w:val="auto"/>
              </w:rPr>
            </w:pPr>
          </w:p>
        </w:tc>
        <w:tc>
          <w:tcPr>
            <w:tcW w:w="20" w:type="dxa"/>
            <w:vAlign w:val="bottom"/>
          </w:tcPr>
          <w:p>
            <w:pPr>
              <w:spacing w:after="0"/>
              <w:rPr>
                <w:sz w:val="2"/>
                <w:szCs w:val="2"/>
                <w:color w:val="auto"/>
              </w:rPr>
            </w:pPr>
          </w:p>
        </w:tc>
        <w:tc>
          <w:tcPr>
            <w:tcW w:w="37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144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8"/>
                <w:szCs w:val="18"/>
                <w:color w:val="auto"/>
              </w:rPr>
              <w:t>2005</w:t>
            </w:r>
          </w:p>
        </w:tc>
        <w:tc>
          <w:tcPr>
            <w:tcW w:w="5240" w:type="dxa"/>
            <w:vAlign w:val="bottom"/>
            <w:tcBorders>
              <w:bottom w:val="single" w:sz="8" w:color="CCEEFF"/>
            </w:tcBorders>
            <w:gridSpan w:val="3"/>
            <w:shd w:val="clear" w:color="auto" w:fill="CCEEFF"/>
          </w:tcPr>
          <w:p>
            <w:pPr>
              <w:jc w:val="center"/>
              <w:ind w:left="2930"/>
              <w:spacing w:after="0"/>
              <w:rPr>
                <w:sz w:val="20"/>
                <w:szCs w:val="20"/>
                <w:color w:val="auto"/>
              </w:rPr>
            </w:pPr>
            <w:r>
              <w:rPr>
                <w:rFonts w:ascii="Arial" w:cs="Arial" w:eastAsia="Arial" w:hAnsi="Arial"/>
                <w:sz w:val="18"/>
                <w:szCs w:val="18"/>
                <w:color w:val="auto"/>
                <w:w w:val="89"/>
              </w:rPr>
              <w:t>40</w:t>
            </w:r>
          </w:p>
        </w:tc>
        <w:tc>
          <w:tcPr>
            <w:tcW w:w="20" w:type="dxa"/>
            <w:vAlign w:val="bottom"/>
          </w:tcPr>
          <w:p>
            <w:pPr>
              <w:spacing w:after="0"/>
              <w:rPr>
                <w:sz w:val="21"/>
                <w:szCs w:val="21"/>
                <w:color w:val="auto"/>
              </w:rPr>
            </w:pPr>
          </w:p>
        </w:tc>
      </w:tr>
      <w:tr>
        <w:trPr>
          <w:trHeight w:val="243"/>
        </w:trPr>
        <w:tc>
          <w:tcPr>
            <w:tcW w:w="1440" w:type="dxa"/>
            <w:vAlign w:val="bottom"/>
          </w:tcPr>
          <w:p>
            <w:pPr>
              <w:ind w:left="960"/>
              <w:spacing w:after="0"/>
              <w:rPr>
                <w:sz w:val="20"/>
                <w:szCs w:val="20"/>
                <w:color w:val="auto"/>
              </w:rPr>
            </w:pPr>
            <w:r>
              <w:rPr>
                <w:rFonts w:ascii="Arial" w:cs="Arial" w:eastAsia="Arial" w:hAnsi="Arial"/>
                <w:sz w:val="18"/>
                <w:szCs w:val="18"/>
                <w:color w:val="auto"/>
              </w:rPr>
              <w:t>2004</w:t>
            </w:r>
          </w:p>
        </w:tc>
        <w:tc>
          <w:tcPr>
            <w:tcW w:w="5240" w:type="dxa"/>
            <w:vAlign w:val="bottom"/>
            <w:gridSpan w:val="3"/>
          </w:tcPr>
          <w:p>
            <w:pPr>
              <w:jc w:val="center"/>
              <w:ind w:left="2930"/>
              <w:spacing w:after="0"/>
              <w:rPr>
                <w:sz w:val="20"/>
                <w:szCs w:val="20"/>
                <w:color w:val="auto"/>
              </w:rPr>
            </w:pPr>
            <w:r>
              <w:rPr>
                <w:rFonts w:ascii="Arial" w:cs="Arial" w:eastAsia="Arial" w:hAnsi="Arial"/>
                <w:sz w:val="18"/>
                <w:szCs w:val="18"/>
                <w:color w:val="auto"/>
                <w:w w:val="89"/>
              </w:rPr>
              <w:t>39</w:t>
            </w:r>
          </w:p>
        </w:tc>
        <w:tc>
          <w:tcPr>
            <w:tcW w:w="20" w:type="dxa"/>
            <w:vAlign w:val="bottom"/>
          </w:tcPr>
          <w:p>
            <w:pPr>
              <w:spacing w:after="0"/>
              <w:rPr>
                <w:sz w:val="21"/>
                <w:szCs w:val="21"/>
                <w:color w:val="auto"/>
              </w:rPr>
            </w:pPr>
          </w:p>
        </w:tc>
      </w:tr>
      <w:tr>
        <w:trPr>
          <w:trHeight w:val="27"/>
        </w:trPr>
        <w:tc>
          <w:tcPr>
            <w:tcW w:w="1440" w:type="dxa"/>
            <w:vAlign w:val="bottom"/>
          </w:tcPr>
          <w:p>
            <w:pPr>
              <w:spacing w:after="0"/>
              <w:rPr>
                <w:sz w:val="2"/>
                <w:szCs w:val="2"/>
                <w:color w:val="auto"/>
              </w:rPr>
            </w:pPr>
          </w:p>
        </w:tc>
        <w:tc>
          <w:tcPr>
            <w:tcW w:w="20" w:type="dxa"/>
            <w:vAlign w:val="bottom"/>
          </w:tcPr>
          <w:p>
            <w:pPr>
              <w:spacing w:after="0"/>
              <w:rPr>
                <w:sz w:val="2"/>
                <w:szCs w:val="2"/>
                <w:color w:val="auto"/>
              </w:rPr>
            </w:pPr>
          </w:p>
        </w:tc>
        <w:tc>
          <w:tcPr>
            <w:tcW w:w="37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43"/>
        </w:trPr>
        <w:tc>
          <w:tcPr>
            <w:tcW w:w="1440" w:type="dxa"/>
            <w:vAlign w:val="bottom"/>
            <w:shd w:val="clear" w:color="auto" w:fill="CCEEFF"/>
          </w:tcPr>
          <w:p>
            <w:pPr>
              <w:ind w:left="960"/>
              <w:spacing w:after="0"/>
              <w:rPr>
                <w:sz w:val="20"/>
                <w:szCs w:val="20"/>
                <w:color w:val="auto"/>
              </w:rPr>
            </w:pPr>
            <w:r>
              <w:rPr>
                <w:rFonts w:ascii="Arial" w:cs="Arial" w:eastAsia="Arial" w:hAnsi="Arial"/>
                <w:sz w:val="18"/>
                <w:szCs w:val="18"/>
                <w:color w:val="auto"/>
              </w:rPr>
              <w:t>2003</w:t>
            </w:r>
          </w:p>
        </w:tc>
        <w:tc>
          <w:tcPr>
            <w:tcW w:w="5240" w:type="dxa"/>
            <w:vAlign w:val="bottom"/>
            <w:gridSpan w:val="3"/>
            <w:shd w:val="clear" w:color="auto" w:fill="CCEEFF"/>
          </w:tcPr>
          <w:p>
            <w:pPr>
              <w:jc w:val="center"/>
              <w:ind w:left="2930"/>
              <w:spacing w:after="0"/>
              <w:rPr>
                <w:sz w:val="20"/>
                <w:szCs w:val="20"/>
                <w:color w:val="auto"/>
              </w:rPr>
            </w:pPr>
            <w:r>
              <w:rPr>
                <w:rFonts w:ascii="Arial" w:cs="Arial" w:eastAsia="Arial" w:hAnsi="Arial"/>
                <w:sz w:val="18"/>
                <w:szCs w:val="18"/>
                <w:color w:val="auto"/>
                <w:w w:val="89"/>
              </w:rPr>
              <w:t>34</w:t>
            </w:r>
          </w:p>
        </w:tc>
        <w:tc>
          <w:tcPr>
            <w:tcW w:w="20" w:type="dxa"/>
            <w:vAlign w:val="bottom"/>
          </w:tcPr>
          <w:p>
            <w:pPr>
              <w:spacing w:after="0"/>
              <w:rPr>
                <w:sz w:val="21"/>
                <w:szCs w:val="21"/>
                <w:color w:val="auto"/>
              </w:rPr>
            </w:pPr>
          </w:p>
        </w:tc>
      </w:tr>
      <w:tr>
        <w:trPr>
          <w:trHeight w:val="27"/>
        </w:trPr>
        <w:tc>
          <w:tcPr>
            <w:tcW w:w="14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376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20" w:type="dxa"/>
            <w:vAlign w:val="bottom"/>
          </w:tcPr>
          <w:p>
            <w:pPr>
              <w:spacing w:after="0"/>
              <w:rPr>
                <w:sz w:val="2"/>
                <w:szCs w:val="2"/>
                <w:color w:val="auto"/>
              </w:rPr>
            </w:pPr>
          </w:p>
        </w:tc>
      </w:tr>
    </w:tbl>
    <w:p>
      <w:pPr>
        <w:spacing w:after="0" w:line="17" w:lineRule="exact"/>
        <w:rPr>
          <w:sz w:val="20"/>
          <w:szCs w:val="20"/>
          <w:color w:val="auto"/>
        </w:rPr>
      </w:pPr>
    </w:p>
    <w:p>
      <w:pPr>
        <w:ind w:left="2420"/>
        <w:spacing w:after="0"/>
        <w:rPr>
          <w:sz w:val="20"/>
          <w:szCs w:val="20"/>
          <w:color w:val="auto"/>
        </w:rPr>
      </w:pPr>
      <w:r>
        <w:rPr>
          <w:rFonts w:ascii="Arial" w:cs="Arial" w:eastAsia="Arial" w:hAnsi="Arial"/>
          <w:sz w:val="14"/>
          <w:szCs w:val="14"/>
          <w:i w:val="1"/>
          <w:iCs w:val="1"/>
          <w:color w:val="auto"/>
        </w:rPr>
        <w:t>Source: Minnesota Department of Revenue December 2012 Mining Tax Guide for years 2003 - 2011.</w:t>
      </w:r>
    </w:p>
    <w:p>
      <w:pPr>
        <w:spacing w:after="0" w:line="96" w:lineRule="exact"/>
        <w:rPr>
          <w:sz w:val="20"/>
          <w:szCs w:val="20"/>
          <w:color w:val="auto"/>
        </w:rPr>
      </w:pPr>
    </w:p>
    <w:p>
      <w:pPr>
        <w:ind w:left="2420"/>
        <w:spacing w:after="0"/>
        <w:rPr>
          <w:sz w:val="20"/>
          <w:szCs w:val="20"/>
          <w:color w:val="auto"/>
        </w:rPr>
      </w:pPr>
      <w:r>
        <w:rPr>
          <w:rFonts w:ascii="Arial" w:cs="Arial" w:eastAsia="Arial" w:hAnsi="Arial"/>
          <w:sz w:val="16"/>
          <w:szCs w:val="16"/>
          <w:i w:val="1"/>
          <w:iCs w:val="1"/>
          <w:color w:val="auto"/>
        </w:rPr>
        <w:t>* Preliminary data from the Minnesota Department of Revenue.</w:t>
      </w:r>
    </w:p>
    <w:p>
      <w:pPr>
        <w:spacing w:after="0" w:line="2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to serving the taconite industry, Minnesota Power also serves a number of customers in the paper, pulp and wood products industry, which represented 1,571 million kilowatt-hours, or 21 percent, of our total industrial sales in 2012. Four major paper mills, which represent the majority of this load, reported operating at, or near, full capacity for the majority of 2012.</w:t>
      </w:r>
    </w:p>
    <w:p>
      <w:pPr>
        <w:spacing w:after="0" w:line="17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Large Power Customer Contracts. </w:t>
      </w:r>
      <w:r>
        <w:rPr>
          <w:rFonts w:ascii="Arial" w:cs="Arial" w:eastAsia="Arial" w:hAnsi="Arial"/>
          <w:sz w:val="18"/>
          <w:szCs w:val="18"/>
          <w:color w:val="auto"/>
        </w:rPr>
        <w:t>Minnesota Power has 9 Large Power Customer contracts, each serving requirements of 10 MW or more of customer</w:t>
      </w:r>
      <w:r>
        <w:rPr>
          <w:rFonts w:ascii="Arial" w:cs="Arial" w:eastAsia="Arial" w:hAnsi="Arial"/>
          <w:sz w:val="18"/>
          <w:szCs w:val="18"/>
          <w:b w:val="1"/>
          <w:bCs w:val="1"/>
          <w:color w:val="auto"/>
        </w:rPr>
        <w:t xml:space="preserve"> </w:t>
      </w:r>
      <w:r>
        <w:rPr>
          <w:rFonts w:ascii="Arial" w:cs="Arial" w:eastAsia="Arial" w:hAnsi="Arial"/>
          <w:sz w:val="18"/>
          <w:szCs w:val="18"/>
          <w:color w:val="auto"/>
        </w:rPr>
        <w:t>load. The customers consist of five taconite producing facilities (two of which are owned by one company and are served under a single contract), one iron nugget plant, and four paper and pulp mills.</w:t>
      </w:r>
    </w:p>
    <w:p>
      <w:pPr>
        <w:spacing w:after="0" w:line="18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Large Power Customer contracts require Minnesota Power to have a certain amount of generating capacity available. In turn, each Large Power Customer is required to pay a minimum monthly demand charge that covers the fixed costs associated with having this capacity available to serve the customer, including a return on common equity. Most contracts allow customers to establish the level of megawatts subject to a demand charge on a four-month basis and require that a portion of their megawatt needs be committed on a take-or-pay basis for at least a portion of the term of the agreement. In addition to the demand charge, each Large Power Customer is billed an energy charge for each kilowatt-hour used that recovers the variable costs incurred in generating electricity. Three of the Large Power Customers have interruptible service which provides a discounted demand rate in exchange for the ability to interrupt the customers during system emergencies. Minnesota Power also provides incremental production service for customer demand levels above the contractual take-or-pay levels. There is no demand charge for this service and energy is priced at an increment above Minnesota Power’s cost. Incremental production service is interruptible.</w:t>
      </w:r>
    </w:p>
    <w:p>
      <w:pPr>
        <w:spacing w:after="0" w:line="18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All contracts with Large Power Customers continue past the contract termination date unless the required advance notice of cancellation has been given. The required advance notice of cancellation varies from one to four years. Such contracts minimize the impact on earnings that otherwise would result from significant reductions in kilowatt-hour sales to such customers. Large Power Customers are required to take all of their purchased electric service requirements from Minnesota Power for the duration of their contracts. The rates and corresponding revenue associated with capacity and energy provided under these contracts are subject to change through the same regulatory process governing all retail electric rates. (See Item 1. Business – Regulated Operations – Regulatory Matters – Electric Rates.)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2012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364"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Regulated Operations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Large Power Customer Contracts (Continued)</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Minnesota Power, as permitted by the MPUC, requires its taconite-producing Large Power Customers to pay weekly for electric usage based on monthly energy usage estimates. These customers receive estimated bills based on Minnesota Power’s estimate of the customer’s energy usage, forecasted energy prices, and fuel clause adjustment estimates. Minnesota Power’s four taconite-producing Large Power Customers have generally predictable energy usage on a week-to-week basis, and any differences that occur are trued-up the following month.</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Status for Minnesota Power Large Power Customers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of February 1, 2013</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2180" w:type="dxa"/>
            <w:vAlign w:val="bottom"/>
          </w:tcPr>
          <w:p>
            <w:pPr>
              <w:jc w:val="right"/>
              <w:ind w:right="570"/>
              <w:spacing w:after="0"/>
              <w:rPr>
                <w:sz w:val="20"/>
                <w:szCs w:val="20"/>
                <w:color w:val="auto"/>
              </w:rPr>
            </w:pPr>
            <w:r>
              <w:rPr>
                <w:rFonts w:ascii="Arial" w:cs="Arial" w:eastAsia="Arial" w:hAnsi="Arial"/>
                <w:sz w:val="18"/>
                <w:szCs w:val="18"/>
                <w:b w:val="1"/>
                <w:bCs w:val="1"/>
                <w:color w:val="auto"/>
              </w:rPr>
              <w:t>Earliest</w:t>
            </w:r>
          </w:p>
        </w:tc>
      </w:tr>
      <w:tr>
        <w:trPr>
          <w:trHeight w:val="234"/>
        </w:trPr>
        <w:tc>
          <w:tcPr>
            <w:tcW w:w="2720" w:type="dxa"/>
            <w:vAlign w:val="bottom"/>
          </w:tcPr>
          <w:p>
            <w:pPr>
              <w:ind w:left="40"/>
              <w:spacing w:after="0"/>
              <w:rPr>
                <w:sz w:val="20"/>
                <w:szCs w:val="20"/>
                <w:color w:val="auto"/>
              </w:rPr>
            </w:pPr>
            <w:r>
              <w:rPr>
                <w:rFonts w:ascii="Arial" w:cs="Arial" w:eastAsia="Arial" w:hAnsi="Arial"/>
                <w:sz w:val="18"/>
                <w:szCs w:val="18"/>
                <w:b w:val="1"/>
                <w:bCs w:val="1"/>
                <w:color w:val="auto"/>
              </w:rPr>
              <w:t>Customer</w:t>
            </w:r>
          </w:p>
        </w:tc>
        <w:tc>
          <w:tcPr>
            <w:tcW w:w="1020" w:type="dxa"/>
            <w:vAlign w:val="bottom"/>
          </w:tcPr>
          <w:p>
            <w:pPr>
              <w:ind w:left="60"/>
              <w:spacing w:after="0"/>
              <w:rPr>
                <w:sz w:val="20"/>
                <w:szCs w:val="20"/>
                <w:color w:val="auto"/>
              </w:rPr>
            </w:pPr>
            <w:r>
              <w:rPr>
                <w:rFonts w:ascii="Arial" w:cs="Arial" w:eastAsia="Arial" w:hAnsi="Arial"/>
                <w:sz w:val="18"/>
                <w:szCs w:val="18"/>
                <w:b w:val="1"/>
                <w:bCs w:val="1"/>
                <w:color w:val="auto"/>
              </w:rPr>
              <w:t>Industry</w:t>
            </w:r>
          </w:p>
        </w:tc>
        <w:tc>
          <w:tcPr>
            <w:tcW w:w="2240" w:type="dxa"/>
            <w:vAlign w:val="bottom"/>
          </w:tcPr>
          <w:p>
            <w:pPr>
              <w:ind w:left="80"/>
              <w:spacing w:after="0"/>
              <w:rPr>
                <w:sz w:val="20"/>
                <w:szCs w:val="20"/>
                <w:color w:val="auto"/>
              </w:rPr>
            </w:pPr>
            <w:r>
              <w:rPr>
                <w:rFonts w:ascii="Arial" w:cs="Arial" w:eastAsia="Arial" w:hAnsi="Arial"/>
                <w:sz w:val="18"/>
                <w:szCs w:val="18"/>
                <w:b w:val="1"/>
                <w:bCs w:val="1"/>
                <w:color w:val="auto"/>
              </w:rPr>
              <w:t>Location</w:t>
            </w:r>
          </w:p>
        </w:tc>
        <w:tc>
          <w:tcPr>
            <w:tcW w:w="3260" w:type="dxa"/>
            <w:vAlign w:val="bottom"/>
          </w:tcPr>
          <w:p>
            <w:pPr>
              <w:ind w:left="120"/>
              <w:spacing w:after="0"/>
              <w:rPr>
                <w:sz w:val="20"/>
                <w:szCs w:val="20"/>
                <w:color w:val="auto"/>
              </w:rPr>
            </w:pPr>
            <w:r>
              <w:rPr>
                <w:rFonts w:ascii="Arial" w:cs="Arial" w:eastAsia="Arial" w:hAnsi="Arial"/>
                <w:sz w:val="18"/>
                <w:szCs w:val="18"/>
                <w:b w:val="1"/>
                <w:bCs w:val="1"/>
                <w:color w:val="auto"/>
              </w:rPr>
              <w:t>Ownership</w:t>
            </w:r>
          </w:p>
        </w:tc>
        <w:tc>
          <w:tcPr>
            <w:tcW w:w="2180" w:type="dxa"/>
            <w:vAlign w:val="bottom"/>
          </w:tcPr>
          <w:p>
            <w:pPr>
              <w:jc w:val="right"/>
              <w:ind w:right="190"/>
              <w:spacing w:after="0"/>
              <w:rPr>
                <w:sz w:val="20"/>
                <w:szCs w:val="20"/>
                <w:color w:val="auto"/>
              </w:rPr>
            </w:pPr>
            <w:r>
              <w:rPr>
                <w:rFonts w:ascii="Arial" w:cs="Arial" w:eastAsia="Arial" w:hAnsi="Arial"/>
                <w:sz w:val="18"/>
                <w:szCs w:val="18"/>
                <w:b w:val="1"/>
                <w:bCs w:val="1"/>
                <w:color w:val="auto"/>
              </w:rPr>
              <w:t>Termination Date</w:t>
            </w:r>
          </w:p>
        </w:tc>
      </w:tr>
      <w:tr>
        <w:trPr>
          <w:trHeight w:val="34"/>
        </w:trPr>
        <w:tc>
          <w:tcPr>
            <w:tcW w:w="27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326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r>
      <w:tr>
        <w:trPr>
          <w:trHeight w:val="250"/>
        </w:trPr>
        <w:tc>
          <w:tcPr>
            <w:tcW w:w="2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ArcelorMittal – Minorca Mine </w:t>
            </w:r>
            <w:r>
              <w:rPr>
                <w:rFonts w:ascii="Arial" w:cs="Arial" w:eastAsia="Arial" w:hAnsi="Arial"/>
                <w:sz w:val="18"/>
                <w:szCs w:val="18"/>
                <w:i w:val="1"/>
                <w:iCs w:val="1"/>
                <w:color w:val="auto"/>
              </w:rPr>
              <w:t>(a)</w:t>
            </w:r>
          </w:p>
        </w:tc>
        <w:tc>
          <w:tcPr>
            <w:tcW w:w="10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Taconite</w:t>
            </w:r>
          </w:p>
        </w:tc>
        <w:tc>
          <w:tcPr>
            <w:tcW w:w="22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Virginia, MN</w:t>
            </w:r>
          </w:p>
        </w:tc>
        <w:tc>
          <w:tcPr>
            <w:tcW w:w="32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ArcelorMittal</w:t>
            </w:r>
          </w:p>
        </w:tc>
        <w:tc>
          <w:tcPr>
            <w:tcW w:w="2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January 31, 2017</w:t>
            </w:r>
          </w:p>
        </w:tc>
      </w:tr>
      <w:tr>
        <w:trPr>
          <w:trHeight w:val="229"/>
        </w:trPr>
        <w:tc>
          <w:tcPr>
            <w:tcW w:w="2720" w:type="dxa"/>
            <w:vAlign w:val="bottom"/>
          </w:tcPr>
          <w:p>
            <w:pPr>
              <w:ind w:left="40"/>
              <w:spacing w:after="0"/>
              <w:rPr>
                <w:sz w:val="20"/>
                <w:szCs w:val="20"/>
                <w:color w:val="auto"/>
              </w:rPr>
            </w:pPr>
            <w:r>
              <w:rPr>
                <w:rFonts w:ascii="Arial" w:cs="Arial" w:eastAsia="Arial" w:hAnsi="Arial"/>
                <w:sz w:val="18"/>
                <w:szCs w:val="18"/>
                <w:color w:val="auto"/>
              </w:rPr>
              <w:t xml:space="preserve">Hibbing Taconite Co. </w:t>
            </w:r>
            <w:r>
              <w:rPr>
                <w:rFonts w:ascii="Arial" w:cs="Arial" w:eastAsia="Arial" w:hAnsi="Arial"/>
                <w:sz w:val="18"/>
                <w:szCs w:val="18"/>
                <w:i w:val="1"/>
                <w:iCs w:val="1"/>
                <w:color w:val="auto"/>
              </w:rPr>
              <w:t>(a)</w:t>
            </w:r>
          </w:p>
        </w:tc>
        <w:tc>
          <w:tcPr>
            <w:tcW w:w="1020" w:type="dxa"/>
            <w:vAlign w:val="bottom"/>
          </w:tcPr>
          <w:p>
            <w:pPr>
              <w:ind w:left="60"/>
              <w:spacing w:after="0"/>
              <w:rPr>
                <w:sz w:val="20"/>
                <w:szCs w:val="20"/>
                <w:color w:val="auto"/>
              </w:rPr>
            </w:pPr>
            <w:r>
              <w:rPr>
                <w:rFonts w:ascii="Arial" w:cs="Arial" w:eastAsia="Arial" w:hAnsi="Arial"/>
                <w:sz w:val="18"/>
                <w:szCs w:val="18"/>
                <w:color w:val="auto"/>
              </w:rPr>
              <w:t>Taconite</w:t>
            </w:r>
          </w:p>
        </w:tc>
        <w:tc>
          <w:tcPr>
            <w:tcW w:w="2240" w:type="dxa"/>
            <w:vAlign w:val="bottom"/>
          </w:tcPr>
          <w:p>
            <w:pPr>
              <w:ind w:left="80"/>
              <w:spacing w:after="0"/>
              <w:rPr>
                <w:sz w:val="20"/>
                <w:szCs w:val="20"/>
                <w:color w:val="auto"/>
              </w:rPr>
            </w:pPr>
            <w:r>
              <w:rPr>
                <w:rFonts w:ascii="Arial" w:cs="Arial" w:eastAsia="Arial" w:hAnsi="Arial"/>
                <w:sz w:val="18"/>
                <w:szCs w:val="18"/>
                <w:color w:val="auto"/>
              </w:rPr>
              <w:t>Hibbing, MN</w:t>
            </w:r>
          </w:p>
        </w:tc>
        <w:tc>
          <w:tcPr>
            <w:tcW w:w="3260" w:type="dxa"/>
            <w:vAlign w:val="bottom"/>
          </w:tcPr>
          <w:p>
            <w:pPr>
              <w:ind w:left="120"/>
              <w:spacing w:after="0"/>
              <w:rPr>
                <w:sz w:val="20"/>
                <w:szCs w:val="20"/>
                <w:color w:val="auto"/>
              </w:rPr>
            </w:pPr>
            <w:r>
              <w:rPr>
                <w:rFonts w:ascii="Arial" w:cs="Arial" w:eastAsia="Arial" w:hAnsi="Arial"/>
                <w:sz w:val="18"/>
                <w:szCs w:val="18"/>
                <w:color w:val="auto"/>
              </w:rPr>
              <w:t>62.3% ArcelorMittal</w:t>
            </w:r>
          </w:p>
        </w:tc>
        <w:tc>
          <w:tcPr>
            <w:tcW w:w="2180" w:type="dxa"/>
            <w:vAlign w:val="bottom"/>
          </w:tcPr>
          <w:p>
            <w:pPr>
              <w:jc w:val="right"/>
              <w:spacing w:after="0"/>
              <w:rPr>
                <w:sz w:val="20"/>
                <w:szCs w:val="20"/>
                <w:color w:val="auto"/>
              </w:rPr>
            </w:pPr>
            <w:r>
              <w:rPr>
                <w:rFonts w:ascii="Arial" w:cs="Arial" w:eastAsia="Arial" w:hAnsi="Arial"/>
                <w:sz w:val="18"/>
                <w:szCs w:val="18"/>
                <w:color w:val="auto"/>
              </w:rPr>
              <w:t>January 31, 2017</w:t>
            </w:r>
          </w:p>
        </w:tc>
      </w:tr>
      <w:tr>
        <w:trPr>
          <w:trHeight w:val="216"/>
        </w:trPr>
        <w:tc>
          <w:tcPr>
            <w:tcW w:w="27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260" w:type="dxa"/>
            <w:vAlign w:val="bottom"/>
          </w:tcPr>
          <w:p>
            <w:pPr>
              <w:ind w:left="120"/>
              <w:spacing w:after="0"/>
              <w:rPr>
                <w:sz w:val="20"/>
                <w:szCs w:val="20"/>
                <w:color w:val="auto"/>
              </w:rPr>
            </w:pPr>
            <w:r>
              <w:rPr>
                <w:rFonts w:ascii="Arial" w:cs="Arial" w:eastAsia="Arial" w:hAnsi="Arial"/>
                <w:sz w:val="18"/>
                <w:szCs w:val="18"/>
                <w:color w:val="auto"/>
              </w:rPr>
              <w:t>23.0% Cliffs Natural Resources Inc.</w:t>
            </w:r>
          </w:p>
        </w:tc>
        <w:tc>
          <w:tcPr>
            <w:tcW w:w="2180" w:type="dxa"/>
            <w:vAlign w:val="bottom"/>
          </w:tcPr>
          <w:p>
            <w:pPr>
              <w:spacing w:after="0"/>
              <w:rPr>
                <w:sz w:val="18"/>
                <w:szCs w:val="18"/>
                <w:color w:val="auto"/>
              </w:rPr>
            </w:pPr>
          </w:p>
        </w:tc>
      </w:tr>
      <w:tr>
        <w:trPr>
          <w:trHeight w:val="230"/>
        </w:trPr>
        <w:tc>
          <w:tcPr>
            <w:tcW w:w="27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3260" w:type="dxa"/>
            <w:vAlign w:val="bottom"/>
          </w:tcPr>
          <w:p>
            <w:pPr>
              <w:ind w:left="120"/>
              <w:spacing w:after="0"/>
              <w:rPr>
                <w:sz w:val="20"/>
                <w:szCs w:val="20"/>
                <w:color w:val="auto"/>
              </w:rPr>
            </w:pPr>
            <w:r>
              <w:rPr>
                <w:rFonts w:ascii="Arial" w:cs="Arial" w:eastAsia="Arial" w:hAnsi="Arial"/>
                <w:sz w:val="18"/>
                <w:szCs w:val="18"/>
                <w:color w:val="auto"/>
              </w:rPr>
              <w:t>14.7% USS Corporation</w:t>
            </w:r>
          </w:p>
        </w:tc>
        <w:tc>
          <w:tcPr>
            <w:tcW w:w="2180" w:type="dxa"/>
            <w:vAlign w:val="bottom"/>
          </w:tcPr>
          <w:p>
            <w:pPr>
              <w:spacing w:after="0"/>
              <w:rPr>
                <w:sz w:val="20"/>
                <w:szCs w:val="20"/>
                <w:color w:val="auto"/>
              </w:rPr>
            </w:pPr>
          </w:p>
        </w:tc>
      </w:tr>
      <w:tr>
        <w:trPr>
          <w:trHeight w:val="27"/>
        </w:trPr>
        <w:tc>
          <w:tcPr>
            <w:tcW w:w="27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3260" w:type="dxa"/>
            <w:vAlign w:val="bottom"/>
          </w:tcPr>
          <w:p>
            <w:pPr>
              <w:spacing w:after="0"/>
              <w:rPr>
                <w:sz w:val="2"/>
                <w:szCs w:val="2"/>
                <w:color w:val="auto"/>
              </w:rPr>
            </w:pPr>
          </w:p>
        </w:tc>
        <w:tc>
          <w:tcPr>
            <w:tcW w:w="2180" w:type="dxa"/>
            <w:vAlign w:val="bottom"/>
          </w:tcPr>
          <w:p>
            <w:pPr>
              <w:spacing w:after="0"/>
              <w:rPr>
                <w:sz w:val="2"/>
                <w:szCs w:val="2"/>
                <w:color w:val="auto"/>
              </w:rPr>
            </w:pPr>
          </w:p>
        </w:tc>
      </w:tr>
      <w:tr>
        <w:trPr>
          <w:trHeight w:val="250"/>
        </w:trPr>
        <w:tc>
          <w:tcPr>
            <w:tcW w:w="2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United Taconite LLC </w:t>
            </w:r>
            <w:r>
              <w:rPr>
                <w:rFonts w:ascii="Arial" w:cs="Arial" w:eastAsia="Arial" w:hAnsi="Arial"/>
                <w:sz w:val="18"/>
                <w:szCs w:val="18"/>
                <w:i w:val="1"/>
                <w:iCs w:val="1"/>
                <w:color w:val="auto"/>
              </w:rPr>
              <w:t>(a)</w:t>
            </w:r>
          </w:p>
        </w:tc>
        <w:tc>
          <w:tcPr>
            <w:tcW w:w="10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Taconite</w:t>
            </w:r>
          </w:p>
        </w:tc>
        <w:tc>
          <w:tcPr>
            <w:tcW w:w="22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Eveleth, MN</w:t>
            </w:r>
          </w:p>
        </w:tc>
        <w:tc>
          <w:tcPr>
            <w:tcW w:w="32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Cliffs Natural Resources Inc.</w:t>
            </w:r>
          </w:p>
        </w:tc>
        <w:tc>
          <w:tcPr>
            <w:tcW w:w="2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January 31, 2017</w:t>
            </w:r>
          </w:p>
        </w:tc>
      </w:tr>
      <w:tr>
        <w:trPr>
          <w:trHeight w:val="229"/>
        </w:trPr>
        <w:tc>
          <w:tcPr>
            <w:tcW w:w="2720" w:type="dxa"/>
            <w:vAlign w:val="bottom"/>
          </w:tcPr>
          <w:p>
            <w:pPr>
              <w:ind w:left="40"/>
              <w:spacing w:after="0"/>
              <w:rPr>
                <w:sz w:val="20"/>
                <w:szCs w:val="20"/>
                <w:color w:val="auto"/>
              </w:rPr>
            </w:pPr>
            <w:r>
              <w:rPr>
                <w:rFonts w:ascii="Arial" w:cs="Arial" w:eastAsia="Arial" w:hAnsi="Arial"/>
                <w:sz w:val="18"/>
                <w:szCs w:val="18"/>
                <w:color w:val="auto"/>
              </w:rPr>
              <w:t>USS Corporation</w:t>
            </w:r>
          </w:p>
        </w:tc>
        <w:tc>
          <w:tcPr>
            <w:tcW w:w="1020" w:type="dxa"/>
            <w:vAlign w:val="bottom"/>
          </w:tcPr>
          <w:p>
            <w:pPr>
              <w:ind w:left="60"/>
              <w:spacing w:after="0"/>
              <w:rPr>
                <w:sz w:val="20"/>
                <w:szCs w:val="20"/>
                <w:color w:val="auto"/>
              </w:rPr>
            </w:pPr>
            <w:r>
              <w:rPr>
                <w:rFonts w:ascii="Arial" w:cs="Arial" w:eastAsia="Arial" w:hAnsi="Arial"/>
                <w:sz w:val="18"/>
                <w:szCs w:val="18"/>
                <w:color w:val="auto"/>
              </w:rPr>
              <w:t>Taconite</w:t>
            </w:r>
          </w:p>
        </w:tc>
        <w:tc>
          <w:tcPr>
            <w:tcW w:w="2240" w:type="dxa"/>
            <w:vAlign w:val="bottom"/>
          </w:tcPr>
          <w:p>
            <w:pPr>
              <w:ind w:left="80"/>
              <w:spacing w:after="0"/>
              <w:rPr>
                <w:sz w:val="20"/>
                <w:szCs w:val="20"/>
                <w:color w:val="auto"/>
              </w:rPr>
            </w:pPr>
            <w:r>
              <w:rPr>
                <w:rFonts w:ascii="Arial" w:cs="Arial" w:eastAsia="Arial" w:hAnsi="Arial"/>
                <w:sz w:val="18"/>
                <w:szCs w:val="18"/>
                <w:color w:val="auto"/>
                <w:w w:val="98"/>
              </w:rPr>
              <w:t>Mt. Iron, MN and Keewatin,</w:t>
            </w:r>
          </w:p>
        </w:tc>
        <w:tc>
          <w:tcPr>
            <w:tcW w:w="3260" w:type="dxa"/>
            <w:vAlign w:val="bottom"/>
          </w:tcPr>
          <w:p>
            <w:pPr>
              <w:ind w:left="120"/>
              <w:spacing w:after="0"/>
              <w:rPr>
                <w:sz w:val="20"/>
                <w:szCs w:val="20"/>
                <w:color w:val="auto"/>
              </w:rPr>
            </w:pPr>
            <w:r>
              <w:rPr>
                <w:rFonts w:ascii="Arial" w:cs="Arial" w:eastAsia="Arial" w:hAnsi="Arial"/>
                <w:sz w:val="18"/>
                <w:szCs w:val="18"/>
                <w:color w:val="auto"/>
              </w:rPr>
              <w:t>USS Corporation</w:t>
            </w:r>
          </w:p>
        </w:tc>
        <w:tc>
          <w:tcPr>
            <w:tcW w:w="2180" w:type="dxa"/>
            <w:vAlign w:val="bottom"/>
          </w:tcPr>
          <w:p>
            <w:pPr>
              <w:jc w:val="right"/>
              <w:spacing w:after="0"/>
              <w:rPr>
                <w:sz w:val="20"/>
                <w:szCs w:val="20"/>
                <w:color w:val="auto"/>
              </w:rPr>
            </w:pPr>
            <w:r>
              <w:rPr>
                <w:rFonts w:ascii="Arial" w:cs="Arial" w:eastAsia="Arial" w:hAnsi="Arial"/>
                <w:sz w:val="18"/>
                <w:szCs w:val="18"/>
                <w:color w:val="auto"/>
              </w:rPr>
              <w:t>January 31, 2017</w:t>
            </w:r>
          </w:p>
        </w:tc>
      </w:tr>
      <w:tr>
        <w:trPr>
          <w:trHeight w:val="230"/>
        </w:trPr>
        <w:tc>
          <w:tcPr>
            <w:tcW w:w="2720" w:type="dxa"/>
            <w:vAlign w:val="bottom"/>
          </w:tcPr>
          <w:p>
            <w:pPr>
              <w:ind w:left="40"/>
              <w:spacing w:after="0"/>
              <w:rPr>
                <w:sz w:val="20"/>
                <w:szCs w:val="20"/>
                <w:color w:val="auto"/>
              </w:rPr>
            </w:pPr>
            <w:r>
              <w:rPr>
                <w:rFonts w:ascii="Arial" w:cs="Arial" w:eastAsia="Arial" w:hAnsi="Arial"/>
                <w:sz w:val="18"/>
                <w:szCs w:val="18"/>
                <w:color w:val="auto"/>
              </w:rPr>
              <w:t xml:space="preserve">(USS – Minnesota Ore) </w:t>
            </w:r>
            <w:r>
              <w:rPr>
                <w:rFonts w:ascii="Arial" w:cs="Arial" w:eastAsia="Arial" w:hAnsi="Arial"/>
                <w:sz w:val="18"/>
                <w:szCs w:val="18"/>
                <w:i w:val="1"/>
                <w:iCs w:val="1"/>
                <w:color w:val="auto"/>
              </w:rPr>
              <w:t>(a,b)</w:t>
            </w:r>
          </w:p>
        </w:tc>
        <w:tc>
          <w:tcPr>
            <w:tcW w:w="1020" w:type="dxa"/>
            <w:vAlign w:val="bottom"/>
          </w:tcPr>
          <w:p>
            <w:pPr>
              <w:spacing w:after="0"/>
              <w:rPr>
                <w:sz w:val="20"/>
                <w:szCs w:val="20"/>
                <w:color w:val="auto"/>
              </w:rPr>
            </w:pPr>
          </w:p>
        </w:tc>
        <w:tc>
          <w:tcPr>
            <w:tcW w:w="2240" w:type="dxa"/>
            <w:vAlign w:val="bottom"/>
          </w:tcPr>
          <w:p>
            <w:pPr>
              <w:ind w:left="80"/>
              <w:spacing w:after="0"/>
              <w:rPr>
                <w:sz w:val="20"/>
                <w:szCs w:val="20"/>
                <w:color w:val="auto"/>
              </w:rPr>
            </w:pPr>
            <w:r>
              <w:rPr>
                <w:rFonts w:ascii="Arial" w:cs="Arial" w:eastAsia="Arial" w:hAnsi="Arial"/>
                <w:sz w:val="18"/>
                <w:szCs w:val="18"/>
                <w:color w:val="auto"/>
              </w:rPr>
              <w:t>MN</w:t>
            </w:r>
          </w:p>
        </w:tc>
        <w:tc>
          <w:tcPr>
            <w:tcW w:w="3260" w:type="dxa"/>
            <w:vAlign w:val="bottom"/>
          </w:tcPr>
          <w:p>
            <w:pPr>
              <w:spacing w:after="0"/>
              <w:rPr>
                <w:sz w:val="20"/>
                <w:szCs w:val="20"/>
                <w:color w:val="auto"/>
              </w:rPr>
            </w:pPr>
          </w:p>
        </w:tc>
        <w:tc>
          <w:tcPr>
            <w:tcW w:w="2180" w:type="dxa"/>
            <w:vAlign w:val="bottom"/>
          </w:tcPr>
          <w:p>
            <w:pPr>
              <w:spacing w:after="0"/>
              <w:rPr>
                <w:sz w:val="20"/>
                <w:szCs w:val="20"/>
                <w:color w:val="auto"/>
              </w:rPr>
            </w:pPr>
          </w:p>
        </w:tc>
      </w:tr>
      <w:tr>
        <w:trPr>
          <w:trHeight w:val="27"/>
        </w:trPr>
        <w:tc>
          <w:tcPr>
            <w:tcW w:w="27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3260" w:type="dxa"/>
            <w:vAlign w:val="bottom"/>
          </w:tcPr>
          <w:p>
            <w:pPr>
              <w:spacing w:after="0"/>
              <w:rPr>
                <w:sz w:val="2"/>
                <w:szCs w:val="2"/>
                <w:color w:val="auto"/>
              </w:rPr>
            </w:pPr>
          </w:p>
        </w:tc>
        <w:tc>
          <w:tcPr>
            <w:tcW w:w="2180" w:type="dxa"/>
            <w:vAlign w:val="bottom"/>
          </w:tcPr>
          <w:p>
            <w:pPr>
              <w:spacing w:after="0"/>
              <w:rPr>
                <w:sz w:val="2"/>
                <w:szCs w:val="2"/>
                <w:color w:val="auto"/>
              </w:rPr>
            </w:pPr>
          </w:p>
        </w:tc>
      </w:tr>
      <w:tr>
        <w:trPr>
          <w:trHeight w:val="229"/>
        </w:trPr>
        <w:tc>
          <w:tcPr>
            <w:tcW w:w="2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Mesabi Nugget</w:t>
            </w:r>
          </w:p>
        </w:tc>
        <w:tc>
          <w:tcPr>
            <w:tcW w:w="1020" w:type="dxa"/>
            <w:vAlign w:val="bottom"/>
            <w:shd w:val="clear" w:color="auto" w:fill="CCEEFF"/>
          </w:tcPr>
          <w:p>
            <w:pPr>
              <w:ind w:left="60"/>
              <w:spacing w:after="0"/>
              <w:rPr>
                <w:sz w:val="20"/>
                <w:szCs w:val="20"/>
                <w:color w:val="auto"/>
              </w:rPr>
            </w:pPr>
            <w:r>
              <w:rPr>
                <w:rFonts w:ascii="Arial" w:cs="Arial" w:eastAsia="Arial" w:hAnsi="Arial"/>
                <w:sz w:val="18"/>
                <w:szCs w:val="18"/>
                <w:color w:val="auto"/>
                <w:w w:val="99"/>
              </w:rPr>
              <w:t>Iron Nugget</w:t>
            </w:r>
          </w:p>
        </w:tc>
        <w:tc>
          <w:tcPr>
            <w:tcW w:w="2240" w:type="dxa"/>
            <w:vAlign w:val="bottom"/>
            <w:shd w:val="clear" w:color="auto" w:fill="CCEEFF"/>
          </w:tcPr>
          <w:p>
            <w:pPr>
              <w:ind w:left="80"/>
              <w:spacing w:after="0"/>
              <w:rPr>
                <w:sz w:val="20"/>
                <w:szCs w:val="20"/>
                <w:color w:val="auto"/>
              </w:rPr>
            </w:pPr>
            <w:r>
              <w:rPr>
                <w:rFonts w:ascii="Arial" w:cs="Arial" w:eastAsia="Arial" w:hAnsi="Arial"/>
                <w:sz w:val="18"/>
                <w:szCs w:val="18"/>
                <w:color w:val="auto"/>
              </w:rPr>
              <w:t>Hoyt Lakes, MN</w:t>
            </w:r>
          </w:p>
        </w:tc>
        <w:tc>
          <w:tcPr>
            <w:tcW w:w="3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80% Steel Dynamics, Inc.</w:t>
            </w: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December 31, 2017</w:t>
            </w:r>
          </w:p>
        </w:tc>
      </w:tr>
      <w:tr>
        <w:trPr>
          <w:trHeight w:val="237"/>
        </w:trPr>
        <w:tc>
          <w:tcPr>
            <w:tcW w:w="27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2240" w:type="dxa"/>
            <w:vAlign w:val="bottom"/>
            <w:tcBorders>
              <w:bottom w:val="single" w:sz="8" w:color="CCEEFF"/>
            </w:tcBorders>
            <w:shd w:val="clear" w:color="auto" w:fill="CCEEFF"/>
          </w:tcPr>
          <w:p>
            <w:pPr>
              <w:spacing w:after="0"/>
              <w:rPr>
                <w:sz w:val="20"/>
                <w:szCs w:val="20"/>
                <w:color w:val="auto"/>
              </w:rPr>
            </w:pPr>
          </w:p>
        </w:tc>
        <w:tc>
          <w:tcPr>
            <w:tcW w:w="32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20% Kobe Steel USA</w:t>
            </w:r>
          </w:p>
        </w:tc>
        <w:tc>
          <w:tcPr>
            <w:tcW w:w="2180" w:type="dxa"/>
            <w:vAlign w:val="bottom"/>
            <w:tcBorders>
              <w:bottom w:val="single" w:sz="8" w:color="CCEEFF"/>
            </w:tcBorders>
            <w:shd w:val="clear" w:color="auto" w:fill="CCEEFF"/>
          </w:tcPr>
          <w:p>
            <w:pPr>
              <w:spacing w:after="0"/>
              <w:rPr>
                <w:sz w:val="20"/>
                <w:szCs w:val="20"/>
                <w:color w:val="auto"/>
              </w:rPr>
            </w:pPr>
          </w:p>
        </w:tc>
      </w:tr>
      <w:tr>
        <w:trPr>
          <w:trHeight w:val="243"/>
        </w:trPr>
        <w:tc>
          <w:tcPr>
            <w:tcW w:w="2720" w:type="dxa"/>
            <w:vAlign w:val="bottom"/>
          </w:tcPr>
          <w:p>
            <w:pPr>
              <w:ind w:left="40"/>
              <w:spacing w:after="0"/>
              <w:rPr>
                <w:sz w:val="20"/>
                <w:szCs w:val="20"/>
                <w:color w:val="auto"/>
              </w:rPr>
            </w:pPr>
            <w:r>
              <w:rPr>
                <w:rFonts w:ascii="Arial" w:cs="Arial" w:eastAsia="Arial" w:hAnsi="Arial"/>
                <w:sz w:val="18"/>
                <w:szCs w:val="18"/>
                <w:color w:val="auto"/>
              </w:rPr>
              <w:t>Boise White Paper, LLC</w:t>
            </w:r>
          </w:p>
        </w:tc>
        <w:tc>
          <w:tcPr>
            <w:tcW w:w="1020" w:type="dxa"/>
            <w:vAlign w:val="bottom"/>
          </w:tcPr>
          <w:p>
            <w:pPr>
              <w:ind w:left="60"/>
              <w:spacing w:after="0"/>
              <w:rPr>
                <w:sz w:val="20"/>
                <w:szCs w:val="20"/>
                <w:color w:val="auto"/>
              </w:rPr>
            </w:pPr>
            <w:r>
              <w:rPr>
                <w:rFonts w:ascii="Arial" w:cs="Arial" w:eastAsia="Arial" w:hAnsi="Arial"/>
                <w:sz w:val="18"/>
                <w:szCs w:val="18"/>
                <w:color w:val="auto"/>
              </w:rPr>
              <w:t>Paper</w:t>
            </w:r>
          </w:p>
        </w:tc>
        <w:tc>
          <w:tcPr>
            <w:tcW w:w="2240" w:type="dxa"/>
            <w:vAlign w:val="bottom"/>
          </w:tcPr>
          <w:p>
            <w:pPr>
              <w:ind w:left="80"/>
              <w:spacing w:after="0"/>
              <w:rPr>
                <w:sz w:val="20"/>
                <w:szCs w:val="20"/>
                <w:color w:val="auto"/>
              </w:rPr>
            </w:pPr>
            <w:r>
              <w:rPr>
                <w:rFonts w:ascii="Arial" w:cs="Arial" w:eastAsia="Arial" w:hAnsi="Arial"/>
                <w:sz w:val="18"/>
                <w:szCs w:val="18"/>
                <w:color w:val="auto"/>
              </w:rPr>
              <w:t>International Falls, MN</w:t>
            </w:r>
          </w:p>
        </w:tc>
        <w:tc>
          <w:tcPr>
            <w:tcW w:w="3260" w:type="dxa"/>
            <w:vAlign w:val="bottom"/>
          </w:tcPr>
          <w:p>
            <w:pPr>
              <w:ind w:left="120"/>
              <w:spacing w:after="0"/>
              <w:rPr>
                <w:sz w:val="20"/>
                <w:szCs w:val="20"/>
                <w:color w:val="auto"/>
              </w:rPr>
            </w:pPr>
            <w:r>
              <w:rPr>
                <w:rFonts w:ascii="Arial" w:cs="Arial" w:eastAsia="Arial" w:hAnsi="Arial"/>
                <w:sz w:val="18"/>
                <w:szCs w:val="18"/>
                <w:color w:val="auto"/>
              </w:rPr>
              <w:t>Boise Paper Holdings, LLC</w:t>
            </w:r>
          </w:p>
        </w:tc>
        <w:tc>
          <w:tcPr>
            <w:tcW w:w="2180" w:type="dxa"/>
            <w:vAlign w:val="bottom"/>
          </w:tcPr>
          <w:p>
            <w:pPr>
              <w:jc w:val="right"/>
              <w:spacing w:after="0"/>
              <w:rPr>
                <w:sz w:val="20"/>
                <w:szCs w:val="20"/>
                <w:color w:val="auto"/>
              </w:rPr>
            </w:pPr>
            <w:r>
              <w:rPr>
                <w:rFonts w:ascii="Arial" w:cs="Arial" w:eastAsia="Arial" w:hAnsi="Arial"/>
                <w:sz w:val="18"/>
                <w:szCs w:val="18"/>
                <w:color w:val="auto"/>
              </w:rPr>
              <w:t>January 31, 2015</w:t>
            </w:r>
          </w:p>
        </w:tc>
      </w:tr>
      <w:tr>
        <w:trPr>
          <w:trHeight w:val="27"/>
        </w:trPr>
        <w:tc>
          <w:tcPr>
            <w:tcW w:w="27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3260" w:type="dxa"/>
            <w:vAlign w:val="bottom"/>
          </w:tcPr>
          <w:p>
            <w:pPr>
              <w:spacing w:after="0"/>
              <w:rPr>
                <w:sz w:val="2"/>
                <w:szCs w:val="2"/>
                <w:color w:val="auto"/>
              </w:rPr>
            </w:pPr>
          </w:p>
        </w:tc>
        <w:tc>
          <w:tcPr>
            <w:tcW w:w="2180" w:type="dxa"/>
            <w:vAlign w:val="bottom"/>
          </w:tcPr>
          <w:p>
            <w:pPr>
              <w:spacing w:after="0"/>
              <w:rPr>
                <w:sz w:val="2"/>
                <w:szCs w:val="2"/>
                <w:color w:val="auto"/>
              </w:rPr>
            </w:pPr>
          </w:p>
        </w:tc>
      </w:tr>
      <w:tr>
        <w:trPr>
          <w:trHeight w:val="250"/>
        </w:trPr>
        <w:tc>
          <w:tcPr>
            <w:tcW w:w="2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UPM, Blandin Paper Mill </w:t>
            </w:r>
            <w:r>
              <w:rPr>
                <w:rFonts w:ascii="Arial" w:cs="Arial" w:eastAsia="Arial" w:hAnsi="Arial"/>
                <w:sz w:val="18"/>
                <w:szCs w:val="18"/>
                <w:i w:val="1"/>
                <w:iCs w:val="1"/>
                <w:color w:val="auto"/>
              </w:rPr>
              <w:t>(a)</w:t>
            </w:r>
          </w:p>
        </w:tc>
        <w:tc>
          <w:tcPr>
            <w:tcW w:w="10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Paper</w:t>
            </w:r>
          </w:p>
        </w:tc>
        <w:tc>
          <w:tcPr>
            <w:tcW w:w="22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Grand Rapids, MN</w:t>
            </w:r>
          </w:p>
        </w:tc>
        <w:tc>
          <w:tcPr>
            <w:tcW w:w="32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UPM-Kymmene Corporation</w:t>
            </w:r>
          </w:p>
        </w:tc>
        <w:tc>
          <w:tcPr>
            <w:tcW w:w="2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January 31, 2017</w:t>
            </w:r>
          </w:p>
        </w:tc>
      </w:tr>
      <w:tr>
        <w:trPr>
          <w:trHeight w:val="229"/>
        </w:trPr>
        <w:tc>
          <w:tcPr>
            <w:tcW w:w="2720" w:type="dxa"/>
            <w:vAlign w:val="bottom"/>
          </w:tcPr>
          <w:p>
            <w:pPr>
              <w:ind w:left="40"/>
              <w:spacing w:after="0"/>
              <w:rPr>
                <w:sz w:val="20"/>
                <w:szCs w:val="20"/>
                <w:color w:val="auto"/>
              </w:rPr>
            </w:pPr>
            <w:r>
              <w:rPr>
                <w:rFonts w:ascii="Arial" w:cs="Arial" w:eastAsia="Arial" w:hAnsi="Arial"/>
                <w:sz w:val="18"/>
                <w:szCs w:val="18"/>
                <w:color w:val="auto"/>
                <w:w w:val="94"/>
              </w:rPr>
              <w:t>NewPage Corporation – Duluth Mill</w:t>
            </w:r>
          </w:p>
        </w:tc>
        <w:tc>
          <w:tcPr>
            <w:tcW w:w="1020" w:type="dxa"/>
            <w:vAlign w:val="bottom"/>
          </w:tcPr>
          <w:p>
            <w:pPr>
              <w:ind w:left="60"/>
              <w:spacing w:after="0"/>
              <w:rPr>
                <w:sz w:val="20"/>
                <w:szCs w:val="20"/>
                <w:color w:val="auto"/>
              </w:rPr>
            </w:pPr>
            <w:r>
              <w:rPr>
                <w:rFonts w:ascii="Arial" w:cs="Arial" w:eastAsia="Arial" w:hAnsi="Arial"/>
                <w:sz w:val="18"/>
                <w:szCs w:val="18"/>
                <w:color w:val="auto"/>
              </w:rPr>
              <w:t>Paper and</w:t>
            </w:r>
          </w:p>
        </w:tc>
        <w:tc>
          <w:tcPr>
            <w:tcW w:w="2240" w:type="dxa"/>
            <w:vAlign w:val="bottom"/>
          </w:tcPr>
          <w:p>
            <w:pPr>
              <w:ind w:left="80"/>
              <w:spacing w:after="0"/>
              <w:rPr>
                <w:sz w:val="20"/>
                <w:szCs w:val="20"/>
                <w:color w:val="auto"/>
              </w:rPr>
            </w:pPr>
            <w:r>
              <w:rPr>
                <w:rFonts w:ascii="Arial" w:cs="Arial" w:eastAsia="Arial" w:hAnsi="Arial"/>
                <w:sz w:val="18"/>
                <w:szCs w:val="18"/>
                <w:color w:val="auto"/>
              </w:rPr>
              <w:t>Duluth, MN</w:t>
            </w:r>
          </w:p>
        </w:tc>
        <w:tc>
          <w:tcPr>
            <w:tcW w:w="3260" w:type="dxa"/>
            <w:vAlign w:val="bottom"/>
          </w:tcPr>
          <w:p>
            <w:pPr>
              <w:ind w:left="120"/>
              <w:spacing w:after="0"/>
              <w:rPr>
                <w:sz w:val="20"/>
                <w:szCs w:val="20"/>
                <w:color w:val="auto"/>
              </w:rPr>
            </w:pPr>
            <w:r>
              <w:rPr>
                <w:rFonts w:ascii="Arial" w:cs="Arial" w:eastAsia="Arial" w:hAnsi="Arial"/>
                <w:sz w:val="18"/>
                <w:szCs w:val="18"/>
                <w:color w:val="auto"/>
              </w:rPr>
              <w:t>NewPage Corporation</w:t>
            </w:r>
          </w:p>
        </w:tc>
        <w:tc>
          <w:tcPr>
            <w:tcW w:w="2180" w:type="dxa"/>
            <w:vAlign w:val="bottom"/>
          </w:tcPr>
          <w:p>
            <w:pPr>
              <w:jc w:val="right"/>
              <w:spacing w:after="0"/>
              <w:rPr>
                <w:sz w:val="20"/>
                <w:szCs w:val="20"/>
                <w:color w:val="auto"/>
              </w:rPr>
            </w:pPr>
            <w:r>
              <w:rPr>
                <w:rFonts w:ascii="Arial" w:cs="Arial" w:eastAsia="Arial" w:hAnsi="Arial"/>
                <w:sz w:val="18"/>
                <w:szCs w:val="18"/>
                <w:color w:val="auto"/>
              </w:rPr>
              <w:t>December 31, 2022</w:t>
            </w:r>
          </w:p>
        </w:tc>
      </w:tr>
      <w:tr>
        <w:trPr>
          <w:trHeight w:val="230"/>
        </w:trPr>
        <w:tc>
          <w:tcPr>
            <w:tcW w:w="2720" w:type="dxa"/>
            <w:vAlign w:val="bottom"/>
          </w:tcPr>
          <w:p>
            <w:pPr>
              <w:ind w:left="40"/>
              <w:spacing w:after="0"/>
              <w:rPr>
                <w:sz w:val="20"/>
                <w:szCs w:val="20"/>
                <w:color w:val="auto"/>
              </w:rPr>
            </w:pPr>
            <w:r>
              <w:rPr>
                <w:rFonts w:ascii="Arial" w:cs="Arial" w:eastAsia="Arial" w:hAnsi="Arial"/>
                <w:sz w:val="18"/>
                <w:szCs w:val="18"/>
                <w:i w:val="1"/>
                <w:iCs w:val="1"/>
                <w:color w:val="auto"/>
              </w:rPr>
              <w:t>(c)</w:t>
            </w:r>
          </w:p>
        </w:tc>
        <w:tc>
          <w:tcPr>
            <w:tcW w:w="1020" w:type="dxa"/>
            <w:vAlign w:val="bottom"/>
          </w:tcPr>
          <w:p>
            <w:pPr>
              <w:ind w:left="60"/>
              <w:spacing w:after="0"/>
              <w:rPr>
                <w:sz w:val="20"/>
                <w:szCs w:val="20"/>
                <w:color w:val="auto"/>
              </w:rPr>
            </w:pPr>
            <w:r>
              <w:rPr>
                <w:rFonts w:ascii="Arial" w:cs="Arial" w:eastAsia="Arial" w:hAnsi="Arial"/>
                <w:sz w:val="18"/>
                <w:szCs w:val="18"/>
                <w:color w:val="auto"/>
              </w:rPr>
              <w:t>Pulp</w:t>
            </w:r>
          </w:p>
        </w:tc>
        <w:tc>
          <w:tcPr>
            <w:tcW w:w="224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2180" w:type="dxa"/>
            <w:vAlign w:val="bottom"/>
          </w:tcPr>
          <w:p>
            <w:pPr>
              <w:spacing w:after="0"/>
              <w:rPr>
                <w:sz w:val="20"/>
                <w:szCs w:val="20"/>
                <w:color w:val="auto"/>
              </w:rPr>
            </w:pPr>
          </w:p>
        </w:tc>
      </w:tr>
      <w:tr>
        <w:trPr>
          <w:trHeight w:val="27"/>
        </w:trPr>
        <w:tc>
          <w:tcPr>
            <w:tcW w:w="27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3260" w:type="dxa"/>
            <w:vAlign w:val="bottom"/>
          </w:tcPr>
          <w:p>
            <w:pPr>
              <w:spacing w:after="0"/>
              <w:rPr>
                <w:sz w:val="2"/>
                <w:szCs w:val="2"/>
                <w:color w:val="auto"/>
              </w:rPr>
            </w:pPr>
          </w:p>
        </w:tc>
        <w:tc>
          <w:tcPr>
            <w:tcW w:w="2180" w:type="dxa"/>
            <w:vAlign w:val="bottom"/>
          </w:tcPr>
          <w:p>
            <w:pPr>
              <w:spacing w:after="0"/>
              <w:rPr>
                <w:sz w:val="2"/>
                <w:szCs w:val="2"/>
                <w:color w:val="auto"/>
              </w:rPr>
            </w:pPr>
          </w:p>
        </w:tc>
      </w:tr>
      <w:tr>
        <w:trPr>
          <w:trHeight w:val="229"/>
        </w:trPr>
        <w:tc>
          <w:tcPr>
            <w:tcW w:w="2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Sappi Cloquet LLC </w:t>
            </w:r>
            <w:r>
              <w:rPr>
                <w:rFonts w:ascii="Arial" w:cs="Arial" w:eastAsia="Arial" w:hAnsi="Arial"/>
                <w:sz w:val="18"/>
                <w:szCs w:val="18"/>
                <w:i w:val="1"/>
                <w:iCs w:val="1"/>
                <w:color w:val="auto"/>
              </w:rPr>
              <w:t>(a)</w:t>
            </w:r>
          </w:p>
        </w:tc>
        <w:tc>
          <w:tcPr>
            <w:tcW w:w="1020" w:type="dxa"/>
            <w:vAlign w:val="bottom"/>
            <w:shd w:val="clear" w:color="auto" w:fill="CCEEFF"/>
          </w:tcPr>
          <w:p>
            <w:pPr>
              <w:ind w:left="60"/>
              <w:spacing w:after="0"/>
              <w:rPr>
                <w:sz w:val="20"/>
                <w:szCs w:val="20"/>
                <w:color w:val="auto"/>
              </w:rPr>
            </w:pPr>
            <w:r>
              <w:rPr>
                <w:rFonts w:ascii="Arial" w:cs="Arial" w:eastAsia="Arial" w:hAnsi="Arial"/>
                <w:sz w:val="18"/>
                <w:szCs w:val="18"/>
                <w:color w:val="auto"/>
              </w:rPr>
              <w:t>Paper and</w:t>
            </w:r>
          </w:p>
        </w:tc>
        <w:tc>
          <w:tcPr>
            <w:tcW w:w="2240" w:type="dxa"/>
            <w:vAlign w:val="bottom"/>
            <w:shd w:val="clear" w:color="auto" w:fill="CCEEFF"/>
          </w:tcPr>
          <w:p>
            <w:pPr>
              <w:ind w:left="80"/>
              <w:spacing w:after="0"/>
              <w:rPr>
                <w:sz w:val="20"/>
                <w:szCs w:val="20"/>
                <w:color w:val="auto"/>
              </w:rPr>
            </w:pPr>
            <w:r>
              <w:rPr>
                <w:rFonts w:ascii="Arial" w:cs="Arial" w:eastAsia="Arial" w:hAnsi="Arial"/>
                <w:sz w:val="18"/>
                <w:szCs w:val="18"/>
                <w:color w:val="auto"/>
              </w:rPr>
              <w:t>Cloquet, MN</w:t>
            </w:r>
          </w:p>
        </w:tc>
        <w:tc>
          <w:tcPr>
            <w:tcW w:w="3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Sappi Limited</w:t>
            </w: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January 31, 2017</w:t>
            </w:r>
          </w:p>
        </w:tc>
      </w:tr>
      <w:tr>
        <w:trPr>
          <w:trHeight w:val="237"/>
        </w:trPr>
        <w:tc>
          <w:tcPr>
            <w:tcW w:w="27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Pulp</w:t>
            </w:r>
          </w:p>
        </w:tc>
        <w:tc>
          <w:tcPr>
            <w:tcW w:w="2240" w:type="dxa"/>
            <w:vAlign w:val="bottom"/>
            <w:tcBorders>
              <w:bottom w:val="single" w:sz="8" w:color="CCEEFF"/>
            </w:tcBorders>
            <w:shd w:val="clear" w:color="auto" w:fill="CCEEFF"/>
          </w:tcPr>
          <w:p>
            <w:pPr>
              <w:spacing w:after="0"/>
              <w:rPr>
                <w:sz w:val="20"/>
                <w:szCs w:val="20"/>
                <w:color w:val="auto"/>
              </w:rPr>
            </w:pPr>
          </w:p>
        </w:tc>
        <w:tc>
          <w:tcPr>
            <w:tcW w:w="3260" w:type="dxa"/>
            <w:vAlign w:val="bottom"/>
            <w:tcBorders>
              <w:bottom w:val="single" w:sz="8" w:color="CCEEFF"/>
            </w:tcBorders>
            <w:shd w:val="clear" w:color="auto" w:fill="CCEEFF"/>
          </w:tcPr>
          <w:p>
            <w:pPr>
              <w:spacing w:after="0"/>
              <w:rPr>
                <w:sz w:val="20"/>
                <w:szCs w:val="20"/>
                <w:color w:val="auto"/>
              </w:rPr>
            </w:pPr>
          </w:p>
        </w:tc>
        <w:tc>
          <w:tcPr>
            <w:tcW w:w="2180" w:type="dxa"/>
            <w:vAlign w:val="bottom"/>
            <w:tcBorders>
              <w:bottom w:val="single" w:sz="8" w:color="CCEEFF"/>
            </w:tcBorders>
            <w:shd w:val="clear" w:color="auto" w:fill="CCEEFF"/>
          </w:tcPr>
          <w:p>
            <w:pPr>
              <w:spacing w:after="0"/>
              <w:rPr>
                <w:sz w:val="20"/>
                <w:szCs w:val="20"/>
                <w:color w:val="auto"/>
              </w:rPr>
            </w:pPr>
          </w:p>
        </w:tc>
      </w:tr>
      <w:tr>
        <w:trPr>
          <w:trHeight w:val="20"/>
        </w:trPr>
        <w:tc>
          <w:tcPr>
            <w:tcW w:w="27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40" w:type="dxa"/>
            <w:vAlign w:val="bottom"/>
            <w:shd w:val="clear" w:color="auto" w:fill="000000"/>
          </w:tcPr>
          <w:p>
            <w:pPr>
              <w:spacing w:after="0" w:line="20" w:lineRule="exact"/>
              <w:rPr>
                <w:sz w:val="1"/>
                <w:szCs w:val="1"/>
                <w:color w:val="auto"/>
              </w:rPr>
            </w:pPr>
          </w:p>
        </w:tc>
        <w:tc>
          <w:tcPr>
            <w:tcW w:w="3260" w:type="dxa"/>
            <w:vAlign w:val="bottom"/>
            <w:shd w:val="clear" w:color="auto" w:fill="000000"/>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r>
    </w:tbl>
    <w:p>
      <w:pPr>
        <w:ind w:left="340" w:hanging="332"/>
        <w:spacing w:after="0" w:line="249" w:lineRule="auto"/>
        <w:tabs>
          <w:tab w:leader="none" w:pos="340" w:val="left"/>
        </w:tabs>
        <w:numPr>
          <w:ilvl w:val="0"/>
          <w:numId w:val="5"/>
        </w:numPr>
        <w:rPr>
          <w:rFonts w:ascii="Arial" w:cs="Arial" w:eastAsia="Arial" w:hAnsi="Arial"/>
          <w:sz w:val="16"/>
          <w:szCs w:val="16"/>
          <w:i w:val="1"/>
          <w:iCs w:val="1"/>
          <w:color w:val="auto"/>
        </w:rPr>
      </w:pPr>
      <w:r>
        <w:rPr>
          <w:rFonts w:ascii="Arial" w:cs="Arial" w:eastAsia="Arial" w:hAnsi="Arial"/>
          <w:sz w:val="16"/>
          <w:szCs w:val="16"/>
          <w:i w:val="1"/>
          <w:iCs w:val="1"/>
          <w:color w:val="auto"/>
        </w:rPr>
        <w:t>The contract will terminate four years from the date of written notice from either Minnesota Power or the customer. No notice of contract cancellation has been given by either party. Thus, the earliest date of cancellation is January 31, 2017.</w:t>
      </w:r>
    </w:p>
    <w:p>
      <w:pPr>
        <w:ind w:left="340" w:hanging="332"/>
        <w:spacing w:after="0"/>
        <w:tabs>
          <w:tab w:leader="none" w:pos="340" w:val="left"/>
        </w:tabs>
        <w:numPr>
          <w:ilvl w:val="0"/>
          <w:numId w:val="5"/>
        </w:numPr>
        <w:rPr>
          <w:rFonts w:ascii="Arial" w:cs="Arial" w:eastAsia="Arial" w:hAnsi="Arial"/>
          <w:sz w:val="16"/>
          <w:szCs w:val="16"/>
          <w:i w:val="1"/>
          <w:iCs w:val="1"/>
          <w:color w:val="auto"/>
        </w:rPr>
      </w:pPr>
      <w:r>
        <w:rPr>
          <w:rFonts w:ascii="Arial" w:cs="Arial" w:eastAsia="Arial" w:hAnsi="Arial"/>
          <w:sz w:val="16"/>
          <w:szCs w:val="16"/>
          <w:i w:val="1"/>
          <w:iCs w:val="1"/>
          <w:color w:val="auto"/>
        </w:rPr>
        <w:t>USS Corporation owns both the Minntac Plant in Mountain Iron, MN and the Keewatin Taconite Plant in Keewatin, MN.</w:t>
      </w:r>
    </w:p>
    <w:p>
      <w:pPr>
        <w:spacing w:after="0" w:line="8" w:lineRule="exact"/>
        <w:rPr>
          <w:rFonts w:ascii="Arial" w:cs="Arial" w:eastAsia="Arial" w:hAnsi="Arial"/>
          <w:sz w:val="16"/>
          <w:szCs w:val="16"/>
          <w:i w:val="1"/>
          <w:iCs w:val="1"/>
          <w:color w:val="auto"/>
        </w:rPr>
      </w:pPr>
    </w:p>
    <w:p>
      <w:pPr>
        <w:jc w:val="both"/>
        <w:ind w:left="340" w:hanging="332"/>
        <w:spacing w:after="0" w:line="276" w:lineRule="auto"/>
        <w:tabs>
          <w:tab w:leader="none" w:pos="340" w:val="left"/>
        </w:tabs>
        <w:numPr>
          <w:ilvl w:val="0"/>
          <w:numId w:val="5"/>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NewPage emerged from Chapter 11 bankruptcy in December 2012. The Duluth mill operations continued without interruption throughout the bankruptcy proceedings and a new 10-year contract was approved by the MPUC in a December 10, 2012 order. (See Note 1. Operations and Significant Accounting Policies </w:t>
      </w:r>
      <w:r>
        <w:rPr>
          <w:rFonts w:ascii="Arial" w:cs="Arial" w:eastAsia="Arial" w:hAnsi="Arial"/>
          <w:sz w:val="18"/>
          <w:szCs w:val="18"/>
          <w:color w:val="auto"/>
        </w:rPr>
        <w:t>–</w:t>
      </w:r>
      <w:r>
        <w:rPr>
          <w:rFonts w:ascii="Arial" w:cs="Arial" w:eastAsia="Arial" w:hAnsi="Arial"/>
          <w:sz w:val="16"/>
          <w:szCs w:val="16"/>
          <w:i w:val="1"/>
          <w:iCs w:val="1"/>
          <w:color w:val="auto"/>
        </w:rPr>
        <w:t xml:space="preserve"> Concentration of Credit Risk.)</w:t>
      </w:r>
    </w:p>
    <w:p>
      <w:pPr>
        <w:spacing w:after="0" w:line="17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Residential and Commercial Customers. </w:t>
      </w:r>
      <w:r>
        <w:rPr>
          <w:rFonts w:ascii="Arial" w:cs="Arial" w:eastAsia="Arial" w:hAnsi="Arial"/>
          <w:sz w:val="18"/>
          <w:szCs w:val="18"/>
          <w:color w:val="auto"/>
        </w:rPr>
        <w:t>In 2012, our residential and commercial customers represented 20 percent of total regulated utility kilowatt-hour</w:t>
      </w:r>
      <w:r>
        <w:rPr>
          <w:rFonts w:ascii="Arial" w:cs="Arial" w:eastAsia="Arial" w:hAnsi="Arial"/>
          <w:sz w:val="18"/>
          <w:szCs w:val="18"/>
          <w:b w:val="1"/>
          <w:bCs w:val="1"/>
          <w:color w:val="auto"/>
        </w:rPr>
        <w:t xml:space="preserve"> </w:t>
      </w:r>
      <w:r>
        <w:rPr>
          <w:rFonts w:ascii="Arial" w:cs="Arial" w:eastAsia="Arial" w:hAnsi="Arial"/>
          <w:sz w:val="18"/>
          <w:szCs w:val="18"/>
          <w:color w:val="auto"/>
        </w:rPr>
        <w:t>sales. Minnesota Power provides regulated utility electric service in northeastern Minnesota to approximately 143,000 residential and commercial customers. SWL&amp;P provides regulated electric, natural gas and water service in northwestern Wisconsin to approximately 15,000 electric customers, 12,000 natural gas customers and 10,000 water customers.</w:t>
      </w:r>
    </w:p>
    <w:p>
      <w:pPr>
        <w:spacing w:after="0" w:line="18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Municipal Customers. </w:t>
      </w:r>
      <w:r>
        <w:rPr>
          <w:rFonts w:ascii="Arial" w:cs="Arial" w:eastAsia="Arial" w:hAnsi="Arial"/>
          <w:sz w:val="18"/>
          <w:szCs w:val="18"/>
          <w:color w:val="auto"/>
        </w:rPr>
        <w:t>In 2012, our municipal customers represented 8 percent of total regulated utility kilowatt-hour sales, which included 16</w:t>
      </w:r>
      <w:r>
        <w:rPr>
          <w:rFonts w:ascii="Arial" w:cs="Arial" w:eastAsia="Arial" w:hAnsi="Arial"/>
          <w:sz w:val="18"/>
          <w:szCs w:val="18"/>
          <w:b w:val="1"/>
          <w:bCs w:val="1"/>
          <w:color w:val="auto"/>
        </w:rPr>
        <w:t xml:space="preserve"> </w:t>
      </w:r>
      <w:r>
        <w:rPr>
          <w:rFonts w:ascii="Arial" w:cs="Arial" w:eastAsia="Arial" w:hAnsi="Arial"/>
          <w:sz w:val="18"/>
          <w:szCs w:val="18"/>
          <w:color w:val="auto"/>
        </w:rPr>
        <w:t>municipalities in Minnesota and 1 private utility in Wisconsin. SWL&amp;P is also a private utility in Wisconsin and a customer of Minnesota Power. The private non-affiliated utility in Wisconsin, which requires 17 MW of average monthly demand, has submitted a cancellation notice with termination effective December 31, 2013. (See Item 1. Business – Regulated Operations – Regulatory Matters.)</w:t>
      </w:r>
    </w:p>
    <w:p>
      <w:pPr>
        <w:spacing w:after="0" w:line="18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Other Power Suppliers. </w:t>
      </w:r>
      <w:r>
        <w:rPr>
          <w:rFonts w:ascii="Arial" w:cs="Arial" w:eastAsia="Arial" w:hAnsi="Arial"/>
          <w:sz w:val="18"/>
          <w:szCs w:val="18"/>
          <w:color w:val="auto"/>
        </w:rPr>
        <w:t>The Company also enters into off-system sales with Other Power Suppliers. These sales are sold at market-based prices into the</w:t>
      </w:r>
      <w:r>
        <w:rPr>
          <w:rFonts w:ascii="Arial" w:cs="Arial" w:eastAsia="Arial" w:hAnsi="Arial"/>
          <w:sz w:val="18"/>
          <w:szCs w:val="18"/>
          <w:b w:val="1"/>
          <w:bCs w:val="1"/>
          <w:color w:val="auto"/>
        </w:rPr>
        <w:t xml:space="preserve"> </w:t>
      </w:r>
      <w:r>
        <w:rPr>
          <w:rFonts w:ascii="Arial" w:cs="Arial" w:eastAsia="Arial" w:hAnsi="Arial"/>
          <w:sz w:val="18"/>
          <w:szCs w:val="18"/>
          <w:color w:val="auto"/>
        </w:rPr>
        <w:t>MISO market on a daily basis or through bilateral agreements of various durations.</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Basin Power Sales Agreement. </w:t>
      </w:r>
      <w:r>
        <w:rPr>
          <w:rFonts w:ascii="Arial" w:cs="Arial" w:eastAsia="Arial" w:hAnsi="Arial"/>
          <w:sz w:val="18"/>
          <w:szCs w:val="18"/>
          <w:color w:val="auto"/>
        </w:rPr>
        <w:t>Minnesota Power entered into an agreement to sell 100 MW of capacity and energy to Basin for a ten-year period which began</w:t>
      </w:r>
      <w:r>
        <w:rPr>
          <w:rFonts w:ascii="Arial" w:cs="Arial" w:eastAsia="Arial" w:hAnsi="Arial"/>
          <w:sz w:val="18"/>
          <w:szCs w:val="18"/>
          <w:i w:val="1"/>
          <w:iCs w:val="1"/>
          <w:color w:val="auto"/>
        </w:rPr>
        <w:t xml:space="preserve"> </w:t>
      </w:r>
      <w:r>
        <w:rPr>
          <w:rFonts w:ascii="Arial" w:cs="Arial" w:eastAsia="Arial" w:hAnsi="Arial"/>
          <w:sz w:val="18"/>
          <w:szCs w:val="18"/>
          <w:color w:val="auto"/>
        </w:rPr>
        <w:t>in May 2010. The capacity charge is based on a fixed monthly schedule with a minimum annual escalation provision. The energy charge is based on a fixed monthly schedule and provides for annual escalation based on our cost of fuel. The agreement allows us to recover a pro rata share of increased costs related to emissions that may occur during the last five years of the contract.</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2012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364"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Regulated Operations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Power Suppliers (Continued)</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Minnkota Power Sales Agreement. </w:t>
      </w:r>
      <w:r>
        <w:rPr>
          <w:rFonts w:ascii="Arial" w:cs="Arial" w:eastAsia="Arial" w:hAnsi="Arial"/>
          <w:sz w:val="18"/>
          <w:szCs w:val="18"/>
          <w:color w:val="auto"/>
        </w:rPr>
        <w:t>In December 2009, Minnesota Power entered into a power sales agreement with Minnkota Power. Under the power sales</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Minnesota Power will sell a portion of its output from Square Butte to Minnkota Power, resulting in Minnkota Power’s net entitlement increasing and Minnesota Power’s net entitlement decreasing until Minnesota Power’s share is eliminated at the end of 2025. (See Note 11. Commitments, Guarantees and Contingencies.)</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 Supply</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order to meet our customers’ electric requirements, we utilize a mix of Company generation and purchased power. The Company’s generation is primarily coal-fired, but also includes approximately 91 MW of hydroelectric generation from ten hydro stations in Minnesota, 317 MW of nameplate capacity wind generation, and 81 MW of biomass co-fired generation. Purchased power consists of long-term coal, wind and hydro PPAs as well as market purchases. The following table reflects the Company’s generating capabilities as of December 31, 2012, and total electrical output for 2012. Minnesota Power had an annual net peak load of 1,633 MW on July 2, 2012.</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2012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364"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Regulated Operations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 Supply (Continued)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60" w:type="dxa"/>
            <w:vAlign w:val="bottom"/>
          </w:tcPr>
          <w:p>
            <w:pPr>
              <w:jc w:val="center"/>
              <w:ind w:left="811"/>
              <w:spacing w:after="0"/>
              <w:rPr>
                <w:sz w:val="20"/>
                <w:szCs w:val="20"/>
                <w:color w:val="auto"/>
              </w:rPr>
            </w:pPr>
            <w:r>
              <w:rPr>
                <w:rFonts w:ascii="Arial" w:cs="Arial" w:eastAsia="Arial" w:hAnsi="Arial"/>
                <w:sz w:val="18"/>
                <w:szCs w:val="18"/>
                <w:b w:val="1"/>
                <w:bCs w:val="1"/>
                <w:color w:val="auto"/>
                <w:w w:val="92"/>
              </w:rPr>
              <w:t>Year Ended</w:t>
            </w:r>
          </w:p>
        </w:tc>
        <w:tc>
          <w:tcPr>
            <w:tcW w:w="880" w:type="dxa"/>
            <w:vAlign w:val="bottom"/>
          </w:tcPr>
          <w:p>
            <w:pPr>
              <w:spacing w:after="0"/>
              <w:rPr>
                <w:sz w:val="20"/>
                <w:szCs w:val="20"/>
                <w:color w:val="auto"/>
              </w:rPr>
            </w:pPr>
          </w:p>
        </w:tc>
      </w:tr>
      <w:tr>
        <w:trPr>
          <w:trHeight w:val="270"/>
        </w:trPr>
        <w:tc>
          <w:tcPr>
            <w:tcW w:w="5060" w:type="dxa"/>
            <w:vAlign w:val="bottom"/>
          </w:tcPr>
          <w:p>
            <w:pPr>
              <w:spacing w:after="0"/>
              <w:rPr>
                <w:sz w:val="23"/>
                <w:szCs w:val="23"/>
                <w:color w:val="auto"/>
              </w:rPr>
            </w:pP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97"/>
              </w:rPr>
              <w:t>Unit</w:t>
            </w: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2"/>
              </w:rPr>
              <w:t>Year</w:t>
            </w: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89"/>
              </w:rPr>
              <w:t>Net</w:t>
            </w:r>
          </w:p>
        </w:tc>
        <w:tc>
          <w:tcPr>
            <w:tcW w:w="29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December 31, 2012</w:t>
            </w:r>
          </w:p>
        </w:tc>
      </w:tr>
      <w:tr>
        <w:trPr>
          <w:trHeight w:val="270"/>
        </w:trPr>
        <w:tc>
          <w:tcPr>
            <w:tcW w:w="5060" w:type="dxa"/>
            <w:vAlign w:val="bottom"/>
          </w:tcPr>
          <w:p>
            <w:pPr>
              <w:ind w:left="40"/>
              <w:spacing w:after="0"/>
              <w:rPr>
                <w:sz w:val="20"/>
                <w:szCs w:val="20"/>
                <w:color w:val="auto"/>
              </w:rPr>
            </w:pPr>
            <w:r>
              <w:rPr>
                <w:rFonts w:ascii="Arial" w:cs="Arial" w:eastAsia="Arial" w:hAnsi="Arial"/>
                <w:sz w:val="18"/>
                <w:szCs w:val="18"/>
                <w:b w:val="1"/>
                <w:bCs w:val="1"/>
                <w:color w:val="auto"/>
              </w:rPr>
              <w:t>Regulated Utility Power Supply</w:t>
            </w: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89"/>
              </w:rPr>
              <w:t>No.</w:t>
            </w: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0"/>
              </w:rPr>
              <w:t>Installed</w:t>
            </w: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95"/>
              </w:rPr>
              <w:t>Capability</w:t>
            </w:r>
          </w:p>
        </w:tc>
        <w:tc>
          <w:tcPr>
            <w:tcW w:w="29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Generation and Purchases</w:t>
            </w:r>
          </w:p>
        </w:tc>
      </w:tr>
      <w:tr>
        <w:trPr>
          <w:trHeight w:val="27"/>
        </w:trPr>
        <w:tc>
          <w:tcPr>
            <w:tcW w:w="50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50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rPr>
              <w:t>MW</w:t>
            </w:r>
          </w:p>
        </w:tc>
        <w:tc>
          <w:tcPr>
            <w:tcW w:w="2060" w:type="dxa"/>
            <w:vAlign w:val="bottom"/>
          </w:tcPr>
          <w:p>
            <w:pPr>
              <w:jc w:val="right"/>
              <w:ind w:right="951"/>
              <w:spacing w:after="0"/>
              <w:rPr>
                <w:sz w:val="20"/>
                <w:szCs w:val="20"/>
                <w:color w:val="auto"/>
              </w:rPr>
            </w:pPr>
            <w:r>
              <w:rPr>
                <w:rFonts w:ascii="Arial" w:cs="Arial" w:eastAsia="Arial" w:hAnsi="Arial"/>
                <w:sz w:val="18"/>
                <w:szCs w:val="18"/>
                <w:b w:val="1"/>
                <w:bCs w:val="1"/>
                <w:color w:val="auto"/>
              </w:rPr>
              <w:t>MWh</w:t>
            </w:r>
          </w:p>
        </w:tc>
        <w:tc>
          <w:tcPr>
            <w:tcW w:w="880" w:type="dxa"/>
            <w:vAlign w:val="bottom"/>
          </w:tcPr>
          <w:p>
            <w:pPr>
              <w:jc w:val="right"/>
              <w:ind w:right="510"/>
              <w:spacing w:after="0"/>
              <w:rPr>
                <w:sz w:val="20"/>
                <w:szCs w:val="20"/>
                <w:color w:val="auto"/>
              </w:rPr>
            </w:pPr>
            <w:r>
              <w:rPr>
                <w:rFonts w:ascii="Arial" w:cs="Arial" w:eastAsia="Arial" w:hAnsi="Arial"/>
                <w:sz w:val="18"/>
                <w:szCs w:val="18"/>
                <w:b w:val="1"/>
                <w:bCs w:val="1"/>
                <w:color w:val="auto"/>
              </w:rPr>
              <w:t>%</w:t>
            </w:r>
          </w:p>
        </w:tc>
      </w:tr>
      <w:tr>
        <w:trPr>
          <w:trHeight w:val="27"/>
        </w:trPr>
        <w:tc>
          <w:tcPr>
            <w:tcW w:w="50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Coal-Fired</w:t>
            </w:r>
          </w:p>
        </w:tc>
        <w:tc>
          <w:tcPr>
            <w:tcW w:w="10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5060" w:type="dxa"/>
            <w:vAlign w:val="bottom"/>
          </w:tcPr>
          <w:p>
            <w:pPr>
              <w:ind w:left="280"/>
              <w:spacing w:after="0"/>
              <w:rPr>
                <w:sz w:val="20"/>
                <w:szCs w:val="20"/>
                <w:color w:val="auto"/>
              </w:rPr>
            </w:pPr>
            <w:r>
              <w:rPr>
                <w:rFonts w:ascii="Arial" w:cs="Arial" w:eastAsia="Arial" w:hAnsi="Arial"/>
                <w:sz w:val="18"/>
                <w:szCs w:val="18"/>
                <w:color w:val="auto"/>
              </w:rPr>
              <w:t>Boswell Energy Center</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1958</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68</w:t>
            </w:r>
          </w:p>
        </w:tc>
        <w:tc>
          <w:tcPr>
            <w:tcW w:w="20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50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 Cohasset, MN</w:t>
            </w: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1960</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68</w:t>
            </w:r>
          </w:p>
        </w:tc>
        <w:tc>
          <w:tcPr>
            <w:tcW w:w="20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5060" w:type="dxa"/>
            <w:vAlign w:val="bottom"/>
          </w:tcPr>
          <w:p>
            <w:pPr>
              <w:spacing w:after="0"/>
              <w:rPr>
                <w:sz w:val="21"/>
                <w:szCs w:val="21"/>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1973</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362</w:t>
            </w:r>
          </w:p>
        </w:tc>
        <w:tc>
          <w:tcPr>
            <w:tcW w:w="20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50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64"/>
        </w:trPr>
        <w:tc>
          <w:tcPr>
            <w:tcW w:w="5060" w:type="dxa"/>
            <w:vAlign w:val="bottom"/>
            <w:shd w:val="clear" w:color="auto" w:fill="CCEEFF"/>
          </w:tcPr>
          <w:p>
            <w:pPr>
              <w:spacing w:after="0"/>
              <w:rPr>
                <w:sz w:val="22"/>
                <w:szCs w:val="22"/>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4</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1980</w:t>
            </w: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468</w:t>
            </w:r>
          </w:p>
        </w:tc>
        <w:tc>
          <w:tcPr>
            <w:tcW w:w="2060" w:type="dxa"/>
            <w:vAlign w:val="bottom"/>
            <w:shd w:val="clear" w:color="auto" w:fill="CCEEFF"/>
          </w:tcPr>
          <w:p>
            <w:pPr>
              <w:jc w:val="right"/>
              <w:ind w:right="1771"/>
              <w:spacing w:after="0"/>
              <w:rPr>
                <w:sz w:val="20"/>
                <w:szCs w:val="20"/>
                <w:color w:val="auto"/>
              </w:rPr>
            </w:pPr>
            <w:r>
              <w:rPr>
                <w:rFonts w:ascii="Arial" w:cs="Arial" w:eastAsia="Arial" w:hAnsi="Arial"/>
                <w:sz w:val="14"/>
                <w:szCs w:val="14"/>
                <w:i w:val="1"/>
                <w:iCs w:val="1"/>
                <w:color w:val="auto"/>
              </w:rPr>
              <w:t>(a)</w:t>
            </w:r>
          </w:p>
        </w:tc>
        <w:tc>
          <w:tcPr>
            <w:tcW w:w="880" w:type="dxa"/>
            <w:vAlign w:val="bottom"/>
            <w:shd w:val="clear" w:color="auto" w:fill="CCEEFF"/>
          </w:tcPr>
          <w:p>
            <w:pPr>
              <w:spacing w:after="0"/>
              <w:rPr>
                <w:sz w:val="22"/>
                <w:szCs w:val="22"/>
                <w:color w:val="auto"/>
              </w:rPr>
            </w:pPr>
          </w:p>
        </w:tc>
      </w:tr>
      <w:tr>
        <w:trPr>
          <w:trHeight w:val="243"/>
        </w:trPr>
        <w:tc>
          <w:tcPr>
            <w:tcW w:w="50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966</w:t>
            </w:r>
          </w:p>
        </w:tc>
        <w:tc>
          <w:tcPr>
            <w:tcW w:w="2060" w:type="dxa"/>
            <w:vAlign w:val="bottom"/>
          </w:tcPr>
          <w:p>
            <w:pPr>
              <w:jc w:val="right"/>
              <w:ind w:right="511"/>
              <w:spacing w:after="0"/>
              <w:rPr>
                <w:sz w:val="20"/>
                <w:szCs w:val="20"/>
                <w:color w:val="auto"/>
              </w:rPr>
            </w:pPr>
            <w:r>
              <w:rPr>
                <w:rFonts w:ascii="Arial" w:cs="Arial" w:eastAsia="Arial" w:hAnsi="Arial"/>
                <w:sz w:val="18"/>
                <w:szCs w:val="18"/>
                <w:color w:val="auto"/>
              </w:rPr>
              <w:t>6,484,096</w:t>
            </w:r>
          </w:p>
        </w:tc>
        <w:tc>
          <w:tcPr>
            <w:tcW w:w="880" w:type="dxa"/>
            <w:vAlign w:val="bottom"/>
          </w:tcPr>
          <w:p>
            <w:pPr>
              <w:jc w:val="right"/>
              <w:ind w:right="170"/>
              <w:spacing w:after="0"/>
              <w:rPr>
                <w:sz w:val="20"/>
                <w:szCs w:val="20"/>
                <w:color w:val="auto"/>
              </w:rPr>
            </w:pPr>
            <w:r>
              <w:rPr>
                <w:rFonts w:ascii="Arial" w:cs="Arial" w:eastAsia="Arial" w:hAnsi="Arial"/>
                <w:sz w:val="18"/>
                <w:szCs w:val="18"/>
                <w:color w:val="auto"/>
              </w:rPr>
              <w:t>48.6</w:t>
            </w:r>
          </w:p>
        </w:tc>
      </w:tr>
      <w:tr>
        <w:trPr>
          <w:trHeight w:val="27"/>
        </w:trPr>
        <w:tc>
          <w:tcPr>
            <w:tcW w:w="506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6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r>
      <w:tr>
        <w:trPr>
          <w:trHeight w:val="244"/>
        </w:trPr>
        <w:tc>
          <w:tcPr>
            <w:tcW w:w="5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Laskin Energy Center</w:t>
            </w: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1953</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w:t>
            </w:r>
          </w:p>
        </w:tc>
        <w:tc>
          <w:tcPr>
            <w:tcW w:w="20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5060" w:type="dxa"/>
            <w:vAlign w:val="bottom"/>
          </w:tcPr>
          <w:p>
            <w:pPr>
              <w:ind w:left="280"/>
              <w:spacing w:after="0"/>
              <w:rPr>
                <w:sz w:val="20"/>
                <w:szCs w:val="20"/>
                <w:color w:val="auto"/>
              </w:rPr>
            </w:pPr>
            <w:r>
              <w:rPr>
                <w:rFonts w:ascii="Arial" w:cs="Arial" w:eastAsia="Arial" w:hAnsi="Arial"/>
                <w:sz w:val="18"/>
                <w:szCs w:val="18"/>
                <w:color w:val="auto"/>
              </w:rPr>
              <w:t>in Hoyt Lakes, MN</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1953</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50</w:t>
            </w:r>
          </w:p>
        </w:tc>
        <w:tc>
          <w:tcPr>
            <w:tcW w:w="20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506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6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r>
      <w:tr>
        <w:trPr>
          <w:trHeight w:val="264"/>
        </w:trPr>
        <w:tc>
          <w:tcPr>
            <w:tcW w:w="50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97</w:t>
            </w:r>
          </w:p>
        </w:tc>
        <w:tc>
          <w:tcPr>
            <w:tcW w:w="2060" w:type="dxa"/>
            <w:vAlign w:val="bottom"/>
            <w:tcBorders>
              <w:bottom w:val="single" w:sz="8" w:color="CCEEFF"/>
            </w:tcBorders>
            <w:shd w:val="clear" w:color="auto" w:fill="CCEEFF"/>
          </w:tcPr>
          <w:p>
            <w:pPr>
              <w:jc w:val="right"/>
              <w:ind w:right="511"/>
              <w:spacing w:after="0"/>
              <w:rPr>
                <w:sz w:val="20"/>
                <w:szCs w:val="20"/>
                <w:color w:val="auto"/>
              </w:rPr>
            </w:pPr>
            <w:r>
              <w:rPr>
                <w:rFonts w:ascii="Arial" w:cs="Arial" w:eastAsia="Arial" w:hAnsi="Arial"/>
                <w:sz w:val="18"/>
                <w:szCs w:val="18"/>
                <w:color w:val="auto"/>
              </w:rPr>
              <w:t>368,364</w:t>
            </w:r>
          </w:p>
        </w:tc>
        <w:tc>
          <w:tcPr>
            <w:tcW w:w="8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2.8</w:t>
            </w:r>
          </w:p>
        </w:tc>
      </w:tr>
      <w:tr>
        <w:trPr>
          <w:trHeight w:val="237"/>
        </w:trPr>
        <w:tc>
          <w:tcPr>
            <w:tcW w:w="5060" w:type="dxa"/>
            <w:vAlign w:val="bottom"/>
          </w:tcPr>
          <w:p>
            <w:pPr>
              <w:ind w:left="280"/>
              <w:spacing w:after="0"/>
              <w:rPr>
                <w:sz w:val="20"/>
                <w:szCs w:val="20"/>
                <w:color w:val="auto"/>
              </w:rPr>
            </w:pPr>
            <w:r>
              <w:rPr>
                <w:rFonts w:ascii="Arial" w:cs="Arial" w:eastAsia="Arial" w:hAnsi="Arial"/>
                <w:sz w:val="18"/>
                <w:szCs w:val="18"/>
                <w:color w:val="auto"/>
              </w:rPr>
              <w:t>Taconite Harbor Energy Center</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1957</w:t>
            </w:r>
          </w:p>
        </w:tc>
        <w:tc>
          <w:tcPr>
            <w:tcW w:w="12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79</w:t>
            </w:r>
          </w:p>
        </w:tc>
        <w:tc>
          <w:tcPr>
            <w:tcW w:w="206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7"/>
        </w:trPr>
        <w:tc>
          <w:tcPr>
            <w:tcW w:w="50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 Schroeder, MN</w:t>
            </w: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1957</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76</w:t>
            </w:r>
          </w:p>
        </w:tc>
        <w:tc>
          <w:tcPr>
            <w:tcW w:w="20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5060" w:type="dxa"/>
            <w:vAlign w:val="bottom"/>
          </w:tcPr>
          <w:p>
            <w:pPr>
              <w:spacing w:after="0"/>
              <w:rPr>
                <w:sz w:val="21"/>
                <w:szCs w:val="21"/>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1967</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84</w:t>
            </w:r>
          </w:p>
        </w:tc>
        <w:tc>
          <w:tcPr>
            <w:tcW w:w="20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506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6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r>
      <w:tr>
        <w:trPr>
          <w:trHeight w:val="269"/>
        </w:trPr>
        <w:tc>
          <w:tcPr>
            <w:tcW w:w="50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239</w:t>
            </w:r>
          </w:p>
        </w:tc>
        <w:tc>
          <w:tcPr>
            <w:tcW w:w="2060" w:type="dxa"/>
            <w:vAlign w:val="bottom"/>
            <w:tcBorders>
              <w:bottom w:val="single" w:sz="8" w:color="CCEEFF"/>
            </w:tcBorders>
            <w:shd w:val="clear" w:color="auto" w:fill="CCEEFF"/>
          </w:tcPr>
          <w:p>
            <w:pPr>
              <w:jc w:val="right"/>
              <w:ind w:right="511"/>
              <w:spacing w:after="0"/>
              <w:rPr>
                <w:sz w:val="20"/>
                <w:szCs w:val="20"/>
                <w:color w:val="auto"/>
              </w:rPr>
            </w:pPr>
            <w:r>
              <w:rPr>
                <w:rFonts w:ascii="Arial" w:cs="Arial" w:eastAsia="Arial" w:hAnsi="Arial"/>
                <w:sz w:val="18"/>
                <w:szCs w:val="18"/>
                <w:color w:val="auto"/>
              </w:rPr>
              <w:t>872,319</w:t>
            </w:r>
          </w:p>
        </w:tc>
        <w:tc>
          <w:tcPr>
            <w:tcW w:w="8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6.4</w:t>
            </w:r>
          </w:p>
        </w:tc>
      </w:tr>
      <w:tr>
        <w:trPr>
          <w:trHeight w:val="237"/>
        </w:trPr>
        <w:tc>
          <w:tcPr>
            <w:tcW w:w="506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Total Coal</w:t>
            </w:r>
          </w:p>
        </w:tc>
        <w:tc>
          <w:tcPr>
            <w:tcW w:w="10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1,302</w:t>
            </w:r>
          </w:p>
        </w:tc>
        <w:tc>
          <w:tcPr>
            <w:tcW w:w="2060" w:type="dxa"/>
            <w:vAlign w:val="bottom"/>
            <w:tcBorders>
              <w:top w:val="single" w:sz="8" w:color="auto"/>
            </w:tcBorders>
          </w:tcPr>
          <w:p>
            <w:pPr>
              <w:jc w:val="right"/>
              <w:ind w:right="511"/>
              <w:spacing w:after="0"/>
              <w:rPr>
                <w:sz w:val="20"/>
                <w:szCs w:val="20"/>
                <w:color w:val="auto"/>
              </w:rPr>
            </w:pPr>
            <w:r>
              <w:rPr>
                <w:rFonts w:ascii="Arial" w:cs="Arial" w:eastAsia="Arial" w:hAnsi="Arial"/>
                <w:sz w:val="18"/>
                <w:szCs w:val="18"/>
                <w:color w:val="auto"/>
              </w:rPr>
              <w:t>7,724,779</w:t>
            </w:r>
          </w:p>
        </w:tc>
        <w:tc>
          <w:tcPr>
            <w:tcW w:w="8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57.8</w:t>
            </w:r>
          </w:p>
        </w:tc>
      </w:tr>
      <w:tr>
        <w:trPr>
          <w:trHeight w:val="27"/>
        </w:trPr>
        <w:tc>
          <w:tcPr>
            <w:tcW w:w="50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5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Biomass/Coal/Natural Gas</w:t>
            </w:r>
          </w:p>
        </w:tc>
        <w:tc>
          <w:tcPr>
            <w:tcW w:w="10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5060" w:type="dxa"/>
            <w:vAlign w:val="bottom"/>
          </w:tcPr>
          <w:p>
            <w:pPr>
              <w:ind w:left="280"/>
              <w:spacing w:after="0"/>
              <w:rPr>
                <w:sz w:val="20"/>
                <w:szCs w:val="20"/>
                <w:color w:val="auto"/>
              </w:rPr>
            </w:pPr>
            <w:r>
              <w:rPr>
                <w:rFonts w:ascii="Arial" w:cs="Arial" w:eastAsia="Arial" w:hAnsi="Arial"/>
                <w:sz w:val="18"/>
                <w:szCs w:val="18"/>
                <w:color w:val="auto"/>
              </w:rPr>
              <w:t>Hibbard Renewable Energy Center in Duluth, MN</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3 &amp; 4</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1949, 1951</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58</w:t>
            </w:r>
          </w:p>
        </w:tc>
        <w:tc>
          <w:tcPr>
            <w:tcW w:w="2060" w:type="dxa"/>
            <w:vAlign w:val="bottom"/>
          </w:tcPr>
          <w:p>
            <w:pPr>
              <w:jc w:val="right"/>
              <w:ind w:right="511"/>
              <w:spacing w:after="0"/>
              <w:rPr>
                <w:sz w:val="20"/>
                <w:szCs w:val="20"/>
                <w:color w:val="auto"/>
              </w:rPr>
            </w:pPr>
            <w:r>
              <w:rPr>
                <w:rFonts w:ascii="Arial" w:cs="Arial" w:eastAsia="Arial" w:hAnsi="Arial"/>
                <w:sz w:val="18"/>
                <w:szCs w:val="18"/>
                <w:color w:val="auto"/>
              </w:rPr>
              <w:t>20,332</w:t>
            </w:r>
          </w:p>
        </w:tc>
        <w:tc>
          <w:tcPr>
            <w:tcW w:w="880" w:type="dxa"/>
            <w:vAlign w:val="bottom"/>
          </w:tcPr>
          <w:p>
            <w:pPr>
              <w:jc w:val="right"/>
              <w:ind w:right="170"/>
              <w:spacing w:after="0"/>
              <w:rPr>
                <w:sz w:val="20"/>
                <w:szCs w:val="20"/>
                <w:color w:val="auto"/>
              </w:rPr>
            </w:pPr>
            <w:r>
              <w:rPr>
                <w:rFonts w:ascii="Arial" w:cs="Arial" w:eastAsia="Arial" w:hAnsi="Arial"/>
                <w:sz w:val="18"/>
                <w:szCs w:val="18"/>
                <w:color w:val="auto"/>
              </w:rPr>
              <w:t>0.2</w:t>
            </w:r>
          </w:p>
        </w:tc>
      </w:tr>
      <w:tr>
        <w:trPr>
          <w:trHeight w:val="27"/>
        </w:trPr>
        <w:tc>
          <w:tcPr>
            <w:tcW w:w="50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5"/>
        </w:trPr>
        <w:tc>
          <w:tcPr>
            <w:tcW w:w="50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Cloquet Energy Center in Cloquet, MN</w:t>
            </w: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5</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2001</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w:t>
            </w:r>
          </w:p>
        </w:tc>
        <w:tc>
          <w:tcPr>
            <w:tcW w:w="2060" w:type="dxa"/>
            <w:vAlign w:val="bottom"/>
            <w:tcBorders>
              <w:bottom w:val="single" w:sz="8" w:color="CCEEFF"/>
            </w:tcBorders>
            <w:shd w:val="clear" w:color="auto" w:fill="CCEEFF"/>
          </w:tcPr>
          <w:p>
            <w:pPr>
              <w:jc w:val="right"/>
              <w:ind w:right="511"/>
              <w:spacing w:after="0"/>
              <w:rPr>
                <w:sz w:val="20"/>
                <w:szCs w:val="20"/>
                <w:color w:val="auto"/>
              </w:rPr>
            </w:pPr>
            <w:r>
              <w:rPr>
                <w:rFonts w:ascii="Arial" w:cs="Arial" w:eastAsia="Arial" w:hAnsi="Arial"/>
                <w:sz w:val="18"/>
                <w:szCs w:val="18"/>
                <w:color w:val="auto"/>
              </w:rPr>
              <w:t>66,803</w:t>
            </w:r>
          </w:p>
        </w:tc>
        <w:tc>
          <w:tcPr>
            <w:tcW w:w="8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0.5</w:t>
            </w:r>
          </w:p>
        </w:tc>
      </w:tr>
      <w:tr>
        <w:trPr>
          <w:trHeight w:val="237"/>
        </w:trPr>
        <w:tc>
          <w:tcPr>
            <w:tcW w:w="506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Total Biomass/Coal/Natural Gas</w:t>
            </w:r>
          </w:p>
        </w:tc>
        <w:tc>
          <w:tcPr>
            <w:tcW w:w="10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81</w:t>
            </w:r>
          </w:p>
        </w:tc>
        <w:tc>
          <w:tcPr>
            <w:tcW w:w="2060" w:type="dxa"/>
            <w:vAlign w:val="bottom"/>
            <w:tcBorders>
              <w:top w:val="single" w:sz="8" w:color="auto"/>
            </w:tcBorders>
          </w:tcPr>
          <w:p>
            <w:pPr>
              <w:jc w:val="right"/>
              <w:ind w:right="511"/>
              <w:spacing w:after="0"/>
              <w:rPr>
                <w:sz w:val="20"/>
                <w:szCs w:val="20"/>
                <w:color w:val="auto"/>
              </w:rPr>
            </w:pPr>
            <w:r>
              <w:rPr>
                <w:rFonts w:ascii="Arial" w:cs="Arial" w:eastAsia="Arial" w:hAnsi="Arial"/>
                <w:sz w:val="18"/>
                <w:szCs w:val="18"/>
                <w:color w:val="auto"/>
              </w:rPr>
              <w:t>87,135</w:t>
            </w:r>
          </w:p>
        </w:tc>
        <w:tc>
          <w:tcPr>
            <w:tcW w:w="8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0.7</w:t>
            </w:r>
          </w:p>
        </w:tc>
      </w:tr>
      <w:tr>
        <w:trPr>
          <w:trHeight w:val="27"/>
        </w:trPr>
        <w:tc>
          <w:tcPr>
            <w:tcW w:w="50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5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Hydro </w:t>
            </w:r>
            <w:r>
              <w:rPr>
                <w:rFonts w:ascii="Arial" w:cs="Arial" w:eastAsia="Arial" w:hAnsi="Arial"/>
                <w:sz w:val="16"/>
                <w:szCs w:val="16"/>
                <w:i w:val="1"/>
                <w:iCs w:val="1"/>
                <w:color w:val="auto"/>
              </w:rPr>
              <w:t>(b)</w:t>
            </w:r>
          </w:p>
        </w:tc>
        <w:tc>
          <w:tcPr>
            <w:tcW w:w="10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5060" w:type="dxa"/>
            <w:vAlign w:val="bottom"/>
          </w:tcPr>
          <w:p>
            <w:pPr>
              <w:ind w:left="280"/>
              <w:spacing w:after="0"/>
              <w:rPr>
                <w:sz w:val="20"/>
                <w:szCs w:val="20"/>
                <w:color w:val="auto"/>
              </w:rPr>
            </w:pPr>
            <w:r>
              <w:rPr>
                <w:rFonts w:ascii="Arial" w:cs="Arial" w:eastAsia="Arial" w:hAnsi="Arial"/>
                <w:sz w:val="18"/>
                <w:szCs w:val="18"/>
                <w:color w:val="auto"/>
              </w:rPr>
              <w:t>Group consisting of ten stations in MN</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Multiple</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Multiple</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91</w:t>
            </w:r>
          </w:p>
        </w:tc>
        <w:tc>
          <w:tcPr>
            <w:tcW w:w="2060" w:type="dxa"/>
            <w:vAlign w:val="bottom"/>
          </w:tcPr>
          <w:p>
            <w:pPr>
              <w:jc w:val="right"/>
              <w:ind w:right="511"/>
              <w:spacing w:after="0"/>
              <w:rPr>
                <w:sz w:val="20"/>
                <w:szCs w:val="20"/>
                <w:color w:val="auto"/>
              </w:rPr>
            </w:pPr>
            <w:r>
              <w:rPr>
                <w:rFonts w:ascii="Arial" w:cs="Arial" w:eastAsia="Arial" w:hAnsi="Arial"/>
                <w:sz w:val="18"/>
                <w:szCs w:val="18"/>
                <w:color w:val="auto"/>
              </w:rPr>
              <w:t>285,118</w:t>
            </w:r>
          </w:p>
        </w:tc>
        <w:tc>
          <w:tcPr>
            <w:tcW w:w="880" w:type="dxa"/>
            <w:vAlign w:val="bottom"/>
          </w:tcPr>
          <w:p>
            <w:pPr>
              <w:jc w:val="right"/>
              <w:ind w:right="170"/>
              <w:spacing w:after="0"/>
              <w:rPr>
                <w:sz w:val="20"/>
                <w:szCs w:val="20"/>
                <w:color w:val="auto"/>
              </w:rPr>
            </w:pPr>
            <w:r>
              <w:rPr>
                <w:rFonts w:ascii="Arial" w:cs="Arial" w:eastAsia="Arial" w:hAnsi="Arial"/>
                <w:sz w:val="18"/>
                <w:szCs w:val="18"/>
                <w:color w:val="auto"/>
              </w:rPr>
              <w:t>2.1</w:t>
            </w:r>
          </w:p>
        </w:tc>
      </w:tr>
      <w:tr>
        <w:trPr>
          <w:trHeight w:val="27"/>
        </w:trPr>
        <w:tc>
          <w:tcPr>
            <w:tcW w:w="50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5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Wind </w:t>
            </w:r>
            <w:r>
              <w:rPr>
                <w:rFonts w:ascii="Arial" w:cs="Arial" w:eastAsia="Arial" w:hAnsi="Arial"/>
                <w:sz w:val="16"/>
                <w:szCs w:val="16"/>
                <w:i w:val="1"/>
                <w:iCs w:val="1"/>
                <w:color w:val="auto"/>
              </w:rPr>
              <w:t>(c)</w:t>
            </w:r>
          </w:p>
        </w:tc>
        <w:tc>
          <w:tcPr>
            <w:tcW w:w="10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5060" w:type="dxa"/>
            <w:vAlign w:val="bottom"/>
          </w:tcPr>
          <w:p>
            <w:pPr>
              <w:ind w:left="280"/>
              <w:spacing w:after="0"/>
              <w:rPr>
                <w:sz w:val="20"/>
                <w:szCs w:val="20"/>
                <w:color w:val="auto"/>
              </w:rPr>
            </w:pPr>
            <w:r>
              <w:rPr>
                <w:rFonts w:ascii="Arial" w:cs="Arial" w:eastAsia="Arial" w:hAnsi="Arial"/>
                <w:sz w:val="18"/>
                <w:szCs w:val="18"/>
                <w:color w:val="auto"/>
              </w:rPr>
              <w:t>Taconite Ridge Energy Center in Mt. Iron, MN</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Multiple</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2008</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2060" w:type="dxa"/>
            <w:vAlign w:val="bottom"/>
          </w:tcPr>
          <w:p>
            <w:pPr>
              <w:jc w:val="right"/>
              <w:ind w:right="511"/>
              <w:spacing w:after="0"/>
              <w:rPr>
                <w:sz w:val="20"/>
                <w:szCs w:val="20"/>
                <w:color w:val="auto"/>
              </w:rPr>
            </w:pPr>
            <w:r>
              <w:rPr>
                <w:rFonts w:ascii="Arial" w:cs="Arial" w:eastAsia="Arial" w:hAnsi="Arial"/>
                <w:sz w:val="18"/>
                <w:szCs w:val="18"/>
                <w:color w:val="auto"/>
              </w:rPr>
              <w:t>62,393</w:t>
            </w:r>
          </w:p>
        </w:tc>
        <w:tc>
          <w:tcPr>
            <w:tcW w:w="880" w:type="dxa"/>
            <w:vAlign w:val="bottom"/>
          </w:tcPr>
          <w:p>
            <w:pPr>
              <w:jc w:val="right"/>
              <w:ind w:right="170"/>
              <w:spacing w:after="0"/>
              <w:rPr>
                <w:sz w:val="20"/>
                <w:szCs w:val="20"/>
                <w:color w:val="auto"/>
              </w:rPr>
            </w:pPr>
            <w:r>
              <w:rPr>
                <w:rFonts w:ascii="Arial" w:cs="Arial" w:eastAsia="Arial" w:hAnsi="Arial"/>
                <w:sz w:val="18"/>
                <w:szCs w:val="18"/>
                <w:color w:val="auto"/>
              </w:rPr>
              <w:t>0.5</w:t>
            </w:r>
          </w:p>
        </w:tc>
      </w:tr>
      <w:tr>
        <w:trPr>
          <w:trHeight w:val="27"/>
        </w:trPr>
        <w:tc>
          <w:tcPr>
            <w:tcW w:w="50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5"/>
        </w:trPr>
        <w:tc>
          <w:tcPr>
            <w:tcW w:w="5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96"/>
              </w:rPr>
              <w:t>Bison Wind Energy Center in Oliver and Morton Counties, ND</w:t>
            </w: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Multiple</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2010-2012</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w:t>
            </w:r>
          </w:p>
        </w:tc>
        <w:tc>
          <w:tcPr>
            <w:tcW w:w="2060" w:type="dxa"/>
            <w:vAlign w:val="bottom"/>
            <w:tcBorders>
              <w:bottom w:val="single" w:sz="8" w:color="CCEEFF"/>
            </w:tcBorders>
            <w:shd w:val="clear" w:color="auto" w:fill="CCEEFF"/>
          </w:tcPr>
          <w:p>
            <w:pPr>
              <w:jc w:val="right"/>
              <w:ind w:right="511"/>
              <w:spacing w:after="0"/>
              <w:rPr>
                <w:sz w:val="20"/>
                <w:szCs w:val="20"/>
                <w:color w:val="auto"/>
              </w:rPr>
            </w:pPr>
            <w:r>
              <w:rPr>
                <w:rFonts w:ascii="Arial" w:cs="Arial" w:eastAsia="Arial" w:hAnsi="Arial"/>
                <w:sz w:val="18"/>
                <w:szCs w:val="18"/>
                <w:color w:val="auto"/>
              </w:rPr>
              <w:t>280,869</w:t>
            </w:r>
          </w:p>
        </w:tc>
        <w:tc>
          <w:tcPr>
            <w:tcW w:w="8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2.1</w:t>
            </w:r>
          </w:p>
        </w:tc>
      </w:tr>
      <w:tr>
        <w:trPr>
          <w:trHeight w:val="237"/>
        </w:trPr>
        <w:tc>
          <w:tcPr>
            <w:tcW w:w="506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Total Wind</w:t>
            </w:r>
          </w:p>
        </w:tc>
        <w:tc>
          <w:tcPr>
            <w:tcW w:w="10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46</w:t>
            </w:r>
          </w:p>
        </w:tc>
        <w:tc>
          <w:tcPr>
            <w:tcW w:w="2060" w:type="dxa"/>
            <w:vAlign w:val="bottom"/>
            <w:tcBorders>
              <w:top w:val="single" w:sz="8" w:color="auto"/>
            </w:tcBorders>
          </w:tcPr>
          <w:p>
            <w:pPr>
              <w:jc w:val="right"/>
              <w:ind w:right="511"/>
              <w:spacing w:after="0"/>
              <w:rPr>
                <w:sz w:val="20"/>
                <w:szCs w:val="20"/>
                <w:color w:val="auto"/>
              </w:rPr>
            </w:pPr>
            <w:r>
              <w:rPr>
                <w:rFonts w:ascii="Arial" w:cs="Arial" w:eastAsia="Arial" w:hAnsi="Arial"/>
                <w:sz w:val="18"/>
                <w:szCs w:val="18"/>
                <w:color w:val="auto"/>
              </w:rPr>
              <w:t>343,262</w:t>
            </w:r>
          </w:p>
        </w:tc>
        <w:tc>
          <w:tcPr>
            <w:tcW w:w="8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2.6</w:t>
            </w:r>
          </w:p>
        </w:tc>
      </w:tr>
      <w:tr>
        <w:trPr>
          <w:trHeight w:val="27"/>
        </w:trPr>
        <w:tc>
          <w:tcPr>
            <w:tcW w:w="50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50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Company Generation</w:t>
            </w:r>
          </w:p>
        </w:tc>
        <w:tc>
          <w:tcPr>
            <w:tcW w:w="10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1,520</w:t>
            </w:r>
          </w:p>
        </w:tc>
        <w:tc>
          <w:tcPr>
            <w:tcW w:w="2060" w:type="dxa"/>
            <w:vAlign w:val="bottom"/>
            <w:tcBorders>
              <w:bottom w:val="single" w:sz="8" w:color="CCEEFF"/>
            </w:tcBorders>
            <w:shd w:val="clear" w:color="auto" w:fill="CCEEFF"/>
          </w:tcPr>
          <w:p>
            <w:pPr>
              <w:jc w:val="right"/>
              <w:ind w:right="511"/>
              <w:spacing w:after="0"/>
              <w:rPr>
                <w:sz w:val="20"/>
                <w:szCs w:val="20"/>
                <w:color w:val="auto"/>
              </w:rPr>
            </w:pPr>
            <w:r>
              <w:rPr>
                <w:rFonts w:ascii="Arial" w:cs="Arial" w:eastAsia="Arial" w:hAnsi="Arial"/>
                <w:sz w:val="18"/>
                <w:szCs w:val="18"/>
                <w:color w:val="auto"/>
              </w:rPr>
              <w:t>8,440,294</w:t>
            </w:r>
          </w:p>
        </w:tc>
        <w:tc>
          <w:tcPr>
            <w:tcW w:w="8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63.2</w:t>
            </w:r>
          </w:p>
        </w:tc>
      </w:tr>
      <w:tr>
        <w:trPr>
          <w:trHeight w:val="237"/>
        </w:trPr>
        <w:tc>
          <w:tcPr>
            <w:tcW w:w="50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Long-Term Purchased Power</w:t>
            </w:r>
          </w:p>
        </w:tc>
        <w:tc>
          <w:tcPr>
            <w:tcW w:w="10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20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r>
      <w:tr>
        <w:trPr>
          <w:trHeight w:val="27"/>
        </w:trPr>
        <w:tc>
          <w:tcPr>
            <w:tcW w:w="50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Lignite Coal - Square Butte near Center, ND</w:t>
            </w:r>
          </w:p>
        </w:tc>
        <w:tc>
          <w:tcPr>
            <w:tcW w:w="10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ind w:right="511"/>
              <w:spacing w:after="0"/>
              <w:rPr>
                <w:sz w:val="20"/>
                <w:szCs w:val="20"/>
                <w:color w:val="auto"/>
              </w:rPr>
            </w:pPr>
            <w:r>
              <w:rPr>
                <w:rFonts w:ascii="Arial" w:cs="Arial" w:eastAsia="Arial" w:hAnsi="Arial"/>
                <w:sz w:val="18"/>
                <w:szCs w:val="18"/>
                <w:color w:val="auto"/>
              </w:rPr>
              <w:t>1,630,776</w:t>
            </w:r>
          </w:p>
        </w:tc>
        <w:tc>
          <w:tcPr>
            <w:tcW w:w="8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12.2</w:t>
            </w:r>
          </w:p>
        </w:tc>
      </w:tr>
      <w:tr>
        <w:trPr>
          <w:trHeight w:val="243"/>
        </w:trPr>
        <w:tc>
          <w:tcPr>
            <w:tcW w:w="5060" w:type="dxa"/>
            <w:vAlign w:val="bottom"/>
          </w:tcPr>
          <w:p>
            <w:pPr>
              <w:ind w:left="280"/>
              <w:spacing w:after="0"/>
              <w:rPr>
                <w:sz w:val="20"/>
                <w:szCs w:val="20"/>
                <w:color w:val="auto"/>
              </w:rPr>
            </w:pPr>
            <w:r>
              <w:rPr>
                <w:rFonts w:ascii="Arial" w:cs="Arial" w:eastAsia="Arial" w:hAnsi="Arial"/>
                <w:sz w:val="18"/>
                <w:szCs w:val="18"/>
                <w:color w:val="auto"/>
              </w:rPr>
              <w:t>Wind - Oliver County, ND</w:t>
            </w:r>
          </w:p>
        </w:tc>
        <w:tc>
          <w:tcPr>
            <w:tcW w:w="10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060" w:type="dxa"/>
            <w:vAlign w:val="bottom"/>
          </w:tcPr>
          <w:p>
            <w:pPr>
              <w:jc w:val="right"/>
              <w:ind w:right="511"/>
              <w:spacing w:after="0"/>
              <w:rPr>
                <w:sz w:val="20"/>
                <w:szCs w:val="20"/>
                <w:color w:val="auto"/>
              </w:rPr>
            </w:pPr>
            <w:r>
              <w:rPr>
                <w:rFonts w:ascii="Arial" w:cs="Arial" w:eastAsia="Arial" w:hAnsi="Arial"/>
                <w:sz w:val="18"/>
                <w:szCs w:val="18"/>
                <w:color w:val="auto"/>
              </w:rPr>
              <w:t>341,105</w:t>
            </w:r>
          </w:p>
        </w:tc>
        <w:tc>
          <w:tcPr>
            <w:tcW w:w="880" w:type="dxa"/>
            <w:vAlign w:val="bottom"/>
          </w:tcPr>
          <w:p>
            <w:pPr>
              <w:jc w:val="right"/>
              <w:ind w:right="170"/>
              <w:spacing w:after="0"/>
              <w:rPr>
                <w:sz w:val="20"/>
                <w:szCs w:val="20"/>
                <w:color w:val="auto"/>
              </w:rPr>
            </w:pPr>
            <w:r>
              <w:rPr>
                <w:rFonts w:ascii="Arial" w:cs="Arial" w:eastAsia="Arial" w:hAnsi="Arial"/>
                <w:sz w:val="18"/>
                <w:szCs w:val="18"/>
                <w:color w:val="auto"/>
              </w:rPr>
              <w:t>2.6</w:t>
            </w:r>
          </w:p>
        </w:tc>
      </w:tr>
      <w:tr>
        <w:trPr>
          <w:trHeight w:val="27"/>
        </w:trPr>
        <w:tc>
          <w:tcPr>
            <w:tcW w:w="50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5"/>
        </w:trPr>
        <w:tc>
          <w:tcPr>
            <w:tcW w:w="5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Hydro - Manitoba Hydro in Winnipeg, MB, Canada</w:t>
            </w:r>
          </w:p>
        </w:tc>
        <w:tc>
          <w:tcPr>
            <w:tcW w:w="10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spacing w:after="0"/>
              <w:rPr>
                <w:sz w:val="23"/>
                <w:szCs w:val="23"/>
                <w:color w:val="auto"/>
              </w:rPr>
            </w:pPr>
          </w:p>
        </w:tc>
        <w:tc>
          <w:tcPr>
            <w:tcW w:w="2060" w:type="dxa"/>
            <w:vAlign w:val="bottom"/>
            <w:tcBorders>
              <w:bottom w:val="single" w:sz="8" w:color="CCEEFF"/>
            </w:tcBorders>
            <w:shd w:val="clear" w:color="auto" w:fill="CCEEFF"/>
          </w:tcPr>
          <w:p>
            <w:pPr>
              <w:jc w:val="right"/>
              <w:ind w:right="511"/>
              <w:spacing w:after="0"/>
              <w:rPr>
                <w:sz w:val="20"/>
                <w:szCs w:val="20"/>
                <w:color w:val="auto"/>
              </w:rPr>
            </w:pPr>
            <w:r>
              <w:rPr>
                <w:rFonts w:ascii="Arial" w:cs="Arial" w:eastAsia="Arial" w:hAnsi="Arial"/>
                <w:sz w:val="18"/>
                <w:szCs w:val="18"/>
                <w:color w:val="auto"/>
              </w:rPr>
              <w:t>359,395</w:t>
            </w:r>
          </w:p>
        </w:tc>
        <w:tc>
          <w:tcPr>
            <w:tcW w:w="8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2.7</w:t>
            </w:r>
          </w:p>
        </w:tc>
      </w:tr>
      <w:tr>
        <w:trPr>
          <w:trHeight w:val="237"/>
        </w:trPr>
        <w:tc>
          <w:tcPr>
            <w:tcW w:w="506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Total Long-Term Purchased Power</w:t>
            </w:r>
          </w:p>
        </w:tc>
        <w:tc>
          <w:tcPr>
            <w:tcW w:w="10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2060" w:type="dxa"/>
            <w:vAlign w:val="bottom"/>
            <w:tcBorders>
              <w:top w:val="single" w:sz="8" w:color="auto"/>
            </w:tcBorders>
          </w:tcPr>
          <w:p>
            <w:pPr>
              <w:jc w:val="right"/>
              <w:ind w:right="511"/>
              <w:spacing w:after="0"/>
              <w:rPr>
                <w:sz w:val="20"/>
                <w:szCs w:val="20"/>
                <w:color w:val="auto"/>
              </w:rPr>
            </w:pPr>
            <w:r>
              <w:rPr>
                <w:rFonts w:ascii="Arial" w:cs="Arial" w:eastAsia="Arial" w:hAnsi="Arial"/>
                <w:sz w:val="18"/>
                <w:szCs w:val="18"/>
                <w:color w:val="auto"/>
              </w:rPr>
              <w:t>2,331,276</w:t>
            </w:r>
          </w:p>
        </w:tc>
        <w:tc>
          <w:tcPr>
            <w:tcW w:w="8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17.5</w:t>
            </w:r>
          </w:p>
        </w:tc>
      </w:tr>
      <w:tr>
        <w:trPr>
          <w:trHeight w:val="27"/>
        </w:trPr>
        <w:tc>
          <w:tcPr>
            <w:tcW w:w="50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5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Other Purchased Power </w:t>
            </w:r>
            <w:r>
              <w:rPr>
                <w:rFonts w:ascii="Arial" w:cs="Arial" w:eastAsia="Arial" w:hAnsi="Arial"/>
                <w:sz w:val="16"/>
                <w:szCs w:val="16"/>
                <w:i w:val="1"/>
                <w:iCs w:val="1"/>
                <w:color w:val="auto"/>
              </w:rPr>
              <w:t>(d</w:t>
            </w:r>
            <w:r>
              <w:rPr>
                <w:rFonts w:ascii="Arial" w:cs="Arial" w:eastAsia="Arial" w:hAnsi="Arial"/>
                <w:sz w:val="14"/>
                <w:szCs w:val="14"/>
                <w:i w:val="1"/>
                <w:iCs w:val="1"/>
                <w:color w:val="auto"/>
              </w:rPr>
              <w:t>)</w:t>
            </w:r>
          </w:p>
        </w:tc>
        <w:tc>
          <w:tcPr>
            <w:tcW w:w="10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2060" w:type="dxa"/>
            <w:vAlign w:val="bottom"/>
            <w:tcBorders>
              <w:bottom w:val="single" w:sz="8" w:color="CCEEFF"/>
            </w:tcBorders>
            <w:shd w:val="clear" w:color="auto" w:fill="CCEEFF"/>
          </w:tcPr>
          <w:p>
            <w:pPr>
              <w:jc w:val="right"/>
              <w:ind w:right="511"/>
              <w:spacing w:after="0"/>
              <w:rPr>
                <w:sz w:val="20"/>
                <w:szCs w:val="20"/>
                <w:color w:val="auto"/>
              </w:rPr>
            </w:pPr>
            <w:r>
              <w:rPr>
                <w:rFonts w:ascii="Arial" w:cs="Arial" w:eastAsia="Arial" w:hAnsi="Arial"/>
                <w:sz w:val="18"/>
                <w:szCs w:val="18"/>
                <w:color w:val="auto"/>
              </w:rPr>
              <w:t>2,577,648</w:t>
            </w:r>
          </w:p>
        </w:tc>
        <w:tc>
          <w:tcPr>
            <w:tcW w:w="8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19.3</w:t>
            </w:r>
          </w:p>
        </w:tc>
      </w:tr>
      <w:tr>
        <w:trPr>
          <w:trHeight w:val="237"/>
        </w:trPr>
        <w:tc>
          <w:tcPr>
            <w:tcW w:w="5060" w:type="dxa"/>
            <w:vAlign w:val="bottom"/>
            <w:tcBorders>
              <w:top w:val="single" w:sz="8" w:color="auto"/>
            </w:tcBorders>
          </w:tcPr>
          <w:p>
            <w:pPr>
              <w:ind w:left="520"/>
              <w:spacing w:after="0"/>
              <w:rPr>
                <w:sz w:val="20"/>
                <w:szCs w:val="20"/>
                <w:color w:val="auto"/>
              </w:rPr>
            </w:pPr>
            <w:r>
              <w:rPr>
                <w:rFonts w:ascii="Arial" w:cs="Arial" w:eastAsia="Arial" w:hAnsi="Arial"/>
                <w:sz w:val="18"/>
                <w:szCs w:val="18"/>
                <w:color w:val="auto"/>
              </w:rPr>
              <w:t>Total Purchased Power</w:t>
            </w:r>
          </w:p>
        </w:tc>
        <w:tc>
          <w:tcPr>
            <w:tcW w:w="10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2060" w:type="dxa"/>
            <w:vAlign w:val="bottom"/>
            <w:tcBorders>
              <w:top w:val="single" w:sz="8" w:color="auto"/>
            </w:tcBorders>
          </w:tcPr>
          <w:p>
            <w:pPr>
              <w:jc w:val="right"/>
              <w:ind w:right="511"/>
              <w:spacing w:after="0"/>
              <w:rPr>
                <w:sz w:val="20"/>
                <w:szCs w:val="20"/>
                <w:color w:val="auto"/>
              </w:rPr>
            </w:pPr>
            <w:r>
              <w:rPr>
                <w:rFonts w:ascii="Arial" w:cs="Arial" w:eastAsia="Arial" w:hAnsi="Arial"/>
                <w:sz w:val="18"/>
                <w:szCs w:val="18"/>
                <w:color w:val="auto"/>
              </w:rPr>
              <w:t>4,908,924</w:t>
            </w:r>
          </w:p>
        </w:tc>
        <w:tc>
          <w:tcPr>
            <w:tcW w:w="8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36.8</w:t>
            </w:r>
          </w:p>
        </w:tc>
      </w:tr>
      <w:tr>
        <w:trPr>
          <w:trHeight w:val="27"/>
        </w:trPr>
        <w:tc>
          <w:tcPr>
            <w:tcW w:w="50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50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Total</w:t>
            </w:r>
          </w:p>
        </w:tc>
        <w:tc>
          <w:tcPr>
            <w:tcW w:w="10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1,520</w:t>
            </w:r>
          </w:p>
        </w:tc>
        <w:tc>
          <w:tcPr>
            <w:tcW w:w="2060" w:type="dxa"/>
            <w:vAlign w:val="bottom"/>
            <w:tcBorders>
              <w:bottom w:val="single" w:sz="8" w:color="CCEEFF"/>
            </w:tcBorders>
            <w:shd w:val="clear" w:color="auto" w:fill="CCEEFF"/>
          </w:tcPr>
          <w:p>
            <w:pPr>
              <w:jc w:val="right"/>
              <w:ind w:right="511"/>
              <w:spacing w:after="0"/>
              <w:rPr>
                <w:sz w:val="20"/>
                <w:szCs w:val="20"/>
                <w:color w:val="auto"/>
              </w:rPr>
            </w:pPr>
            <w:r>
              <w:rPr>
                <w:rFonts w:ascii="Arial" w:cs="Arial" w:eastAsia="Arial" w:hAnsi="Arial"/>
                <w:sz w:val="18"/>
                <w:szCs w:val="18"/>
                <w:color w:val="auto"/>
              </w:rPr>
              <w:t>13,349,218</w:t>
            </w:r>
          </w:p>
        </w:tc>
        <w:tc>
          <w:tcPr>
            <w:tcW w:w="8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100.0</w:t>
            </w:r>
          </w:p>
        </w:tc>
      </w:tr>
      <w:tr>
        <w:trPr>
          <w:trHeight w:val="20"/>
        </w:trPr>
        <w:tc>
          <w:tcPr>
            <w:tcW w:w="50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0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r>
    </w:tbl>
    <w:p>
      <w:pPr>
        <w:ind w:left="340" w:hanging="332"/>
        <w:spacing w:after="0" w:line="249" w:lineRule="auto"/>
        <w:tabs>
          <w:tab w:leader="none" w:pos="340" w:val="left"/>
        </w:tabs>
        <w:numPr>
          <w:ilvl w:val="0"/>
          <w:numId w:val="6"/>
        </w:numPr>
        <w:rPr>
          <w:rFonts w:ascii="Arial" w:cs="Arial" w:eastAsia="Arial" w:hAnsi="Arial"/>
          <w:sz w:val="16"/>
          <w:szCs w:val="16"/>
          <w:i w:val="1"/>
          <w:iCs w:val="1"/>
          <w:color w:val="auto"/>
        </w:rPr>
      </w:pPr>
      <w:r>
        <w:rPr>
          <w:rFonts w:ascii="Arial" w:cs="Arial" w:eastAsia="Arial" w:hAnsi="Arial"/>
          <w:sz w:val="16"/>
          <w:szCs w:val="16"/>
          <w:i w:val="1"/>
          <w:iCs w:val="1"/>
          <w:color w:val="auto"/>
        </w:rPr>
        <w:t>Boswell Unit 4 net capability shown above reflects Minnesota Power’s ownership percentage of 80 percent. WPPI Energy owns 20 percent of Boswell Unit 4. (See Note 4. Jointly-Owned Facilities.)</w:t>
      </w:r>
    </w:p>
    <w:p>
      <w:pPr>
        <w:jc w:val="both"/>
        <w:ind w:left="340" w:hanging="332"/>
        <w:spacing w:after="0" w:line="246" w:lineRule="auto"/>
        <w:tabs>
          <w:tab w:leader="none" w:pos="340" w:val="left"/>
        </w:tabs>
        <w:numPr>
          <w:ilvl w:val="0"/>
          <w:numId w:val="6"/>
        </w:numPr>
        <w:rPr>
          <w:rFonts w:ascii="Arial" w:cs="Arial" w:eastAsia="Arial" w:hAnsi="Arial"/>
          <w:sz w:val="16"/>
          <w:szCs w:val="16"/>
          <w:i w:val="1"/>
          <w:iCs w:val="1"/>
          <w:color w:val="auto"/>
        </w:rPr>
      </w:pPr>
      <w:r>
        <w:rPr>
          <w:rFonts w:ascii="Arial" w:cs="Arial" w:eastAsia="Arial" w:hAnsi="Arial"/>
          <w:sz w:val="16"/>
          <w:szCs w:val="16"/>
          <w:i w:val="1"/>
          <w:iCs w:val="1"/>
          <w:color w:val="auto"/>
        </w:rPr>
        <w:t>In June 2012, record rainfall and flooding occurred near Duluth, Minnesota and surrounding areas impacting Minnesota Power’s hydro system, particularly the Thomson Energy Center, which is currently off-line due to damage to the forebay canal and flooding at the facility. (See Item 7. Management’s Discussion and Analysis of Financial Condition and Results of Operations - Outlook - Hydro Operations.)</w:t>
      </w:r>
    </w:p>
    <w:p>
      <w:pPr>
        <w:spacing w:after="0" w:line="1" w:lineRule="exact"/>
        <w:rPr>
          <w:rFonts w:ascii="Arial" w:cs="Arial" w:eastAsia="Arial" w:hAnsi="Arial"/>
          <w:sz w:val="16"/>
          <w:szCs w:val="16"/>
          <w:i w:val="1"/>
          <w:iCs w:val="1"/>
          <w:color w:val="auto"/>
        </w:rPr>
      </w:pPr>
    </w:p>
    <w:p>
      <w:pPr>
        <w:jc w:val="both"/>
        <w:ind w:left="340" w:hanging="332"/>
        <w:spacing w:after="0" w:line="263" w:lineRule="auto"/>
        <w:tabs>
          <w:tab w:leader="none" w:pos="340" w:val="left"/>
        </w:tabs>
        <w:numPr>
          <w:ilvl w:val="0"/>
          <w:numId w:val="6"/>
        </w:numPr>
        <w:rPr>
          <w:rFonts w:ascii="Arial" w:cs="Arial" w:eastAsia="Arial" w:hAnsi="Arial"/>
          <w:sz w:val="15"/>
          <w:szCs w:val="15"/>
          <w:i w:val="1"/>
          <w:iCs w:val="1"/>
          <w:color w:val="auto"/>
        </w:rPr>
      </w:pPr>
      <w:r>
        <w:rPr>
          <w:rFonts w:ascii="Arial" w:cs="Arial" w:eastAsia="Arial" w:hAnsi="Arial"/>
          <w:sz w:val="15"/>
          <w:szCs w:val="15"/>
          <w:i w:val="1"/>
          <w:iCs w:val="1"/>
          <w:color w:val="auto"/>
        </w:rPr>
        <w:t>Taconite Ridge consists of 10 wind turbine generator units with a total nameplate capacity of 25 MW. Bison Wind Energy Center consists of 101 wind turbine generator units, with a total nameplate capacity of 292 MW. The net capability reflected in the table is the actual accredited capacity of the facility, which is the amount of net generating capability associated with the facility for which capacity credit was obtained using limited historical data. As more data is collected, actual accredited capacity may increase. Bison 1 was commissioned in December 2010 and January 2012 while Bison 2 and Bison 3 were commissioned in December 2012.</w:t>
      </w:r>
    </w:p>
    <w:p>
      <w:pPr>
        <w:ind w:left="340" w:hanging="332"/>
        <w:spacing w:after="0"/>
        <w:tabs>
          <w:tab w:leader="none" w:pos="340" w:val="left"/>
        </w:tabs>
        <w:numPr>
          <w:ilvl w:val="0"/>
          <w:numId w:val="6"/>
        </w:numPr>
        <w:rPr>
          <w:rFonts w:ascii="Arial" w:cs="Arial" w:eastAsia="Arial" w:hAnsi="Arial"/>
          <w:sz w:val="16"/>
          <w:szCs w:val="16"/>
          <w:i w:val="1"/>
          <w:iCs w:val="1"/>
          <w:color w:val="auto"/>
        </w:rPr>
      </w:pPr>
      <w:r>
        <w:rPr>
          <w:rFonts w:ascii="Arial" w:cs="Arial" w:eastAsia="Arial" w:hAnsi="Arial"/>
          <w:sz w:val="16"/>
          <w:szCs w:val="16"/>
          <w:i w:val="1"/>
          <w:iCs w:val="1"/>
          <w:color w:val="auto"/>
        </w:rPr>
        <w:t>Includes short-term market purchases in the MISO market and from Other Power Suppliers.</w:t>
      </w:r>
    </w:p>
    <w:p>
      <w:pPr>
        <w:sectPr>
          <w:pgSz w:w="11900" w:h="16838" w:orient="portrait"/>
          <w:cols w:equalWidth="0" w:num="1">
            <w:col w:w="11420"/>
          </w:cols>
          <w:pgMar w:left="240" w:top="364" w:right="239" w:bottom="1440" w:gutter="0" w:footer="0" w:header="0"/>
        </w:sect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ALLETE 2012 Form 10-K</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364" w:right="23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Regulated Operations (Continued)</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color w:val="auto"/>
        </w:rPr>
        <w:t>Fuel</w:t>
      </w:r>
      <w:r>
        <w:rPr>
          <w:rFonts w:ascii="Arial" w:cs="Arial" w:eastAsia="Arial" w:hAnsi="Arial"/>
          <w:sz w:val="17"/>
          <w:szCs w:val="17"/>
          <w:color w:val="auto"/>
        </w:rPr>
        <w:t>. Minnesota Power purchases low-sulfur, sub-bituminous coal from the Powder River Basin region located in Montana and Wyoming. Coal consumption</w:t>
      </w:r>
      <w:r>
        <w:rPr>
          <w:rFonts w:ascii="Arial" w:cs="Arial" w:eastAsia="Arial" w:hAnsi="Arial"/>
          <w:sz w:val="17"/>
          <w:szCs w:val="17"/>
          <w:b w:val="1"/>
          <w:bCs w:val="1"/>
          <w:color w:val="auto"/>
        </w:rPr>
        <w:t xml:space="preserve"> </w:t>
      </w:r>
      <w:r>
        <w:rPr>
          <w:rFonts w:ascii="Arial" w:cs="Arial" w:eastAsia="Arial" w:hAnsi="Arial"/>
          <w:sz w:val="17"/>
          <w:szCs w:val="17"/>
          <w:color w:val="auto"/>
        </w:rPr>
        <w:t>in 2012 for electric generation at Minnesota Power’s coal-fired generating stations was approximately 4.6 million tons. As of December 31, 2012, Minnesota Power had a coal inventory of 0.8 million tons. Minnesota Power’s coal supply agreements have expiration dates through 2014. In 2013, Minnesota Power expects to obtain coal under these coal supply agreements and in the spot market. Minnesota Power also continues to explore other future coal supply options. We believe that adequate supplies of low-sulfur, sub-bituminous coal will continue to be available.</w:t>
      </w:r>
    </w:p>
    <w:p>
      <w:pPr>
        <w:spacing w:after="0" w:line="17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Minnesota Power also has transportation agreements in place for the delivery of a significant portion of its coal requirements. These transportation agreements have expiration dates through 2015. The delivered costs of fuel for Minnesota Power’s generation are recoverable from Minnesota Power’s utility customers through the fuel adjustment clause.</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20" w:type="dxa"/>
            <w:vAlign w:val="bottom"/>
          </w:tcPr>
          <w:p>
            <w:pPr>
              <w:ind w:left="40"/>
              <w:spacing w:after="0"/>
              <w:rPr>
                <w:sz w:val="20"/>
                <w:szCs w:val="20"/>
                <w:color w:val="auto"/>
              </w:rPr>
            </w:pPr>
            <w:r>
              <w:rPr>
                <w:rFonts w:ascii="Arial" w:cs="Arial" w:eastAsia="Arial" w:hAnsi="Arial"/>
                <w:sz w:val="18"/>
                <w:szCs w:val="18"/>
                <w:b w:val="1"/>
                <w:bCs w:val="1"/>
                <w:color w:val="auto"/>
              </w:rPr>
              <w:t>Coal Delivered to Minnesota Power</w:t>
            </w:r>
          </w:p>
        </w:tc>
        <w:tc>
          <w:tcPr>
            <w:tcW w:w="36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70"/>
        </w:trPr>
        <w:tc>
          <w:tcPr>
            <w:tcW w:w="5420" w:type="dxa"/>
            <w:vAlign w:val="bottom"/>
          </w:tcPr>
          <w:p>
            <w:pPr>
              <w:ind w:left="40"/>
              <w:spacing w:after="0"/>
              <w:rPr>
                <w:sz w:val="20"/>
                <w:szCs w:val="20"/>
                <w:color w:val="auto"/>
              </w:rPr>
            </w:pPr>
            <w:r>
              <w:rPr>
                <w:rFonts w:ascii="Arial" w:cs="Arial" w:eastAsia="Arial" w:hAnsi="Arial"/>
                <w:sz w:val="18"/>
                <w:szCs w:val="18"/>
                <w:b w:val="1"/>
                <w:bCs w:val="1"/>
                <w:color w:val="auto"/>
              </w:rPr>
              <w:t>Year Ended December 31</w:t>
            </w:r>
          </w:p>
        </w:tc>
        <w:tc>
          <w:tcPr>
            <w:tcW w:w="3600" w:type="dxa"/>
            <w:vAlign w:val="bottom"/>
          </w:tcPr>
          <w:p>
            <w:pPr>
              <w:jc w:val="right"/>
              <w:ind w:right="350"/>
              <w:spacing w:after="0"/>
              <w:rPr>
                <w:sz w:val="20"/>
                <w:szCs w:val="20"/>
                <w:color w:val="auto"/>
              </w:rPr>
            </w:pPr>
            <w:r>
              <w:rPr>
                <w:rFonts w:ascii="Arial" w:cs="Arial" w:eastAsia="Arial" w:hAnsi="Arial"/>
                <w:sz w:val="18"/>
                <w:szCs w:val="18"/>
                <w:b w:val="1"/>
                <w:bCs w:val="1"/>
                <w:color w:val="auto"/>
              </w:rPr>
              <w:t>2012</w:t>
            </w:r>
          </w:p>
        </w:tc>
        <w:tc>
          <w:tcPr>
            <w:tcW w:w="1360" w:type="dxa"/>
            <w:vAlign w:val="bottom"/>
          </w:tcPr>
          <w:p>
            <w:pPr>
              <w:jc w:val="right"/>
              <w:ind w:right="330"/>
              <w:spacing w:after="0"/>
              <w:rPr>
                <w:sz w:val="20"/>
                <w:szCs w:val="20"/>
                <w:color w:val="auto"/>
              </w:rPr>
            </w:pPr>
            <w:r>
              <w:rPr>
                <w:rFonts w:ascii="Arial" w:cs="Arial" w:eastAsia="Arial" w:hAnsi="Arial"/>
                <w:sz w:val="18"/>
                <w:szCs w:val="18"/>
                <w:b w:val="1"/>
                <w:bCs w:val="1"/>
                <w:color w:val="auto"/>
              </w:rPr>
              <w:t>2011</w:t>
            </w:r>
          </w:p>
        </w:tc>
        <w:tc>
          <w:tcPr>
            <w:tcW w:w="1040" w:type="dxa"/>
            <w:vAlign w:val="bottom"/>
          </w:tcPr>
          <w:p>
            <w:pPr>
              <w:jc w:val="right"/>
              <w:ind w:right="10"/>
              <w:spacing w:after="0"/>
              <w:rPr>
                <w:sz w:val="20"/>
                <w:szCs w:val="20"/>
                <w:color w:val="auto"/>
              </w:rPr>
            </w:pPr>
            <w:r>
              <w:rPr>
                <w:rFonts w:ascii="Arial" w:cs="Arial" w:eastAsia="Arial" w:hAnsi="Arial"/>
                <w:sz w:val="18"/>
                <w:szCs w:val="18"/>
                <w:b w:val="1"/>
                <w:bCs w:val="1"/>
                <w:color w:val="auto"/>
              </w:rPr>
              <w:t>2010</w:t>
            </w:r>
          </w:p>
        </w:tc>
      </w:tr>
      <w:tr>
        <w:trPr>
          <w:trHeight w:val="27"/>
        </w:trPr>
        <w:tc>
          <w:tcPr>
            <w:tcW w:w="542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Average Price per Ton</w:t>
            </w:r>
          </w:p>
        </w:tc>
        <w:tc>
          <w:tcPr>
            <w:tcW w:w="360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$29.58</w:t>
            </w:r>
          </w:p>
        </w:tc>
        <w:tc>
          <w:tcPr>
            <w:tcW w:w="136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$28.85</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$25.49</w:t>
            </w:r>
          </w:p>
        </w:tc>
      </w:tr>
      <w:tr>
        <w:trPr>
          <w:trHeight w:val="243"/>
        </w:trPr>
        <w:tc>
          <w:tcPr>
            <w:tcW w:w="5420" w:type="dxa"/>
            <w:vAlign w:val="bottom"/>
          </w:tcPr>
          <w:p>
            <w:pPr>
              <w:ind w:left="40"/>
              <w:spacing w:after="0"/>
              <w:rPr>
                <w:sz w:val="20"/>
                <w:szCs w:val="20"/>
                <w:color w:val="auto"/>
              </w:rPr>
            </w:pPr>
            <w:r>
              <w:rPr>
                <w:rFonts w:ascii="Arial" w:cs="Arial" w:eastAsia="Arial" w:hAnsi="Arial"/>
                <w:sz w:val="18"/>
                <w:szCs w:val="18"/>
                <w:color w:val="auto"/>
              </w:rPr>
              <w:t>Average Price per MBtu</w:t>
            </w:r>
          </w:p>
        </w:tc>
        <w:tc>
          <w:tcPr>
            <w:tcW w:w="3600" w:type="dxa"/>
            <w:vAlign w:val="bottom"/>
          </w:tcPr>
          <w:p>
            <w:pPr>
              <w:jc w:val="right"/>
              <w:ind w:right="350"/>
              <w:spacing w:after="0"/>
              <w:rPr>
                <w:sz w:val="20"/>
                <w:szCs w:val="20"/>
                <w:color w:val="auto"/>
              </w:rPr>
            </w:pPr>
            <w:r>
              <w:rPr>
                <w:rFonts w:ascii="Arial" w:cs="Arial" w:eastAsia="Arial" w:hAnsi="Arial"/>
                <w:sz w:val="18"/>
                <w:szCs w:val="18"/>
                <w:color w:val="auto"/>
              </w:rPr>
              <w:t>$1.64</w:t>
            </w:r>
          </w:p>
        </w:tc>
        <w:tc>
          <w:tcPr>
            <w:tcW w:w="1360" w:type="dxa"/>
            <w:vAlign w:val="bottom"/>
          </w:tcPr>
          <w:p>
            <w:pPr>
              <w:jc w:val="right"/>
              <w:ind w:right="330"/>
              <w:spacing w:after="0"/>
              <w:rPr>
                <w:sz w:val="20"/>
                <w:szCs w:val="20"/>
                <w:color w:val="auto"/>
              </w:rPr>
            </w:pPr>
            <w:r>
              <w:rPr>
                <w:rFonts w:ascii="Arial" w:cs="Arial" w:eastAsia="Arial" w:hAnsi="Arial"/>
                <w:sz w:val="18"/>
                <w:szCs w:val="18"/>
                <w:color w:val="auto"/>
              </w:rPr>
              <w:t>$1.60</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$1.42</w:t>
            </w:r>
          </w:p>
        </w:tc>
      </w:tr>
      <w:tr>
        <w:trPr>
          <w:trHeight w:val="27"/>
        </w:trPr>
        <w:tc>
          <w:tcPr>
            <w:tcW w:w="542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Long-Term Purchased Power</w:t>
      </w:r>
      <w:r>
        <w:rPr>
          <w:rFonts w:ascii="Arial" w:cs="Arial" w:eastAsia="Arial" w:hAnsi="Arial"/>
          <w:sz w:val="18"/>
          <w:szCs w:val="18"/>
          <w:color w:val="auto"/>
        </w:rPr>
        <w:t>. Minnesota Power has contracts to purchase capacity and energy from various entities, including output from certain hydro</w:t>
      </w:r>
      <w:r>
        <w:rPr>
          <w:rFonts w:ascii="Arial" w:cs="Arial" w:eastAsia="Arial" w:hAnsi="Arial"/>
          <w:sz w:val="18"/>
          <w:szCs w:val="18"/>
          <w:b w:val="1"/>
          <w:bCs w:val="1"/>
          <w:color w:val="auto"/>
        </w:rPr>
        <w:t xml:space="preserve"> </w:t>
      </w:r>
      <w:r>
        <w:rPr>
          <w:rFonts w:ascii="Arial" w:cs="Arial" w:eastAsia="Arial" w:hAnsi="Arial"/>
          <w:sz w:val="18"/>
          <w:szCs w:val="18"/>
          <w:color w:val="auto"/>
        </w:rPr>
        <w:t>and wind generating facilities.</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Square Butte PPA. </w:t>
      </w:r>
      <w:r>
        <w:rPr>
          <w:rFonts w:ascii="Arial" w:cs="Arial" w:eastAsia="Arial" w:hAnsi="Arial"/>
          <w:sz w:val="18"/>
          <w:szCs w:val="18"/>
          <w:color w:val="auto"/>
        </w:rPr>
        <w:t>Under the long-term agreement with Square Butte, which expires at the end of 2026, Minnesota Power is currently entitled to 50 percent of</w:t>
      </w:r>
      <w:r>
        <w:rPr>
          <w:rFonts w:ascii="Arial" w:cs="Arial" w:eastAsia="Arial" w:hAnsi="Arial"/>
          <w:sz w:val="18"/>
          <w:szCs w:val="18"/>
          <w:i w:val="1"/>
          <w:iCs w:val="1"/>
          <w:color w:val="auto"/>
        </w:rPr>
        <w:t xml:space="preserve"> </w:t>
      </w:r>
      <w:r>
        <w:rPr>
          <w:rFonts w:ascii="Arial" w:cs="Arial" w:eastAsia="Arial" w:hAnsi="Arial"/>
          <w:sz w:val="18"/>
          <w:szCs w:val="18"/>
          <w:color w:val="auto"/>
        </w:rPr>
        <w:t>the output of a 455-MW coal-fired generating unit located near Center, North Dakota. (See Note 11. Commitments, Guarantees and Contingencies.) BNI Coal supplies lignite coal to Square Butte. This lignite supply is sufficient to provide fuel for the anticipated useful life of the generating unit. Square Butte’s cost of lignite burned in 2012 was approximately $1.35 per MBtu.</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Minnkota Power PPA. </w:t>
      </w:r>
      <w:r>
        <w:rPr>
          <w:rFonts w:ascii="Arial" w:cs="Arial" w:eastAsia="Arial" w:hAnsi="Arial"/>
          <w:sz w:val="18"/>
          <w:szCs w:val="18"/>
          <w:color w:val="auto"/>
        </w:rPr>
        <w:t>On December 12, 2012, Minnesota Power entered into a long-term PPA with Minnkota Power. Under this agreement Minnesota Power</w:t>
      </w:r>
      <w:r>
        <w:rPr>
          <w:rFonts w:ascii="Arial" w:cs="Arial" w:eastAsia="Arial" w:hAnsi="Arial"/>
          <w:sz w:val="18"/>
          <w:szCs w:val="18"/>
          <w:i w:val="1"/>
          <w:iCs w:val="1"/>
          <w:color w:val="auto"/>
        </w:rPr>
        <w:t xml:space="preserve"> </w:t>
      </w:r>
      <w:r>
        <w:rPr>
          <w:rFonts w:ascii="Arial" w:cs="Arial" w:eastAsia="Arial" w:hAnsi="Arial"/>
          <w:sz w:val="18"/>
          <w:szCs w:val="18"/>
          <w:color w:val="auto"/>
        </w:rPr>
        <w:t>will purchase 50 MW of capacity and the energy associated with that capacity over the term June 1, 2016 through May 31, 2020. The agreement includes a fixed capacity charge and energy pricing that escalates at a fixed rate annually over the term.</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Oliver Wind I and II PPAs. </w:t>
      </w:r>
      <w:r>
        <w:rPr>
          <w:rFonts w:ascii="Arial" w:cs="Arial" w:eastAsia="Arial" w:hAnsi="Arial"/>
          <w:sz w:val="18"/>
          <w:szCs w:val="18"/>
          <w:color w:val="auto"/>
        </w:rPr>
        <w:t>In 2006 and 2007, Minnesota Power entered into two long-term wind PPAs with an affiliate of NextEra Energy, Inc. to purchase</w:t>
      </w:r>
      <w:r>
        <w:rPr>
          <w:rFonts w:ascii="Arial" w:cs="Arial" w:eastAsia="Arial" w:hAnsi="Arial"/>
          <w:sz w:val="18"/>
          <w:szCs w:val="18"/>
          <w:i w:val="1"/>
          <w:iCs w:val="1"/>
          <w:color w:val="auto"/>
        </w:rPr>
        <w:t xml:space="preserve"> </w:t>
      </w:r>
      <w:r>
        <w:rPr>
          <w:rFonts w:ascii="Arial" w:cs="Arial" w:eastAsia="Arial" w:hAnsi="Arial"/>
          <w:sz w:val="18"/>
          <w:szCs w:val="18"/>
          <w:color w:val="auto"/>
        </w:rPr>
        <w:t>the output from Oliver Wind I (50 MW) and Oliver Wind II (48 MW) — wind facilities located near Center, North Dakota. Each agreement is for 25 years and provides for the purchase of all output from the facilities at fixed energy prices. There are no fixed capacity charges, and we only pay for energy as it is delivered to us.</w:t>
      </w:r>
    </w:p>
    <w:p>
      <w:pPr>
        <w:spacing w:after="0" w:line="18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i w:val="1"/>
          <w:iCs w:val="1"/>
          <w:color w:val="auto"/>
        </w:rPr>
        <w:t xml:space="preserve">Manitoba Hydro PPAs. </w:t>
      </w:r>
      <w:r>
        <w:rPr>
          <w:rFonts w:ascii="Arial" w:cs="Arial" w:eastAsia="Arial" w:hAnsi="Arial"/>
          <w:sz w:val="18"/>
          <w:szCs w:val="18"/>
          <w:color w:val="auto"/>
        </w:rPr>
        <w:t>Minnesota Power has a long-term PPA with Manitoba Hydro that expires in April 2015. Under this agreement, Minnesota Power is</w:t>
      </w:r>
      <w:r>
        <w:rPr>
          <w:rFonts w:ascii="Arial" w:cs="Arial" w:eastAsia="Arial" w:hAnsi="Arial"/>
          <w:sz w:val="18"/>
          <w:szCs w:val="18"/>
          <w:i w:val="1"/>
          <w:iCs w:val="1"/>
          <w:color w:val="auto"/>
        </w:rPr>
        <w:t xml:space="preserve"> </w:t>
      </w:r>
      <w:r>
        <w:rPr>
          <w:rFonts w:ascii="Arial" w:cs="Arial" w:eastAsia="Arial" w:hAnsi="Arial"/>
          <w:sz w:val="18"/>
          <w:szCs w:val="18"/>
          <w:color w:val="auto"/>
        </w:rPr>
        <w:t>purchasing 50 MW of capacity and the energy associated with that capacity. Both the capacity price and the energy price are adjusted annually by the change in a governmental inflationary index.</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Minnesota Power has a separate long-term PPA with Manitoba Hydro to purchase surplus energy through April 2022. This energy-only transaction primarily consists of surplus hydro energy on Manitoba Hydro’s system that is delivered to Minnesota Power on a non-firm basis. The pricing is based on forward market prices. Under this agreement, Minnesota Power will purchase at least one million MWh of energy over the contract term.</w:t>
      </w:r>
    </w:p>
    <w:p>
      <w:pPr>
        <w:spacing w:after="0" w:line="166"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May 2011, Minnesota Power and Manitoba Hydro signed a long-term PPA. The PPA calls for Manitoba Hydro to sell 250 MW of capacity and energy to Minnesota Power for 15 years beginning in 2020 and is subject to construction of additional transmission capacity between Manitoba and the U.S., along with construction of new hydroelectric generating capacity in Manitoba (See Item 1. Business – Regulated Operations – Transmission and Distribution.) The capacity price is adjusted annually until 2020 by a change in a governmental inflationary index. The energy price is based on a formula that includes an annual fixed price component adjusted for a change in a governmental inflationary index and a natural gas index, as well as market prices.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2012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364"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Regulated Operations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Transmission and Distribution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electric transmission and distribution lines of 500 kV (8 miles), 345 kV (29 miles), 250 kV (465 miles), 230 kV (698 miles), 161 kV (43 miles), 138 kV (128 miles), 115 kV (1,244 miles) and less than 115 kV (6,233 miles). We own and operate 170 substations with a total capacity of 11,322 megavoltamperes. Some of our transmission and distribution lines interconnect with other utilities.</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CapX2020. </w:t>
      </w:r>
      <w:r>
        <w:rPr>
          <w:rFonts w:ascii="Arial" w:cs="Arial" w:eastAsia="Arial" w:hAnsi="Arial"/>
          <w:sz w:val="18"/>
          <w:szCs w:val="18"/>
          <w:color w:val="auto"/>
        </w:rPr>
        <w:t>Minnesota Power is a participant in the CapX2020 initiative which represents an effort to ensure electric transmission and distribution reliability</w:t>
      </w:r>
      <w:r>
        <w:rPr>
          <w:rFonts w:ascii="Arial" w:cs="Arial" w:eastAsia="Arial" w:hAnsi="Arial"/>
          <w:sz w:val="18"/>
          <w:szCs w:val="18"/>
          <w:i w:val="1"/>
          <w:iCs w:val="1"/>
          <w:color w:val="auto"/>
        </w:rPr>
        <w:t xml:space="preserve"> </w:t>
      </w:r>
      <w:r>
        <w:rPr>
          <w:rFonts w:ascii="Arial" w:cs="Arial" w:eastAsia="Arial" w:hAnsi="Arial"/>
          <w:sz w:val="18"/>
          <w:szCs w:val="18"/>
          <w:color w:val="auto"/>
        </w:rPr>
        <w:t>in Minnesota and the surrounding region for the future. CapX2020, which consists of electric cooperatives, municipal and investor-owned utilities, including Minnesota’s largest transmission owners, has assessed the transmission system and projected growth in customer demand for electricity through 2020. Studies show that the region’s transmission system will require major upgrades and expansion to accommodate increased electricity demand as well as support renewable energy expansion through 2020.</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Minnesota Power is participating in three CapX2020 projects: the Fargo, North Dakota to St. Cloud, Minnesota project, the Monticello, Minnesota to St. Cloud, Minnesota project, which together total a 238-mile, 345 kV line from Fargo, North Dakota to Monticello, Minnesota, and the 70-mile, 230 kV line between Bemidji, Minnesota and Minnesota Power’s Boswell Energy Center near Grand Rapids, Minnesota. The 28-mile 345 kV line between Monticello and St. Cloud was placed into service in December 2011 and the 70-mile 230 kV line between Bemidji, Minnesota and Minnesota Power’s Boswell Energy Center near Grand Rapids, Minnesota was placed into service in September 2012. In June 2011, the MPUC approved the route permit for the Minnesota portion of the Fargo to St. Cloud project. The North Dakota permitting process was completed on August 12, 2012. The entire 238-mile, 345 kV line from Fargo to Monticello is expected to be in service by 2015.</w:t>
      </w:r>
    </w:p>
    <w:p>
      <w:pPr>
        <w:spacing w:after="0" w:line="18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Based on projected costs of the three transmission lines and the allocation agreements among participating utilities, Minnesota Power plans to invest between $100 million and $110 million in the CapX2020 initiative through 2015. A total of $48.2 million was spent through December 31, 2012, of which $37.3 million related to the Fargo, North Dakota to Monticello, Minnesota projects and $10.9 million related to the Bemidji, Minnesota to Minnesota Power’s Boswell Energy Center project ($27.8 million as of December 31, 2011 of which $20.4 million related to the Fargo, North Dakota to Monticello, Minnesota projects and $7.4 million related to the Bemidji, Minnesota to Minnesota Power’s Boswell Energy Center project). As future CapX2020 projects are identified, Minnesota Power may elect to participate on a project-by-project basis.</w:t>
      </w:r>
    </w:p>
    <w:p>
      <w:pPr>
        <w:spacing w:after="0" w:line="19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 xml:space="preserve">Great Northern Transmission Line. </w:t>
      </w:r>
      <w:r>
        <w:rPr>
          <w:rFonts w:ascii="Arial" w:cs="Arial" w:eastAsia="Arial" w:hAnsi="Arial"/>
          <w:sz w:val="16"/>
          <w:szCs w:val="16"/>
          <w:color w:val="auto"/>
        </w:rPr>
        <w:t>As a condition of the long-term PPA signed in May 2011 with Manitoba Hydro, construction of additional transmission</w:t>
      </w:r>
      <w:r>
        <w:rPr>
          <w:rFonts w:ascii="Arial" w:cs="Arial" w:eastAsia="Arial" w:hAnsi="Arial"/>
          <w:sz w:val="16"/>
          <w:szCs w:val="16"/>
          <w:i w:val="1"/>
          <w:iCs w:val="1"/>
          <w:color w:val="auto"/>
        </w:rPr>
        <w:t xml:space="preserve"> </w:t>
      </w:r>
      <w:r>
        <w:rPr>
          <w:rFonts w:ascii="Arial" w:cs="Arial" w:eastAsia="Arial" w:hAnsi="Arial"/>
          <w:sz w:val="16"/>
          <w:szCs w:val="16"/>
          <w:color w:val="auto"/>
        </w:rPr>
        <w:t>capacity is required. (See Item 1. Business – Regulated Operations – Power Supply.) In February 2012, Minnesota Power and Manitoba Hydro proposed construction of the Great Northern Transmission Line, a 500 kV transmission line between Manitoba and Minnesota’s Iron Range, in order to strengthen the electric grid, enhance regional reliability and promote a greater exchange of sustainable energy, which is targeted to be in service in 2020. Total project cost and cost allocations are still to be determined. The Great Northern Transmission Line is subject to various federal and state regulatory approvals. In addition, Manitoba Hydro must obtain regulatory and governmental approvals related to new transmission lines and hydroelectric generation development in Canada.</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ATC Joint Development. </w:t>
      </w:r>
      <w:r>
        <w:rPr>
          <w:rFonts w:ascii="Arial" w:cs="Arial" w:eastAsia="Arial" w:hAnsi="Arial"/>
          <w:sz w:val="18"/>
          <w:szCs w:val="18"/>
          <w:color w:val="auto"/>
        </w:rPr>
        <w:t>Minnesota Power and ATC are evaluating the joint development of a 345 kV transmission line from Minnesota’s Iron Range to</w:t>
      </w:r>
      <w:r>
        <w:rPr>
          <w:rFonts w:ascii="Arial" w:cs="Arial" w:eastAsia="Arial" w:hAnsi="Arial"/>
          <w:sz w:val="18"/>
          <w:szCs w:val="18"/>
          <w:i w:val="1"/>
          <w:iCs w:val="1"/>
          <w:color w:val="auto"/>
        </w:rPr>
        <w:t xml:space="preserve"> </w:t>
      </w:r>
      <w:r>
        <w:rPr>
          <w:rFonts w:ascii="Arial" w:cs="Arial" w:eastAsia="Arial" w:hAnsi="Arial"/>
          <w:sz w:val="18"/>
          <w:szCs w:val="18"/>
          <w:color w:val="auto"/>
        </w:rPr>
        <w:t>Duluth, Minnesota, for service after 2020, connecting to the Great Northern Transmission Line. This is in addition to assessing transmission alternatives in Wisconsin that would allow for the movement of more renewable energy in the Upper Midwest while at the same time strengthening electric reliability in the region. Total project costs, ownership shares and cost allocation are still to be determined.</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 ATC</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Rainy River Energy, our wholly-owned subsidiary, owns approximately 8 percent of ATC, a Wisconsin-based utility that owns and maintains electric transmission assets in parts of Wisconsin, Michigan, Minnesota and Illinois. ATC rates are FERC-approved and are based on a 12.2 percent return on common equity dedicated to utility plant. We account for our investment in ATC under the equity method of accounting. As of December 31, 2012, our equity investment in ATC was $107.3 million ($98.9 million at December 31, 2011). (See Note 6. Investment in ATC.)</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2012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364"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Regulated Operations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 ATC (Continued)</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September 2012, ATC updated its 10-year transmission assessment covering the years 2012 through 2021 which identifies between $3.9 and $4.8 billion in transmission system improvements. These investments by ATC are expected to be funded through a combination of internally generated cash, debt and investor contributions. As opportunities arise, we plan to make additional investments in ATC through general capital calls based upon our pro rata ownership interest in ATC.</w:t>
      </w:r>
    </w:p>
    <w:p>
      <w:pPr>
        <w:spacing w:after="0" w:line="18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April 2011, ATC and Duke Energy Corporation announced the creation of a joint venture, Duke-American Transmission Co. (DATC) that intends to build, own and operate new electric transmission infrastructure in the U.S. and Canada. DATC is subject to the rules and regulations of the FERC, MISO, PJM Interconnection LLC and various other independent system operators and state regulatory authorities. In September 2011, DATC announced its first set of proposed transmission projects, which include seven new transmission line projects in five Midwestern states. The individual projects have a total cost of approximately $4 billion. We intend to maintain our approximate 8 percent ownership interest in ATC.</w:t>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Properties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own office and service buildings, an energy control center, repair shops, and storerooms in various localities. All of our electric plants are subject to mortgages, which collateralize the outstanding first mortgage bonds of Minnesota Power and SWL&amp;P. All of our generating plants and most of our substations are located on real property owned by us, subject to the lien of a mortgage, whereas most of our electric lines are located on real property owned by others with appropriate easement rights or necessary permits from governmental authorities. WPPI Energy owns 20 percent of Boswell Unit 4. WPPI Energy has the right to use our transmission line facilities to transport its share of Boswell generation. (See Note 4. Jointly-Owned Facilities.)</w:t>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Matters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are subject to the jurisdiction of various regulatory authorities and other organizations. The MPUC has regulatory authority over Minnesota Power’s service area in Minnesota, retail rates, retail services, capital structure, issuance of securities and other matters. The FERC has jurisdiction over the licensing of hydroelectric projects, the establishment of rates and charges for the sale of electricity for resale and transmission of electricity in interstate commerce, certain accounting and record-keeping practices and ATC. The NERC has been certified by the FERC as the national electric reliability organization and has jurisdiction over certain aspects of the Company’s generation and transmission operations, including cybersecurity relating to reliability. The PSCW has regulatory authority over SWL&amp;P’s retail sales of electricity, natural gas, water, issuances of securities, and other matters. The NDPSC has jurisdiction over site and route permitting of generation and transmission facilities necessary for construction in North Dakota.</w:t>
      </w:r>
    </w:p>
    <w:p>
      <w:pPr>
        <w:spacing w:after="0" w:line="17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Electric Rates. </w:t>
      </w:r>
      <w:r>
        <w:rPr>
          <w:rFonts w:ascii="Arial" w:cs="Arial" w:eastAsia="Arial" w:hAnsi="Arial"/>
          <w:sz w:val="18"/>
          <w:szCs w:val="18"/>
          <w:color w:val="auto"/>
        </w:rPr>
        <w:t>All rates and contract terms in our Regulated Operations are subject to approval by applicable regulatory authorities. Minnesota Power</w:t>
      </w:r>
      <w:r>
        <w:rPr>
          <w:rFonts w:ascii="Arial" w:cs="Arial" w:eastAsia="Arial" w:hAnsi="Arial"/>
          <w:sz w:val="18"/>
          <w:szCs w:val="18"/>
          <w:b w:val="1"/>
          <w:bCs w:val="1"/>
          <w:color w:val="auto"/>
        </w:rPr>
        <w:t xml:space="preserve"> </w:t>
      </w:r>
      <w:r>
        <w:rPr>
          <w:rFonts w:ascii="Arial" w:cs="Arial" w:eastAsia="Arial" w:hAnsi="Arial"/>
          <w:sz w:val="18"/>
          <w:szCs w:val="18"/>
          <w:color w:val="auto"/>
        </w:rPr>
        <w:t>designs its retail electric service rates based on cost of service studies under which allocations are made to the various classes of customers as approved by the MPUC. Nearly all retail sales include billing adjustment clauses, which adjust electric service rates for changes in the cost of fuel and purchased energy, recovery of current and deferred conservation improvement program expenditures and recovery of certain environmental, transmission and renewable expenditures.</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Information published by the Edison Electric Institute (</w:t>
      </w:r>
      <w:r>
        <w:rPr>
          <w:rFonts w:ascii="Arial" w:cs="Arial" w:eastAsia="Arial" w:hAnsi="Arial"/>
          <w:sz w:val="18"/>
          <w:szCs w:val="18"/>
          <w:i w:val="1"/>
          <w:iCs w:val="1"/>
          <w:color w:val="auto"/>
        </w:rPr>
        <w:t>Typical Bills and Average Rates Report – Summer 2012</w:t>
      </w:r>
      <w:r>
        <w:rPr>
          <w:rFonts w:ascii="Arial" w:cs="Arial" w:eastAsia="Arial" w:hAnsi="Arial"/>
          <w:sz w:val="18"/>
          <w:szCs w:val="18"/>
          <w:color w:val="auto"/>
        </w:rPr>
        <w:t xml:space="preserve"> and </w:t>
      </w:r>
      <w:r>
        <w:rPr>
          <w:rFonts w:ascii="Arial" w:cs="Arial" w:eastAsia="Arial" w:hAnsi="Arial"/>
          <w:sz w:val="18"/>
          <w:szCs w:val="18"/>
          <w:i w:val="1"/>
          <w:iCs w:val="1"/>
          <w:color w:val="auto"/>
        </w:rPr>
        <w:t>Rankings – July 1, 2012</w:t>
      </w:r>
      <w:r>
        <w:rPr>
          <w:rFonts w:ascii="Arial" w:cs="Arial" w:eastAsia="Arial" w:hAnsi="Arial"/>
          <w:sz w:val="18"/>
          <w:szCs w:val="18"/>
          <w:color w:val="auto"/>
        </w:rPr>
        <w:t>) ranked Minnesota Power as having the fourth lowest average retail rates out of 169 utilities in the U.S. Minnesota Power had the lowest rates in Minnesota and second lowest in the region consisting of Iowa, Kansas, Minnesota, Missouri, North Dakota, South Dakota and Wisconsin.</w:t>
      </w:r>
    </w:p>
    <w:p>
      <w:pPr>
        <w:spacing w:after="0" w:line="17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Minnesota Public Utilities Commission. </w:t>
      </w:r>
      <w:r>
        <w:rPr>
          <w:rFonts w:ascii="Arial" w:cs="Arial" w:eastAsia="Arial" w:hAnsi="Arial"/>
          <w:sz w:val="18"/>
          <w:szCs w:val="18"/>
          <w:color w:val="auto"/>
        </w:rPr>
        <w:t>The MPUC has regulatory authority over Minnesota Power’s service area in Minnesota, retail rates, retail services,</w:t>
      </w:r>
      <w:r>
        <w:rPr>
          <w:rFonts w:ascii="Arial" w:cs="Arial" w:eastAsia="Arial" w:hAnsi="Arial"/>
          <w:sz w:val="18"/>
          <w:szCs w:val="18"/>
          <w:b w:val="1"/>
          <w:bCs w:val="1"/>
          <w:color w:val="auto"/>
        </w:rPr>
        <w:t xml:space="preserve"> </w:t>
      </w:r>
      <w:r>
        <w:rPr>
          <w:rFonts w:ascii="Arial" w:cs="Arial" w:eastAsia="Arial" w:hAnsi="Arial"/>
          <w:sz w:val="18"/>
          <w:szCs w:val="18"/>
          <w:color w:val="auto"/>
        </w:rPr>
        <w:t>capital structure, issuance of securities and other matters.</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2010 Rate Case. </w:t>
      </w:r>
      <w:r>
        <w:rPr>
          <w:rFonts w:ascii="Arial" w:cs="Arial" w:eastAsia="Arial" w:hAnsi="Arial"/>
          <w:sz w:val="18"/>
          <w:szCs w:val="18"/>
          <w:color w:val="auto"/>
        </w:rPr>
        <w:t>Minnesota Power’s current retail rates are based on a 2011 MPUC retail rate order, effective June 1, 2011, that allowed for a 10.38 percent</w:t>
      </w:r>
      <w:r>
        <w:rPr>
          <w:rFonts w:ascii="Arial" w:cs="Arial" w:eastAsia="Arial" w:hAnsi="Arial"/>
          <w:sz w:val="18"/>
          <w:szCs w:val="18"/>
          <w:i w:val="1"/>
          <w:iCs w:val="1"/>
          <w:color w:val="auto"/>
        </w:rPr>
        <w:t xml:space="preserve"> </w:t>
      </w:r>
      <w:r>
        <w:rPr>
          <w:rFonts w:ascii="Arial" w:cs="Arial" w:eastAsia="Arial" w:hAnsi="Arial"/>
          <w:sz w:val="18"/>
          <w:szCs w:val="18"/>
          <w:color w:val="auto"/>
        </w:rPr>
        <w:t>return on common equity and a 54.29 percent equity ratio.</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2012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364"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Regulated Operations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Matters (Continued)</w:t>
      </w:r>
    </w:p>
    <w:p>
      <w:pPr>
        <w:spacing w:after="0" w:line="21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February 2011, Minnesota Power appealed the MPUC’s interim rate decision in the Company’s 2010 rate case to the Minnesota Court of Appeals. The Company appealed the MPUC’s finding of exigent circumstances in the interim rate decision with the primary arguments being that the MPUC exceeded its statutory authority, made its decision without the support of a body of record evidence and that the decision violated public policy. The Company desires to resolve whether the MPUC’s finding of exigent circumstances was lawful for application in future rate cases. In December 2011, the Minnesota Court of Appeals concluded that the MPUC did not err in finding exigent circumstances and properly exercised its discretion in setting interim rates. On January 4, 2012, the Company filed a petition for review at the Minnesota Supreme Court (Court). On February 14, 2012, the Court granted the petition for review and oral arguments were held before the Court on October 9, 2012. A decision is expected in early 2013; however, we cannot predict the outcome at this time.</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Pension. </w:t>
      </w:r>
      <w:r>
        <w:rPr>
          <w:rFonts w:ascii="Arial" w:cs="Arial" w:eastAsia="Arial" w:hAnsi="Arial"/>
          <w:sz w:val="18"/>
          <w:szCs w:val="18"/>
          <w:color w:val="auto"/>
        </w:rPr>
        <w:t>In December 2011, the Company filed a petition with the MPUC requesting a mechanism to recover the cost of capital associated with the prepaid</w:t>
      </w:r>
      <w:r>
        <w:rPr>
          <w:rFonts w:ascii="Arial" w:cs="Arial" w:eastAsia="Arial" w:hAnsi="Arial"/>
          <w:sz w:val="18"/>
          <w:szCs w:val="18"/>
          <w:i w:val="1"/>
          <w:iCs w:val="1"/>
          <w:color w:val="auto"/>
        </w:rPr>
        <w:t xml:space="preserve"> </w:t>
      </w:r>
      <w:r>
        <w:rPr>
          <w:rFonts w:ascii="Arial" w:cs="Arial" w:eastAsia="Arial" w:hAnsi="Arial"/>
          <w:sz w:val="18"/>
          <w:szCs w:val="18"/>
          <w:color w:val="auto"/>
        </w:rPr>
        <w:t>pension asset (or liability) created by the required contributions under the pension plan in excess of (or less than) annual pension expense. The Company further requested a mechanism to defer pension expenses in excess of (or less than) those currently being recovered in base rates. On February 14, 2013, the MPUC denied the Company's petition for recovery of the pension asset and deferral of expenses outside of a general rate case. The MPUC decision does not impact the results of operations for the year ended December 31, 2012.</w:t>
      </w:r>
    </w:p>
    <w:p>
      <w:pPr>
        <w:spacing w:after="0" w:line="18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 xml:space="preserve">ALLETE Clean Energy. </w:t>
      </w:r>
      <w:r>
        <w:rPr>
          <w:rFonts w:ascii="Arial" w:cs="Arial" w:eastAsia="Arial" w:hAnsi="Arial"/>
          <w:sz w:val="16"/>
          <w:szCs w:val="16"/>
          <w:color w:val="auto"/>
        </w:rPr>
        <w:t>In August 2011, the Company filed with the MPUC for approval of certain affiliated interest agreements between ALLETE and</w:t>
      </w:r>
      <w:r>
        <w:rPr>
          <w:rFonts w:ascii="Arial" w:cs="Arial" w:eastAsia="Arial" w:hAnsi="Arial"/>
          <w:sz w:val="16"/>
          <w:szCs w:val="16"/>
          <w:i w:val="1"/>
          <w:iCs w:val="1"/>
          <w:color w:val="auto"/>
        </w:rPr>
        <w:t xml:space="preserve"> </w:t>
      </w:r>
      <w:r>
        <w:rPr>
          <w:rFonts w:ascii="Arial" w:cs="Arial" w:eastAsia="Arial" w:hAnsi="Arial"/>
          <w:sz w:val="16"/>
          <w:szCs w:val="16"/>
          <w:color w:val="auto"/>
        </w:rPr>
        <w:t>ALLETE Clean Energy. These agreements relate to various relationships with ALLETE, including the accounting for certain shared services, as well as the transfer of transmission and wind development rights in North Dakota to ALLETE Clean Energy. These transmission and wind development rights are separate and distinct from those needed by Minnesota Power to meet Minnesota’s renewable energy standard requirements. On July 23, 2012, the MPUC issued an order approving certain administrative items related to accounting for shared services and the transfer of meteorological towers, while deferring decisions related to transmission and wind development rights pending the MPUC’s further review of Minnesota Power’s future retail electric service needs.</w:t>
      </w:r>
    </w:p>
    <w:p>
      <w:pPr>
        <w:spacing w:after="0" w:line="16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Bison Wind Energy Center. </w:t>
      </w:r>
      <w:r>
        <w:rPr>
          <w:rFonts w:ascii="Arial" w:cs="Arial" w:eastAsia="Arial" w:hAnsi="Arial"/>
          <w:sz w:val="18"/>
          <w:szCs w:val="18"/>
          <w:color w:val="auto"/>
        </w:rPr>
        <w:t>Our Bison Wind Energy Center in North Dakota consists of 292 MW of nameplate capacity. The 82 MW Bison 1 wind facility</w:t>
      </w:r>
      <w:r>
        <w:rPr>
          <w:rFonts w:ascii="Arial" w:cs="Arial" w:eastAsia="Arial" w:hAnsi="Arial"/>
          <w:sz w:val="18"/>
          <w:szCs w:val="18"/>
          <w:i w:val="1"/>
          <w:iCs w:val="1"/>
          <w:color w:val="auto"/>
        </w:rPr>
        <w:t xml:space="preserve"> </w:t>
      </w:r>
      <w:r>
        <w:rPr>
          <w:rFonts w:ascii="Arial" w:cs="Arial" w:eastAsia="Arial" w:hAnsi="Arial"/>
          <w:sz w:val="18"/>
          <w:szCs w:val="18"/>
          <w:color w:val="auto"/>
        </w:rPr>
        <w:t>was completed in two phases; the first phase in 2010 and the second phase in January 2012. The 105 MW Bison 2 and 105 MW Bison 3 wind facilities were completed in December 2012. Total project costs for our Bison Wind Energy Center were $473.3 million through December 31, 2012. In September 2011 and November 2011, the MPUC approved Minnesota Power’s petition seeking cost recovery for investments and expenditures related to Bison 2 and Bison 3,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Current customer billing rates were approved by the MPUC in a November 2011 order and are based on investments and expenditures associated with Bison</w:t>
      </w:r>
    </w:p>
    <w:p>
      <w:pPr>
        <w:spacing w:after="0" w:line="46" w:lineRule="exact"/>
        <w:rPr>
          <w:sz w:val="20"/>
          <w:szCs w:val="20"/>
          <w:color w:val="auto"/>
        </w:rPr>
      </w:pPr>
    </w:p>
    <w:p>
      <w:pPr>
        <w:ind w:firstLine="8"/>
        <w:spacing w:after="0" w:line="261" w:lineRule="auto"/>
        <w:tabs>
          <w:tab w:leader="none" w:pos="182"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anticipate filing a cost recovery petition with the MPUC in the first half of 2013 to update customer billing rates for Bison 1 and to include investments and expenditures associated with Bison 2 and Bison 3.</w:t>
      </w:r>
    </w:p>
    <w:p>
      <w:pPr>
        <w:spacing w:after="0" w:line="18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i w:val="1"/>
          <w:iCs w:val="1"/>
          <w:color w:val="auto"/>
        </w:rPr>
        <w:t xml:space="preserve">Integrated Resource Plan. </w:t>
      </w:r>
      <w:r>
        <w:rPr>
          <w:rFonts w:ascii="Arial" w:cs="Arial" w:eastAsia="Arial" w:hAnsi="Arial"/>
          <w:sz w:val="17"/>
          <w:szCs w:val="17"/>
          <w:color w:val="auto"/>
        </w:rPr>
        <w:t>In May 2011, the MPUC issued its final order approving our 2010 Integrated Resource Plan. As a condition of the final order, a</w:t>
      </w:r>
      <w:r>
        <w:rPr>
          <w:rFonts w:ascii="Arial" w:cs="Arial" w:eastAsia="Arial" w:hAnsi="Arial"/>
          <w:sz w:val="17"/>
          <w:szCs w:val="17"/>
          <w:i w:val="1"/>
          <w:iCs w:val="1"/>
          <w:color w:val="auto"/>
        </w:rPr>
        <w:t xml:space="preserve"> </w:t>
      </w:r>
      <w:r>
        <w:rPr>
          <w:rFonts w:ascii="Arial" w:cs="Arial" w:eastAsia="Arial" w:hAnsi="Arial"/>
          <w:sz w:val="17"/>
          <w:szCs w:val="17"/>
          <w:color w:val="auto"/>
        </w:rPr>
        <w:t>required baseload diversification study evaluating the impact of additional environmental regulations over the next two decades was filed on February 6, 2012. Minnesota Power’s Integrated Resource Plan to be filed on March 1, 2013, will detail our “EnergyForward” strategic plan (see Item 7. Management’s Discussion and Analysis of Financial Condition and Results of Operations – Outlook – EnergyForward), and will include an analysis of a variety of existing and future energy resource alternatives and a projection of customer cost impact by class.</w:t>
      </w:r>
    </w:p>
    <w:p>
      <w:pPr>
        <w:spacing w:after="0" w:line="17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auto"/>
        </w:rPr>
        <w:t xml:space="preserve">Boswell Mercury Emissions Reduction Plan. </w:t>
      </w:r>
      <w:r>
        <w:rPr>
          <w:rFonts w:ascii="Arial" w:cs="Arial" w:eastAsia="Arial" w:hAnsi="Arial"/>
          <w:sz w:val="16"/>
          <w:szCs w:val="16"/>
          <w:color w:val="auto"/>
        </w:rPr>
        <w:t>Minnesota Power is required to implement a mercury emissions reduction project for Boswell Unit 4 under the</w:t>
      </w:r>
      <w:r>
        <w:rPr>
          <w:rFonts w:ascii="Arial" w:cs="Arial" w:eastAsia="Arial" w:hAnsi="Arial"/>
          <w:sz w:val="16"/>
          <w:szCs w:val="16"/>
          <w:i w:val="1"/>
          <w:iCs w:val="1"/>
          <w:color w:val="auto"/>
        </w:rPr>
        <w:t xml:space="preserve"> </w:t>
      </w:r>
      <w:r>
        <w:rPr>
          <w:rFonts w:ascii="Arial" w:cs="Arial" w:eastAsia="Arial" w:hAnsi="Arial"/>
          <w:sz w:val="16"/>
          <w:szCs w:val="16"/>
          <w:color w:val="auto"/>
        </w:rPr>
        <w:t>Minnesota Mercury Emissions Reduction and the Federal MATS rule. On August 31, 2012, Minnesota Power filed its mercury emissions reduction plan for Boswell Unit 4 with the MPUC and the MPCA. The plan proposes that Minnesota Power install pollution controls by early 2016 to address both the Minnesota mercury emissions reduction requirements and the Federal MATS rule. Costs to implement the Boswell Unit 4 mercury emissions reduction plan are included in the estimated capital expenditures and are estimated to be between $350 million and $400 million. The MPCA has 180 days to comment on the mercury emissions reduction plan, which then is reviewed by the MPUC for a decision. We expect a decision by the MPUC on the plan in the third quarter of 2013. After approval by the MPUC we anticipate filing a petition to include investments and expenditures in customer billing rates.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2012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364"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Regulated Operations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Matters (Continued)</w:t>
      </w:r>
    </w:p>
    <w:p>
      <w:pPr>
        <w:spacing w:after="0" w:line="21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Transmission Investments. </w:t>
      </w:r>
      <w:r>
        <w:rPr>
          <w:rFonts w:ascii="Arial" w:cs="Arial" w:eastAsia="Arial" w:hAnsi="Arial"/>
          <w:sz w:val="17"/>
          <w:szCs w:val="17"/>
          <w:color w:val="auto"/>
        </w:rPr>
        <w:t>We have an approved cost recovery rider in place for certain transmission expenditures and the continued use of our 2009 billing</w:t>
      </w:r>
      <w:r>
        <w:rPr>
          <w:rFonts w:ascii="Arial" w:cs="Arial" w:eastAsia="Arial" w:hAnsi="Arial"/>
          <w:sz w:val="17"/>
          <w:szCs w:val="17"/>
          <w:i w:val="1"/>
          <w:iCs w:val="1"/>
          <w:color w:val="auto"/>
        </w:rPr>
        <w:t xml:space="preserve"> </w:t>
      </w:r>
      <w:r>
        <w:rPr>
          <w:rFonts w:ascii="Arial" w:cs="Arial" w:eastAsia="Arial" w:hAnsi="Arial"/>
          <w:sz w:val="17"/>
          <w:szCs w:val="17"/>
          <w:color w:val="auto"/>
        </w:rPr>
        <w:t>factor was approved by the MPUC in May 2011. The billing factor allows us to charge our retail customers on a current basis for the costs of constructing certain transmission facilities plus a return on the capital invested. In June 2011, we filed a request with the MPUC to approve an updated billing factor that includes additional transmission expenditures, which we expect to be approved in the first quarter of 2013.</w:t>
      </w:r>
    </w:p>
    <w:p>
      <w:pPr>
        <w:spacing w:after="0" w:line="17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color w:val="auto"/>
        </w:rPr>
        <w:t xml:space="preserve">Conservation Improvement Program (CIP). </w:t>
      </w:r>
      <w:r>
        <w:rPr>
          <w:rFonts w:ascii="Arial" w:cs="Arial" w:eastAsia="Arial" w:hAnsi="Arial"/>
          <w:sz w:val="18"/>
          <w:szCs w:val="18"/>
          <w:color w:val="auto"/>
        </w:rPr>
        <w:t>Minnesota requires electric utilities to spend a minimum of 1.5 percent of gross operating revenues from service</w:t>
      </w:r>
      <w:r>
        <w:rPr>
          <w:rFonts w:ascii="Arial" w:cs="Arial" w:eastAsia="Arial" w:hAnsi="Arial"/>
          <w:sz w:val="18"/>
          <w:szCs w:val="18"/>
          <w:i w:val="1"/>
          <w:iCs w:val="1"/>
          <w:color w:val="auto"/>
        </w:rPr>
        <w:t xml:space="preserve"> </w:t>
      </w:r>
      <w:r>
        <w:rPr>
          <w:rFonts w:ascii="Arial" w:cs="Arial" w:eastAsia="Arial" w:hAnsi="Arial"/>
          <w:sz w:val="18"/>
          <w:szCs w:val="18"/>
          <w:color w:val="auto"/>
        </w:rPr>
        <w:t>provided in the state on energy CIPs each year. These investments are recovered from retail customers through a combination of the conservation cost recovery charge included in retail base rates and a conservation program adjustment, which is adjusted annually through the CIP consolidated filing. The MPUC allows utilities to accumulate, in a deferred account for future cost recovery, all CIP expenditures, any financial incentive earned for cost-effective program achievements, and a carrying charge on the deferred account balance. Minnesota’s Next Generation Energy Act of 2007 introduced, in addition to the minimum spending requirements, an energy-saving goal of 1.5 percent of gross annual retail electric energy sales beginning with program year 2010. In June 2010, a triennial filing was submitted for 2011 through 2013, and was subsequently approved by the Minnesota Department of Commerce. Minnesota Power’s CIP investment goal was $6.0 million for 2012 ($5.9 million for 2011; $4.6 million for 2010), with actual spending of $6.8 million in 2012 ($6.3 million in 2011; $5.6 million in 2010).</w:t>
      </w:r>
    </w:p>
    <w:p>
      <w:pPr>
        <w:spacing w:after="0" w:line="19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light of the changes in the Next Generation Energy Act of 2007, the MPUC adjusted the utility performance incentive to recognize utilities for making progress toward and meeting the energy-savings goals established. This new incentive mechanism became effective beginning with the 2010 program year. On March 30, 2012, Minnesota Power submitted its 2011 CIP consolidated filing that calculated CIP financial incentives based upon the MPUC’s new mechanism. The total requested incentive was $7.8 million in 2012 ($6.8 million in 2011 related to the 2010 CIP consolidated filing). The requested CIP financial incentive was approved by the MPUC in an order received on November 27, 2012, and was recorded as revenue and as a regulatory asset; the approved financial incentive will be billed in 2013.</w:t>
      </w:r>
    </w:p>
    <w:p>
      <w:pPr>
        <w:spacing w:after="0" w:line="193"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i w:val="1"/>
          <w:iCs w:val="1"/>
          <w:color w:val="auto"/>
        </w:rPr>
        <w:t xml:space="preserve">Rapids Energy Center. </w:t>
      </w:r>
      <w:r>
        <w:rPr>
          <w:rFonts w:ascii="Arial" w:cs="Arial" w:eastAsia="Arial" w:hAnsi="Arial"/>
          <w:sz w:val="18"/>
          <w:szCs w:val="18"/>
          <w:color w:val="auto"/>
        </w:rPr>
        <w:t>On December 19, 2012, Minnesota Power filed with the MPUC for approval to transfer the assets of Rapids Energy Center from non-rate base generation to Minnesota Power’s Regulated Operations. Rapids Energy Center is a generation facility that is located at the UPM, Blandin Paper Mill (Blandin). Minnesota Power and Blandin entered into a new electric service agreement in September 2012 which is also subject to MPUC approval. We expect a decision from the MPUC on these filings in mid-2013.</w:t>
      </w:r>
    </w:p>
    <w:p>
      <w:pPr>
        <w:spacing w:after="0" w:line="18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Federal Energy Regulatory Commission. </w:t>
      </w:r>
      <w:r>
        <w:rPr>
          <w:rFonts w:ascii="Arial" w:cs="Arial" w:eastAsia="Arial" w:hAnsi="Arial"/>
          <w:sz w:val="18"/>
          <w:szCs w:val="18"/>
          <w:color w:val="auto"/>
        </w:rPr>
        <w:t>The FERC has jurisdiction over the licensing of hydroelectric projects, the establishment of rates and charges for</w:t>
      </w:r>
      <w:r>
        <w:rPr>
          <w:rFonts w:ascii="Arial" w:cs="Arial" w:eastAsia="Arial" w:hAnsi="Arial"/>
          <w:sz w:val="18"/>
          <w:szCs w:val="18"/>
          <w:b w:val="1"/>
          <w:bCs w:val="1"/>
          <w:color w:val="auto"/>
        </w:rPr>
        <w:t xml:space="preserve"> </w:t>
      </w:r>
      <w:r>
        <w:rPr>
          <w:rFonts w:ascii="Arial" w:cs="Arial" w:eastAsia="Arial" w:hAnsi="Arial"/>
          <w:sz w:val="18"/>
          <w:szCs w:val="18"/>
          <w:color w:val="auto"/>
        </w:rPr>
        <w:t>transmission of electricity in interstate commerce and electricity sold at wholesale (including the rates for our municipal customers), natural gas transportation, certain accounting and record-keeping practices, certain activities of our regulated utilities, and the operations of ATC. FERC jurisdiction also includes enforcement of NERC mandatory electric reliability standards. Violations of FERC rules are potentially subject to enforcement action by the FERC including financial penalties up to $1 million per day per violation.</w:t>
      </w:r>
    </w:p>
    <w:p>
      <w:pPr>
        <w:spacing w:after="0" w:line="188"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Minnesota Power’s non-affiliated municipal customers consist of 16 municipalities in Minnesota and 1 private utility in Wisconsin. SWL&amp;P, a wholly-owned subsidiary of ALLETE, is also a private utility in Wisconsin and a customer of Minnesota Power. Minnesota Power’s formula-based contract with the City of Nashwauk is effective April 1, 2013 through June 30, 2024, and the restated formula-based contracts with the remaining 15 Minnesota municipal customers and SWL&amp;P are effective through June 30, 2019. The rates included in these contracts are calculated using a cost-based formula methodology that is set each July 1, using estimated costs and a rate of return that is equal to our authorized rate of return for Minnesota retail customers (currently 10.38 percent). The formula-based rate methodology also provides for a yearly true-up calculation for actual costs incurred. The contract terms include a termination clause requiring a three-year notice to terminate. Under the City of Nashwauk contract, no termination notice may be given prior to July 1, 2021. Under the restated contracts, no termination notices may be given prior to June 30, 2016. A two-year cancellation notice is required for the one private non-affiliated utility in Wisconsin. This customer submitted a cancellation notice with termination effective on December 31, 2013. The 17 MW of average monthly demand provided to this customer is expected to be used to supply energy to prospective customers beginning in 2014.</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2012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364"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Regulated Operations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Matters (Continued)</w:t>
      </w:r>
    </w:p>
    <w:p>
      <w:pPr>
        <w:spacing w:after="0" w:line="20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Public Service Commission of Wisconsin. </w:t>
      </w:r>
      <w:r>
        <w:rPr>
          <w:rFonts w:ascii="Arial" w:cs="Arial" w:eastAsia="Arial" w:hAnsi="Arial"/>
          <w:sz w:val="18"/>
          <w:szCs w:val="18"/>
          <w:color w:val="auto"/>
        </w:rPr>
        <w:t>The PSCW has regulatory authority over SWL&amp;P’s retail sales of electricity, natural gas and water, issuances of</w:t>
      </w:r>
      <w:r>
        <w:rPr>
          <w:rFonts w:ascii="Arial" w:cs="Arial" w:eastAsia="Arial" w:hAnsi="Arial"/>
          <w:sz w:val="18"/>
          <w:szCs w:val="18"/>
          <w:b w:val="1"/>
          <w:bCs w:val="1"/>
          <w:color w:val="auto"/>
        </w:rPr>
        <w:t xml:space="preserve"> </w:t>
      </w:r>
      <w:r>
        <w:rPr>
          <w:rFonts w:ascii="Arial" w:cs="Arial" w:eastAsia="Arial" w:hAnsi="Arial"/>
          <w:sz w:val="18"/>
          <w:szCs w:val="18"/>
          <w:color w:val="auto"/>
        </w:rPr>
        <w:t>securities and other matters.</w:t>
      </w:r>
    </w:p>
    <w:p>
      <w:pPr>
        <w:spacing w:after="0" w:line="16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During 2012, SWL&amp;P’s retail rates were based on a 2010 PSCW retail rate order, which was effective January 1, 2011. SWL&amp;P’s 2013 retail rates are based on a 2012 PSCW retail rate order, effective January 1, 2013, and allows for a 10.9 percent return on common equity. The new rates reflect an average overall increase of 2.4 percent for retail customers (a 13.8 percent increase in water rates, a 1.2 percent increase in electric rates, and a 2.0 percent decrease in natural gas rates). On an annualized basis, the rate increase will generate approximately $1.7 million in additional revenue.</w:t>
      </w:r>
    </w:p>
    <w:p>
      <w:pPr>
        <w:spacing w:after="0" w:line="16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North Dakota Public Service Commission. </w:t>
      </w:r>
      <w:r>
        <w:rPr>
          <w:rFonts w:ascii="Arial" w:cs="Arial" w:eastAsia="Arial" w:hAnsi="Arial"/>
          <w:sz w:val="18"/>
          <w:szCs w:val="18"/>
          <w:color w:val="auto"/>
        </w:rPr>
        <w:t>The NDPSC has jurisdiction over site and route permitting of generation and transmission facilities in North</w:t>
      </w:r>
      <w:r>
        <w:rPr>
          <w:rFonts w:ascii="Arial" w:cs="Arial" w:eastAsia="Arial" w:hAnsi="Arial"/>
          <w:sz w:val="18"/>
          <w:szCs w:val="18"/>
          <w:b w:val="1"/>
          <w:bCs w:val="1"/>
          <w:color w:val="auto"/>
        </w:rPr>
        <w:t xml:space="preserve"> </w:t>
      </w:r>
      <w:r>
        <w:rPr>
          <w:rFonts w:ascii="Arial" w:cs="Arial" w:eastAsia="Arial" w:hAnsi="Arial"/>
          <w:sz w:val="18"/>
          <w:szCs w:val="18"/>
          <w:color w:val="auto"/>
        </w:rPr>
        <w:t>Dakota.</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Regional Organizations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Midwest Independent Transmission System Operator, Inc. (MISO). </w:t>
      </w:r>
      <w:r>
        <w:rPr>
          <w:rFonts w:ascii="Arial" w:cs="Arial" w:eastAsia="Arial" w:hAnsi="Arial"/>
          <w:sz w:val="18"/>
          <w:szCs w:val="18"/>
          <w:color w:val="auto"/>
        </w:rPr>
        <w:t>Minnesota Power and SWL&amp;P are members of MISO, a regional transmission</w:t>
      </w:r>
      <w:r>
        <w:rPr>
          <w:rFonts w:ascii="Arial" w:cs="Arial" w:eastAsia="Arial" w:hAnsi="Arial"/>
          <w:sz w:val="18"/>
          <w:szCs w:val="18"/>
          <w:b w:val="1"/>
          <w:bCs w:val="1"/>
          <w:color w:val="auto"/>
        </w:rPr>
        <w:t xml:space="preserve"> </w:t>
      </w:r>
      <w:r>
        <w:rPr>
          <w:rFonts w:ascii="Arial" w:cs="Arial" w:eastAsia="Arial" w:hAnsi="Arial"/>
          <w:sz w:val="18"/>
          <w:szCs w:val="18"/>
          <w:color w:val="auto"/>
        </w:rPr>
        <w:t>organization. While Minnesota Power and SWL&amp;P retain ownership of their respective transmission assets, their transmission networks are under the regional operational control of MISO. Minnesota Power and SWL&amp;P take and provide transmission service under the MISO open access transmission tariff. MISO continues its efforts to standardize rates, terms, and</w:t>
      </w:r>
    </w:p>
    <w:p>
      <w:pPr>
        <w:spacing w:after="0" w:line="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conditions of transmission service over its region, which encompasses all or parts of 11 states and the Canadian province of Manitoba, and over 100,000 MW of generating capacity.</w:t>
      </w:r>
    </w:p>
    <w:p>
      <w:pPr>
        <w:spacing w:after="0" w:line="180"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 xml:space="preserve">North American Electric Reliability Corporation (NERC). </w:t>
      </w:r>
      <w:r>
        <w:rPr>
          <w:rFonts w:ascii="Arial" w:cs="Arial" w:eastAsia="Arial" w:hAnsi="Arial"/>
          <w:sz w:val="17"/>
          <w:szCs w:val="17"/>
          <w:color w:val="auto"/>
        </w:rPr>
        <w:t>The NERC has been certified by the FERC as the national electric reliability organization. The</w:t>
      </w:r>
      <w:r>
        <w:rPr>
          <w:rFonts w:ascii="Arial" w:cs="Arial" w:eastAsia="Arial" w:hAnsi="Arial"/>
          <w:sz w:val="17"/>
          <w:szCs w:val="17"/>
          <w:b w:val="1"/>
          <w:bCs w:val="1"/>
          <w:color w:val="auto"/>
        </w:rPr>
        <w:t xml:space="preserve"> </w:t>
      </w:r>
      <w:r>
        <w:rPr>
          <w:rFonts w:ascii="Arial" w:cs="Arial" w:eastAsia="Arial" w:hAnsi="Arial"/>
          <w:sz w:val="17"/>
          <w:szCs w:val="17"/>
          <w:color w:val="auto"/>
        </w:rPr>
        <w:t>NERC ensures the reliability and security of the North American bulk power system. The NERC oversees eight regional entities that establish requirements, approved by the FERC, for reliable operation and maintenance of power generation facilities and transmission systems. Minnesota Power is subject to these reliability requirements and can incur significant penalties for failing to comply with them.</w:t>
      </w:r>
    </w:p>
    <w:p>
      <w:pPr>
        <w:spacing w:after="0" w:line="165" w:lineRule="exact"/>
        <w:rPr>
          <w:sz w:val="20"/>
          <w:szCs w:val="20"/>
          <w:color w:val="auto"/>
        </w:rPr>
      </w:pPr>
    </w:p>
    <w:p>
      <w:pPr>
        <w:jc w:val="both"/>
        <w:spacing w:after="0" w:line="314" w:lineRule="auto"/>
        <w:rPr>
          <w:sz w:val="20"/>
          <w:szCs w:val="20"/>
          <w:color w:val="auto"/>
        </w:rPr>
      </w:pPr>
      <w:r>
        <w:rPr>
          <w:rFonts w:ascii="Arial" w:cs="Arial" w:eastAsia="Arial" w:hAnsi="Arial"/>
          <w:sz w:val="16"/>
          <w:szCs w:val="16"/>
          <w:b w:val="1"/>
          <w:bCs w:val="1"/>
          <w:color w:val="auto"/>
        </w:rPr>
        <w:t xml:space="preserve">Midwest Reliability Organization (MRO). </w:t>
      </w:r>
      <w:r>
        <w:rPr>
          <w:rFonts w:ascii="Arial" w:cs="Arial" w:eastAsia="Arial" w:hAnsi="Arial"/>
          <w:sz w:val="16"/>
          <w:szCs w:val="16"/>
          <w:color w:val="auto"/>
        </w:rPr>
        <w:t>Minnesota Power is a member of the MRO, one of the eight regional entities overseen by the NERC that is</w:t>
      </w:r>
      <w:r>
        <w:rPr>
          <w:rFonts w:ascii="Arial" w:cs="Arial" w:eastAsia="Arial" w:hAnsi="Arial"/>
          <w:sz w:val="16"/>
          <w:szCs w:val="16"/>
          <w:b w:val="1"/>
          <w:bCs w:val="1"/>
          <w:color w:val="auto"/>
        </w:rPr>
        <w:t xml:space="preserve"> </w:t>
      </w:r>
      <w:r>
        <w:rPr>
          <w:rFonts w:ascii="Arial" w:cs="Arial" w:eastAsia="Arial" w:hAnsi="Arial"/>
          <w:sz w:val="16"/>
          <w:szCs w:val="16"/>
          <w:color w:val="auto"/>
        </w:rPr>
        <w:t>responsible for: (1) developing and implementing electricity reliability standards; (2) enforcing compliance with those standards; (3) providing seasonal and long-term assessments of the bulk power system’s ability to meet demand for electricity; and (4) providing an appeals and dispute resolution process.</w:t>
      </w:r>
    </w:p>
    <w:p>
      <w:pPr>
        <w:spacing w:after="0" w:line="1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MRO region spans the Canadian provinces of Saskatchewan and Manitoba, all of North Dakota, Minnesota, Nebraska and the majority of South Dakota, Iowa and Wisconsin. The region includes more than 100 organizations that are involved in the production and delivery of power to more than 20 million people. These organizations include municipal utilities, cooperatives, investor-owned utilities, a federal power marketing agency, Canadian Crown corporations, independent power producers and others who have interests in the reliability of the bulk power system.</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Minnesota Legislation</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 xml:space="preserve">Renewable Energy. </w:t>
      </w:r>
      <w:r>
        <w:rPr>
          <w:rFonts w:ascii="Arial" w:cs="Arial" w:eastAsia="Arial" w:hAnsi="Arial"/>
          <w:sz w:val="18"/>
          <w:szCs w:val="18"/>
          <w:color w:val="auto"/>
        </w:rPr>
        <w:t>In February 2007, Minnesota enacted a law requiring 25 percent of Minnesota Power’s total retail and municipal energy sales in</w:t>
      </w:r>
      <w:r>
        <w:rPr>
          <w:rFonts w:ascii="Arial" w:cs="Arial" w:eastAsia="Arial" w:hAnsi="Arial"/>
          <w:sz w:val="18"/>
          <w:szCs w:val="18"/>
          <w:i w:val="1"/>
          <w:iCs w:val="1"/>
          <w:color w:val="auto"/>
        </w:rPr>
        <w:t xml:space="preserve"> </w:t>
      </w:r>
      <w:r>
        <w:rPr>
          <w:rFonts w:ascii="Arial" w:cs="Arial" w:eastAsia="Arial" w:hAnsi="Arial"/>
          <w:sz w:val="18"/>
          <w:szCs w:val="18"/>
          <w:color w:val="auto"/>
        </w:rPr>
        <w:t>Minnesota be from renewable energy sources by 2025. The law also requires Minnesota Power to meet interim milestones of 12 percent by 2012, 17 percent by 2016 and 20 percent by 2020. The law allows the MPUC to modify or delay meeting a milestone if implementation will cause significant ratepayer cost or technical reliability issues. If a utility is not in compliance with a milestone, the MPUC may order the utility to construct facilities, purchase renewable energy or purchase renewable energy credits. Minnesota Power met the 2012 milestone and has developed a plan to meet the future renewable milestones which is included in its 2010 Integrated Resource Plan. The MPUC approved the Integrated Resource Plan in its order issued in May 2011. Minnesota Power will submit its next Integrated Resource Plan on March 1, 2013, and include an update on its plans and progress in meeting the Minnesota renewable energy milestones through 2025.</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2012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364"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Regulated Operations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Minnesota Legislation (Continued)</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Minnesota Power has taken several steps in executing its renewable energy strategy through key renewable projects that will ensure we meet the identified state mandate at the lowest cost for customers. We have executed two long-term PPAs with an affiliate of NextEra Energy, Inc. for wind energy in North Dakota (Oliver Wind I and II). Other steps include Taconite Ridge, our 25 MW wind facility located in northeastern Minnesota, and our 292 MW Bison Wind Energy Center in North Dakota. Approximately 20 percent of the Company’s total retail and municipal energy sales will be supplied by renewable energy sources in 2013.</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Retail electric energy sales in Minnesota and Wisconsin are made to customers in assigned service territories. As a result, most retail electric customers in Minnesota do not have the ability to choose their electric supplier. Large energy users of 2 MW and above that are located outside of a municipality may be allowed to choose a supplier upon MPUC approval. Minnesota Power serves 10 Large Power facilities over 10 MW, none of which have engaged in a competitive rate process. No other large commercial or small industrial customers in Minnesota Power’s service territory have attempted to seek a provider outside Minnesota Power’s service territory since 1994. Retail electric and natural gas customers in Wisconsin do not have the ability to choose their energy supplier. In both states, however, electricity may compete with other forms of energy. Customers may also choose to generate their own electricity, or substitute other forms of energy for their manufacturing processes.</w:t>
      </w:r>
    </w:p>
    <w:p>
      <w:pPr>
        <w:spacing w:after="0" w:line="17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For the year ended December 31, 2012, 8 percent of the Company’s electric energy sales were to municipal customers in Minnesota and a private non-affiliated utility in Wisconsin by contract under a formula-based rate approved by FERC. These customers have the right to seek an energy supply from any wholesale electric service provider upon contract expiration. (See Item 1. Business – Regulated Operations – Regulatory Matters.)</w:t>
      </w:r>
    </w:p>
    <w:p>
      <w:pPr>
        <w:spacing w:after="0" w:line="16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FERC has continued with its efforts to promote a more competitive wholesale market through open-access electric transmission and other means. As a result, our electric sales to Other Power Suppliers and our purchases to supply our retail and wholesale load are made in the competitive market.</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Franchises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Minnesota Power holds franchises to construct and maintain an electric distribution and transmission system in 94 cities. The remaining cities, villages and towns served by us do not require a franchise to operate. SWL&amp;P serves customers with electric, natural gas and/or water systems in 1 city and 16 villages and towns.</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 and Other</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Investments and Other is comprised primarily of BNI Coal, our coal mining operations in North Dakota, ALLETE Properties, our Florida real estate investment, and ALLETE Clean Energy, our business aimed at developing or acquiring capital projects that create energy solutions via wind, solar, biomass, hydro, natural gas/liquids, shale resources, clean coal and other clean energy innovations. This segment also includes other business development and corporate expenditures, a small amount of non-rate base generation, approximately 6,100 acres of land in Minnesota, and earnings on cash and investments.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BNI Coal</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BNI Coal is a supplier of lignite in North Dakota, producing about 4 million tons annually. Two electric generating cooperatives, Minnkota Power and Square Butte, presently consume virtually all of BNI Coal’s production of lignite under a cost plus fixed fee coal supply agreement extending through 2026. (See Item 1. Business – Regulated Operations – Power Supply – Long-Term Purchased Power and Note 11. Commitments, Guarantees and Contingencies.) The mining process disturbs and reclaims between 200 and 250 acres per year. Laws require that the reclaimed land be at least as productive as it was prior to mining. As of December 31, 2012, BNI had a $11.0 million asset reclamation obligation ($10.3 million at December 31, 2011) included in other non-current liabilities on our Consolidated Balance Sheet. These costs are included in the cost plus fixed fee contract, for which an asset reclamation cost receivable was included in other non-current assets on our Consolidated Balance Sheet. The asset reclamation obligation is guaranteed by surety bonds and a letter of credit. (See Note 11. Commitments, Guarantees and Contingencies.) BNI Coal has lignite reserves of an estimated 650 million tons.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2012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364"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Investments and Other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ALLETE Properties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ALLETE Properties represents our Florida real estate investment. Our current strategy for the assets is to complete and maintain key entitlements and infrastructure improvements without requiring significant additional investment, sell the portfolio when opportunities arise and reinvest the proceeds in our growth initiatives. ALLETE does not intend to acquire additional Florida real estate.</w:t>
      </w:r>
    </w:p>
    <w:p>
      <w:pPr>
        <w:spacing w:after="0" w:line="18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Our two major development projects are Town Center and Palm Coast Park. Another major project, Ormond Crossings, is in the permitting stage. The City of Ormond Beach, Florida, approved a development agreement for Ormond Crossings which will facilitate development of the project as currently planned. Separately, the Lake Swamp wetland mitigation bank was permitted on land that was previously part of Ormond Crossings. See Item 7. Management’s Discussion and Analysis of Financial Condition and Results of Operations – Outlook for more information on ALLETE Properties’ land holdings.</w:t>
      </w:r>
    </w:p>
    <w:p>
      <w:pPr>
        <w:spacing w:after="0" w:line="150"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Seller Financing. </w:t>
      </w:r>
      <w:r>
        <w:rPr>
          <w:rFonts w:ascii="Arial" w:cs="Arial" w:eastAsia="Arial" w:hAnsi="Arial"/>
          <w:sz w:val="18"/>
          <w:szCs w:val="18"/>
          <w:color w:val="auto"/>
        </w:rPr>
        <w:t>ALLETE Properties occasionally provides seller financing to certain qualified buyers. At December 31, 2012, outstanding finance</w:t>
      </w:r>
      <w:r>
        <w:rPr>
          <w:rFonts w:ascii="Arial" w:cs="Arial" w:eastAsia="Arial" w:hAnsi="Arial"/>
          <w:sz w:val="18"/>
          <w:szCs w:val="18"/>
          <w:b w:val="1"/>
          <w:bCs w:val="1"/>
          <w:color w:val="auto"/>
        </w:rPr>
        <w:t xml:space="preserve"> </w:t>
      </w:r>
      <w:r>
        <w:rPr>
          <w:rFonts w:ascii="Arial" w:cs="Arial" w:eastAsia="Arial" w:hAnsi="Arial"/>
          <w:sz w:val="18"/>
          <w:szCs w:val="18"/>
          <w:color w:val="auto"/>
        </w:rPr>
        <w:t>receivables were $1.4 million, net of reserves, with maturities through 2014. These finance receivables accrue interest at market-based rates and are collateralized by the financed properties.</w:t>
      </w:r>
    </w:p>
    <w:p>
      <w:pPr>
        <w:spacing w:after="0" w:line="176"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 xml:space="preserve">Regulation. </w:t>
      </w:r>
      <w:r>
        <w:rPr>
          <w:rFonts w:ascii="Arial" w:cs="Arial" w:eastAsia="Arial" w:hAnsi="Arial"/>
          <w:sz w:val="17"/>
          <w:szCs w:val="17"/>
          <w:color w:val="auto"/>
        </w:rPr>
        <w:t>A substantial portion of our development properties in Florida are subject to federal, state and local regulations, and restrictions that may impose</w:t>
      </w:r>
      <w:r>
        <w:rPr>
          <w:rFonts w:ascii="Arial" w:cs="Arial" w:eastAsia="Arial" w:hAnsi="Arial"/>
          <w:sz w:val="17"/>
          <w:szCs w:val="17"/>
          <w:b w:val="1"/>
          <w:bCs w:val="1"/>
          <w:color w:val="auto"/>
        </w:rPr>
        <w:t xml:space="preserve"> </w:t>
      </w:r>
      <w:r>
        <w:rPr>
          <w:rFonts w:ascii="Arial" w:cs="Arial" w:eastAsia="Arial" w:hAnsi="Arial"/>
          <w:sz w:val="17"/>
          <w:szCs w:val="17"/>
          <w:color w:val="auto"/>
        </w:rPr>
        <w:t>significant costs or limitations on our ability to develop the properties. Much of our property is vacant land and some is located in areas where development may affect the natural habitats of various protected wildlife species or in sensitive environmental areas such as wetlands.</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ALLETE Clean Energy</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June 2011, we established ALLETE Clean Energy, a wholly-owned subsidiary of ALLETE. ALLETE Clean Energy operates independently of Minnesota Power to develop or acquire capital projects aimed at creating energy solutions via wind, solar, biomass, hydro, natural gas/liquids, shale resources, clean coal and other clean energy innovations. ALLETE Clean Energy intends to market to electric utilities, cooperatives, municipalities, independent power marketers and large end-users across North America through long-term contracts or other sale arrangements. In August 2011, the Company filed with the MPUC for approval of certain affiliated interest agreements between ALLETE and ALLETE Clean Energy. (See Item 1. Business – Regulated Operations – Regulatory Matters.)</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Non-Rate Base Generation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2012, non-rate base generation consists of 29 MW of generation at Rapids Energy Center. In 2012, we sold 0.1 million MWh of non-rate base generation (0.1 million in 2011 and 0.1 million in 2010).</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96"/>
              </w:rPr>
              <w:t>Net</w:t>
            </w:r>
          </w:p>
        </w:tc>
      </w:tr>
      <w:tr>
        <w:trPr>
          <w:trHeight w:val="216"/>
        </w:trPr>
        <w:tc>
          <w:tcPr>
            <w:tcW w:w="46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92"/>
              </w:rPr>
              <w:t>Year</w:t>
            </w: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92"/>
              </w:rPr>
              <w:t>Year</w:t>
            </w: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92"/>
              </w:rPr>
              <w:t>Capability</w:t>
            </w:r>
          </w:p>
        </w:tc>
      </w:tr>
      <w:tr>
        <w:trPr>
          <w:trHeight w:val="234"/>
        </w:trPr>
        <w:tc>
          <w:tcPr>
            <w:tcW w:w="4660" w:type="dxa"/>
            <w:vAlign w:val="bottom"/>
          </w:tcPr>
          <w:p>
            <w:pPr>
              <w:ind w:left="40"/>
              <w:spacing w:after="0"/>
              <w:rPr>
                <w:sz w:val="20"/>
                <w:szCs w:val="20"/>
                <w:color w:val="auto"/>
              </w:rPr>
            </w:pPr>
            <w:r>
              <w:rPr>
                <w:rFonts w:ascii="Arial" w:cs="Arial" w:eastAsia="Arial" w:hAnsi="Arial"/>
                <w:sz w:val="18"/>
                <w:szCs w:val="18"/>
                <w:b w:val="1"/>
                <w:bCs w:val="1"/>
                <w:color w:val="auto"/>
              </w:rPr>
              <w:t>Non-Rate Base Power Supply</w:t>
            </w:r>
          </w:p>
        </w:tc>
        <w:tc>
          <w:tcPr>
            <w:tcW w:w="2620" w:type="dxa"/>
            <w:vAlign w:val="bottom"/>
          </w:tcPr>
          <w:p>
            <w:pPr>
              <w:jc w:val="center"/>
              <w:ind w:left="1250"/>
              <w:spacing w:after="0"/>
              <w:rPr>
                <w:sz w:val="20"/>
                <w:szCs w:val="20"/>
                <w:color w:val="auto"/>
              </w:rPr>
            </w:pPr>
            <w:r>
              <w:rPr>
                <w:rFonts w:ascii="Arial" w:cs="Arial" w:eastAsia="Arial" w:hAnsi="Arial"/>
                <w:sz w:val="18"/>
                <w:szCs w:val="18"/>
                <w:b w:val="1"/>
                <w:bCs w:val="1"/>
                <w:color w:val="auto"/>
                <w:w w:val="92"/>
              </w:rPr>
              <w:t>Unit No.</w:t>
            </w: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90"/>
              </w:rPr>
              <w:t>Installed</w:t>
            </w: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92"/>
              </w:rPr>
              <w:t>Acquired</w:t>
            </w: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rPr>
              <w:t>(MW)</w:t>
            </w:r>
          </w:p>
        </w:tc>
      </w:tr>
      <w:tr>
        <w:trPr>
          <w:trHeight w:val="27"/>
        </w:trPr>
        <w:tc>
          <w:tcPr>
            <w:tcW w:w="466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7"/>
        </w:trPr>
        <w:tc>
          <w:tcPr>
            <w:tcW w:w="4660" w:type="dxa"/>
            <w:vAlign w:val="bottom"/>
          </w:tcPr>
          <w:p>
            <w:pPr>
              <w:ind w:left="40"/>
              <w:spacing w:after="0"/>
              <w:rPr>
                <w:sz w:val="20"/>
                <w:szCs w:val="20"/>
                <w:color w:val="auto"/>
              </w:rPr>
            </w:pPr>
            <w:r>
              <w:rPr>
                <w:rFonts w:ascii="Arial" w:cs="Arial" w:eastAsia="Arial" w:hAnsi="Arial"/>
                <w:sz w:val="18"/>
                <w:szCs w:val="18"/>
                <w:color w:val="auto"/>
              </w:rPr>
              <w:t xml:space="preserve">Rapids Energy Center </w:t>
            </w:r>
            <w:r>
              <w:rPr>
                <w:rFonts w:ascii="Arial" w:cs="Arial" w:eastAsia="Arial" w:hAnsi="Arial"/>
                <w:sz w:val="18"/>
                <w:szCs w:val="18"/>
                <w:i w:val="1"/>
                <w:iCs w:val="1"/>
                <w:color w:val="auto"/>
              </w:rPr>
              <w:t>(a)</w:t>
            </w:r>
          </w:p>
        </w:tc>
        <w:tc>
          <w:tcPr>
            <w:tcW w:w="26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7"/>
        </w:trPr>
        <w:tc>
          <w:tcPr>
            <w:tcW w:w="466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 Grand Rapids, MN</w:t>
            </w:r>
          </w:p>
        </w:tc>
        <w:tc>
          <w:tcPr>
            <w:tcW w:w="26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4660" w:type="dxa"/>
            <w:vAlign w:val="bottom"/>
          </w:tcPr>
          <w:p>
            <w:pPr>
              <w:ind w:left="360"/>
              <w:spacing w:after="0"/>
              <w:rPr>
                <w:sz w:val="20"/>
                <w:szCs w:val="20"/>
                <w:color w:val="auto"/>
              </w:rPr>
            </w:pPr>
            <w:r>
              <w:rPr>
                <w:rFonts w:ascii="Arial" w:cs="Arial" w:eastAsia="Arial" w:hAnsi="Arial"/>
                <w:sz w:val="18"/>
                <w:szCs w:val="18"/>
                <w:color w:val="auto"/>
              </w:rPr>
              <w:t xml:space="preserve">Steam – Biomass </w:t>
            </w:r>
            <w:r>
              <w:rPr>
                <w:rFonts w:ascii="Arial" w:cs="Arial" w:eastAsia="Arial" w:hAnsi="Arial"/>
                <w:sz w:val="18"/>
                <w:szCs w:val="18"/>
                <w:i w:val="1"/>
                <w:iCs w:val="1"/>
                <w:color w:val="auto"/>
              </w:rPr>
              <w:t>(b)</w:t>
            </w:r>
          </w:p>
        </w:tc>
        <w:tc>
          <w:tcPr>
            <w:tcW w:w="2620" w:type="dxa"/>
            <w:vAlign w:val="bottom"/>
          </w:tcPr>
          <w:p>
            <w:pPr>
              <w:jc w:val="center"/>
              <w:ind w:left="1250"/>
              <w:spacing w:after="0"/>
              <w:rPr>
                <w:sz w:val="20"/>
                <w:szCs w:val="20"/>
                <w:color w:val="auto"/>
              </w:rPr>
            </w:pPr>
            <w:r>
              <w:rPr>
                <w:rFonts w:ascii="Arial" w:cs="Arial" w:eastAsia="Arial" w:hAnsi="Arial"/>
                <w:sz w:val="18"/>
                <w:szCs w:val="18"/>
                <w:color w:val="auto"/>
                <w:w w:val="95"/>
              </w:rPr>
              <w:t>6 &amp; 7</w:t>
            </w:r>
          </w:p>
        </w:tc>
        <w:tc>
          <w:tcPr>
            <w:tcW w:w="1440" w:type="dxa"/>
            <w:vAlign w:val="bottom"/>
          </w:tcPr>
          <w:p>
            <w:pPr>
              <w:jc w:val="center"/>
              <w:spacing w:after="0"/>
              <w:rPr>
                <w:sz w:val="20"/>
                <w:szCs w:val="20"/>
                <w:color w:val="auto"/>
              </w:rPr>
            </w:pPr>
            <w:r>
              <w:rPr>
                <w:rFonts w:ascii="Arial" w:cs="Arial" w:eastAsia="Arial" w:hAnsi="Arial"/>
                <w:sz w:val="18"/>
                <w:szCs w:val="18"/>
                <w:color w:val="auto"/>
                <w:w w:val="90"/>
              </w:rPr>
              <w:t>1969, 1980</w:t>
            </w: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2000</w:t>
            </w:r>
          </w:p>
        </w:tc>
        <w:tc>
          <w:tcPr>
            <w:tcW w:w="1380" w:type="dxa"/>
            <w:vAlign w:val="bottom"/>
          </w:tcPr>
          <w:p>
            <w:pPr>
              <w:jc w:val="right"/>
              <w:ind w:right="510"/>
              <w:spacing w:after="0"/>
              <w:rPr>
                <w:sz w:val="20"/>
                <w:szCs w:val="20"/>
                <w:color w:val="auto"/>
              </w:rPr>
            </w:pPr>
            <w:r>
              <w:rPr>
                <w:rFonts w:ascii="Arial" w:cs="Arial" w:eastAsia="Arial" w:hAnsi="Arial"/>
                <w:sz w:val="18"/>
                <w:szCs w:val="18"/>
                <w:color w:val="auto"/>
              </w:rPr>
              <w:t>28</w:t>
            </w:r>
          </w:p>
        </w:tc>
      </w:tr>
      <w:tr>
        <w:trPr>
          <w:trHeight w:val="27"/>
        </w:trPr>
        <w:tc>
          <w:tcPr>
            <w:tcW w:w="466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Hydro – Conventional Run-of-River</w:t>
            </w:r>
          </w:p>
        </w:tc>
        <w:tc>
          <w:tcPr>
            <w:tcW w:w="2620" w:type="dxa"/>
            <w:vAlign w:val="bottom"/>
            <w:tcBorders>
              <w:bottom w:val="single" w:sz="8" w:color="CCEEFF"/>
            </w:tcBorders>
            <w:shd w:val="clear" w:color="auto" w:fill="CCEEFF"/>
          </w:tcPr>
          <w:p>
            <w:pPr>
              <w:jc w:val="center"/>
              <w:ind w:left="1250"/>
              <w:spacing w:after="0"/>
              <w:rPr>
                <w:sz w:val="20"/>
                <w:szCs w:val="20"/>
                <w:color w:val="auto"/>
              </w:rPr>
            </w:pPr>
            <w:r>
              <w:rPr>
                <w:rFonts w:ascii="Arial" w:cs="Arial" w:eastAsia="Arial" w:hAnsi="Arial"/>
                <w:sz w:val="18"/>
                <w:szCs w:val="18"/>
                <w:color w:val="auto"/>
                <w:w w:val="95"/>
              </w:rPr>
              <w:t>4 &amp; 5</w:t>
            </w:r>
          </w:p>
        </w:tc>
        <w:tc>
          <w:tcPr>
            <w:tcW w:w="1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1917, 1948</w:t>
            </w:r>
          </w:p>
        </w:tc>
        <w:tc>
          <w:tcPr>
            <w:tcW w:w="13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2000</w:t>
            </w:r>
          </w:p>
        </w:tc>
        <w:tc>
          <w:tcPr>
            <w:tcW w:w="138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rPr>
              <w:t>1</w:t>
            </w:r>
          </w:p>
        </w:tc>
      </w:tr>
      <w:tr>
        <w:trPr>
          <w:trHeight w:val="20"/>
        </w:trPr>
        <w:tc>
          <w:tcPr>
            <w:tcW w:w="4660" w:type="dxa"/>
            <w:vAlign w:val="bottom"/>
            <w:shd w:val="clear" w:color="auto" w:fill="000000"/>
          </w:tcPr>
          <w:p>
            <w:pPr>
              <w:spacing w:after="0" w:line="20" w:lineRule="exact"/>
              <w:rPr>
                <w:sz w:val="1"/>
                <w:szCs w:val="1"/>
                <w:color w:val="auto"/>
              </w:rPr>
            </w:pPr>
          </w:p>
        </w:tc>
        <w:tc>
          <w:tcPr>
            <w:tcW w:w="262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r>
    </w:tbl>
    <w:p>
      <w:pPr>
        <w:ind w:left="340" w:hanging="332"/>
        <w:spacing w:after="0"/>
        <w:tabs>
          <w:tab w:leader="none" w:pos="340" w:val="left"/>
        </w:tabs>
        <w:numPr>
          <w:ilvl w:val="0"/>
          <w:numId w:val="8"/>
        </w:numPr>
        <w:rPr>
          <w:rFonts w:ascii="Arial" w:cs="Arial" w:eastAsia="Arial" w:hAnsi="Arial"/>
          <w:sz w:val="16"/>
          <w:szCs w:val="16"/>
          <w:i w:val="1"/>
          <w:iCs w:val="1"/>
          <w:color w:val="auto"/>
        </w:rPr>
      </w:pPr>
      <w:r>
        <w:rPr>
          <w:rFonts w:ascii="Arial" w:cs="Arial" w:eastAsia="Arial" w:hAnsi="Arial"/>
          <w:sz w:val="16"/>
          <w:szCs w:val="16"/>
          <w:i w:val="1"/>
          <w:iCs w:val="1"/>
          <w:color w:val="auto"/>
        </w:rPr>
        <w:t>The net generation is primarily dedicated to the needs of one customer.</w:t>
      </w:r>
    </w:p>
    <w:p>
      <w:pPr>
        <w:spacing w:after="0" w:line="9" w:lineRule="exact"/>
        <w:rPr>
          <w:rFonts w:ascii="Arial" w:cs="Arial" w:eastAsia="Arial" w:hAnsi="Arial"/>
          <w:sz w:val="16"/>
          <w:szCs w:val="16"/>
          <w:i w:val="1"/>
          <w:iCs w:val="1"/>
          <w:color w:val="auto"/>
        </w:rPr>
      </w:pPr>
    </w:p>
    <w:p>
      <w:pPr>
        <w:ind w:left="340" w:hanging="332"/>
        <w:spacing w:after="0"/>
        <w:tabs>
          <w:tab w:leader="none" w:pos="340" w:val="left"/>
        </w:tabs>
        <w:numPr>
          <w:ilvl w:val="0"/>
          <w:numId w:val="8"/>
        </w:numPr>
        <w:rPr>
          <w:rFonts w:ascii="Arial" w:cs="Arial" w:eastAsia="Arial" w:hAnsi="Arial"/>
          <w:sz w:val="16"/>
          <w:szCs w:val="16"/>
          <w:i w:val="1"/>
          <w:iCs w:val="1"/>
          <w:color w:val="auto"/>
        </w:rPr>
      </w:pPr>
      <w:r>
        <w:rPr>
          <w:rFonts w:ascii="Arial" w:cs="Arial" w:eastAsia="Arial" w:hAnsi="Arial"/>
          <w:sz w:val="16"/>
          <w:szCs w:val="16"/>
          <w:i w:val="1"/>
          <w:iCs w:val="1"/>
          <w:color w:val="auto"/>
        </w:rPr>
        <w:t>Rapids Energy Center’s fuel supply is supplemented by coal.</w:t>
      </w:r>
    </w:p>
    <w:p>
      <w:pPr>
        <w:spacing w:after="0" w:line="20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December 19, 2012, Minnesota Power filed with the MPUC for approval to transfer the assets of Rapids Energy Center from non-rate base generation to Minnesota Power’s Regulated Operations (see Item 1. Business – Regulated Operations – Regulatory Matters.).</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2012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364"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Environmental Matters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businesses are subject to regulation of environmental matters by various federal, state and local authorities. Currently, a number of regulatory changes to the Clean Air Act, the Clean Water Act and various waste management requirements are under consideration by both Congress and the EPA. Minnesota Power’s fossil fuel facilities will likely be subject to regulation under these proposals. Our intention is to reduce our exposure to these requirements by reshaping our generation portfolio over time to reduce our reliance on coal.</w:t>
      </w:r>
    </w:p>
    <w:p>
      <w:pPr>
        <w:spacing w:after="0" w:line="18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consider our businesses to be in substantial compliance with currently applicable environmental regulations and believe all necessary permits to conduct such operations have been obtained. Due to expected future restrictive environmental requirements imposed through legislation and/or rulemaking, we anticipate that potential expenditures for environmental matters will be material and will require significant capital investments. Minnesota Power has evaluated various environmental compliance scenarios using possible ranges of future environmental regulations to project power supply trends and impacts on customers. (See Item 7. Management’s Discussion and Analysis of Financial Condition and Results of Operations – Outlook – EnergyForward.)</w:t>
      </w:r>
    </w:p>
    <w:p>
      <w:pPr>
        <w:spacing w:after="0" w:line="15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review environmental matters on a quarterly basis. Accruals for environmental matters are recorded when it is probable that a liability has been incurred and the amount of the liability can be reasonably estimated, based on current law and existing technologies. Accruals are adjusted as assessment and remediation efforts progress or as additional technical or legal information becomes available. Accruals for environmental liabilities are included in the Consolidated Balance Sheet at undiscounted amounts and exclude claims for recoveries from insurance or other third parties. Costs related to environmental contamination treatment and cleanup are charged to expense unless recoverable in rates from customers.</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Air. </w:t>
      </w:r>
      <w:r>
        <w:rPr>
          <w:rFonts w:ascii="Arial" w:cs="Arial" w:eastAsia="Arial" w:hAnsi="Arial"/>
          <w:sz w:val="18"/>
          <w:szCs w:val="18"/>
          <w:color w:val="auto"/>
        </w:rPr>
        <w:t>The electric utility industry is heavily regulated both at the federal and state level to address air emissions. Minnesota Power’s generating facilities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mainly burn low-sulfur western sub-bituminous coal. All of Minnesota Power’s coal-fired generating facilities are equipped with pollution control equipment such as scrubbers, bag houses and low NO</w:t>
      </w:r>
      <w:r>
        <w:rPr>
          <w:rFonts w:ascii="Arial" w:cs="Arial" w:eastAsia="Arial" w:hAnsi="Arial"/>
          <w:sz w:val="12"/>
          <w:szCs w:val="12"/>
          <w:color w:val="auto"/>
        </w:rPr>
        <w:t>X</w:t>
      </w:r>
      <w:r>
        <w:rPr>
          <w:rFonts w:ascii="Arial" w:cs="Arial" w:eastAsia="Arial" w:hAnsi="Arial"/>
          <w:sz w:val="18"/>
          <w:szCs w:val="18"/>
          <w:color w:val="auto"/>
        </w:rPr>
        <w:t xml:space="preserve"> technologies. Under currently applicable environmental regulations, these facilities are substantially compliant with applicable emission requirements.</w:t>
      </w:r>
    </w:p>
    <w:p>
      <w:pPr>
        <w:spacing w:after="0" w:line="18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i w:val="1"/>
          <w:iCs w:val="1"/>
          <w:color w:val="auto"/>
        </w:rPr>
        <w:t>New Source Review (NSR)</w:t>
      </w:r>
      <w:r>
        <w:rPr>
          <w:rFonts w:ascii="Arial" w:cs="Arial" w:eastAsia="Arial" w:hAnsi="Arial"/>
          <w:sz w:val="16"/>
          <w:szCs w:val="16"/>
          <w:color w:val="auto"/>
        </w:rPr>
        <w:t>. In August 2008, Minnesota Power received a Notice of Violation (NOV) from the EPA asserting violations of the NSR</w:t>
      </w:r>
      <w:r>
        <w:rPr>
          <w:rFonts w:ascii="Arial" w:cs="Arial" w:eastAsia="Arial" w:hAnsi="Arial"/>
          <w:sz w:val="16"/>
          <w:szCs w:val="16"/>
          <w:i w:val="1"/>
          <w:iCs w:val="1"/>
          <w:color w:val="auto"/>
        </w:rPr>
        <w:t xml:space="preserve"> </w:t>
      </w:r>
      <w:r>
        <w:rPr>
          <w:rFonts w:ascii="Arial" w:cs="Arial" w:eastAsia="Arial" w:hAnsi="Arial"/>
          <w:sz w:val="16"/>
          <w:szCs w:val="16"/>
          <w:color w:val="auto"/>
        </w:rPr>
        <w:t>requirements of the Clean Air Act at Boswell Units 1, 2, 3 and 4 and Laskin Unit 2. The NOV asserts that seven projects undertaken at these coal-fired plants between the years 1981 and 2000 should have been reviewed under the NSR requirements and that the Boswell Unit 4 Title V permit was violated. In April 2011, Minnesota Power received a NOV alleging that two projects undertaken at Rapids Energy Center in 2004 and 2005 should have been reviewed under the NSR requirements and that the Rapids Energy Center’s Title V permit was violated. Minnesota Power believes the projects specified in the NOVs were in full compliance with the Clean Air Act, NSR requirements and applicable permits. Resolution of the NOVs will likely result in civil penalties, which we do not believe will be material to our results of operations, and the installation of additional pollution control equipment, some of which is already planned or which has been completed to comply with other regulatory requirements. We are engaged in discussions with the EPA regarding resolution of these matters, but we are unable to estimate the expenditures, or range of expenditures that may be required upon resolution. Any costs of installing additional pollution control equipment would likely be eligible for recovery in rates over time subject to regulatory approval in a rate proceeding.</w:t>
      </w:r>
    </w:p>
    <w:p>
      <w:pPr>
        <w:spacing w:after="0" w:line="16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Cross-State Air Pollution Rule (CSAPR)</w:t>
      </w:r>
      <w:r>
        <w:rPr>
          <w:rFonts w:ascii="Arial" w:cs="Arial" w:eastAsia="Arial" w:hAnsi="Arial"/>
          <w:sz w:val="17"/>
          <w:szCs w:val="17"/>
          <w:color w:val="auto"/>
        </w:rPr>
        <w:t>. In July 2011, the EPA issued the CSAPR, which replaced the EPA’s 2005 CAIR. However, on August 21, 2012, a</w:t>
      </w:r>
      <w:r>
        <w:rPr>
          <w:rFonts w:ascii="Arial" w:cs="Arial" w:eastAsia="Arial" w:hAnsi="Arial"/>
          <w:sz w:val="17"/>
          <w:szCs w:val="17"/>
          <w:i w:val="1"/>
          <w:iCs w:val="1"/>
          <w:color w:val="auto"/>
        </w:rPr>
        <w:t xml:space="preserve"> </w:t>
      </w:r>
      <w:r>
        <w:rPr>
          <w:rFonts w:ascii="Arial" w:cs="Arial" w:eastAsia="Arial" w:hAnsi="Arial"/>
          <w:sz w:val="17"/>
          <w:szCs w:val="17"/>
          <w:color w:val="auto"/>
        </w:rPr>
        <w:t>three judge panel of the District of Columbia Circuit Court of Appeals vacated the CSAPR, ordering that the CAIR remain in effect while a CSAPR replacement rule is promulgated. The EPA and other parties to the case have until April 24, 2013, to request that the Supreme Court review the matter. The CSAPR would have required states in the CSAPR region, including Minnesota, to significantly improve air quality by reducing power plant emissions that contribute to ozone and/or fine particle pollution in other states. The CSAPR did not directly require the installation of controls. Instead, the rule would have required facilities to have sufficient emission allowances to cover their emissions on an annual basis. These allowances would have been allocated to facilities from each state’s annual budget and would also have been able to be bought and sold.</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CAIR regulations similarly require certain states to improve air quality by reducing power plant emissions that contribute to ozone and/or fine particle pollution in other states. The CAIR also created an allowance allocation and trading program rather than specifying pollution controls. Minnesota participation in the CAIR was stayed by EPA administrative action while the EPA completed a review of air quality modeling issues in conjunction with the development of a final replacement rule. While the CAIR remains in effect, Minnesota participation in the CAIR will continue to be stayed. It remains uncertain if emission restrictions similar to those contained in the CSAPR will become effective for Minnesota utilities due to the August 2012 District of Columbia Circuit Court of Appeals decision.</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2012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364"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Environmental Matters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Air (Continued)</w:t>
      </w:r>
    </w:p>
    <w:p>
      <w:pPr>
        <w:spacing w:after="0" w:line="21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Since 2006, we have significantly reduced emissions at our Laskin, Taconite Harbor and Boswell generating units. Based on our expected generation, these emission reductions would have satisfied Minnesota Power’s SO</w:t>
      </w:r>
      <w:r>
        <w:rPr>
          <w:rFonts w:ascii="Arial" w:cs="Arial" w:eastAsia="Arial" w:hAnsi="Arial"/>
          <w:sz w:val="11"/>
          <w:szCs w:val="11"/>
          <w:color w:val="auto"/>
        </w:rPr>
        <w:t>2</w:t>
      </w:r>
      <w:r>
        <w:rPr>
          <w:rFonts w:ascii="Arial" w:cs="Arial" w:eastAsia="Arial" w:hAnsi="Arial"/>
          <w:sz w:val="17"/>
          <w:szCs w:val="17"/>
          <w:color w:val="auto"/>
        </w:rPr>
        <w:t xml:space="preserve"> and NO</w:t>
      </w:r>
      <w:r>
        <w:rPr>
          <w:rFonts w:ascii="Arial" w:cs="Arial" w:eastAsia="Arial" w:hAnsi="Arial"/>
          <w:sz w:val="11"/>
          <w:szCs w:val="11"/>
          <w:color w:val="auto"/>
        </w:rPr>
        <w:t>X</w:t>
      </w:r>
      <w:r>
        <w:rPr>
          <w:rFonts w:ascii="Arial" w:cs="Arial" w:eastAsia="Arial" w:hAnsi="Arial"/>
          <w:sz w:val="17"/>
          <w:szCs w:val="17"/>
          <w:color w:val="auto"/>
        </w:rPr>
        <w:t xml:space="preserve"> emission compliance obligations with respect to the EPA-allocated CSAPR allowances for 2012. Minnesota Power will continue to track the EPA activity related to promulgation of a CSAPR replacement rule. We are unable to predict any additional compliance costs we might incur if the CSAPR is reinstated or if a CSAPR replacement rule is promulgated.</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Regional Haze</w:t>
      </w:r>
      <w:r>
        <w:rPr>
          <w:rFonts w:ascii="Arial" w:cs="Arial" w:eastAsia="Arial" w:hAnsi="Arial"/>
          <w:sz w:val="18"/>
          <w:szCs w:val="18"/>
          <w:color w:val="auto"/>
        </w:rPr>
        <w:t>. The federal Regional Haze Rule requires states to submit SIPs to the EPA to address regional haze visibility impairment in 156 federally-protected parks and wilderness areas. Under the first phase of the Regional Haze Rule, certain large stationary sources, put in place between 1962 and 1977, with emissions contributing to visibility impairment, are required to install emission controls, known as Best Available Retrofit Technology (BART). We have two steam units, Boswell Unit 3 and Taconite Harbor Unit 3, that are subject to BART requirements.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MPCA requested that companies with BART-eligible units complete and submit a BART emissions control retrofit study, which was completed for Taconite Harbor Unit 3 in November 2008. The retrofit work completed in 2009 at Boswell Unit 3 meets the BART requirements for that unit. In December 2009, the MPCA approved the Minnesota SIP for submittal to the EPA for its review and approval. The Minnesota SIP incorporates information from the BART emissions control retrofit studies that were completed as requested by the MPCA.</w:t>
      </w:r>
    </w:p>
    <w:p>
      <w:pPr>
        <w:spacing w:after="0" w:line="18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December 2011, the EPA published in the Federal Register a proposal to approve the trading program in the CSAPR as an alternative to determining BART. However, as a result of the August 2012 District of Columbia Circuit Court of Appeals decision to vacate the CSAPR (See CSAPR), Minnesota Power is now evaluating whether significant additional expenditures at Taconite Harbor Unit 3 will be required to comply with BART requirements under the Regional Haze Rule. If additional regional haze related controls are ultimately required, Minnesota Power will have up to five years from the final rule promulgation to bring Taconite Harbor Unit 3 into compliance with the Regional Haze Rule requirements. It is uncertain what controls would ultimately be required at Taconite Harbor Unit 3 under this scenario. On January 30, 2013, Minnesota Power announced “EnergyForward”, a strategic plan for assuring reliability, protecting affordability and further improving environmental performance. The plan includes retiring Taconite Harbor Unit 3 in 2015, subject to MPUC approval. (See Item 7. Management’s Discussion and Analysis of Financial Condition and Results of Operations – Outlook – EnergyForward.)</w:t>
      </w:r>
    </w:p>
    <w:p>
      <w:pPr>
        <w:spacing w:after="0" w:line="16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i w:val="1"/>
          <w:iCs w:val="1"/>
          <w:color w:val="auto"/>
        </w:rPr>
        <w:t xml:space="preserve">Mercury and Air Toxics Standards (MATS) Rule (formerly known as the Electric Generating Unit Maximum Achievable Control Technology (MACT) Rule). </w:t>
      </w:r>
      <w:r>
        <w:rPr>
          <w:rFonts w:ascii="Arial" w:cs="Arial" w:eastAsia="Arial" w:hAnsi="Arial"/>
          <w:sz w:val="16"/>
          <w:szCs w:val="16"/>
          <w:color w:val="auto"/>
        </w:rPr>
        <w:t>Under Section 112 of the Clean Air Act, the EPA is required to set emission standards for hazardous air pollutants (HAPs) for certain source categories. The EPA published the final MATS rule in the Federal Register on February 16, 2012, addressing such emissions from coal-fired utility units greater than 25 MW. There are currently 187 listed HAPs that the EPA is required to evaluate for establishment of MACT standards. In the final MATS rule, the EPA established categories of HAPs, including mercury, trace metals other than mercury, acid gases, dioxin/furans, and organics other than dioxin/furans. The EPA also established emission limits for the first three categories of HAPs, and work practice standards for the remaining categories. Affected sources must be in compliance with the rule by April 2015. States have the authority to grant sources a one-year extension. Minnesota Power was notified by the MPCA that they have approved Minnesota Power’s request of an additional year extending the date of compliance for the Boswell Unit 4 retrofit to April 1, 2016. Compliance at our Boswell Unit 4 to address the final MATS rule is expected to result in capital expenditures totaling between $350 million and $400 million through 2016. Our “EnergyForward” plan also includes the conversion of Laskin Units 1 and 2 to natural gas addressing the MATS requirements. (See Item 7. Management’s Discussion and Analysis of Financial Condition and Results of Operations – Outlook – EnergyForward.)</w:t>
      </w:r>
    </w:p>
    <w:p>
      <w:pPr>
        <w:spacing w:after="0" w:line="17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EPA National Emission Standards for Hazardous Air Pollutants for Major Sources: Industrial, Commercial and Institutional Boilers and Process Heaters</w:t>
      </w:r>
      <w:r>
        <w:rPr>
          <w:rFonts w:ascii="Arial" w:cs="Arial" w:eastAsia="Arial" w:hAnsi="Arial"/>
          <w:sz w:val="17"/>
          <w:szCs w:val="17"/>
          <w:color w:val="auto"/>
        </w:rPr>
        <w:t>. In</w:t>
      </w:r>
      <w:r>
        <w:rPr>
          <w:rFonts w:ascii="Arial" w:cs="Arial" w:eastAsia="Arial" w:hAnsi="Arial"/>
          <w:sz w:val="17"/>
          <w:szCs w:val="17"/>
          <w:i w:val="1"/>
          <w:iCs w:val="1"/>
          <w:color w:val="auto"/>
        </w:rPr>
        <w:t xml:space="preserve"> </w:t>
      </w:r>
      <w:r>
        <w:rPr>
          <w:rFonts w:ascii="Arial" w:cs="Arial" w:eastAsia="Arial" w:hAnsi="Arial"/>
          <w:sz w:val="17"/>
          <w:szCs w:val="17"/>
          <w:color w:val="auto"/>
        </w:rPr>
        <w:t>March 2011, a final rule was published in the Federal Register for industrial boiler maximum achievable control technology (Industrial Boiler MACT). The rule was stayed by the EPA in May 2011, to allow the EPA time to consider additional comments received. The EPA re-proposed the rule in December 2011. On January 9, 2012, the United States District Court for the District of Columbia ruled that the EPA stay of the Industrial Boiler MACT was unlawful, effectively reinstating the March 2011 rule and associated compliance deadlines. A final rule based on the December 2011 proposal, which supersedes the March 2011 rule, was released on December 21, 2012. Major sources have three years to achieve compliance with the final rule. Minnesota Power is in the process of assessing the impact of this rule on our affected units including the Hibbard Renewable Energy Center and Rapids Energy Center. Costs for complying with the final rule cannot be estimated at this time.</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2012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364"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Environmental Matters (Continued)</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Minnesota Mercury Emissions Reduction Act</w:t>
      </w:r>
      <w:r>
        <w:rPr>
          <w:rFonts w:ascii="Arial" w:cs="Arial" w:eastAsia="Arial" w:hAnsi="Arial"/>
          <w:sz w:val="16"/>
          <w:szCs w:val="16"/>
          <w:color w:val="auto"/>
        </w:rPr>
        <w:t>. Under the 2006 Minnesota Mercury Emissions Reduction Act, Minnesota Power is required to implement a</w:t>
      </w:r>
      <w:r>
        <w:rPr>
          <w:rFonts w:ascii="Arial" w:cs="Arial" w:eastAsia="Arial" w:hAnsi="Arial"/>
          <w:sz w:val="16"/>
          <w:szCs w:val="16"/>
          <w:i w:val="1"/>
          <w:iCs w:val="1"/>
          <w:color w:val="auto"/>
        </w:rPr>
        <w:t xml:space="preserve"> </w:t>
      </w:r>
      <w:r>
        <w:rPr>
          <w:rFonts w:ascii="Arial" w:cs="Arial" w:eastAsia="Arial" w:hAnsi="Arial"/>
          <w:sz w:val="16"/>
          <w:szCs w:val="16"/>
          <w:color w:val="auto"/>
        </w:rPr>
        <w:t>mercury emissions reduction project for Boswell Unit 4 by December 31, 2018. On August 31, 2012, Minnesota Power filed its mercury emissions reduction plan for Boswell Unit 4 with the MPUC and the MPCA. The plan proposes that Minnesota Power install pollution controls to address both the Minnesota mercury emissions reduction requirements and the Federal MATS rule, which also regulates mercury emissions. Minnesota Power's request of an additional year extending the date of compliance for the Boswell Unit 4 retrofit to April 1, 2016, was approved by the MPCA. Costs to implement the Boswell Unit 4 mercury emissions reduction plan are included in the estimated capital expenditures required for compliance with the MATS rule discussed above.</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Proposed and Finalized National Ambient Air Quality Standards (NAAQS). </w:t>
      </w:r>
      <w:r>
        <w:rPr>
          <w:rFonts w:ascii="Arial" w:cs="Arial" w:eastAsia="Arial" w:hAnsi="Arial"/>
          <w:sz w:val="18"/>
          <w:szCs w:val="18"/>
          <w:color w:val="auto"/>
        </w:rPr>
        <w:t>The EPA is required to review the NAAQS every five years. If the EPA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determines that a state’s air quality is not in compliance with a NAAQS, the state is required to adopt plans describing how it will reduce emissions to attain the NAAQS. These state plans often include more stringent air emission limitations on sources of air pollutants than the NAAQS. Four NAAQS have either recently been revised or are currently proposed for revision, as described below.</w:t>
      </w:r>
    </w:p>
    <w:p>
      <w:pPr>
        <w:spacing w:after="0" w:line="18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i w:val="1"/>
          <w:iCs w:val="1"/>
          <w:color w:val="auto"/>
        </w:rPr>
        <w:t xml:space="preserve">Ozone NAAQS. </w:t>
      </w:r>
      <w:r>
        <w:rPr>
          <w:rFonts w:ascii="Arial" w:cs="Arial" w:eastAsia="Arial" w:hAnsi="Arial"/>
          <w:sz w:val="16"/>
          <w:szCs w:val="16"/>
          <w:color w:val="auto"/>
        </w:rPr>
        <w:t>The EPA has proposed to more stringently control emissions that result in ground level ozone. In January 2010, the EPA proposed to revise</w:t>
      </w:r>
      <w:r>
        <w:rPr>
          <w:rFonts w:ascii="Arial" w:cs="Arial" w:eastAsia="Arial" w:hAnsi="Arial"/>
          <w:sz w:val="16"/>
          <w:szCs w:val="16"/>
          <w:i w:val="1"/>
          <w:iCs w:val="1"/>
          <w:color w:val="auto"/>
        </w:rPr>
        <w:t xml:space="preserve"> </w:t>
      </w:r>
      <w:r>
        <w:rPr>
          <w:rFonts w:ascii="Arial" w:cs="Arial" w:eastAsia="Arial" w:hAnsi="Arial"/>
          <w:sz w:val="16"/>
          <w:szCs w:val="16"/>
          <w:color w:val="auto"/>
        </w:rPr>
        <w:t>the 2008 eight-hour ozone standard and to adopt a secondary standard for the protection of sensitive vegetation from ozone-related damage. The EPA was scheduled to decide upon the 2008 eight-hour ozone standard in July 2011, but has since announced that it is deferring revision of this standard until 2013.</w:t>
      </w:r>
    </w:p>
    <w:p>
      <w:pPr>
        <w:spacing w:after="0" w:line="14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Particulate Matter NAAQS. </w:t>
      </w:r>
      <w:r>
        <w:rPr>
          <w:rFonts w:ascii="Arial" w:cs="Arial" w:eastAsia="Arial" w:hAnsi="Arial"/>
          <w:sz w:val="17"/>
          <w:szCs w:val="17"/>
          <w:color w:val="auto"/>
        </w:rPr>
        <w:t>The EPA finalized the NAAQS Particulate Matter standards in September 2006. Since then, the EPA has established a more</w:t>
      </w:r>
      <w:r>
        <w:rPr>
          <w:rFonts w:ascii="Arial" w:cs="Arial" w:eastAsia="Arial" w:hAnsi="Arial"/>
          <w:sz w:val="17"/>
          <w:szCs w:val="17"/>
          <w:i w:val="1"/>
          <w:iCs w:val="1"/>
          <w:color w:val="auto"/>
        </w:rPr>
        <w:t xml:space="preserve"> </w:t>
      </w:r>
      <w:r>
        <w:rPr>
          <w:rFonts w:ascii="Arial" w:cs="Arial" w:eastAsia="Arial" w:hAnsi="Arial"/>
          <w:sz w:val="17"/>
          <w:szCs w:val="17"/>
          <w:color w:val="auto"/>
        </w:rPr>
        <w:t>stringent 24-hour average fine particulate matter (PM</w:t>
      </w:r>
      <w:r>
        <w:rPr>
          <w:rFonts w:ascii="Arial" w:cs="Arial" w:eastAsia="Arial" w:hAnsi="Arial"/>
          <w:sz w:val="11"/>
          <w:szCs w:val="11"/>
          <w:color w:val="auto"/>
        </w:rPr>
        <w:t>2.5</w:t>
      </w:r>
      <w:r>
        <w:rPr>
          <w:rFonts w:ascii="Arial" w:cs="Arial" w:eastAsia="Arial" w:hAnsi="Arial"/>
          <w:sz w:val="17"/>
          <w:szCs w:val="17"/>
          <w:color w:val="auto"/>
        </w:rPr>
        <w:t>) standard; the annual PM</w:t>
      </w:r>
      <w:r>
        <w:rPr>
          <w:rFonts w:ascii="Arial" w:cs="Arial" w:eastAsia="Arial" w:hAnsi="Arial"/>
          <w:sz w:val="11"/>
          <w:szCs w:val="11"/>
          <w:color w:val="auto"/>
        </w:rPr>
        <w:t>2.5</w:t>
      </w:r>
      <w:r>
        <w:rPr>
          <w:rFonts w:ascii="Arial" w:cs="Arial" w:eastAsia="Arial" w:hAnsi="Arial"/>
          <w:sz w:val="17"/>
          <w:szCs w:val="17"/>
          <w:color w:val="auto"/>
        </w:rPr>
        <w:t xml:space="preserve"> standard and the 24-hour coarse particulate matter standard have remained unchanged. The United States Court of Appeals for the District of Columbia Circuit remanded the annual PM</w:t>
      </w:r>
      <w:r>
        <w:rPr>
          <w:rFonts w:ascii="Arial" w:cs="Arial" w:eastAsia="Arial" w:hAnsi="Arial"/>
          <w:sz w:val="11"/>
          <w:szCs w:val="11"/>
          <w:color w:val="auto"/>
        </w:rPr>
        <w:t>2.5</w:t>
      </w:r>
      <w:r>
        <w:rPr>
          <w:rFonts w:ascii="Arial" w:cs="Arial" w:eastAsia="Arial" w:hAnsi="Arial"/>
          <w:sz w:val="17"/>
          <w:szCs w:val="17"/>
          <w:color w:val="auto"/>
        </w:rPr>
        <w:t xml:space="preserve"> standard to the EPA, requiring consideration of lower annual standard values. The EPA proposed new PM</w:t>
      </w:r>
      <w:r>
        <w:rPr>
          <w:rFonts w:ascii="Arial" w:cs="Arial" w:eastAsia="Arial" w:hAnsi="Arial"/>
          <w:sz w:val="11"/>
          <w:szCs w:val="11"/>
          <w:color w:val="auto"/>
        </w:rPr>
        <w:t>2.5</w:t>
      </w:r>
      <w:r>
        <w:rPr>
          <w:rFonts w:ascii="Arial" w:cs="Arial" w:eastAsia="Arial" w:hAnsi="Arial"/>
          <w:sz w:val="17"/>
          <w:szCs w:val="17"/>
          <w:color w:val="auto"/>
        </w:rPr>
        <w:t xml:space="preserve"> standards on June 14, 2012.</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December 14, 2012, the EPA confirmed in a final rule that the current annual PM</w:t>
      </w:r>
      <w:r>
        <w:rPr>
          <w:rFonts w:ascii="Arial" w:cs="Arial" w:eastAsia="Arial" w:hAnsi="Arial"/>
          <w:sz w:val="12"/>
          <w:szCs w:val="12"/>
          <w:color w:val="auto"/>
        </w:rPr>
        <w:t>2.5</w:t>
      </w:r>
      <w:r>
        <w:rPr>
          <w:rFonts w:ascii="Arial" w:cs="Arial" w:eastAsia="Arial" w:hAnsi="Arial"/>
          <w:sz w:val="18"/>
          <w:szCs w:val="18"/>
          <w:color w:val="auto"/>
        </w:rPr>
        <w:t xml:space="preserve"> standard, which has been in place since 1997, will be lowered, while retaining the current 24-hour PM</w:t>
      </w:r>
      <w:r>
        <w:rPr>
          <w:rFonts w:ascii="Arial" w:cs="Arial" w:eastAsia="Arial" w:hAnsi="Arial"/>
          <w:sz w:val="12"/>
          <w:szCs w:val="12"/>
          <w:color w:val="auto"/>
        </w:rPr>
        <w:t>2.5</w:t>
      </w:r>
      <w:r>
        <w:rPr>
          <w:rFonts w:ascii="Arial" w:cs="Arial" w:eastAsia="Arial" w:hAnsi="Arial"/>
          <w:sz w:val="18"/>
          <w:szCs w:val="18"/>
          <w:color w:val="auto"/>
        </w:rPr>
        <w:t xml:space="preserve"> standard. To implement the new lower annual PM</w:t>
      </w:r>
      <w:r>
        <w:rPr>
          <w:rFonts w:ascii="Arial" w:cs="Arial" w:eastAsia="Arial" w:hAnsi="Arial"/>
          <w:sz w:val="12"/>
          <w:szCs w:val="12"/>
          <w:color w:val="auto"/>
        </w:rPr>
        <w:t>2.5</w:t>
      </w:r>
      <w:r>
        <w:rPr>
          <w:rFonts w:ascii="Arial" w:cs="Arial" w:eastAsia="Arial" w:hAnsi="Arial"/>
          <w:sz w:val="18"/>
          <w:szCs w:val="18"/>
          <w:color w:val="auto"/>
        </w:rPr>
        <w:t xml:space="preserve"> standard, the EPA is also revising aspects of relevant monitoring, designations and permitting requirements. New projects and permits must comply with the new lower standard, and compliance with the NAAQS at the facility level is generally demonstrated by modeling. To bridge the transition to the lower standard, the EPA is finalizing a grandfathering provision to ensure that projects and pending permits already underway are not unduly delayed.</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Under the final rule, states will be responsible for additional PM</w:t>
      </w:r>
      <w:r>
        <w:rPr>
          <w:rFonts w:ascii="Arial" w:cs="Arial" w:eastAsia="Arial" w:hAnsi="Arial"/>
          <w:sz w:val="12"/>
          <w:szCs w:val="12"/>
          <w:color w:val="auto"/>
        </w:rPr>
        <w:t>2.5</w:t>
      </w:r>
      <w:r>
        <w:rPr>
          <w:rFonts w:ascii="Arial" w:cs="Arial" w:eastAsia="Arial" w:hAnsi="Arial"/>
          <w:sz w:val="18"/>
          <w:szCs w:val="18"/>
          <w:color w:val="auto"/>
        </w:rPr>
        <w:t xml:space="preserve"> monitoring, which will likely be accomplished by relocation or repurposing of existing monitors. States are expected to propose attainment designations by December 2013, based on already available monitoring data. The EPA believes that most U.S. counties currently already meet the new standard and plans to finalize designations of attainment by December 2014. For those counties that the EPA does not designate as having already met the requirements of the new standard, specific dates for required attainment will depend on technology availability, state permitting goals, potential legal challenges and other factors.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SO</w:t>
      </w:r>
      <w:r>
        <w:rPr>
          <w:rFonts w:ascii="Arial" w:cs="Arial" w:eastAsia="Arial" w:hAnsi="Arial"/>
          <w:sz w:val="12"/>
          <w:szCs w:val="12"/>
          <w:i w:val="1"/>
          <w:iCs w:val="1"/>
          <w:color w:val="auto"/>
        </w:rPr>
        <w:t>2</w:t>
      </w:r>
      <w:r>
        <w:rPr>
          <w:rFonts w:ascii="Arial" w:cs="Arial" w:eastAsia="Arial" w:hAnsi="Arial"/>
          <w:sz w:val="18"/>
          <w:szCs w:val="18"/>
          <w:i w:val="1"/>
          <w:iCs w:val="1"/>
          <w:color w:val="auto"/>
        </w:rPr>
        <w:t xml:space="preserve"> and NO</w:t>
      </w:r>
      <w:r>
        <w:rPr>
          <w:rFonts w:ascii="Arial" w:cs="Arial" w:eastAsia="Arial" w:hAnsi="Arial"/>
          <w:sz w:val="12"/>
          <w:szCs w:val="12"/>
          <w:i w:val="1"/>
          <w:iCs w:val="1"/>
          <w:color w:val="auto"/>
        </w:rPr>
        <w:t>2</w:t>
      </w:r>
      <w:r>
        <w:rPr>
          <w:rFonts w:ascii="Arial" w:cs="Arial" w:eastAsia="Arial" w:hAnsi="Arial"/>
          <w:sz w:val="18"/>
          <w:szCs w:val="18"/>
          <w:i w:val="1"/>
          <w:iCs w:val="1"/>
          <w:color w:val="auto"/>
        </w:rPr>
        <w:t xml:space="preserve"> NAAQS. </w:t>
      </w:r>
      <w:r>
        <w:rPr>
          <w:rFonts w:ascii="Arial" w:cs="Arial" w:eastAsia="Arial" w:hAnsi="Arial"/>
          <w:sz w:val="18"/>
          <w:szCs w:val="18"/>
          <w:color w:val="auto"/>
        </w:rPr>
        <w:t>During 2010, the EPA finalized new one-hour NAAQS for SO</w:t>
      </w:r>
      <w:r>
        <w:rPr>
          <w:rFonts w:ascii="Arial" w:cs="Arial" w:eastAsia="Arial" w:hAnsi="Arial"/>
          <w:sz w:val="12"/>
          <w:szCs w:val="12"/>
          <w:color w:val="auto"/>
        </w:rPr>
        <w:t>2</w:t>
      </w:r>
      <w:r>
        <w:rPr>
          <w:rFonts w:ascii="Arial" w:cs="Arial" w:eastAsia="Arial" w:hAnsi="Arial"/>
          <w:sz w:val="18"/>
          <w:szCs w:val="18"/>
          <w:i w:val="1"/>
          <w:iCs w:val="1"/>
          <w:color w:val="auto"/>
        </w:rPr>
        <w:t xml:space="preserve"> </w:t>
      </w:r>
      <w:r>
        <w:rPr>
          <w:rFonts w:ascii="Arial" w:cs="Arial" w:eastAsia="Arial" w:hAnsi="Arial"/>
          <w:sz w:val="18"/>
          <w:szCs w:val="18"/>
          <w:color w:val="auto"/>
        </w:rPr>
        <w:t>and NO</w:t>
      </w:r>
      <w:r>
        <w:rPr>
          <w:rFonts w:ascii="Arial" w:cs="Arial" w:eastAsia="Arial" w:hAnsi="Arial"/>
          <w:sz w:val="12"/>
          <w:szCs w:val="12"/>
          <w:color w:val="auto"/>
        </w:rPr>
        <w:t>2</w:t>
      </w:r>
      <w:r>
        <w:rPr>
          <w:rFonts w:ascii="Arial" w:cs="Arial" w:eastAsia="Arial" w:hAnsi="Arial"/>
          <w:sz w:val="18"/>
          <w:szCs w:val="18"/>
          <w:color w:val="auto"/>
        </w:rPr>
        <w:t>. Ambient monitoring data indicates that Minnesota will likely</w:t>
      </w:r>
      <w:r>
        <w:rPr>
          <w:rFonts w:ascii="Arial" w:cs="Arial" w:eastAsia="Arial" w:hAnsi="Arial"/>
          <w:sz w:val="18"/>
          <w:szCs w:val="18"/>
          <w:i w:val="1"/>
          <w:iCs w:val="1"/>
          <w:color w:val="auto"/>
        </w:rPr>
        <w:t xml:space="preserve"> </w:t>
      </w:r>
      <w:r>
        <w:rPr>
          <w:rFonts w:ascii="Arial" w:cs="Arial" w:eastAsia="Arial" w:hAnsi="Arial"/>
          <w:sz w:val="18"/>
          <w:szCs w:val="18"/>
          <w:color w:val="auto"/>
        </w:rPr>
        <w:t>be in compliance with these new standards; however, the one-hour SO</w:t>
      </w:r>
      <w:r>
        <w:rPr>
          <w:rFonts w:ascii="Arial" w:cs="Arial" w:eastAsia="Arial" w:hAnsi="Arial"/>
          <w:sz w:val="12"/>
          <w:szCs w:val="12"/>
          <w:color w:val="auto"/>
        </w:rPr>
        <w:t>2</w:t>
      </w:r>
      <w:r>
        <w:rPr>
          <w:rFonts w:ascii="Arial" w:cs="Arial" w:eastAsia="Arial" w:hAnsi="Arial"/>
          <w:sz w:val="18"/>
          <w:szCs w:val="18"/>
          <w:color w:val="auto"/>
        </w:rPr>
        <w:t xml:space="preserve"> NAAQS also require the EPA to evaluate modeling data to determine attainment. The EPA has notified states that their SIPs for attainment of the standard will be required to be submitted to the EPA for approval by June 2013 but will not be required to include the evaluation of modeling data until 2017.</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late 2011, the MPCA initiated modeling activities that included approximately 65 sources within Minnesota that emit greater than 100 tons of SO</w:t>
      </w:r>
      <w:r>
        <w:rPr>
          <w:rFonts w:ascii="Arial" w:cs="Arial" w:eastAsia="Arial" w:hAnsi="Arial"/>
          <w:sz w:val="11"/>
          <w:szCs w:val="11"/>
          <w:color w:val="auto"/>
        </w:rPr>
        <w:t>2</w:t>
      </w:r>
      <w:r>
        <w:rPr>
          <w:rFonts w:ascii="Arial" w:cs="Arial" w:eastAsia="Arial" w:hAnsi="Arial"/>
          <w:sz w:val="17"/>
          <w:szCs w:val="17"/>
          <w:color w:val="auto"/>
        </w:rPr>
        <w:t xml:space="preserve"> per year. However, on April 12, 2012, the MPCA notified Minnesota Power that such modeling had been suspended as a result of the EPA’s announcement that the June 2013 SIP submittals would no longer require modeling demonstrations for states, such as Minnesota, where ambient monitors indicate compliance with the new standard. The MPCA is awaiting updated EPA guidance and will communicate with affected sources once the MPCA has more information on how the state will meet the EPA’s SIP requirements. Currently, compliance with these new NAAQS is expected to be required as early as 2017. The costs for complying with the final standards cannot be estimated at this time.</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2012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364"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Environmental Matters (Continued)</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Climate Change. </w:t>
      </w:r>
      <w:r>
        <w:rPr>
          <w:rFonts w:ascii="Arial" w:cs="Arial" w:eastAsia="Arial" w:hAnsi="Arial"/>
          <w:sz w:val="18"/>
          <w:szCs w:val="18"/>
          <w:color w:val="auto"/>
        </w:rPr>
        <w:t>The scientific community generally accepts that emissions of GHGs are linked to global climate change. Climate change creates physical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financial risk. Physical risks could include, but are not limited to: increased or decreased precipitation and water levels in lakes and rivers; increased temperatures; and the intensity and frequency of extreme weather events. These all have the potential to affect the Company’s business and operations. We are addressing climate change by taking the following steps that also ensure reliable and environmentally compliant generation resources to meet our customers’ requirements:</w:t>
      </w:r>
    </w:p>
    <w:p>
      <w:pPr>
        <w:spacing w:after="0" w:line="188"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Expand our renewable energy supply;</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Provide energy conservation initiatives for our customers and engage in other demand side efforts;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Support research of technologies to reduce carbon emissions from generation facilities and carbon sequestration efforts;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Evaluating and developing less carbon intense future generating assets such as efficient and flexible natural gas generating facilities.</w:t>
      </w:r>
    </w:p>
    <w:p>
      <w:pPr>
        <w:spacing w:after="0" w:line="21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i w:val="1"/>
          <w:iCs w:val="1"/>
          <w:color w:val="auto"/>
        </w:rPr>
        <w:t xml:space="preserve">EPA Regulation of GHG Emissions. </w:t>
      </w:r>
      <w:r>
        <w:rPr>
          <w:rFonts w:ascii="Arial" w:cs="Arial" w:eastAsia="Arial" w:hAnsi="Arial"/>
          <w:sz w:val="17"/>
          <w:szCs w:val="17"/>
          <w:color w:val="auto"/>
        </w:rPr>
        <w:t>In May 2010, the EPA issued the final Prevention of Significant Deterioration (PSD) and Title V Greenhouse Gas</w:t>
      </w:r>
      <w:r>
        <w:rPr>
          <w:rFonts w:ascii="Arial" w:cs="Arial" w:eastAsia="Arial" w:hAnsi="Arial"/>
          <w:sz w:val="17"/>
          <w:szCs w:val="17"/>
          <w:i w:val="1"/>
          <w:iCs w:val="1"/>
          <w:color w:val="auto"/>
        </w:rPr>
        <w:t xml:space="preserve"> </w:t>
      </w:r>
      <w:r>
        <w:rPr>
          <w:rFonts w:ascii="Arial" w:cs="Arial" w:eastAsia="Arial" w:hAnsi="Arial"/>
          <w:sz w:val="17"/>
          <w:szCs w:val="17"/>
          <w:color w:val="auto"/>
        </w:rPr>
        <w:t>Tailoring Rule (Tailoring Rule). The Tailoring Rule establishes permitting thresholds required to address GHG emissions for new facilities, at existing facilities that undergo major modifications and at other facilities characterized as major sources under the Clean Air Act’s Title V program. For our existing facilities, the rule does not require amending our existing Title V operating permits to include GHG requirements. However, GHG requirements are likely to be added to our existing Title V operating permits by the MPCA as these permits are renewed or amended.</w:t>
      </w:r>
    </w:p>
    <w:p>
      <w:pPr>
        <w:spacing w:after="0" w:line="1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late 2010, the EPA issued guidance to permitting authorities and affected sources to facilitate incorporation of the Tailoring Rule permitting requirements into the Title V and PSD permitting programs. The guidance stated that the project-specific, top-down BACT determination process used for other pollutants will also be used to determine BACT for GHG emissions. Through sector-specific white papers, the EPA also provided examples and technical summaries of GHG emission control technologies and techniques the EPA considers available or likely to be available to sources. It is possible that these control technologies could be determined to be BACT on a project-by-project basis.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March 28, 2012, the EPA announced its proposed rule to apply CO</w:t>
      </w:r>
      <w:r>
        <w:rPr>
          <w:rFonts w:ascii="Arial" w:cs="Arial" w:eastAsia="Arial" w:hAnsi="Arial"/>
          <w:sz w:val="12"/>
          <w:szCs w:val="12"/>
          <w:color w:val="auto"/>
        </w:rPr>
        <w:t>2</w:t>
      </w:r>
      <w:r>
        <w:rPr>
          <w:rFonts w:ascii="Arial" w:cs="Arial" w:eastAsia="Arial" w:hAnsi="Arial"/>
          <w:sz w:val="18"/>
          <w:szCs w:val="18"/>
          <w:color w:val="auto"/>
        </w:rPr>
        <w:t xml:space="preserve"> emission New Source Performance Standards (NSPS) to new fossil fuel-fired electric generating units. The proposed NSPS apply only to new or re-powered units and were open for public comment through June 25, 2012. It is anticipated that the EPA will issue NSPS for existing fossil fuel-fired generating units in the future. We cannot predict what CO</w:t>
      </w:r>
      <w:r>
        <w:rPr>
          <w:rFonts w:ascii="Arial" w:cs="Arial" w:eastAsia="Arial" w:hAnsi="Arial"/>
          <w:sz w:val="12"/>
          <w:szCs w:val="12"/>
          <w:color w:val="auto"/>
        </w:rPr>
        <w:t>2</w:t>
      </w:r>
      <w:r>
        <w:rPr>
          <w:rFonts w:ascii="Arial" w:cs="Arial" w:eastAsia="Arial" w:hAnsi="Arial"/>
          <w:sz w:val="18"/>
          <w:szCs w:val="18"/>
          <w:color w:val="auto"/>
        </w:rPr>
        <w:t xml:space="preserve"> control measures, if any, may be required by such NSPS.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Legal challenges have been filed with respect to the EPA’s regulation of GHG emissions, including the Tailoring Rule. On June 26, 2012, the United States District Court for the District of Columbia upheld most of the EPA’s proposed regulations, including the Tailoring Rule criteria, finding that the Clean Air Act compels the EPA to regulate in the manner the EPA proposed. Comments to the permitting guidance were submitted by Minnesota Power and others and may be addressed by the EPA in the form of revised guidance documents.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unable to predict the GHG emission compliance costs we might incur; however, the costs could be material. We would seek recovery of any additional costs through cost recovery riders or in a general rate case.</w:t>
      </w:r>
    </w:p>
    <w:p>
      <w:pPr>
        <w:spacing w:after="0" w:line="16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Water. </w:t>
      </w:r>
      <w:r>
        <w:rPr>
          <w:rFonts w:ascii="Arial" w:cs="Arial" w:eastAsia="Arial" w:hAnsi="Arial"/>
          <w:sz w:val="18"/>
          <w:szCs w:val="18"/>
          <w:color w:val="auto"/>
        </w:rPr>
        <w:t>The Clean Water Act requires NPDES permits be obtained from the EPA (or, when delegated, from individual state pollution control agencies) for any</w:t>
      </w:r>
      <w:r>
        <w:rPr>
          <w:rFonts w:ascii="Arial" w:cs="Arial" w:eastAsia="Arial" w:hAnsi="Arial"/>
          <w:sz w:val="18"/>
          <w:szCs w:val="18"/>
          <w:b w:val="1"/>
          <w:bCs w:val="1"/>
          <w:color w:val="auto"/>
        </w:rPr>
        <w:t xml:space="preserve"> </w:t>
      </w:r>
      <w:r>
        <w:rPr>
          <w:rFonts w:ascii="Arial" w:cs="Arial" w:eastAsia="Arial" w:hAnsi="Arial"/>
          <w:sz w:val="18"/>
          <w:szCs w:val="18"/>
          <w:color w:val="auto"/>
        </w:rPr>
        <w:t>wastewater discharged into navigable waters. We have obtained all necessary NPDES permits, including NPDES storm water permits for applicable facilities, to conduct our operations.</w:t>
      </w:r>
    </w:p>
    <w:p>
      <w:pPr>
        <w:spacing w:after="0" w:line="18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 xml:space="preserve">Clean Water Act - Aquatic Organisms. </w:t>
      </w:r>
      <w:r>
        <w:rPr>
          <w:rFonts w:ascii="Arial" w:cs="Arial" w:eastAsia="Arial" w:hAnsi="Arial"/>
          <w:sz w:val="17"/>
          <w:szCs w:val="17"/>
          <w:color w:val="auto"/>
        </w:rPr>
        <w:t>In April 2011, the EPA published in the Federal Register proposed regulations under Section 316(b) of the Clean Water</w:t>
      </w:r>
      <w:r>
        <w:rPr>
          <w:rFonts w:ascii="Arial" w:cs="Arial" w:eastAsia="Arial" w:hAnsi="Arial"/>
          <w:sz w:val="17"/>
          <w:szCs w:val="17"/>
          <w:i w:val="1"/>
          <w:iCs w:val="1"/>
          <w:color w:val="auto"/>
        </w:rPr>
        <w:t xml:space="preserve"> </w:t>
      </w:r>
      <w:r>
        <w:rPr>
          <w:rFonts w:ascii="Arial" w:cs="Arial" w:eastAsia="Arial" w:hAnsi="Arial"/>
          <w:sz w:val="17"/>
          <w:szCs w:val="17"/>
          <w:color w:val="auto"/>
        </w:rPr>
        <w:t>Act that set standards applicable to cooling water intake structures for the protection of aquatic organisms. The proposed regulations would require existing large power plants and manufacturing facilities that withdraw greater than 25 percent of water from adjacent water bodies for cooling purposes and have a design intake flow of greater than 2 million gallons per day to limit the number of aquatic organisms that are killed when they are pinned against the facility’s intake structure or that are drawn into the facility’s cooling system. The Section 316(b) standards would be implemented through NPDES permits issued to the covered facilities. The Section 316(b) proposed rule comment period ended in August 2011 and the EPA is obligated to finalize the rule by June 27, 2013. We are unable to predict the compliance costs we might incur under the final rule; however, the costs could be material. We would seek recovery of any additional costs through cost recovery riders or in a general rate case.</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2012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364"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Environmental Matters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Water (Continued)</w:t>
      </w:r>
    </w:p>
    <w:p>
      <w:pPr>
        <w:spacing w:after="0" w:line="21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color w:val="auto"/>
        </w:rPr>
        <w:t xml:space="preserve">Steam Electric Power Generating Effluent Guidelines. </w:t>
      </w:r>
      <w:r>
        <w:rPr>
          <w:rFonts w:ascii="Arial" w:cs="Arial" w:eastAsia="Arial" w:hAnsi="Arial"/>
          <w:sz w:val="18"/>
          <w:szCs w:val="18"/>
          <w:color w:val="auto"/>
        </w:rPr>
        <w:t>In late 2009, the EPA announced that it will be reviewing and reissuing the federal effluent guidelines</w:t>
      </w:r>
      <w:r>
        <w:rPr>
          <w:rFonts w:ascii="Arial" w:cs="Arial" w:eastAsia="Arial" w:hAnsi="Arial"/>
          <w:sz w:val="18"/>
          <w:szCs w:val="18"/>
          <w:i w:val="1"/>
          <w:iCs w:val="1"/>
          <w:color w:val="auto"/>
        </w:rPr>
        <w:t xml:space="preserve"> </w:t>
      </w:r>
      <w:r>
        <w:rPr>
          <w:rFonts w:ascii="Arial" w:cs="Arial" w:eastAsia="Arial" w:hAnsi="Arial"/>
          <w:sz w:val="18"/>
          <w:szCs w:val="18"/>
          <w:color w:val="auto"/>
        </w:rPr>
        <w:t>for steam electric stations. These are the underlying federal water discharge rules that apply to all steam electric stations. It is expected that the EPA will publish the proposed new rule in April 2013 and a final rule in 2014. As part of the review phase for this new rule, the EPA issued an Information Collection Request (ICR) in June 2010, to most thermal electric generating stations in the country, including all five of Minnesota Power’s generating stations. The ICR was completed and submitted to the EPA in September 2010, for Boswell, Laskin, Taconite Harbor, Hibbard and Rapids Energy Center. The ICR was designed to gather extensive information on the nature and extent of all water discharge and related wastewater handling at power plants. The information gathered through the ICR will form a basis for development of the eventual new rule, which could include more restrictive requirements on wastewater discharge, flue gas desulfurization and wet ash handling operations. We are unable to predict the costs we might incur to comply with potential future water discharge regulations at this time.</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Solid and Hazardous Waste. </w:t>
      </w:r>
      <w:r>
        <w:rPr>
          <w:rFonts w:ascii="Arial" w:cs="Arial" w:eastAsia="Arial" w:hAnsi="Arial"/>
          <w:sz w:val="16"/>
          <w:szCs w:val="16"/>
          <w:color w:val="auto"/>
        </w:rPr>
        <w:t>The Resource Conservation and Recovery Act of 1976 regulates the management and disposal of solid and hazardous wastes.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We are required to notify the EPA of hazardous waste activity and, consequently, routinely submit the necessary reports to the EPA.</w:t>
      </w:r>
    </w:p>
    <w:p>
      <w:pPr>
        <w:spacing w:after="0" w:line="21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 xml:space="preserve">Coal Ash Management Facilities. </w:t>
      </w:r>
      <w:r>
        <w:rPr>
          <w:rFonts w:ascii="Arial" w:cs="Arial" w:eastAsia="Arial" w:hAnsi="Arial"/>
          <w:sz w:val="17"/>
          <w:szCs w:val="17"/>
          <w:color w:val="auto"/>
        </w:rPr>
        <w:t>Minnesota Power generates coal ash at all five of its coal-fired electric generating facilities. Two facilities store ash in</w:t>
      </w:r>
      <w:r>
        <w:rPr>
          <w:rFonts w:ascii="Arial" w:cs="Arial" w:eastAsia="Arial" w:hAnsi="Arial"/>
          <w:sz w:val="17"/>
          <w:szCs w:val="17"/>
          <w:i w:val="1"/>
          <w:iCs w:val="1"/>
          <w:color w:val="auto"/>
        </w:rPr>
        <w:t xml:space="preserve"> </w:t>
      </w:r>
      <w:r>
        <w:rPr>
          <w:rFonts w:ascii="Arial" w:cs="Arial" w:eastAsia="Arial" w:hAnsi="Arial"/>
          <w:sz w:val="17"/>
          <w:szCs w:val="17"/>
          <w:color w:val="auto"/>
        </w:rPr>
        <w:t>onsite impoundments (ash ponds) with engineered liners and containment dikes. Another facility stores dry ash in a landfill with an engineered liner and leachate collection system. Two facilities generate a combined wood and coal ash that is either land applied as an approved beneficial use or trucked to state permitted landfills. In June 2010, the EPA proposed regulations for coal combustion residuals generated by the electric utility sector. The proposal sought comments on three general regulatory schemes for coal ash. Comments on the proposed rule were due in November 2010. It is estimated that the final rule will be published in 2013. We are unable to predict the compliance costs we might incur; however, the costs could be material. We would seek recovery of any additional costs through cost recovery riders or in a general rate case.</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2012, ALLETE had 1,361 employees, of which 1,322 were full-time.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Minnesota Power and SWL&amp;P had an aggregate 593 employees who are members of IBEW Local 31. The current labor agreements with IBEW Local 31 expire on January 31, 2014.</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BNI Coal had 162 employees, of which 117 are members of IBEW Local 1593. The current labor agreement between BNI Coal and IBEW Local 1593 expires on March 31, 2014.</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Availability of Information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ALLETE makes its SEC filings, including its annual report on Form 10-K, quarterly reports on Form 10-Q, current reports on Form 8-K and any amendments to those reports filed or furnished pursuant to Section 13(e) or 15(d) of the Securities Exchange Act of 1934, available free of charge on ALLETE’s website, www.allete.com, as soon as reasonably practicable after they are electronically filed with or furnished to the SEC.</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2012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364"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Executive Officers of the Registrant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of February 15, 2013, these are the executive officers of ALLETE:</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Executive Officers</w:t>
            </w:r>
          </w:p>
        </w:tc>
        <w:tc>
          <w:tcPr>
            <w:tcW w:w="3080" w:type="dxa"/>
            <w:vAlign w:val="bottom"/>
          </w:tcPr>
          <w:p>
            <w:pPr>
              <w:ind w:left="940"/>
              <w:spacing w:after="0"/>
              <w:rPr>
                <w:sz w:val="20"/>
                <w:szCs w:val="20"/>
                <w:color w:val="auto"/>
              </w:rPr>
            </w:pPr>
            <w:r>
              <w:rPr>
                <w:rFonts w:ascii="Arial" w:cs="Arial" w:eastAsia="Arial" w:hAnsi="Arial"/>
                <w:sz w:val="18"/>
                <w:szCs w:val="18"/>
                <w:b w:val="1"/>
                <w:bCs w:val="1"/>
                <w:color w:val="auto"/>
              </w:rPr>
              <w:t>Initial Effective Date</w:t>
            </w:r>
          </w:p>
        </w:tc>
      </w:tr>
      <w:tr>
        <w:trPr>
          <w:trHeight w:val="27"/>
        </w:trPr>
        <w:tc>
          <w:tcPr>
            <w:tcW w:w="8340" w:type="dxa"/>
            <w:vAlign w:val="bottom"/>
            <w:tcBorders>
              <w:bottom w:val="single" w:sz="8" w:color="auto"/>
            </w:tcBorders>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r>
      <w:tr>
        <w:trPr>
          <w:trHeight w:val="264"/>
        </w:trPr>
        <w:tc>
          <w:tcPr>
            <w:tcW w:w="8340" w:type="dxa"/>
            <w:vAlign w:val="bottom"/>
            <w:shd w:val="clear" w:color="auto" w:fill="CCEEFF"/>
          </w:tcPr>
          <w:p>
            <w:pPr>
              <w:spacing w:after="0"/>
              <w:rPr>
                <w:sz w:val="22"/>
                <w:szCs w:val="22"/>
                <w:color w:val="auto"/>
              </w:rPr>
            </w:pPr>
          </w:p>
        </w:tc>
        <w:tc>
          <w:tcPr>
            <w:tcW w:w="3080" w:type="dxa"/>
            <w:vAlign w:val="bottom"/>
            <w:shd w:val="clear" w:color="auto" w:fill="CCEEFF"/>
          </w:tcPr>
          <w:p>
            <w:pPr>
              <w:spacing w:after="0"/>
              <w:rPr>
                <w:sz w:val="22"/>
                <w:szCs w:val="22"/>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Alan R. Hodnik, Age 53</w:t>
            </w:r>
          </w:p>
        </w:tc>
        <w:tc>
          <w:tcPr>
            <w:tcW w:w="308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0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Chairman, President and Chief Executive Officer – ALLETE</w:t>
            </w:r>
          </w:p>
        </w:tc>
        <w:tc>
          <w:tcPr>
            <w:tcW w:w="308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18"/>
                <w:szCs w:val="18"/>
                <w:color w:val="auto"/>
              </w:rPr>
              <w:t>May 10, 2011</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President and Chief Executive Officer – ALLETE</w:t>
            </w:r>
          </w:p>
        </w:tc>
        <w:tc>
          <w:tcPr>
            <w:tcW w:w="3080" w:type="dxa"/>
            <w:vAlign w:val="bottom"/>
          </w:tcPr>
          <w:p>
            <w:pPr>
              <w:ind w:left="940"/>
              <w:spacing w:after="0"/>
              <w:rPr>
                <w:sz w:val="20"/>
                <w:szCs w:val="20"/>
                <w:color w:val="auto"/>
              </w:rPr>
            </w:pPr>
            <w:r>
              <w:rPr>
                <w:rFonts w:ascii="Arial" w:cs="Arial" w:eastAsia="Arial" w:hAnsi="Arial"/>
                <w:sz w:val="18"/>
                <w:szCs w:val="18"/>
                <w:color w:val="auto"/>
              </w:rPr>
              <w:t>May 1, 2010</w:t>
            </w:r>
          </w:p>
        </w:tc>
      </w:tr>
      <w:tr>
        <w:trPr>
          <w:trHeight w:val="27"/>
        </w:trPr>
        <w:tc>
          <w:tcPr>
            <w:tcW w:w="8340" w:type="dxa"/>
            <w:vAlign w:val="bottom"/>
          </w:tcPr>
          <w:p>
            <w:pPr>
              <w:spacing w:after="0"/>
              <w:rPr>
                <w:sz w:val="2"/>
                <w:szCs w:val="2"/>
                <w:color w:val="auto"/>
              </w:rPr>
            </w:pPr>
          </w:p>
        </w:tc>
        <w:tc>
          <w:tcPr>
            <w:tcW w:w="30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President – ALLETE</w:t>
            </w:r>
          </w:p>
        </w:tc>
        <w:tc>
          <w:tcPr>
            <w:tcW w:w="308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18"/>
                <w:szCs w:val="18"/>
                <w:color w:val="auto"/>
              </w:rPr>
              <w:t>May 1, 2009</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Chief Operating Officer – Minnesota Power</w:t>
            </w:r>
          </w:p>
        </w:tc>
        <w:tc>
          <w:tcPr>
            <w:tcW w:w="3080" w:type="dxa"/>
            <w:vAlign w:val="bottom"/>
          </w:tcPr>
          <w:p>
            <w:pPr>
              <w:ind w:left="940"/>
              <w:spacing w:after="0"/>
              <w:rPr>
                <w:sz w:val="20"/>
                <w:szCs w:val="20"/>
                <w:color w:val="auto"/>
              </w:rPr>
            </w:pPr>
            <w:r>
              <w:rPr>
                <w:rFonts w:ascii="Arial" w:cs="Arial" w:eastAsia="Arial" w:hAnsi="Arial"/>
                <w:sz w:val="18"/>
                <w:szCs w:val="18"/>
                <w:color w:val="auto"/>
              </w:rPr>
              <w:t>May 8, 2007</w:t>
            </w:r>
          </w:p>
        </w:tc>
      </w:tr>
      <w:tr>
        <w:trPr>
          <w:trHeight w:val="27"/>
        </w:trPr>
        <w:tc>
          <w:tcPr>
            <w:tcW w:w="8340" w:type="dxa"/>
            <w:vAlign w:val="bottom"/>
          </w:tcPr>
          <w:p>
            <w:pPr>
              <w:spacing w:after="0"/>
              <w:rPr>
                <w:sz w:val="2"/>
                <w:szCs w:val="2"/>
                <w:color w:val="auto"/>
              </w:rPr>
            </w:pPr>
          </w:p>
        </w:tc>
        <w:tc>
          <w:tcPr>
            <w:tcW w:w="3080" w:type="dxa"/>
            <w:vAlign w:val="bottom"/>
          </w:tcPr>
          <w:p>
            <w:pPr>
              <w:spacing w:after="0"/>
              <w:rPr>
                <w:sz w:val="2"/>
                <w:szCs w:val="2"/>
                <w:color w:val="auto"/>
              </w:rPr>
            </w:pPr>
          </w:p>
        </w:tc>
      </w:tr>
      <w:tr>
        <w:trPr>
          <w:trHeight w:val="270"/>
        </w:trPr>
        <w:tc>
          <w:tcPr>
            <w:tcW w:w="8340" w:type="dxa"/>
            <w:vAlign w:val="bottom"/>
            <w:shd w:val="clear" w:color="auto" w:fill="CCEEFF"/>
          </w:tcPr>
          <w:p>
            <w:pPr>
              <w:spacing w:after="0"/>
              <w:rPr>
                <w:sz w:val="23"/>
                <w:szCs w:val="23"/>
                <w:color w:val="auto"/>
              </w:rPr>
            </w:pPr>
          </w:p>
        </w:tc>
        <w:tc>
          <w:tcPr>
            <w:tcW w:w="3080" w:type="dxa"/>
            <w:vAlign w:val="bottom"/>
            <w:shd w:val="clear" w:color="auto" w:fill="CCEEFF"/>
          </w:tcPr>
          <w:p>
            <w:pPr>
              <w:spacing w:after="0"/>
              <w:rPr>
                <w:sz w:val="23"/>
                <w:szCs w:val="23"/>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Robert J. Adams, Age 50</w:t>
            </w:r>
          </w:p>
        </w:tc>
        <w:tc>
          <w:tcPr>
            <w:tcW w:w="308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0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Vice President – Business Development and Chief Risk Officer</w:t>
            </w:r>
          </w:p>
        </w:tc>
        <w:tc>
          <w:tcPr>
            <w:tcW w:w="308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18"/>
                <w:szCs w:val="18"/>
                <w:color w:val="auto"/>
              </w:rPr>
              <w:t>May 13, 2008</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Vice President – Utility Business Development</w:t>
            </w:r>
          </w:p>
        </w:tc>
        <w:tc>
          <w:tcPr>
            <w:tcW w:w="3080" w:type="dxa"/>
            <w:vAlign w:val="bottom"/>
          </w:tcPr>
          <w:p>
            <w:pPr>
              <w:ind w:left="940"/>
              <w:spacing w:after="0"/>
              <w:rPr>
                <w:sz w:val="20"/>
                <w:szCs w:val="20"/>
                <w:color w:val="auto"/>
              </w:rPr>
            </w:pPr>
            <w:r>
              <w:rPr>
                <w:rFonts w:ascii="Arial" w:cs="Arial" w:eastAsia="Arial" w:hAnsi="Arial"/>
                <w:sz w:val="18"/>
                <w:szCs w:val="18"/>
                <w:color w:val="auto"/>
              </w:rPr>
              <w:t>February 1, 2004</w:t>
            </w:r>
          </w:p>
        </w:tc>
      </w:tr>
      <w:tr>
        <w:trPr>
          <w:trHeight w:val="27"/>
        </w:trPr>
        <w:tc>
          <w:tcPr>
            <w:tcW w:w="8340" w:type="dxa"/>
            <w:vAlign w:val="bottom"/>
          </w:tcPr>
          <w:p>
            <w:pPr>
              <w:spacing w:after="0"/>
              <w:rPr>
                <w:sz w:val="2"/>
                <w:szCs w:val="2"/>
                <w:color w:val="auto"/>
              </w:rPr>
            </w:pPr>
          </w:p>
        </w:tc>
        <w:tc>
          <w:tcPr>
            <w:tcW w:w="3080" w:type="dxa"/>
            <w:vAlign w:val="bottom"/>
          </w:tcPr>
          <w:p>
            <w:pPr>
              <w:spacing w:after="0"/>
              <w:rPr>
                <w:sz w:val="2"/>
                <w:szCs w:val="2"/>
                <w:color w:val="auto"/>
              </w:rPr>
            </w:pPr>
          </w:p>
        </w:tc>
      </w:tr>
      <w:tr>
        <w:trPr>
          <w:trHeight w:val="270"/>
        </w:trPr>
        <w:tc>
          <w:tcPr>
            <w:tcW w:w="8340" w:type="dxa"/>
            <w:vAlign w:val="bottom"/>
            <w:shd w:val="clear" w:color="auto" w:fill="CCEEFF"/>
          </w:tcPr>
          <w:p>
            <w:pPr>
              <w:spacing w:after="0"/>
              <w:rPr>
                <w:sz w:val="23"/>
                <w:szCs w:val="23"/>
                <w:color w:val="auto"/>
              </w:rPr>
            </w:pPr>
          </w:p>
        </w:tc>
        <w:tc>
          <w:tcPr>
            <w:tcW w:w="3080" w:type="dxa"/>
            <w:vAlign w:val="bottom"/>
            <w:shd w:val="clear" w:color="auto" w:fill="CCEEFF"/>
          </w:tcPr>
          <w:p>
            <w:pPr>
              <w:spacing w:after="0"/>
              <w:rPr>
                <w:sz w:val="23"/>
                <w:szCs w:val="23"/>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Deborah A. Amberg, Age 47</w:t>
            </w:r>
          </w:p>
        </w:tc>
        <w:tc>
          <w:tcPr>
            <w:tcW w:w="308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0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Senior Vice President, General Counsel and Secretary</w:t>
            </w:r>
          </w:p>
        </w:tc>
        <w:tc>
          <w:tcPr>
            <w:tcW w:w="308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18"/>
                <w:szCs w:val="18"/>
                <w:color w:val="auto"/>
              </w:rPr>
              <w:t>January 1, 2006</w:t>
            </w:r>
          </w:p>
        </w:tc>
      </w:tr>
      <w:tr>
        <w:trPr>
          <w:trHeight w:val="270"/>
        </w:trPr>
        <w:tc>
          <w:tcPr>
            <w:tcW w:w="8340" w:type="dxa"/>
            <w:vAlign w:val="bottom"/>
          </w:tcPr>
          <w:p>
            <w:pPr>
              <w:spacing w:after="0"/>
              <w:rPr>
                <w:sz w:val="23"/>
                <w:szCs w:val="23"/>
                <w:color w:val="auto"/>
              </w:rPr>
            </w:pPr>
          </w:p>
        </w:tc>
        <w:tc>
          <w:tcPr>
            <w:tcW w:w="3080" w:type="dxa"/>
            <w:vAlign w:val="bottom"/>
          </w:tcPr>
          <w:p>
            <w:pPr>
              <w:spacing w:after="0"/>
              <w:rPr>
                <w:sz w:val="23"/>
                <w:szCs w:val="23"/>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Steven Q. DeVinck, Age 53</w:t>
            </w:r>
          </w:p>
        </w:tc>
        <w:tc>
          <w:tcPr>
            <w:tcW w:w="308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Controller and Vice President – Business Support</w:t>
            </w:r>
          </w:p>
        </w:tc>
        <w:tc>
          <w:tcPr>
            <w:tcW w:w="3080" w:type="dxa"/>
            <w:vAlign w:val="bottom"/>
          </w:tcPr>
          <w:p>
            <w:pPr>
              <w:ind w:left="940"/>
              <w:spacing w:after="0"/>
              <w:rPr>
                <w:sz w:val="20"/>
                <w:szCs w:val="20"/>
                <w:color w:val="auto"/>
              </w:rPr>
            </w:pPr>
            <w:r>
              <w:rPr>
                <w:rFonts w:ascii="Arial" w:cs="Arial" w:eastAsia="Arial" w:hAnsi="Arial"/>
                <w:sz w:val="18"/>
                <w:szCs w:val="18"/>
                <w:color w:val="auto"/>
              </w:rPr>
              <w:t>December 5, 2009</w:t>
            </w:r>
          </w:p>
        </w:tc>
      </w:tr>
      <w:tr>
        <w:trPr>
          <w:trHeight w:val="27"/>
        </w:trPr>
        <w:tc>
          <w:tcPr>
            <w:tcW w:w="8340" w:type="dxa"/>
            <w:vAlign w:val="bottom"/>
          </w:tcPr>
          <w:p>
            <w:pPr>
              <w:spacing w:after="0"/>
              <w:rPr>
                <w:sz w:val="2"/>
                <w:szCs w:val="2"/>
                <w:color w:val="auto"/>
              </w:rPr>
            </w:pPr>
          </w:p>
        </w:tc>
        <w:tc>
          <w:tcPr>
            <w:tcW w:w="30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Controller</w:t>
            </w:r>
          </w:p>
        </w:tc>
        <w:tc>
          <w:tcPr>
            <w:tcW w:w="308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18"/>
                <w:szCs w:val="18"/>
                <w:color w:val="auto"/>
              </w:rPr>
              <w:t>July 12, 2006</w:t>
            </w:r>
          </w:p>
        </w:tc>
      </w:tr>
      <w:tr>
        <w:trPr>
          <w:trHeight w:val="270"/>
        </w:trPr>
        <w:tc>
          <w:tcPr>
            <w:tcW w:w="8340" w:type="dxa"/>
            <w:vAlign w:val="bottom"/>
          </w:tcPr>
          <w:p>
            <w:pPr>
              <w:spacing w:after="0"/>
              <w:rPr>
                <w:sz w:val="23"/>
                <w:szCs w:val="23"/>
                <w:color w:val="auto"/>
              </w:rPr>
            </w:pPr>
          </w:p>
        </w:tc>
        <w:tc>
          <w:tcPr>
            <w:tcW w:w="3080" w:type="dxa"/>
            <w:vAlign w:val="bottom"/>
          </w:tcPr>
          <w:p>
            <w:pPr>
              <w:spacing w:after="0"/>
              <w:rPr>
                <w:sz w:val="23"/>
                <w:szCs w:val="23"/>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David J. McMillan, Age 51</w:t>
            </w:r>
          </w:p>
        </w:tc>
        <w:tc>
          <w:tcPr>
            <w:tcW w:w="308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Senior Vice President – External Affairs – ALLETE</w:t>
            </w:r>
          </w:p>
        </w:tc>
        <w:tc>
          <w:tcPr>
            <w:tcW w:w="3080" w:type="dxa"/>
            <w:vAlign w:val="bottom"/>
          </w:tcPr>
          <w:p>
            <w:pPr>
              <w:ind w:left="940"/>
              <w:spacing w:after="0"/>
              <w:rPr>
                <w:sz w:val="20"/>
                <w:szCs w:val="20"/>
                <w:color w:val="auto"/>
              </w:rPr>
            </w:pPr>
            <w:r>
              <w:rPr>
                <w:rFonts w:ascii="Arial" w:cs="Arial" w:eastAsia="Arial" w:hAnsi="Arial"/>
                <w:sz w:val="18"/>
                <w:szCs w:val="18"/>
                <w:color w:val="auto"/>
              </w:rPr>
              <w:t>January 1, 2012</w:t>
            </w:r>
          </w:p>
        </w:tc>
      </w:tr>
      <w:tr>
        <w:trPr>
          <w:trHeight w:val="27"/>
        </w:trPr>
        <w:tc>
          <w:tcPr>
            <w:tcW w:w="8340" w:type="dxa"/>
            <w:vAlign w:val="bottom"/>
          </w:tcPr>
          <w:p>
            <w:pPr>
              <w:spacing w:after="0"/>
              <w:rPr>
                <w:sz w:val="2"/>
                <w:szCs w:val="2"/>
                <w:color w:val="auto"/>
              </w:rPr>
            </w:pPr>
          </w:p>
        </w:tc>
        <w:tc>
          <w:tcPr>
            <w:tcW w:w="30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Senior Vice President – Marketing, Regulatory and Public Affairs – ALLETE</w:t>
            </w:r>
          </w:p>
        </w:tc>
        <w:tc>
          <w:tcPr>
            <w:tcW w:w="308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18"/>
                <w:szCs w:val="18"/>
                <w:color w:val="auto"/>
              </w:rPr>
              <w:t>January 1, 2006</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Executive Vice President – Minnesota Power</w:t>
            </w:r>
          </w:p>
        </w:tc>
        <w:tc>
          <w:tcPr>
            <w:tcW w:w="3080" w:type="dxa"/>
            <w:vAlign w:val="bottom"/>
          </w:tcPr>
          <w:p>
            <w:pPr>
              <w:ind w:left="940"/>
              <w:spacing w:after="0"/>
              <w:rPr>
                <w:sz w:val="20"/>
                <w:szCs w:val="20"/>
                <w:color w:val="auto"/>
              </w:rPr>
            </w:pPr>
            <w:r>
              <w:rPr>
                <w:rFonts w:ascii="Arial" w:cs="Arial" w:eastAsia="Arial" w:hAnsi="Arial"/>
                <w:sz w:val="18"/>
                <w:szCs w:val="18"/>
                <w:color w:val="auto"/>
              </w:rPr>
              <w:t>January 1, 2006</w:t>
            </w:r>
          </w:p>
        </w:tc>
      </w:tr>
      <w:tr>
        <w:trPr>
          <w:trHeight w:val="27"/>
        </w:trPr>
        <w:tc>
          <w:tcPr>
            <w:tcW w:w="8340" w:type="dxa"/>
            <w:vAlign w:val="bottom"/>
          </w:tcPr>
          <w:p>
            <w:pPr>
              <w:spacing w:after="0"/>
              <w:rPr>
                <w:sz w:val="2"/>
                <w:szCs w:val="2"/>
                <w:color w:val="auto"/>
              </w:rPr>
            </w:pPr>
          </w:p>
        </w:tc>
        <w:tc>
          <w:tcPr>
            <w:tcW w:w="3080" w:type="dxa"/>
            <w:vAlign w:val="bottom"/>
          </w:tcPr>
          <w:p>
            <w:pPr>
              <w:spacing w:after="0"/>
              <w:rPr>
                <w:sz w:val="2"/>
                <w:szCs w:val="2"/>
                <w:color w:val="auto"/>
              </w:rPr>
            </w:pPr>
          </w:p>
        </w:tc>
      </w:tr>
      <w:tr>
        <w:trPr>
          <w:trHeight w:val="270"/>
        </w:trPr>
        <w:tc>
          <w:tcPr>
            <w:tcW w:w="8340" w:type="dxa"/>
            <w:vAlign w:val="bottom"/>
            <w:shd w:val="clear" w:color="auto" w:fill="CCEEFF"/>
          </w:tcPr>
          <w:p>
            <w:pPr>
              <w:spacing w:after="0"/>
              <w:rPr>
                <w:sz w:val="23"/>
                <w:szCs w:val="23"/>
                <w:color w:val="auto"/>
              </w:rPr>
            </w:pPr>
          </w:p>
        </w:tc>
        <w:tc>
          <w:tcPr>
            <w:tcW w:w="3080" w:type="dxa"/>
            <w:vAlign w:val="bottom"/>
            <w:shd w:val="clear" w:color="auto" w:fill="CCEEFF"/>
          </w:tcPr>
          <w:p>
            <w:pPr>
              <w:spacing w:after="0"/>
              <w:rPr>
                <w:sz w:val="23"/>
                <w:szCs w:val="23"/>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Mark A. Schober, Age 57</w:t>
            </w:r>
          </w:p>
        </w:tc>
        <w:tc>
          <w:tcPr>
            <w:tcW w:w="308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0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Senior Vice President and Chief Financial Officer</w:t>
            </w:r>
          </w:p>
        </w:tc>
        <w:tc>
          <w:tcPr>
            <w:tcW w:w="308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18"/>
                <w:szCs w:val="18"/>
                <w:color w:val="auto"/>
              </w:rPr>
              <w:t>July 1, 2006</w:t>
            </w:r>
          </w:p>
        </w:tc>
      </w:tr>
      <w:tr>
        <w:trPr>
          <w:trHeight w:val="270"/>
        </w:trPr>
        <w:tc>
          <w:tcPr>
            <w:tcW w:w="8340" w:type="dxa"/>
            <w:vAlign w:val="bottom"/>
          </w:tcPr>
          <w:p>
            <w:pPr>
              <w:spacing w:after="0"/>
              <w:rPr>
                <w:sz w:val="23"/>
                <w:szCs w:val="23"/>
                <w:color w:val="auto"/>
              </w:rPr>
            </w:pPr>
          </w:p>
        </w:tc>
        <w:tc>
          <w:tcPr>
            <w:tcW w:w="3080" w:type="dxa"/>
            <w:vAlign w:val="bottom"/>
          </w:tcPr>
          <w:p>
            <w:pPr>
              <w:spacing w:after="0"/>
              <w:rPr>
                <w:sz w:val="23"/>
                <w:szCs w:val="23"/>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Donald W. Stellmaker, Age 55</w:t>
            </w:r>
          </w:p>
        </w:tc>
        <w:tc>
          <w:tcPr>
            <w:tcW w:w="308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Vice President, Corporate Treasurer</w:t>
            </w:r>
          </w:p>
        </w:tc>
        <w:tc>
          <w:tcPr>
            <w:tcW w:w="3080" w:type="dxa"/>
            <w:vAlign w:val="bottom"/>
          </w:tcPr>
          <w:p>
            <w:pPr>
              <w:ind w:left="940"/>
              <w:spacing w:after="0"/>
              <w:rPr>
                <w:sz w:val="20"/>
                <w:szCs w:val="20"/>
                <w:color w:val="auto"/>
              </w:rPr>
            </w:pPr>
            <w:r>
              <w:rPr>
                <w:rFonts w:ascii="Arial" w:cs="Arial" w:eastAsia="Arial" w:hAnsi="Arial"/>
                <w:sz w:val="18"/>
                <w:szCs w:val="18"/>
                <w:color w:val="auto"/>
              </w:rPr>
              <w:t>August 19, 2011</w:t>
            </w:r>
          </w:p>
        </w:tc>
      </w:tr>
      <w:tr>
        <w:trPr>
          <w:trHeight w:val="27"/>
        </w:trPr>
        <w:tc>
          <w:tcPr>
            <w:tcW w:w="8340" w:type="dxa"/>
            <w:vAlign w:val="bottom"/>
          </w:tcPr>
          <w:p>
            <w:pPr>
              <w:spacing w:after="0"/>
              <w:rPr>
                <w:sz w:val="2"/>
                <w:szCs w:val="2"/>
                <w:color w:val="auto"/>
              </w:rPr>
            </w:pPr>
          </w:p>
        </w:tc>
        <w:tc>
          <w:tcPr>
            <w:tcW w:w="3080" w:type="dxa"/>
            <w:vAlign w:val="bottom"/>
          </w:tcPr>
          <w:p>
            <w:pPr>
              <w:spacing w:after="0"/>
              <w:rPr>
                <w:sz w:val="2"/>
                <w:szCs w:val="2"/>
                <w:color w:val="auto"/>
              </w:rPr>
            </w:pPr>
          </w:p>
        </w:tc>
      </w:tr>
      <w:tr>
        <w:trPr>
          <w:trHeight w:val="275"/>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Treasurer</w:t>
            </w:r>
          </w:p>
        </w:tc>
        <w:tc>
          <w:tcPr>
            <w:tcW w:w="308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18"/>
                <w:szCs w:val="18"/>
                <w:color w:val="auto"/>
              </w:rPr>
              <w:t>July 24, 2004</w:t>
            </w:r>
          </w:p>
        </w:tc>
      </w:tr>
      <w:tr>
        <w:trPr>
          <w:trHeight w:val="426"/>
        </w:trPr>
        <w:tc>
          <w:tcPr>
            <w:tcW w:w="83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All of the executive officers have been employed by us for more than five years in executive positions.</w:t>
            </w:r>
          </w:p>
        </w:tc>
        <w:tc>
          <w:tcPr>
            <w:tcW w:w="3080" w:type="dxa"/>
            <w:vAlign w:val="bottom"/>
            <w:tcBorders>
              <w:top w:val="single" w:sz="8" w:color="auto"/>
            </w:tcBorders>
          </w:tcPr>
          <w:p>
            <w:pPr>
              <w:spacing w:after="0"/>
              <w:rPr>
                <w:sz w:val="24"/>
                <w:szCs w:val="24"/>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There are no family relationships between any of the executive officers. All officers and directors are elected or appointed annually.</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present term of office of the executive officers listed above extends to the first meeting of our Board of Directors after the next annual meeting of shareholders. Both meetings are scheduled for May 14, 2013.</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2012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364"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risks and uncertainties discussed below, as well as other information set forth in this Form 10-K, could materially affect our business, financial condition and results of operations and should be carefully considered by stakeholders. The risks and uncertainties in this section are not the only ones we face. Additional risks and uncertainties that we are not presently aware of, or that we currently consider immaterial, may also affect our business operations.</w:t>
      </w:r>
    </w:p>
    <w:p>
      <w:pPr>
        <w:spacing w:after="0" w:line="14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results of operations could be negatively impacted if our Large Power Customers experience an economic downturn, incur work stoppages or fail to compete effectively.</w:t>
      </w:r>
    </w:p>
    <w:p>
      <w:pPr>
        <w:spacing w:after="0" w:line="16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9 Large Power Customers accounted for approximately 33 percent of our 2012 consolidated operating revenue (34 percent in 2011; 31 percent in 2010). One of these customers accounted for 12.3 percent of consolidated revenue in 2012 (12.6 percent in 2011; 12.5 percent in 2010). These customers are involved in cyclical industries that by their nature are adversely impacted by economic downturns and are subject to strong competition in the marketplace. Many of our large power customers also have unionized workforces which put them at risk for work stoppages. In addition, the North American paper and pulp industry also faces declining demand due to the impact of electronic substitution for print and changing customer needs.</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Accordingly, if our customers experience an economic downturn, incur a work stoppage (including strikes, lock-outs or other events), fail to compete effectively in the economy, or incur decreased demand for their product, there could be material adverse effects on their operations and, consequently, could have a negative impact on our results of operations if we are unable to remarket at similar prices the energy that would otherwise have been sold to such Large Power Customers.</w:t>
      </w:r>
    </w:p>
    <w:p>
      <w:pPr>
        <w:spacing w:after="0" w:line="18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utility operations are subject to an extensive legal and regulatory framework under federal and state laws as well as regulations imposed by other organizations that may have a negative impact on our business and results of operations.</w:t>
      </w:r>
    </w:p>
    <w:p>
      <w:pPr>
        <w:spacing w:after="0" w:line="16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are subject to an extensive legal and regulatory framework imposed under federal and state law including regulations administered by the FERC, the MPUC, the PSCW, the NDPSC and the EPA as well as regulations administered by other organizations including the NERC. These laws and regulations relate to allowed rates of return, capital structure, financings, rate and cost structure, acquisition and disposal of assets and facilities, construction and operation of generation, transmission and distribution facilities (including the ongoing maintenance and reliable operation of such facilities), recovery of purchased power costs and capital investments, approval of integrated resource plans and present or prospective wholesale and retail competition, among other things. Our transmission systems and electric generation facilities are subject to the NERC mandatory reliability standards, including cybersecurity standards. Compliance with these standards may lead to increased operating costs and capital expenditures. If we were found to not be in compliance with these mandatory reliability standards or other statutes, rules and orders, we could incur substantial monetary penalties and other sanctions, which could adversely affect our results of operations. (See Item 1. Business – Regulated Operations – Regulatory Matters.)</w:t>
      </w:r>
    </w:p>
    <w:p>
      <w:pPr>
        <w:spacing w:after="0" w:line="16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These laws and regulations significantly influence our operations and may affect our ability to recover costs from our customers. We are required to have numerous permits, licenses, approvals and certificates from the agencies and other organizations that regulate our business. We believe we have obtained the necessary permits, licenses, approvals and certificates for our existing operations and that our business is conducted in accordance with applicable laws; however, we are unable to predict the impact on our operating results from the future regulatory activities of any of these agencies. Changes in regulations or the imposition of additional regulations could have an adverse impact on our results of operations.</w:t>
      </w:r>
    </w:p>
    <w:p>
      <w:pPr>
        <w:spacing w:after="0" w:line="17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ability to obtain rate adjustments to maintain current rates of return depends upon regulatory action under applicable statutes and regulations, and we cannot provide assurance that rate adjustments will be obtained or current authorized rates of return on capital will be earned. Minnesota Power and SWL&amp;P, from time to time, file rate cases with, or otherwise seek cost recovery authorization from, federal and state regulatory authorities. If Minnesota Power and SWL&amp;P do not receive an adequate amount of rate relief in rate cases, including if rates are reduced, if increased rates are not approved on a timely basis or costs are otherwise unable to be recovered through rates, or if cost recovery is not achieved at the requested level, we may experience an adverse impact on our financial condition, results of operations and cash flows. We are unable to predict the impact on our business and results of operations from future legislation or regulatory activities of any of these agencies or organizations.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2012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364"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Item 1A. Risk Factors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operations could be adversely impacted by the physical risks associated with climate change.</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scientific community generally accepts that emissions of GHGs are linked to global climate change. Physical risks of climate change, such as more frequent or more extreme weather events, changes in temperature and precipitation patterns, changes to ground and surface water availability, and other related phenomena, could affect some, or all, of our operations. Severe weather or other natural disasters could be destructive, which could result in increased costs. An extreme weather event within our utility service areas can also directly affect our capital assets, causing disruption in service to customers due to downed wires and poles or damage to other operating equipment. These all have the potential to adversely affect our business and operations.</w:t>
      </w:r>
    </w:p>
    <w:p>
      <w:pPr>
        <w:spacing w:after="0" w:line="15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operations could be adversely impacted by initiatives designed to reduce the impact of GHG emissions such as CO</w:t>
      </w:r>
      <w:r>
        <w:rPr>
          <w:rFonts w:ascii="Arial" w:cs="Arial" w:eastAsia="Arial" w:hAnsi="Arial"/>
          <w:sz w:val="12"/>
          <w:szCs w:val="12"/>
          <w:b w:val="1"/>
          <w:bCs w:val="1"/>
          <w:color w:val="auto"/>
        </w:rPr>
        <w:t>2</w:t>
      </w:r>
      <w:r>
        <w:rPr>
          <w:rFonts w:ascii="Arial" w:cs="Arial" w:eastAsia="Arial" w:hAnsi="Arial"/>
          <w:sz w:val="18"/>
          <w:szCs w:val="18"/>
          <w:b w:val="1"/>
          <w:bCs w:val="1"/>
          <w:color w:val="auto"/>
        </w:rPr>
        <w:t xml:space="preserve"> from our generating facilities.</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Proposals for voluntary initiatives to reduce GHGs such as CO</w:t>
      </w:r>
      <w:r>
        <w:rPr>
          <w:rFonts w:ascii="Arial" w:cs="Arial" w:eastAsia="Arial" w:hAnsi="Arial"/>
          <w:sz w:val="12"/>
          <w:szCs w:val="12"/>
          <w:color w:val="auto"/>
        </w:rPr>
        <w:t>2</w:t>
      </w:r>
      <w:r>
        <w:rPr>
          <w:rFonts w:ascii="Arial" w:cs="Arial" w:eastAsia="Arial" w:hAnsi="Arial"/>
          <w:sz w:val="18"/>
          <w:szCs w:val="18"/>
          <w:color w:val="auto"/>
        </w:rPr>
        <w:t>, a by-product of burning fossil fuels, have been discussed within Minnesota, among a group of Midwestern states that includes Minnesota and in the United States Congress. Coal is currently the primary fuel source for 92 percent of the energy produced by our generating facilities.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There is significant uncertainty regarding whether new laws or regulations will be adopted to reduce GHGs and what affect any such laws or regulations would have on us. Future limits on GHG emissions would likely require us to incur significant increases in capital expenditures and operating costs, which if excessive, could result in the closure of certain coal-fired energy centers, impairment of assets, or otherwise materially adversely affect our results of operations, particularly if implementation costs are not fully recoverable from customers.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operations pose certain environmental risks that could adversely affect our results of operations and financial condition.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subject to extensive environmental laws and regulations affecting many aspects of our present and future operations, including air quality, water quality, waste management, reclamation, hazardous wastes and natural resources. These laws and regulations can result in increased capital, environmental emission allowance trading, operating and other costs, as a result of compliance, remediation, containment and monitoring obligations, particularly with regard to laws relating to power plant emissions, coal ash and water discharge.</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These laws and regulations could restrict the output of some existing facilities, limit the use of some fuels required for the production of electricity, require additional pollution control equipment, require participation in environmental emission allowance trading, and/or lead to other environmental considerations and costs, which could have a material adverse impact on our business, operations and results of operations.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These laws and regulations generally require us to obtain and comply with a wide variety of environmental licenses, permits, inspections and other approvals. Both governmental authorities and private parties may seek to enforce applicable environmental laws and regulations. We cannot predict the financial or operational outcome of any related litigation that may arise.</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Existing environmental regulations may be revised and new regulations seeking to protect the environment may be adopted or become applicable to us. Revised or additional regulations which result in increased compliance costs or additional operating restrictions, particularly if those costs are not fully recoverable from customers, could have a material adverse effect on our results of operations.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cannot predict the amount or timing of all future expenditures related to environmental matters because of the uncertainty as to applicable regulations or requirements. There is also uncertainty in quantifying liabilities under environmental laws that impose joint and several liability on all potentially responsible parties. Violations of certain environmental statutes, rules and regulations could expose ALLETE to third party disputes and potentially significant monetary penalties, as well as other sanctions for non-compliance.</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2012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364"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Item 1A. Risk Factors (Continued)</w:t>
      </w:r>
    </w:p>
    <w:p>
      <w:pPr>
        <w:spacing w:after="0" w:line="2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We rely on access to financing sources and capital markets. If we do not have access to sufficient capital in the amounts and at the times needed, our ability to execute our business plans, make capital expenditures or pursue other strategic actions that we may otherwise rely on for future growth could be impaired.</w:t>
      </w:r>
    </w:p>
    <w:p>
      <w:pPr>
        <w:spacing w:after="0" w:line="18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rely on access to capital markets as sources of liquidity for capital requirements not satisfied by our cash flow from operations. If we are not able to access capital on satisfactory terms, the ability to implement our business plans may be adversely affected. Market disruptions or a downgrade of our credit ratings may increase the cost of borrowing or adversely affect our ability to access capital markets. Such disruptions could include a severe prolonged economic downturn, the financial distress of non-affiliated industry leaders of other electric utility companies or the financial services sector, deterioration in capital market conditions, or volatility in commodity prices.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operation and maintenance of our generating facilities involve risks that could significantly increase the cost of doing business.</w:t>
      </w:r>
    </w:p>
    <w:p>
      <w:pPr>
        <w:spacing w:after="0" w:line="22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operation of generating facilities involves many risks, including start-up operations risks, breakdown or failure of facilities, the dependence on a specific fuel source, inadequate fuel supply, or availability of fuel transportation, or the impact of unusual or adverse weather conditions or other natural events, as well as the risk of performance below expected levels of output or efficiency, the occurrence of any of which could result in lost revenues, increased expenses or both. A significant portion of Minnesota Power’s facilities were constructed many years ago. In particular, older generating equipment, even if maintained in accordance with good engineering practices, may require significant capital expenditures to continue operating at peak efficiency. This equipment is also likely to require periodic upgrades and improvements due to changing environmental standards and technological advances. Minnesota Power could be subject to costs associated with any unexpected failure to produce power, including failure caused by breakdown or forced outage, as well as repairing damage to facilities due to storms, natural disasters, wars, sabotage, terrorist acts and other catastrophic events. Further, our ability to successfully and timely complete capital improvements to existing facilities or other capital projects is contingent upon many variables and subject to substantial risks. Should any such efforts be unsuccessful, we could be subject to additional costs and/or the write-off of our investment in the project or improvement.</w:t>
      </w:r>
    </w:p>
    <w:p>
      <w:pPr>
        <w:spacing w:after="0" w:line="16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electrical generating operations may not have access to adequate and reliable transmission and distribution facilities necessary to deliver electricity to our customers.</w:t>
      </w:r>
    </w:p>
    <w:p>
      <w:pPr>
        <w:spacing w:after="0" w:line="16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Minnesota Power depends on its own transmission and distribution facilities, and facilities owned by other utilities, to deliver the electricity produced and sold to our customers, and to other energy suppliers. If transmission capacity is inadequate, our ability to sell and deliver electricity may be hindered. We may have to forgo sales or may have to buy more expensive wholesale electricity that is available in the capacity-constrained area. In addition, any infrastructure failure that interrupts or impairs delivery of electricity to our customers could negatively impact the satisfaction of our customers with our service, which could have a material impact on our business, operations or results of operations.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price of electricity and fuel may be volatile.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Volatility in market prices for electricity and fuel could adversely impact our results of operations and financial condition and may result from:</w:t>
      </w:r>
    </w:p>
    <w:p>
      <w:pPr>
        <w:spacing w:after="0" w:line="225"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severe or unexpected weather conditions and natural disasters;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seasonality;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electricity usage;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transmission or transportation constraints, inoperability or inefficiencies;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availability of competitively priced alternative energy sources;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supply and demand for energy;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power production capacity;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outages at Minnesota Power’s generating facilities or those of our competitors;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availability of fuel transportation;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production and storage levels of natural gas, lignite, coal, crude oil and refined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wars, sabotage, terrorist acts or other catastrophic events;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federal, state, local and foreign energy, environmental, or other regulation and legislation.</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Since fluctuations in fuel expense related to our regulated utility operations are passed on to customers through our fuel clause, risk of volatility in market prices for fuel and electricity primarily impacts our sales to Other Power Suppliers.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2012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364"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Item 1A. Risk Factors (Continued)</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inability to attract and retain a qualified workforce including, but not limited to, executive officers, key employees and employees with specialized skills, could have an adverse effect on our operations.</w:t>
      </w:r>
    </w:p>
    <w:p>
      <w:pPr>
        <w:spacing w:after="0" w:line="166"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success of our business heavily depends on the leadership of our executive officers and key employees to implement our business strategy. The inability to maintain a qualified workforce including, but not limited to, executive officers, key employees and employees with specialized skills, may negatively affect our ability to service our existing or new customers, or successfully manage our business or achieve our business objectives. Personnel costs may increase due to competitive pressures or terms of collective bargaining agreements with union employees. We believe we have good relations with our members of IBEW Local 31 and IBEW Local 1593, and have contracts in place through January 31, 2014, and March 31, 2014, respectively.</w:t>
      </w:r>
    </w:p>
    <w:p>
      <w:pPr>
        <w:spacing w:after="0" w:line="15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Market performance and other changes could decrease the value of pension and postretirement benefit plan assets, which may result in significant additional funding requirements and increased annual expenses.</w:t>
      </w:r>
    </w:p>
    <w:p>
      <w:pPr>
        <w:spacing w:after="0" w:line="16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performance of the capital markets affects the values of the assets that are held in trust to satisfy future obligations under our pension and postretirement benefit plans. We have significant obligations to these plans and the trusts hold significant assets. These assets are subject to market fluctuations and will yield uncertain returns, which may fall below our projected rates of return. A decline in the market value of the pension and postretirement benefit plan assets would increase the funding requirements under our benefit plans if asset returns do not recover. Additionally, our pension and postretirement benefit plan liabilities are sensitive to changes in interest rates. As interest rates decrease, the liabilities increase, potentially increasing benefit expense and funding requirements. Our pension and postretirement benefit plan costs are generally recoverable in our electric rates as allowed by our regulators. However, there is no certainty that regulators will continue to allow recovery of these rising costs in the future.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technologies may adversely affect our business operations.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While the pace of technology development has been increasing, the basic structure of energy production, sale and delivery upon which our business model is based has remained substantially unchanged. The development of new commercially viable technology in areas such as distributed generation, energy storage and energy conservation could fundamentally change demand for our current products and services.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vulnerable to cyber attacks.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could be subject to computer viruses, terrorism, theft and sabotage, which may disrupt our operations and/or adversely impact our results of operations. Our generation plants, fuel storage facilities, and transmission and distribution facilities may be targets of cyber-terrorist activities that could disrupt our ability to produce or distribute some portion of our energy products. We operate in a highly regulated industry that requires the continued operation of sophisticated information technology systems and network infrastructure. Our technology systems may be vulnerable to disability, failures or unauthorized access due to hacking, viruses, acts of war or terrorism and other causes. If our technology systems were to fail or be breached and we were unable to recover in a timely manner, we may be unable to fulfill critical business functions and sensitive, confidential and other data could be compromised, which could have a material adverse effect on our results of operations, financial condition and cash flows.</w:t>
      </w:r>
    </w:p>
    <w:p>
      <w:pPr>
        <w:spacing w:after="0" w:line="17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results from any acquisitions of assets or businesses made by us, or strategic investments that we may make, may not achieve the results that we expect or seek and may adversely affect our financial condition and results of operations.</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Acquisitions are subject to uncertainties. If we are unable to successfully manage future acquisitions or strategic investments it could have an adverse impact on our results of operations. Our actual results may also differ from our expectations due to factors such as the ability to obtain timely regulatory or governmental approvals, integration and operational issues and the ability to retain management and other key personnel.</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2012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364"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Item 1A. Risk Factors (Continued)</w:t>
      </w:r>
    </w:p>
    <w:p>
      <w:pPr>
        <w:spacing w:after="0" w:line="225"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We may not be able to successfully implement our strategic objectives of growing load at the utility, due to the inability of current and potential industrial customers to obtain necessary governmental permits in order to successfully implement expansion plans.</w:t>
      </w:r>
    </w:p>
    <w:p>
      <w:pPr>
        <w:spacing w:after="0" w:line="166"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As part of our long-term strategy, we pursue new wholesale and retail loads in and around our service territory. Currently, there are several companies in northeastern Minnesota that are in the process of developing natural resource-based projects that represent long-term growth potential and load diversity for Minnesota Power. These projects may include construction of new facilities and restarts of old facilities, both of which require permitting and/or approvals to be obtained before the projects can be successfully implemented. If a project cannot be implemented due to certain governmental (including environmental) permits and approvals not being obtained, our long-term strategy and thus our results of operations could be adversely impacted.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Weak real estate market conditions in Florida may continue to adversely affect our strategy to sell our Florida real estate.</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ALLETE intends to sell its Florida land assets when opportunities arise. However, if weak market conditions continue, the impact on our future operations would be the continuation of little to no sales while still incurring operating expenses such as community development district assessments and property taxes which could result in continued annual net operating losses at ALLETE Properties. The properties could also be at risk for impairment which could adversely impact our results of operations. (See Note 1. Operations and Significant Accounting Policies – Impairment of Long-Lived Assets.)</w:t>
      </w: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discussion of our properties is included in Item 1. Business and is incorporated by reference herein.</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discussion of material legal and regulatory proceedings is included in Item 1. Business and is incorporated by reference herein.</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 xml:space="preserve">United Taconite Lawsuit. </w:t>
      </w:r>
      <w:r>
        <w:rPr>
          <w:rFonts w:ascii="Arial" w:cs="Arial" w:eastAsia="Arial" w:hAnsi="Arial"/>
          <w:sz w:val="17"/>
          <w:szCs w:val="17"/>
          <w:color w:val="auto"/>
        </w:rPr>
        <w:t>In January 2011, the Company was named as a defendant in a lawsuit in the Sixth Judicial District for the State of Minnesota by one</w:t>
      </w:r>
      <w:r>
        <w:rPr>
          <w:rFonts w:ascii="Arial" w:cs="Arial" w:eastAsia="Arial" w:hAnsi="Arial"/>
          <w:sz w:val="17"/>
          <w:szCs w:val="17"/>
          <w:i w:val="1"/>
          <w:iCs w:val="1"/>
          <w:color w:val="auto"/>
        </w:rPr>
        <w:t xml:space="preserve"> </w:t>
      </w:r>
      <w:r>
        <w:rPr>
          <w:rFonts w:ascii="Arial" w:cs="Arial" w:eastAsia="Arial" w:hAnsi="Arial"/>
          <w:sz w:val="17"/>
          <w:szCs w:val="17"/>
          <w:color w:val="auto"/>
        </w:rPr>
        <w:t>of our customer’s (United Taconite, LLC) property and business interruption insurers. In October 2006, United Taconite experienced a fire as a result of the failure of certain electrical protective equipment. The equipment at issue in the incident was not owned, designed, or installed by Minnesota Power, but Minnesota Power had provided testing and calibration services related to the equipment. The lawsuit alleges approximately $20 million in damages related to the fire. The Company believes that it has strong defenses to the lawsuit and intends to vigorously assert such defenses. An accrual related to any damages that may result from the lawsuit has not been recorded as of December 31, 2012, because a potential loss is not currently probable or reasonably estimable; however, the Company believes it has adequate insurance coverage for potential loss.</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involved in litigation arising in the normal course of business. Also in the normal course of business, we are involved in tax, regulatory and other governmental audits, inspections, investigations and other proceedings that involve state and federal taxes, safety, compliance with regulations, rate base and cost of service issues, among other things. We do not expect the outcome of these matters to have a material effect on our financial position, results of operations or cash flows.</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Information concerning mine safety violations or other regulatory matters required by Section 1503(a) of the Dodd-Frank Wall Street Reform and Consumer Protection Act and Item 104 of Regulation S-K is included in Exhibit 95 to this Form 10-K.</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2012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364" w:right="23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229"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Our common stock is listed on the NYSE under the symbol ALE. We have paid dividends, without interruption, on our common stock since 1948. A quarterly dividend of $0.475 per share on our common stock is payable on March 1, 2013, to the shareholders of record on February 15, 2013.</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shows dividends declared per share, and the high and low prices of our common stock for the periods indicated as reported by the NYSE:</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900" w:type="dxa"/>
            <w:vAlign w:val="bottom"/>
          </w:tcPr>
          <w:p>
            <w:pPr>
              <w:jc w:val="right"/>
              <w:ind w:right="430"/>
              <w:spacing w:after="0"/>
              <w:rPr>
                <w:sz w:val="20"/>
                <w:szCs w:val="20"/>
                <w:color w:val="auto"/>
              </w:rPr>
            </w:pPr>
            <w:r>
              <w:rPr>
                <w:rFonts w:ascii="Arial" w:cs="Arial" w:eastAsia="Arial" w:hAnsi="Arial"/>
                <w:sz w:val="18"/>
                <w:szCs w:val="18"/>
                <w:b w:val="1"/>
                <w:bCs w:val="1"/>
                <w:color w:val="auto"/>
                <w:w w:val="89"/>
              </w:rPr>
              <w:t>2012</w:t>
            </w:r>
          </w:p>
        </w:tc>
        <w:tc>
          <w:tcPr>
            <w:tcW w:w="15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880" w:type="dxa"/>
            <w:vAlign w:val="bottom"/>
          </w:tcPr>
          <w:p>
            <w:pPr>
              <w:jc w:val="right"/>
              <w:ind w:right="430"/>
              <w:spacing w:after="0"/>
              <w:rPr>
                <w:sz w:val="20"/>
                <w:szCs w:val="20"/>
                <w:color w:val="auto"/>
              </w:rPr>
            </w:pPr>
            <w:r>
              <w:rPr>
                <w:rFonts w:ascii="Arial" w:cs="Arial" w:eastAsia="Arial" w:hAnsi="Arial"/>
                <w:sz w:val="18"/>
                <w:szCs w:val="18"/>
                <w:b w:val="1"/>
                <w:bCs w:val="1"/>
                <w:color w:val="auto"/>
                <w:w w:val="84"/>
              </w:rPr>
              <w:t>2011</w:t>
            </w:r>
          </w:p>
        </w:tc>
        <w:tc>
          <w:tcPr>
            <w:tcW w:w="1340" w:type="dxa"/>
            <w:vAlign w:val="bottom"/>
          </w:tcPr>
          <w:p>
            <w:pPr>
              <w:spacing w:after="0"/>
              <w:rPr>
                <w:sz w:val="20"/>
                <w:szCs w:val="20"/>
                <w:color w:val="auto"/>
              </w:rPr>
            </w:pPr>
          </w:p>
        </w:tc>
      </w:tr>
      <w:tr>
        <w:trPr>
          <w:trHeight w:val="27"/>
        </w:trPr>
        <w:tc>
          <w:tcPr>
            <w:tcW w:w="3200" w:type="dxa"/>
            <w:vAlign w:val="bottom"/>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7"/>
        </w:trPr>
        <w:tc>
          <w:tcPr>
            <w:tcW w:w="3200" w:type="dxa"/>
            <w:vAlign w:val="bottom"/>
          </w:tcPr>
          <w:p>
            <w:pPr>
              <w:spacing w:after="0"/>
              <w:rPr>
                <w:sz w:val="20"/>
                <w:szCs w:val="20"/>
                <w:color w:val="auto"/>
              </w:rPr>
            </w:pPr>
          </w:p>
        </w:tc>
        <w:tc>
          <w:tcPr>
            <w:tcW w:w="1880" w:type="dxa"/>
            <w:vAlign w:val="bottom"/>
          </w:tcPr>
          <w:p>
            <w:pPr>
              <w:jc w:val="right"/>
              <w:spacing w:after="0"/>
              <w:rPr>
                <w:sz w:val="20"/>
                <w:szCs w:val="20"/>
                <w:color w:val="auto"/>
              </w:rPr>
            </w:pPr>
            <w:r>
              <w:rPr>
                <w:rFonts w:ascii="Arial" w:cs="Arial" w:eastAsia="Arial" w:hAnsi="Arial"/>
                <w:sz w:val="18"/>
                <w:szCs w:val="18"/>
                <w:b w:val="1"/>
                <w:bCs w:val="1"/>
                <w:color w:val="auto"/>
              </w:rPr>
              <w:t>Price Range</w:t>
            </w:r>
          </w:p>
        </w:tc>
        <w:tc>
          <w:tcPr>
            <w:tcW w:w="900" w:type="dxa"/>
            <w:vAlign w:val="bottom"/>
          </w:tcPr>
          <w:p>
            <w:pPr>
              <w:spacing w:after="0"/>
              <w:rPr>
                <w:sz w:val="20"/>
                <w:szCs w:val="20"/>
                <w:color w:val="auto"/>
              </w:rPr>
            </w:pPr>
          </w:p>
        </w:tc>
        <w:tc>
          <w:tcPr>
            <w:tcW w:w="1560" w:type="dxa"/>
            <w:vAlign w:val="bottom"/>
          </w:tcPr>
          <w:p>
            <w:pPr>
              <w:jc w:val="right"/>
              <w:ind w:right="410"/>
              <w:spacing w:after="0"/>
              <w:rPr>
                <w:sz w:val="20"/>
                <w:szCs w:val="20"/>
                <w:color w:val="auto"/>
              </w:rPr>
            </w:pPr>
            <w:r>
              <w:rPr>
                <w:rFonts w:ascii="Arial" w:cs="Arial" w:eastAsia="Arial" w:hAnsi="Arial"/>
                <w:sz w:val="18"/>
                <w:szCs w:val="18"/>
                <w:b w:val="1"/>
                <w:bCs w:val="1"/>
                <w:color w:val="auto"/>
              </w:rPr>
              <w:t>Dividends</w:t>
            </w:r>
          </w:p>
        </w:tc>
        <w:tc>
          <w:tcPr>
            <w:tcW w:w="1660" w:type="dxa"/>
            <w:vAlign w:val="bottom"/>
          </w:tcPr>
          <w:p>
            <w:pPr>
              <w:jc w:val="right"/>
              <w:spacing w:after="0"/>
              <w:rPr>
                <w:sz w:val="20"/>
                <w:szCs w:val="20"/>
                <w:color w:val="auto"/>
              </w:rPr>
            </w:pPr>
            <w:r>
              <w:rPr>
                <w:rFonts w:ascii="Arial" w:cs="Arial" w:eastAsia="Arial" w:hAnsi="Arial"/>
                <w:sz w:val="18"/>
                <w:szCs w:val="18"/>
                <w:b w:val="1"/>
                <w:bCs w:val="1"/>
                <w:color w:val="auto"/>
              </w:rPr>
              <w:t>Price Range</w:t>
            </w:r>
          </w:p>
        </w:tc>
        <w:tc>
          <w:tcPr>
            <w:tcW w:w="880" w:type="dxa"/>
            <w:vAlign w:val="bottom"/>
          </w:tcPr>
          <w:p>
            <w:pPr>
              <w:spacing w:after="0"/>
              <w:rPr>
                <w:sz w:val="20"/>
                <w:szCs w:val="20"/>
                <w:color w:val="auto"/>
              </w:rPr>
            </w:pPr>
          </w:p>
        </w:tc>
        <w:tc>
          <w:tcPr>
            <w:tcW w:w="1340" w:type="dxa"/>
            <w:vAlign w:val="bottom"/>
          </w:tcPr>
          <w:p>
            <w:pPr>
              <w:jc w:val="right"/>
              <w:ind w:right="210"/>
              <w:spacing w:after="0"/>
              <w:rPr>
                <w:sz w:val="20"/>
                <w:szCs w:val="20"/>
                <w:color w:val="auto"/>
              </w:rPr>
            </w:pPr>
            <w:r>
              <w:rPr>
                <w:rFonts w:ascii="Arial" w:cs="Arial" w:eastAsia="Arial" w:hAnsi="Arial"/>
                <w:sz w:val="18"/>
                <w:szCs w:val="18"/>
                <w:b w:val="1"/>
                <w:bCs w:val="1"/>
                <w:color w:val="auto"/>
              </w:rPr>
              <w:t>Dividends</w:t>
            </w:r>
          </w:p>
        </w:tc>
      </w:tr>
      <w:tr>
        <w:trPr>
          <w:trHeight w:val="270"/>
        </w:trPr>
        <w:tc>
          <w:tcPr>
            <w:tcW w:w="3200" w:type="dxa"/>
            <w:vAlign w:val="bottom"/>
          </w:tcPr>
          <w:p>
            <w:pPr>
              <w:ind w:left="40"/>
              <w:spacing w:after="0"/>
              <w:rPr>
                <w:sz w:val="20"/>
                <w:szCs w:val="20"/>
                <w:color w:val="auto"/>
              </w:rPr>
            </w:pPr>
            <w:r>
              <w:rPr>
                <w:rFonts w:ascii="Arial" w:cs="Arial" w:eastAsia="Arial" w:hAnsi="Arial"/>
                <w:sz w:val="18"/>
                <w:szCs w:val="18"/>
                <w:b w:val="1"/>
                <w:bCs w:val="1"/>
                <w:color w:val="auto"/>
              </w:rPr>
              <w:t>Quarter</w:t>
            </w:r>
          </w:p>
        </w:tc>
        <w:tc>
          <w:tcPr>
            <w:tcW w:w="1880" w:type="dxa"/>
            <w:vAlign w:val="bottom"/>
          </w:tcPr>
          <w:p>
            <w:pPr>
              <w:jc w:val="right"/>
              <w:ind w:right="910"/>
              <w:spacing w:after="0"/>
              <w:rPr>
                <w:sz w:val="20"/>
                <w:szCs w:val="20"/>
                <w:color w:val="auto"/>
              </w:rPr>
            </w:pPr>
            <w:r>
              <w:rPr>
                <w:rFonts w:ascii="Arial" w:cs="Arial" w:eastAsia="Arial" w:hAnsi="Arial"/>
                <w:sz w:val="18"/>
                <w:szCs w:val="18"/>
                <w:b w:val="1"/>
                <w:bCs w:val="1"/>
                <w:color w:val="auto"/>
              </w:rPr>
              <w:t>High</w:t>
            </w:r>
          </w:p>
        </w:tc>
        <w:tc>
          <w:tcPr>
            <w:tcW w:w="900" w:type="dxa"/>
            <w:vAlign w:val="bottom"/>
          </w:tcPr>
          <w:p>
            <w:pPr>
              <w:jc w:val="right"/>
              <w:ind w:right="450"/>
              <w:spacing w:after="0"/>
              <w:rPr>
                <w:sz w:val="20"/>
                <w:szCs w:val="20"/>
                <w:color w:val="auto"/>
              </w:rPr>
            </w:pPr>
            <w:r>
              <w:rPr>
                <w:rFonts w:ascii="Arial" w:cs="Arial" w:eastAsia="Arial" w:hAnsi="Arial"/>
                <w:sz w:val="18"/>
                <w:szCs w:val="18"/>
                <w:b w:val="1"/>
                <w:bCs w:val="1"/>
                <w:color w:val="auto"/>
                <w:w w:val="94"/>
              </w:rPr>
              <w:t>Low</w:t>
            </w:r>
          </w:p>
        </w:tc>
        <w:tc>
          <w:tcPr>
            <w:tcW w:w="1560" w:type="dxa"/>
            <w:vAlign w:val="bottom"/>
          </w:tcPr>
          <w:p>
            <w:pPr>
              <w:jc w:val="right"/>
              <w:ind w:right="450"/>
              <w:spacing w:after="0"/>
              <w:rPr>
                <w:sz w:val="20"/>
                <w:szCs w:val="20"/>
                <w:color w:val="auto"/>
              </w:rPr>
            </w:pPr>
            <w:r>
              <w:rPr>
                <w:rFonts w:ascii="Arial" w:cs="Arial" w:eastAsia="Arial" w:hAnsi="Arial"/>
                <w:sz w:val="18"/>
                <w:szCs w:val="18"/>
                <w:b w:val="1"/>
                <w:bCs w:val="1"/>
                <w:color w:val="auto"/>
              </w:rPr>
              <w:t>Declared</w:t>
            </w:r>
          </w:p>
        </w:tc>
        <w:tc>
          <w:tcPr>
            <w:tcW w:w="1660" w:type="dxa"/>
            <w:vAlign w:val="bottom"/>
          </w:tcPr>
          <w:p>
            <w:pPr>
              <w:jc w:val="right"/>
              <w:ind w:right="890"/>
              <w:spacing w:after="0"/>
              <w:rPr>
                <w:sz w:val="20"/>
                <w:szCs w:val="20"/>
                <w:color w:val="auto"/>
              </w:rPr>
            </w:pPr>
            <w:r>
              <w:rPr>
                <w:rFonts w:ascii="Arial" w:cs="Arial" w:eastAsia="Arial" w:hAnsi="Arial"/>
                <w:sz w:val="18"/>
                <w:szCs w:val="18"/>
                <w:b w:val="1"/>
                <w:bCs w:val="1"/>
                <w:color w:val="auto"/>
              </w:rPr>
              <w:t>High</w:t>
            </w:r>
          </w:p>
        </w:tc>
        <w:tc>
          <w:tcPr>
            <w:tcW w:w="880" w:type="dxa"/>
            <w:vAlign w:val="bottom"/>
          </w:tcPr>
          <w:p>
            <w:pPr>
              <w:jc w:val="right"/>
              <w:ind w:right="430"/>
              <w:spacing w:after="0"/>
              <w:rPr>
                <w:sz w:val="20"/>
                <w:szCs w:val="20"/>
                <w:color w:val="auto"/>
              </w:rPr>
            </w:pPr>
            <w:r>
              <w:rPr>
                <w:rFonts w:ascii="Arial" w:cs="Arial" w:eastAsia="Arial" w:hAnsi="Arial"/>
                <w:sz w:val="18"/>
                <w:szCs w:val="18"/>
                <w:b w:val="1"/>
                <w:bCs w:val="1"/>
                <w:color w:val="auto"/>
                <w:w w:val="94"/>
              </w:rPr>
              <w:t>Low</w:t>
            </w:r>
          </w:p>
        </w:tc>
        <w:tc>
          <w:tcPr>
            <w:tcW w:w="1340" w:type="dxa"/>
            <w:vAlign w:val="bottom"/>
          </w:tcPr>
          <w:p>
            <w:pPr>
              <w:jc w:val="right"/>
              <w:ind w:right="250"/>
              <w:spacing w:after="0"/>
              <w:rPr>
                <w:sz w:val="20"/>
                <w:szCs w:val="20"/>
                <w:color w:val="auto"/>
              </w:rPr>
            </w:pPr>
            <w:r>
              <w:rPr>
                <w:rFonts w:ascii="Arial" w:cs="Arial" w:eastAsia="Arial" w:hAnsi="Arial"/>
                <w:sz w:val="18"/>
                <w:szCs w:val="18"/>
                <w:b w:val="1"/>
                <w:bCs w:val="1"/>
                <w:color w:val="auto"/>
              </w:rPr>
              <w:t>Declared</w:t>
            </w:r>
          </w:p>
        </w:tc>
      </w:tr>
      <w:tr>
        <w:trPr>
          <w:trHeight w:val="27"/>
        </w:trPr>
        <w:tc>
          <w:tcPr>
            <w:tcW w:w="32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First</w:t>
            </w:r>
          </w:p>
        </w:tc>
        <w:tc>
          <w:tcPr>
            <w:tcW w:w="1880" w:type="dxa"/>
            <w:vAlign w:val="bottom"/>
            <w:tcBorders>
              <w:bottom w:val="single" w:sz="8" w:color="CCEEFF"/>
            </w:tcBorders>
            <w:shd w:val="clear" w:color="auto" w:fill="CCEEFF"/>
          </w:tcPr>
          <w:p>
            <w:pPr>
              <w:jc w:val="right"/>
              <w:ind w:right="670"/>
              <w:spacing w:after="0"/>
              <w:rPr>
                <w:sz w:val="20"/>
                <w:szCs w:val="20"/>
                <w:color w:val="auto"/>
              </w:rPr>
            </w:pPr>
            <w:r>
              <w:rPr>
                <w:rFonts w:ascii="Arial" w:cs="Arial" w:eastAsia="Arial" w:hAnsi="Arial"/>
                <w:sz w:val="18"/>
                <w:szCs w:val="18"/>
                <w:color w:val="auto"/>
              </w:rPr>
              <w:t>$42.49</w:t>
            </w:r>
          </w:p>
        </w:tc>
        <w:tc>
          <w:tcPr>
            <w:tcW w:w="9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$39.98</w:t>
            </w:r>
          </w:p>
        </w:tc>
        <w:tc>
          <w:tcPr>
            <w:tcW w:w="15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$0.46</w:t>
            </w:r>
          </w:p>
        </w:tc>
        <w:tc>
          <w:tcPr>
            <w:tcW w:w="1660" w:type="dxa"/>
            <w:vAlign w:val="bottom"/>
            <w:tcBorders>
              <w:bottom w:val="single" w:sz="8" w:color="CCEEFF"/>
            </w:tcBorders>
            <w:shd w:val="clear" w:color="auto" w:fill="CCEEFF"/>
          </w:tcPr>
          <w:p>
            <w:pPr>
              <w:jc w:val="right"/>
              <w:ind w:right="670"/>
              <w:spacing w:after="0"/>
              <w:rPr>
                <w:sz w:val="20"/>
                <w:szCs w:val="20"/>
                <w:color w:val="auto"/>
              </w:rPr>
            </w:pPr>
            <w:r>
              <w:rPr>
                <w:rFonts w:ascii="Arial" w:cs="Arial" w:eastAsia="Arial" w:hAnsi="Arial"/>
                <w:sz w:val="18"/>
                <w:szCs w:val="18"/>
                <w:color w:val="auto"/>
              </w:rPr>
              <w:t>$39.36</w:t>
            </w:r>
          </w:p>
        </w:tc>
        <w:tc>
          <w:tcPr>
            <w:tcW w:w="8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$36.33</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$0.445</w:t>
            </w: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Second</w:t>
            </w:r>
          </w:p>
        </w:tc>
        <w:tc>
          <w:tcPr>
            <w:tcW w:w="1880" w:type="dxa"/>
            <w:vAlign w:val="bottom"/>
          </w:tcPr>
          <w:p>
            <w:pPr>
              <w:jc w:val="right"/>
              <w:ind w:right="670"/>
              <w:spacing w:after="0"/>
              <w:rPr>
                <w:sz w:val="20"/>
                <w:szCs w:val="20"/>
                <w:color w:val="auto"/>
              </w:rPr>
            </w:pPr>
            <w:r>
              <w:rPr>
                <w:rFonts w:ascii="Arial" w:cs="Arial" w:eastAsia="Arial" w:hAnsi="Arial"/>
                <w:sz w:val="18"/>
                <w:szCs w:val="18"/>
                <w:color w:val="auto"/>
              </w:rPr>
              <w:t>$41.99</w:t>
            </w:r>
          </w:p>
        </w:tc>
        <w:tc>
          <w:tcPr>
            <w:tcW w:w="900" w:type="dxa"/>
            <w:vAlign w:val="bottom"/>
          </w:tcPr>
          <w:p>
            <w:pPr>
              <w:jc w:val="right"/>
              <w:ind w:right="190"/>
              <w:spacing w:after="0"/>
              <w:rPr>
                <w:sz w:val="20"/>
                <w:szCs w:val="20"/>
                <w:color w:val="auto"/>
              </w:rPr>
            </w:pPr>
            <w:r>
              <w:rPr>
                <w:rFonts w:ascii="Arial" w:cs="Arial" w:eastAsia="Arial" w:hAnsi="Arial"/>
                <w:sz w:val="18"/>
                <w:szCs w:val="18"/>
                <w:color w:val="auto"/>
              </w:rPr>
              <w:t>$38.03</w:t>
            </w:r>
          </w:p>
        </w:tc>
        <w:tc>
          <w:tcPr>
            <w:tcW w:w="1560" w:type="dxa"/>
            <w:vAlign w:val="bottom"/>
          </w:tcPr>
          <w:p>
            <w:pPr>
              <w:jc w:val="right"/>
              <w:ind w:right="210"/>
              <w:spacing w:after="0"/>
              <w:rPr>
                <w:sz w:val="20"/>
                <w:szCs w:val="20"/>
                <w:color w:val="auto"/>
              </w:rPr>
            </w:pPr>
            <w:r>
              <w:rPr>
                <w:rFonts w:ascii="Arial" w:cs="Arial" w:eastAsia="Arial" w:hAnsi="Arial"/>
                <w:sz w:val="18"/>
                <w:szCs w:val="18"/>
                <w:color w:val="auto"/>
              </w:rPr>
              <w:t>0.46</w:t>
            </w:r>
          </w:p>
        </w:tc>
        <w:tc>
          <w:tcPr>
            <w:tcW w:w="1660" w:type="dxa"/>
            <w:vAlign w:val="bottom"/>
          </w:tcPr>
          <w:p>
            <w:pPr>
              <w:jc w:val="right"/>
              <w:ind w:right="670"/>
              <w:spacing w:after="0"/>
              <w:rPr>
                <w:sz w:val="20"/>
                <w:szCs w:val="20"/>
                <w:color w:val="auto"/>
              </w:rPr>
            </w:pPr>
            <w:r>
              <w:rPr>
                <w:rFonts w:ascii="Arial" w:cs="Arial" w:eastAsia="Arial" w:hAnsi="Arial"/>
                <w:sz w:val="18"/>
                <w:szCs w:val="18"/>
                <w:color w:val="auto"/>
              </w:rPr>
              <w:t>$41.43</w:t>
            </w:r>
          </w:p>
        </w:tc>
        <w:tc>
          <w:tcPr>
            <w:tcW w:w="880" w:type="dxa"/>
            <w:vAlign w:val="bottom"/>
          </w:tcPr>
          <w:p>
            <w:pPr>
              <w:jc w:val="right"/>
              <w:ind w:right="190"/>
              <w:spacing w:after="0"/>
              <w:rPr>
                <w:sz w:val="20"/>
                <w:szCs w:val="20"/>
                <w:color w:val="auto"/>
              </w:rPr>
            </w:pPr>
            <w:r>
              <w:rPr>
                <w:rFonts w:ascii="Arial" w:cs="Arial" w:eastAsia="Arial" w:hAnsi="Arial"/>
                <w:sz w:val="18"/>
                <w:szCs w:val="18"/>
                <w:color w:val="auto"/>
              </w:rPr>
              <w:t>$37.87</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0.445</w:t>
            </w:r>
          </w:p>
        </w:tc>
      </w:tr>
      <w:tr>
        <w:trPr>
          <w:trHeight w:val="27"/>
        </w:trPr>
        <w:tc>
          <w:tcPr>
            <w:tcW w:w="32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Third</w:t>
            </w:r>
          </w:p>
        </w:tc>
        <w:tc>
          <w:tcPr>
            <w:tcW w:w="1880" w:type="dxa"/>
            <w:vAlign w:val="bottom"/>
            <w:tcBorders>
              <w:bottom w:val="single" w:sz="8" w:color="CCEEFF"/>
            </w:tcBorders>
            <w:shd w:val="clear" w:color="auto" w:fill="CCEEFF"/>
          </w:tcPr>
          <w:p>
            <w:pPr>
              <w:jc w:val="right"/>
              <w:ind w:right="670"/>
              <w:spacing w:after="0"/>
              <w:rPr>
                <w:sz w:val="20"/>
                <w:szCs w:val="20"/>
                <w:color w:val="auto"/>
              </w:rPr>
            </w:pPr>
            <w:r>
              <w:rPr>
                <w:rFonts w:ascii="Arial" w:cs="Arial" w:eastAsia="Arial" w:hAnsi="Arial"/>
                <w:sz w:val="18"/>
                <w:szCs w:val="18"/>
                <w:color w:val="auto"/>
              </w:rPr>
              <w:t>$42.66</w:t>
            </w:r>
          </w:p>
        </w:tc>
        <w:tc>
          <w:tcPr>
            <w:tcW w:w="9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$40.33</w:t>
            </w:r>
          </w:p>
        </w:tc>
        <w:tc>
          <w:tcPr>
            <w:tcW w:w="15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0.46</w:t>
            </w:r>
          </w:p>
        </w:tc>
        <w:tc>
          <w:tcPr>
            <w:tcW w:w="1660" w:type="dxa"/>
            <w:vAlign w:val="bottom"/>
            <w:tcBorders>
              <w:bottom w:val="single" w:sz="8" w:color="CCEEFF"/>
            </w:tcBorders>
            <w:shd w:val="clear" w:color="auto" w:fill="CCEEFF"/>
          </w:tcPr>
          <w:p>
            <w:pPr>
              <w:jc w:val="right"/>
              <w:ind w:right="670"/>
              <w:spacing w:after="0"/>
              <w:rPr>
                <w:sz w:val="20"/>
                <w:szCs w:val="20"/>
                <w:color w:val="auto"/>
              </w:rPr>
            </w:pPr>
            <w:r>
              <w:rPr>
                <w:rFonts w:ascii="Arial" w:cs="Arial" w:eastAsia="Arial" w:hAnsi="Arial"/>
                <w:sz w:val="18"/>
                <w:szCs w:val="18"/>
                <w:color w:val="auto"/>
              </w:rPr>
              <w:t>$42.10</w:t>
            </w:r>
          </w:p>
        </w:tc>
        <w:tc>
          <w:tcPr>
            <w:tcW w:w="8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$35.51</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0.445</w:t>
            </w: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Fourth</w:t>
            </w:r>
          </w:p>
        </w:tc>
        <w:tc>
          <w:tcPr>
            <w:tcW w:w="1880" w:type="dxa"/>
            <w:vAlign w:val="bottom"/>
          </w:tcPr>
          <w:p>
            <w:pPr>
              <w:jc w:val="right"/>
              <w:ind w:right="670"/>
              <w:spacing w:after="0"/>
              <w:rPr>
                <w:sz w:val="20"/>
                <w:szCs w:val="20"/>
                <w:color w:val="auto"/>
              </w:rPr>
            </w:pPr>
            <w:r>
              <w:rPr>
                <w:rFonts w:ascii="Arial" w:cs="Arial" w:eastAsia="Arial" w:hAnsi="Arial"/>
                <w:sz w:val="18"/>
                <w:szCs w:val="18"/>
                <w:color w:val="auto"/>
              </w:rPr>
              <w:t>$42.09</w:t>
            </w:r>
          </w:p>
        </w:tc>
        <w:tc>
          <w:tcPr>
            <w:tcW w:w="900" w:type="dxa"/>
            <w:vAlign w:val="bottom"/>
          </w:tcPr>
          <w:p>
            <w:pPr>
              <w:jc w:val="right"/>
              <w:ind w:right="190"/>
              <w:spacing w:after="0"/>
              <w:rPr>
                <w:sz w:val="20"/>
                <w:szCs w:val="20"/>
                <w:color w:val="auto"/>
              </w:rPr>
            </w:pPr>
            <w:r>
              <w:rPr>
                <w:rFonts w:ascii="Arial" w:cs="Arial" w:eastAsia="Arial" w:hAnsi="Arial"/>
                <w:sz w:val="18"/>
                <w:szCs w:val="18"/>
                <w:color w:val="auto"/>
              </w:rPr>
              <w:t>$37.73</w:t>
            </w:r>
          </w:p>
        </w:tc>
        <w:tc>
          <w:tcPr>
            <w:tcW w:w="1560" w:type="dxa"/>
            <w:vAlign w:val="bottom"/>
          </w:tcPr>
          <w:p>
            <w:pPr>
              <w:jc w:val="right"/>
              <w:ind w:right="210"/>
              <w:spacing w:after="0"/>
              <w:rPr>
                <w:sz w:val="20"/>
                <w:szCs w:val="20"/>
                <w:color w:val="auto"/>
              </w:rPr>
            </w:pPr>
            <w:r>
              <w:rPr>
                <w:rFonts w:ascii="Arial" w:cs="Arial" w:eastAsia="Arial" w:hAnsi="Arial"/>
                <w:sz w:val="18"/>
                <w:szCs w:val="18"/>
                <w:color w:val="auto"/>
              </w:rPr>
              <w:t>0.46</w:t>
            </w:r>
          </w:p>
        </w:tc>
        <w:tc>
          <w:tcPr>
            <w:tcW w:w="1660" w:type="dxa"/>
            <w:vAlign w:val="bottom"/>
          </w:tcPr>
          <w:p>
            <w:pPr>
              <w:jc w:val="right"/>
              <w:ind w:right="670"/>
              <w:spacing w:after="0"/>
              <w:rPr>
                <w:sz w:val="20"/>
                <w:szCs w:val="20"/>
                <w:color w:val="auto"/>
              </w:rPr>
            </w:pPr>
            <w:r>
              <w:rPr>
                <w:rFonts w:ascii="Arial" w:cs="Arial" w:eastAsia="Arial" w:hAnsi="Arial"/>
                <w:sz w:val="18"/>
                <w:szCs w:val="18"/>
                <w:color w:val="auto"/>
              </w:rPr>
              <w:t>$42.54</w:t>
            </w:r>
          </w:p>
        </w:tc>
        <w:tc>
          <w:tcPr>
            <w:tcW w:w="880" w:type="dxa"/>
            <w:vAlign w:val="bottom"/>
          </w:tcPr>
          <w:p>
            <w:pPr>
              <w:jc w:val="right"/>
              <w:ind w:right="190"/>
              <w:spacing w:after="0"/>
              <w:rPr>
                <w:sz w:val="20"/>
                <w:szCs w:val="20"/>
                <w:color w:val="auto"/>
              </w:rPr>
            </w:pPr>
            <w:r>
              <w:rPr>
                <w:rFonts w:ascii="Arial" w:cs="Arial" w:eastAsia="Arial" w:hAnsi="Arial"/>
                <w:sz w:val="18"/>
                <w:szCs w:val="18"/>
                <w:color w:val="auto"/>
              </w:rPr>
              <w:t>$35.14</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0.445</w:t>
            </w:r>
          </w:p>
        </w:tc>
      </w:tr>
      <w:tr>
        <w:trPr>
          <w:trHeight w:val="27"/>
        </w:trPr>
        <w:tc>
          <w:tcPr>
            <w:tcW w:w="32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Annual Total</w:t>
            </w:r>
          </w:p>
        </w:tc>
        <w:tc>
          <w:tcPr>
            <w:tcW w:w="18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$1.84</w:t>
            </w:r>
          </w:p>
        </w:tc>
        <w:tc>
          <w:tcPr>
            <w:tcW w:w="16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$1.78</w:t>
            </w:r>
          </w:p>
        </w:tc>
      </w:tr>
      <w:tr>
        <w:trPr>
          <w:trHeight w:val="20"/>
        </w:trPr>
        <w:tc>
          <w:tcPr>
            <w:tcW w:w="3200" w:type="dxa"/>
            <w:vAlign w:val="bottom"/>
            <w:shd w:val="clear" w:color="auto" w:fill="000000"/>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At February 1, 2013, there were approximately 26,000 common stock shareholders of record.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2012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364" w:right="2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34"/>
        </w:trPr>
        <w:tc>
          <w:tcPr>
            <w:tcW w:w="4600" w:type="dxa"/>
            <w:vAlign w:val="bottom"/>
          </w:tcPr>
          <w:p>
            <w:pPr>
              <w:spacing w:after="0"/>
              <w:rPr>
                <w:sz w:val="20"/>
                <w:szCs w:val="20"/>
                <w:color w:val="auto"/>
              </w:rPr>
            </w:pPr>
            <w:r>
              <w:rPr>
                <w:rFonts w:ascii="Arial" w:cs="Arial" w:eastAsia="Arial" w:hAnsi="Arial"/>
                <w:sz w:val="18"/>
                <w:szCs w:val="18"/>
                <w:b w:val="1"/>
                <w:bCs w:val="1"/>
                <w:color w:val="auto"/>
              </w:rPr>
              <w:t>Item 6. Selected Financial Data</w:t>
            </w:r>
          </w:p>
        </w:tc>
        <w:tc>
          <w:tcPr>
            <w:tcW w:w="18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594"/>
        </w:trPr>
        <w:tc>
          <w:tcPr>
            <w:tcW w:w="4600" w:type="dxa"/>
            <w:vAlign w:val="bottom"/>
          </w:tcPr>
          <w:p>
            <w:pPr>
              <w:spacing w:after="0"/>
              <w:rPr>
                <w:sz w:val="24"/>
                <w:szCs w:val="24"/>
                <w:color w:val="auto"/>
              </w:rPr>
            </w:pPr>
          </w:p>
        </w:tc>
        <w:tc>
          <w:tcPr>
            <w:tcW w:w="18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1320" w:type="dxa"/>
            <w:vAlign w:val="bottom"/>
          </w:tcPr>
          <w:p>
            <w:pPr>
              <w:jc w:val="right"/>
              <w:ind w:right="330"/>
              <w:spacing w:after="0"/>
              <w:rPr>
                <w:sz w:val="20"/>
                <w:szCs w:val="20"/>
                <w:color w:val="auto"/>
              </w:rPr>
            </w:pPr>
            <w:r>
              <w:rPr>
                <w:rFonts w:ascii="Arial" w:cs="Arial" w:eastAsia="Arial" w:hAnsi="Arial"/>
                <w:sz w:val="18"/>
                <w:szCs w:val="18"/>
                <w:b w:val="1"/>
                <w:bCs w:val="1"/>
                <w:color w:val="auto"/>
              </w:rPr>
              <w:t>2011</w:t>
            </w:r>
          </w:p>
        </w:tc>
        <w:tc>
          <w:tcPr>
            <w:tcW w:w="13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1320" w:type="dxa"/>
            <w:vAlign w:val="bottom"/>
          </w:tcPr>
          <w:p>
            <w:pPr>
              <w:jc w:val="right"/>
              <w:ind w:right="330"/>
              <w:spacing w:after="0"/>
              <w:rPr>
                <w:sz w:val="20"/>
                <w:szCs w:val="20"/>
                <w:color w:val="auto"/>
              </w:rPr>
            </w:pPr>
            <w:r>
              <w:rPr>
                <w:rFonts w:ascii="Arial" w:cs="Arial" w:eastAsia="Arial" w:hAnsi="Arial"/>
                <w:sz w:val="18"/>
                <w:szCs w:val="18"/>
                <w:b w:val="1"/>
                <w:bCs w:val="1"/>
                <w:color w:val="auto"/>
              </w:rPr>
              <w:t>2009</w:t>
            </w:r>
          </w:p>
        </w:tc>
        <w:tc>
          <w:tcPr>
            <w:tcW w:w="1080" w:type="dxa"/>
            <w:vAlign w:val="bottom"/>
          </w:tcPr>
          <w:p>
            <w:pPr>
              <w:jc w:val="right"/>
              <w:ind w:right="90"/>
              <w:spacing w:after="0"/>
              <w:rPr>
                <w:sz w:val="20"/>
                <w:szCs w:val="20"/>
                <w:color w:val="auto"/>
              </w:rPr>
            </w:pPr>
            <w:r>
              <w:rPr>
                <w:rFonts w:ascii="Arial" w:cs="Arial" w:eastAsia="Arial" w:hAnsi="Arial"/>
                <w:sz w:val="18"/>
                <w:szCs w:val="18"/>
                <w:b w:val="1"/>
                <w:bCs w:val="1"/>
                <w:color w:val="auto"/>
              </w:rPr>
              <w:t>2008</w:t>
            </w:r>
          </w:p>
        </w:tc>
      </w:tr>
      <w:tr>
        <w:trPr>
          <w:trHeight w:val="27"/>
        </w:trPr>
        <w:tc>
          <w:tcPr>
            <w:tcW w:w="46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460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18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7"/>
        </w:trPr>
        <w:tc>
          <w:tcPr>
            <w:tcW w:w="46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Revenue</w:t>
            </w:r>
          </w:p>
        </w:tc>
        <w:tc>
          <w:tcPr>
            <w:tcW w:w="18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$961.2</w:t>
            </w:r>
          </w:p>
        </w:tc>
        <w:tc>
          <w:tcPr>
            <w:tcW w:w="13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$928.2</w:t>
            </w:r>
          </w:p>
        </w:tc>
        <w:tc>
          <w:tcPr>
            <w:tcW w:w="13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$907.0</w:t>
            </w:r>
          </w:p>
        </w:tc>
        <w:tc>
          <w:tcPr>
            <w:tcW w:w="13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$759.1</w:t>
            </w:r>
          </w:p>
        </w:tc>
        <w:tc>
          <w:tcPr>
            <w:tcW w:w="10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$801.0</w:t>
            </w:r>
          </w:p>
        </w:tc>
      </w:tr>
      <w:tr>
        <w:trPr>
          <w:trHeight w:val="243"/>
        </w:trPr>
        <w:tc>
          <w:tcPr>
            <w:tcW w:w="460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1800" w:type="dxa"/>
            <w:vAlign w:val="bottom"/>
          </w:tcPr>
          <w:p>
            <w:pPr>
              <w:jc w:val="right"/>
              <w:ind w:right="310"/>
              <w:spacing w:after="0"/>
              <w:rPr>
                <w:sz w:val="20"/>
                <w:szCs w:val="20"/>
                <w:color w:val="auto"/>
              </w:rPr>
            </w:pPr>
            <w:r>
              <w:rPr>
                <w:rFonts w:ascii="Arial" w:cs="Arial" w:eastAsia="Arial" w:hAnsi="Arial"/>
                <w:sz w:val="18"/>
                <w:szCs w:val="18"/>
                <w:color w:val="auto"/>
              </w:rPr>
              <w:t>806.0</w:t>
            </w:r>
          </w:p>
        </w:tc>
        <w:tc>
          <w:tcPr>
            <w:tcW w:w="1320" w:type="dxa"/>
            <w:vAlign w:val="bottom"/>
          </w:tcPr>
          <w:p>
            <w:pPr>
              <w:jc w:val="right"/>
              <w:ind w:right="330"/>
              <w:spacing w:after="0"/>
              <w:rPr>
                <w:sz w:val="20"/>
                <w:szCs w:val="20"/>
                <w:color w:val="auto"/>
              </w:rPr>
            </w:pPr>
            <w:r>
              <w:rPr>
                <w:rFonts w:ascii="Arial" w:cs="Arial" w:eastAsia="Arial" w:hAnsi="Arial"/>
                <w:sz w:val="18"/>
                <w:szCs w:val="18"/>
                <w:color w:val="auto"/>
              </w:rPr>
              <w:t>778.2</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771.2</w:t>
            </w:r>
          </w:p>
        </w:tc>
        <w:tc>
          <w:tcPr>
            <w:tcW w:w="1320" w:type="dxa"/>
            <w:vAlign w:val="bottom"/>
          </w:tcPr>
          <w:p>
            <w:pPr>
              <w:jc w:val="right"/>
              <w:ind w:right="330"/>
              <w:spacing w:after="0"/>
              <w:rPr>
                <w:sz w:val="20"/>
                <w:szCs w:val="20"/>
                <w:color w:val="auto"/>
              </w:rPr>
            </w:pPr>
            <w:r>
              <w:rPr>
                <w:rFonts w:ascii="Arial" w:cs="Arial" w:eastAsia="Arial" w:hAnsi="Arial"/>
                <w:sz w:val="18"/>
                <w:szCs w:val="18"/>
                <w:color w:val="auto"/>
              </w:rPr>
              <w:t>653.1</w:t>
            </w: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679.2</w:t>
            </w:r>
          </w:p>
        </w:tc>
      </w:tr>
      <w:tr>
        <w:trPr>
          <w:trHeight w:val="27"/>
        </w:trPr>
        <w:tc>
          <w:tcPr>
            <w:tcW w:w="46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8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97.1</w:t>
            </w:r>
          </w:p>
        </w:tc>
        <w:tc>
          <w:tcPr>
            <w:tcW w:w="13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93.6</w:t>
            </w:r>
          </w:p>
        </w:tc>
        <w:tc>
          <w:tcPr>
            <w:tcW w:w="13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74.8</w:t>
            </w:r>
          </w:p>
        </w:tc>
        <w:tc>
          <w:tcPr>
            <w:tcW w:w="13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60.7</w:t>
            </w:r>
          </w:p>
        </w:tc>
        <w:tc>
          <w:tcPr>
            <w:tcW w:w="10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83.0</w:t>
            </w:r>
          </w:p>
        </w:tc>
      </w:tr>
      <w:tr>
        <w:trPr>
          <w:trHeight w:val="243"/>
        </w:trPr>
        <w:tc>
          <w:tcPr>
            <w:tcW w:w="4600" w:type="dxa"/>
            <w:vAlign w:val="bottom"/>
          </w:tcPr>
          <w:p>
            <w:pPr>
              <w:ind w:left="280"/>
              <w:spacing w:after="0"/>
              <w:rPr>
                <w:sz w:val="20"/>
                <w:szCs w:val="20"/>
                <w:color w:val="auto"/>
              </w:rPr>
            </w:pPr>
            <w:r>
              <w:rPr>
                <w:rFonts w:ascii="Arial" w:cs="Arial" w:eastAsia="Arial" w:hAnsi="Arial"/>
                <w:sz w:val="18"/>
                <w:szCs w:val="18"/>
                <w:color w:val="auto"/>
              </w:rPr>
              <w:t xml:space="preserve">Less: Non-Controlling Interest in Subsidiaries </w:t>
            </w:r>
            <w:r>
              <w:rPr>
                <w:rFonts w:ascii="Arial" w:cs="Arial" w:eastAsia="Arial" w:hAnsi="Arial"/>
                <w:sz w:val="18"/>
                <w:szCs w:val="18"/>
                <w:i w:val="1"/>
                <w:iCs w:val="1"/>
                <w:color w:val="auto"/>
              </w:rPr>
              <w:t>(a)</w:t>
            </w:r>
          </w:p>
        </w:tc>
        <w:tc>
          <w:tcPr>
            <w:tcW w:w="18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270"/>
              <w:spacing w:after="0"/>
              <w:rPr>
                <w:sz w:val="20"/>
                <w:szCs w:val="20"/>
                <w:color w:val="auto"/>
              </w:rPr>
            </w:pPr>
            <w:r>
              <w:rPr>
                <w:rFonts w:ascii="Arial" w:cs="Arial" w:eastAsia="Arial" w:hAnsi="Arial"/>
                <w:sz w:val="18"/>
                <w:szCs w:val="18"/>
                <w:color w:val="auto"/>
              </w:rPr>
              <w:t>(0.2)</w:t>
            </w:r>
          </w:p>
        </w:tc>
        <w:tc>
          <w:tcPr>
            <w:tcW w:w="1300" w:type="dxa"/>
            <w:vAlign w:val="bottom"/>
          </w:tcPr>
          <w:p>
            <w:pPr>
              <w:jc w:val="right"/>
              <w:ind w:right="250"/>
              <w:spacing w:after="0"/>
              <w:rPr>
                <w:sz w:val="20"/>
                <w:szCs w:val="20"/>
                <w:color w:val="auto"/>
              </w:rPr>
            </w:pPr>
            <w:r>
              <w:rPr>
                <w:rFonts w:ascii="Arial" w:cs="Arial" w:eastAsia="Arial" w:hAnsi="Arial"/>
                <w:sz w:val="18"/>
                <w:szCs w:val="18"/>
                <w:color w:val="auto"/>
              </w:rPr>
              <w:t>(0.5)</w:t>
            </w:r>
          </w:p>
        </w:tc>
        <w:tc>
          <w:tcPr>
            <w:tcW w:w="1320" w:type="dxa"/>
            <w:vAlign w:val="bottom"/>
          </w:tcPr>
          <w:p>
            <w:pPr>
              <w:jc w:val="right"/>
              <w:ind w:right="270"/>
              <w:spacing w:after="0"/>
              <w:rPr>
                <w:sz w:val="20"/>
                <w:szCs w:val="20"/>
                <w:color w:val="auto"/>
              </w:rPr>
            </w:pPr>
            <w:r>
              <w:rPr>
                <w:rFonts w:ascii="Arial" w:cs="Arial" w:eastAsia="Arial" w:hAnsi="Arial"/>
                <w:sz w:val="18"/>
                <w:szCs w:val="18"/>
                <w:color w:val="auto"/>
              </w:rPr>
              <w:t>(0.3)</w:t>
            </w: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0.5</w:t>
            </w:r>
          </w:p>
        </w:tc>
      </w:tr>
      <w:tr>
        <w:trPr>
          <w:trHeight w:val="27"/>
        </w:trPr>
        <w:tc>
          <w:tcPr>
            <w:tcW w:w="46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4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ALLETE</w:t>
            </w:r>
          </w:p>
        </w:tc>
        <w:tc>
          <w:tcPr>
            <w:tcW w:w="18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97.1</w:t>
            </w:r>
          </w:p>
        </w:tc>
        <w:tc>
          <w:tcPr>
            <w:tcW w:w="13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93.8</w:t>
            </w:r>
          </w:p>
        </w:tc>
        <w:tc>
          <w:tcPr>
            <w:tcW w:w="13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75.3</w:t>
            </w:r>
          </w:p>
        </w:tc>
        <w:tc>
          <w:tcPr>
            <w:tcW w:w="13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61.0</w:t>
            </w:r>
          </w:p>
        </w:tc>
        <w:tc>
          <w:tcPr>
            <w:tcW w:w="10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82.5</w:t>
            </w:r>
          </w:p>
        </w:tc>
      </w:tr>
      <w:tr>
        <w:trPr>
          <w:trHeight w:val="243"/>
        </w:trPr>
        <w:tc>
          <w:tcPr>
            <w:tcW w:w="4600" w:type="dxa"/>
            <w:vAlign w:val="bottom"/>
          </w:tcPr>
          <w:p>
            <w:pPr>
              <w:ind w:left="40"/>
              <w:spacing w:after="0"/>
              <w:rPr>
                <w:sz w:val="20"/>
                <w:szCs w:val="20"/>
                <w:color w:val="auto"/>
              </w:rPr>
            </w:pPr>
            <w:r>
              <w:rPr>
                <w:rFonts w:ascii="Arial" w:cs="Arial" w:eastAsia="Arial" w:hAnsi="Arial"/>
                <w:sz w:val="18"/>
                <w:szCs w:val="18"/>
                <w:color w:val="auto"/>
              </w:rPr>
              <w:t>Common Stock Dividends</w:t>
            </w:r>
          </w:p>
        </w:tc>
        <w:tc>
          <w:tcPr>
            <w:tcW w:w="1800" w:type="dxa"/>
            <w:vAlign w:val="bottom"/>
          </w:tcPr>
          <w:p>
            <w:pPr>
              <w:jc w:val="right"/>
              <w:ind w:right="310"/>
              <w:spacing w:after="0"/>
              <w:rPr>
                <w:sz w:val="20"/>
                <w:szCs w:val="20"/>
                <w:color w:val="auto"/>
              </w:rPr>
            </w:pPr>
            <w:r>
              <w:rPr>
                <w:rFonts w:ascii="Arial" w:cs="Arial" w:eastAsia="Arial" w:hAnsi="Arial"/>
                <w:sz w:val="18"/>
                <w:szCs w:val="18"/>
                <w:color w:val="auto"/>
              </w:rPr>
              <w:t>69.1</w:t>
            </w:r>
          </w:p>
        </w:tc>
        <w:tc>
          <w:tcPr>
            <w:tcW w:w="1320" w:type="dxa"/>
            <w:vAlign w:val="bottom"/>
          </w:tcPr>
          <w:p>
            <w:pPr>
              <w:jc w:val="right"/>
              <w:ind w:right="330"/>
              <w:spacing w:after="0"/>
              <w:rPr>
                <w:sz w:val="20"/>
                <w:szCs w:val="20"/>
                <w:color w:val="auto"/>
              </w:rPr>
            </w:pPr>
            <w:r>
              <w:rPr>
                <w:rFonts w:ascii="Arial" w:cs="Arial" w:eastAsia="Arial" w:hAnsi="Arial"/>
                <w:sz w:val="18"/>
                <w:szCs w:val="18"/>
                <w:color w:val="auto"/>
              </w:rPr>
              <w:t>62.1</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60.8</w:t>
            </w:r>
          </w:p>
        </w:tc>
        <w:tc>
          <w:tcPr>
            <w:tcW w:w="1320" w:type="dxa"/>
            <w:vAlign w:val="bottom"/>
          </w:tcPr>
          <w:p>
            <w:pPr>
              <w:jc w:val="right"/>
              <w:ind w:right="330"/>
              <w:spacing w:after="0"/>
              <w:rPr>
                <w:sz w:val="20"/>
                <w:szCs w:val="20"/>
                <w:color w:val="auto"/>
              </w:rPr>
            </w:pPr>
            <w:r>
              <w:rPr>
                <w:rFonts w:ascii="Arial" w:cs="Arial" w:eastAsia="Arial" w:hAnsi="Arial"/>
                <w:sz w:val="18"/>
                <w:szCs w:val="18"/>
                <w:color w:val="auto"/>
              </w:rPr>
              <w:t>56.5</w:t>
            </w: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50.4</w:t>
            </w:r>
          </w:p>
        </w:tc>
      </w:tr>
      <w:tr>
        <w:trPr>
          <w:trHeight w:val="27"/>
        </w:trPr>
        <w:tc>
          <w:tcPr>
            <w:tcW w:w="46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9"/>
        </w:trPr>
        <w:tc>
          <w:tcPr>
            <w:tcW w:w="4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Retained in Business</w:t>
            </w:r>
          </w:p>
        </w:tc>
        <w:tc>
          <w:tcPr>
            <w:tcW w:w="18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$28.0</w:t>
            </w:r>
          </w:p>
        </w:tc>
        <w:tc>
          <w:tcPr>
            <w:tcW w:w="13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$31.7</w:t>
            </w:r>
          </w:p>
        </w:tc>
        <w:tc>
          <w:tcPr>
            <w:tcW w:w="13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$14.5</w:t>
            </w:r>
          </w:p>
        </w:tc>
        <w:tc>
          <w:tcPr>
            <w:tcW w:w="13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$4.5</w:t>
            </w:r>
          </w:p>
        </w:tc>
        <w:tc>
          <w:tcPr>
            <w:tcW w:w="10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$32.1</w:t>
            </w:r>
          </w:p>
        </w:tc>
      </w:tr>
      <w:tr>
        <w:trPr>
          <w:trHeight w:val="237"/>
        </w:trPr>
        <w:tc>
          <w:tcPr>
            <w:tcW w:w="46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Shares Outstanding – Millions</w:t>
            </w:r>
          </w:p>
        </w:tc>
        <w:tc>
          <w:tcPr>
            <w:tcW w:w="18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r>
      <w:tr>
        <w:trPr>
          <w:trHeight w:val="27"/>
        </w:trPr>
        <w:tc>
          <w:tcPr>
            <w:tcW w:w="46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Year-End</w:t>
            </w:r>
          </w:p>
        </w:tc>
        <w:tc>
          <w:tcPr>
            <w:tcW w:w="18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39.4</w:t>
            </w:r>
          </w:p>
        </w:tc>
        <w:tc>
          <w:tcPr>
            <w:tcW w:w="13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37.5</w:t>
            </w:r>
          </w:p>
        </w:tc>
        <w:tc>
          <w:tcPr>
            <w:tcW w:w="13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35.8</w:t>
            </w:r>
          </w:p>
        </w:tc>
        <w:tc>
          <w:tcPr>
            <w:tcW w:w="13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35.2</w:t>
            </w:r>
          </w:p>
        </w:tc>
        <w:tc>
          <w:tcPr>
            <w:tcW w:w="10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32.6</w:t>
            </w:r>
          </w:p>
        </w:tc>
      </w:tr>
      <w:tr>
        <w:trPr>
          <w:trHeight w:val="243"/>
        </w:trPr>
        <w:tc>
          <w:tcPr>
            <w:tcW w:w="4600" w:type="dxa"/>
            <w:vAlign w:val="bottom"/>
          </w:tcPr>
          <w:p>
            <w:pPr>
              <w:ind w:left="180"/>
              <w:spacing w:after="0"/>
              <w:rPr>
                <w:sz w:val="20"/>
                <w:szCs w:val="20"/>
                <w:color w:val="auto"/>
              </w:rPr>
            </w:pPr>
            <w:r>
              <w:rPr>
                <w:rFonts w:ascii="Arial" w:cs="Arial" w:eastAsia="Arial" w:hAnsi="Arial"/>
                <w:sz w:val="18"/>
                <w:szCs w:val="18"/>
                <w:color w:val="auto"/>
              </w:rPr>
              <w:t xml:space="preserve">Average </w:t>
            </w:r>
            <w:r>
              <w:rPr>
                <w:rFonts w:ascii="Arial" w:cs="Arial" w:eastAsia="Arial" w:hAnsi="Arial"/>
                <w:sz w:val="18"/>
                <w:szCs w:val="18"/>
                <w:i w:val="1"/>
                <w:iCs w:val="1"/>
                <w:color w:val="auto"/>
              </w:rPr>
              <w:t>(b)</w:t>
            </w:r>
          </w:p>
        </w:tc>
        <w:tc>
          <w:tcPr>
            <w:tcW w:w="18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46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6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18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37.6</w:t>
            </w:r>
          </w:p>
        </w:tc>
        <w:tc>
          <w:tcPr>
            <w:tcW w:w="13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35.3</w:t>
            </w:r>
          </w:p>
        </w:tc>
        <w:tc>
          <w:tcPr>
            <w:tcW w:w="13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34.2</w:t>
            </w:r>
          </w:p>
        </w:tc>
        <w:tc>
          <w:tcPr>
            <w:tcW w:w="13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32.2</w:t>
            </w:r>
          </w:p>
        </w:tc>
        <w:tc>
          <w:tcPr>
            <w:tcW w:w="10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29.2</w:t>
            </w:r>
          </w:p>
        </w:tc>
      </w:tr>
      <w:tr>
        <w:trPr>
          <w:trHeight w:val="243"/>
        </w:trPr>
        <w:tc>
          <w:tcPr>
            <w:tcW w:w="4600" w:type="dxa"/>
            <w:vAlign w:val="bottom"/>
          </w:tcPr>
          <w:p>
            <w:pPr>
              <w:ind w:left="380"/>
              <w:spacing w:after="0"/>
              <w:rPr>
                <w:sz w:val="20"/>
                <w:szCs w:val="20"/>
                <w:color w:val="auto"/>
              </w:rPr>
            </w:pPr>
            <w:r>
              <w:rPr>
                <w:rFonts w:ascii="Arial" w:cs="Arial" w:eastAsia="Arial" w:hAnsi="Arial"/>
                <w:sz w:val="18"/>
                <w:szCs w:val="18"/>
                <w:color w:val="auto"/>
              </w:rPr>
              <w:t>Diluted</w:t>
            </w:r>
          </w:p>
        </w:tc>
        <w:tc>
          <w:tcPr>
            <w:tcW w:w="1800" w:type="dxa"/>
            <w:vAlign w:val="bottom"/>
          </w:tcPr>
          <w:p>
            <w:pPr>
              <w:jc w:val="right"/>
              <w:ind w:right="310"/>
              <w:spacing w:after="0"/>
              <w:rPr>
                <w:sz w:val="20"/>
                <w:szCs w:val="20"/>
                <w:color w:val="auto"/>
              </w:rPr>
            </w:pPr>
            <w:r>
              <w:rPr>
                <w:rFonts w:ascii="Arial" w:cs="Arial" w:eastAsia="Arial" w:hAnsi="Arial"/>
                <w:sz w:val="18"/>
                <w:szCs w:val="18"/>
                <w:color w:val="auto"/>
              </w:rPr>
              <w:t>37.6</w:t>
            </w:r>
          </w:p>
        </w:tc>
        <w:tc>
          <w:tcPr>
            <w:tcW w:w="1320" w:type="dxa"/>
            <w:vAlign w:val="bottom"/>
          </w:tcPr>
          <w:p>
            <w:pPr>
              <w:jc w:val="right"/>
              <w:ind w:right="330"/>
              <w:spacing w:after="0"/>
              <w:rPr>
                <w:sz w:val="20"/>
                <w:szCs w:val="20"/>
                <w:color w:val="auto"/>
              </w:rPr>
            </w:pPr>
            <w:r>
              <w:rPr>
                <w:rFonts w:ascii="Arial" w:cs="Arial" w:eastAsia="Arial" w:hAnsi="Arial"/>
                <w:sz w:val="18"/>
                <w:szCs w:val="18"/>
                <w:color w:val="auto"/>
              </w:rPr>
              <w:t>35.4</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34.3</w:t>
            </w:r>
          </w:p>
        </w:tc>
        <w:tc>
          <w:tcPr>
            <w:tcW w:w="1320" w:type="dxa"/>
            <w:vAlign w:val="bottom"/>
          </w:tcPr>
          <w:p>
            <w:pPr>
              <w:jc w:val="right"/>
              <w:ind w:right="330"/>
              <w:spacing w:after="0"/>
              <w:rPr>
                <w:sz w:val="20"/>
                <w:szCs w:val="20"/>
                <w:color w:val="auto"/>
              </w:rPr>
            </w:pPr>
            <w:r>
              <w:rPr>
                <w:rFonts w:ascii="Arial" w:cs="Arial" w:eastAsia="Arial" w:hAnsi="Arial"/>
                <w:sz w:val="18"/>
                <w:szCs w:val="18"/>
                <w:color w:val="auto"/>
              </w:rPr>
              <w:t>32.2</w:t>
            </w: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29.3</w:t>
            </w:r>
          </w:p>
        </w:tc>
      </w:tr>
      <w:tr>
        <w:trPr>
          <w:trHeight w:val="27"/>
        </w:trPr>
        <w:tc>
          <w:tcPr>
            <w:tcW w:w="46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9"/>
        </w:trPr>
        <w:tc>
          <w:tcPr>
            <w:tcW w:w="4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Per Share</w:t>
            </w:r>
          </w:p>
        </w:tc>
        <w:tc>
          <w:tcPr>
            <w:tcW w:w="18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$2.58</w:t>
            </w:r>
          </w:p>
        </w:tc>
        <w:tc>
          <w:tcPr>
            <w:tcW w:w="13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$2.65</w:t>
            </w:r>
          </w:p>
        </w:tc>
        <w:tc>
          <w:tcPr>
            <w:tcW w:w="13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$2.19</w:t>
            </w:r>
          </w:p>
        </w:tc>
        <w:tc>
          <w:tcPr>
            <w:tcW w:w="13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$1.89</w:t>
            </w:r>
          </w:p>
        </w:tc>
        <w:tc>
          <w:tcPr>
            <w:tcW w:w="10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$2.82</w:t>
            </w:r>
          </w:p>
        </w:tc>
      </w:tr>
      <w:tr>
        <w:trPr>
          <w:trHeight w:val="237"/>
        </w:trPr>
        <w:tc>
          <w:tcPr>
            <w:tcW w:w="46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Assets</w:t>
            </w:r>
          </w:p>
        </w:tc>
        <w:tc>
          <w:tcPr>
            <w:tcW w:w="180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rPr>
              <w:t>$3,253.4</w:t>
            </w:r>
          </w:p>
        </w:tc>
        <w:tc>
          <w:tcPr>
            <w:tcW w:w="132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rPr>
              <w:t>$2,876.0</w:t>
            </w:r>
          </w:p>
        </w:tc>
        <w:tc>
          <w:tcPr>
            <w:tcW w:w="130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rPr>
              <w:t>$2,609.1</w:t>
            </w:r>
          </w:p>
        </w:tc>
        <w:tc>
          <w:tcPr>
            <w:tcW w:w="132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rPr>
              <w:t>$2,393.1</w:t>
            </w:r>
          </w:p>
        </w:tc>
        <w:tc>
          <w:tcPr>
            <w:tcW w:w="10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$2,134.8</w:t>
            </w:r>
          </w:p>
        </w:tc>
      </w:tr>
      <w:tr>
        <w:trPr>
          <w:trHeight w:val="27"/>
        </w:trPr>
        <w:tc>
          <w:tcPr>
            <w:tcW w:w="46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18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933.6</w:t>
            </w:r>
          </w:p>
        </w:tc>
        <w:tc>
          <w:tcPr>
            <w:tcW w:w="13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857.9</w:t>
            </w:r>
          </w:p>
        </w:tc>
        <w:tc>
          <w:tcPr>
            <w:tcW w:w="13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771.6</w:t>
            </w:r>
          </w:p>
        </w:tc>
        <w:tc>
          <w:tcPr>
            <w:tcW w:w="13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695.8</w:t>
            </w:r>
          </w:p>
        </w:tc>
        <w:tc>
          <w:tcPr>
            <w:tcW w:w="10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588.3</w:t>
            </w:r>
          </w:p>
        </w:tc>
      </w:tr>
      <w:tr>
        <w:trPr>
          <w:trHeight w:val="243"/>
        </w:trPr>
        <w:tc>
          <w:tcPr>
            <w:tcW w:w="4600" w:type="dxa"/>
            <w:vAlign w:val="bottom"/>
          </w:tcPr>
          <w:p>
            <w:pPr>
              <w:ind w:left="40"/>
              <w:spacing w:after="0"/>
              <w:rPr>
                <w:sz w:val="20"/>
                <w:szCs w:val="20"/>
                <w:color w:val="auto"/>
              </w:rPr>
            </w:pPr>
            <w:r>
              <w:rPr>
                <w:rFonts w:ascii="Arial" w:cs="Arial" w:eastAsia="Arial" w:hAnsi="Arial"/>
                <w:sz w:val="18"/>
                <w:szCs w:val="18"/>
                <w:color w:val="auto"/>
              </w:rPr>
              <w:t>Return on Common Equity</w:t>
            </w:r>
          </w:p>
        </w:tc>
        <w:tc>
          <w:tcPr>
            <w:tcW w:w="1800" w:type="dxa"/>
            <w:vAlign w:val="bottom"/>
          </w:tcPr>
          <w:p>
            <w:pPr>
              <w:jc w:val="right"/>
              <w:ind w:right="170"/>
              <w:spacing w:after="0"/>
              <w:rPr>
                <w:sz w:val="20"/>
                <w:szCs w:val="20"/>
                <w:color w:val="auto"/>
              </w:rPr>
            </w:pPr>
            <w:r>
              <w:rPr>
                <w:rFonts w:ascii="Arial" w:cs="Arial" w:eastAsia="Arial" w:hAnsi="Arial"/>
                <w:sz w:val="18"/>
                <w:szCs w:val="18"/>
                <w:color w:val="auto"/>
              </w:rPr>
              <w:t>8.6%</w:t>
            </w:r>
          </w:p>
        </w:tc>
        <w:tc>
          <w:tcPr>
            <w:tcW w:w="1320" w:type="dxa"/>
            <w:vAlign w:val="bottom"/>
          </w:tcPr>
          <w:p>
            <w:pPr>
              <w:jc w:val="right"/>
              <w:ind w:right="170"/>
              <w:spacing w:after="0"/>
              <w:rPr>
                <w:sz w:val="20"/>
                <w:szCs w:val="20"/>
                <w:color w:val="auto"/>
              </w:rPr>
            </w:pPr>
            <w:r>
              <w:rPr>
                <w:rFonts w:ascii="Arial" w:cs="Arial" w:eastAsia="Arial" w:hAnsi="Arial"/>
                <w:sz w:val="18"/>
                <w:szCs w:val="18"/>
                <w:color w:val="auto"/>
              </w:rPr>
              <w:t>9.1%</w:t>
            </w:r>
          </w:p>
        </w:tc>
        <w:tc>
          <w:tcPr>
            <w:tcW w:w="1300" w:type="dxa"/>
            <w:vAlign w:val="bottom"/>
          </w:tcPr>
          <w:p>
            <w:pPr>
              <w:jc w:val="right"/>
              <w:ind w:right="170"/>
              <w:spacing w:after="0"/>
              <w:rPr>
                <w:sz w:val="20"/>
                <w:szCs w:val="20"/>
                <w:color w:val="auto"/>
              </w:rPr>
            </w:pPr>
            <w:r>
              <w:rPr>
                <w:rFonts w:ascii="Arial" w:cs="Arial" w:eastAsia="Arial" w:hAnsi="Arial"/>
                <w:sz w:val="18"/>
                <w:szCs w:val="18"/>
                <w:color w:val="auto"/>
              </w:rPr>
              <w:t>7.8%</w:t>
            </w:r>
          </w:p>
        </w:tc>
        <w:tc>
          <w:tcPr>
            <w:tcW w:w="1320" w:type="dxa"/>
            <w:vAlign w:val="bottom"/>
          </w:tcPr>
          <w:p>
            <w:pPr>
              <w:jc w:val="right"/>
              <w:ind w:right="170"/>
              <w:spacing w:after="0"/>
              <w:rPr>
                <w:sz w:val="20"/>
                <w:szCs w:val="20"/>
                <w:color w:val="auto"/>
              </w:rPr>
            </w:pPr>
            <w:r>
              <w:rPr>
                <w:rFonts w:ascii="Arial" w:cs="Arial" w:eastAsia="Arial" w:hAnsi="Arial"/>
                <w:sz w:val="18"/>
                <w:szCs w:val="18"/>
                <w:color w:val="auto"/>
              </w:rPr>
              <w:t>6.9%</w:t>
            </w:r>
          </w:p>
        </w:tc>
        <w:tc>
          <w:tcPr>
            <w:tcW w:w="108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27"/>
        </w:trPr>
        <w:tc>
          <w:tcPr>
            <w:tcW w:w="46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Equity Ratio</w:t>
            </w:r>
          </w:p>
        </w:tc>
        <w:tc>
          <w:tcPr>
            <w:tcW w:w="18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54%</w:t>
            </w:r>
          </w:p>
        </w:tc>
        <w:tc>
          <w:tcPr>
            <w:tcW w:w="13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56%</w:t>
            </w:r>
          </w:p>
        </w:tc>
        <w:tc>
          <w:tcPr>
            <w:tcW w:w="13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56%</w:t>
            </w:r>
          </w:p>
        </w:tc>
        <w:tc>
          <w:tcPr>
            <w:tcW w:w="13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57%</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r>
      <w:tr>
        <w:trPr>
          <w:trHeight w:val="243"/>
        </w:trPr>
        <w:tc>
          <w:tcPr>
            <w:tcW w:w="4600" w:type="dxa"/>
            <w:vAlign w:val="bottom"/>
          </w:tcPr>
          <w:p>
            <w:pPr>
              <w:ind w:left="40"/>
              <w:spacing w:after="0"/>
              <w:rPr>
                <w:sz w:val="20"/>
                <w:szCs w:val="20"/>
                <w:color w:val="auto"/>
              </w:rPr>
            </w:pPr>
            <w:r>
              <w:rPr>
                <w:rFonts w:ascii="Arial" w:cs="Arial" w:eastAsia="Arial" w:hAnsi="Arial"/>
                <w:sz w:val="18"/>
                <w:szCs w:val="18"/>
                <w:color w:val="auto"/>
              </w:rPr>
              <w:t>Dividends Declared per Common Share</w:t>
            </w:r>
          </w:p>
        </w:tc>
        <w:tc>
          <w:tcPr>
            <w:tcW w:w="1800" w:type="dxa"/>
            <w:vAlign w:val="bottom"/>
          </w:tcPr>
          <w:p>
            <w:pPr>
              <w:jc w:val="right"/>
              <w:ind w:right="310"/>
              <w:spacing w:after="0"/>
              <w:rPr>
                <w:sz w:val="20"/>
                <w:szCs w:val="20"/>
                <w:color w:val="auto"/>
              </w:rPr>
            </w:pPr>
            <w:r>
              <w:rPr>
                <w:rFonts w:ascii="Arial" w:cs="Arial" w:eastAsia="Arial" w:hAnsi="Arial"/>
                <w:sz w:val="18"/>
                <w:szCs w:val="18"/>
                <w:color w:val="auto"/>
              </w:rPr>
              <w:t>$1.84</w:t>
            </w:r>
          </w:p>
        </w:tc>
        <w:tc>
          <w:tcPr>
            <w:tcW w:w="1320" w:type="dxa"/>
            <w:vAlign w:val="bottom"/>
          </w:tcPr>
          <w:p>
            <w:pPr>
              <w:jc w:val="right"/>
              <w:ind w:right="330"/>
              <w:spacing w:after="0"/>
              <w:rPr>
                <w:sz w:val="20"/>
                <w:szCs w:val="20"/>
                <w:color w:val="auto"/>
              </w:rPr>
            </w:pPr>
            <w:r>
              <w:rPr>
                <w:rFonts w:ascii="Arial" w:cs="Arial" w:eastAsia="Arial" w:hAnsi="Arial"/>
                <w:sz w:val="18"/>
                <w:szCs w:val="18"/>
                <w:color w:val="auto"/>
              </w:rPr>
              <w:t>$1.78</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$1.76</w:t>
            </w:r>
          </w:p>
        </w:tc>
        <w:tc>
          <w:tcPr>
            <w:tcW w:w="1320" w:type="dxa"/>
            <w:vAlign w:val="bottom"/>
          </w:tcPr>
          <w:p>
            <w:pPr>
              <w:jc w:val="right"/>
              <w:ind w:right="330"/>
              <w:spacing w:after="0"/>
              <w:rPr>
                <w:sz w:val="20"/>
                <w:szCs w:val="20"/>
                <w:color w:val="auto"/>
              </w:rPr>
            </w:pPr>
            <w:r>
              <w:rPr>
                <w:rFonts w:ascii="Arial" w:cs="Arial" w:eastAsia="Arial" w:hAnsi="Arial"/>
                <w:sz w:val="18"/>
                <w:szCs w:val="18"/>
                <w:color w:val="auto"/>
              </w:rPr>
              <w:t>$1.76</w:t>
            </w: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$1.72</w:t>
            </w:r>
          </w:p>
        </w:tc>
      </w:tr>
      <w:tr>
        <w:trPr>
          <w:trHeight w:val="27"/>
        </w:trPr>
        <w:tc>
          <w:tcPr>
            <w:tcW w:w="46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 Payout Ratio</w:t>
            </w:r>
          </w:p>
        </w:tc>
        <w:tc>
          <w:tcPr>
            <w:tcW w:w="18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71%</w:t>
            </w:r>
          </w:p>
        </w:tc>
        <w:tc>
          <w:tcPr>
            <w:tcW w:w="13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67%</w:t>
            </w:r>
          </w:p>
        </w:tc>
        <w:tc>
          <w:tcPr>
            <w:tcW w:w="13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80%</w:t>
            </w:r>
          </w:p>
        </w:tc>
        <w:tc>
          <w:tcPr>
            <w:tcW w:w="13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93%</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r>
      <w:tr>
        <w:trPr>
          <w:trHeight w:val="243"/>
        </w:trPr>
        <w:tc>
          <w:tcPr>
            <w:tcW w:w="4600" w:type="dxa"/>
            <w:vAlign w:val="bottom"/>
          </w:tcPr>
          <w:p>
            <w:pPr>
              <w:ind w:left="40"/>
              <w:spacing w:after="0"/>
              <w:rPr>
                <w:sz w:val="20"/>
                <w:szCs w:val="20"/>
                <w:color w:val="auto"/>
              </w:rPr>
            </w:pPr>
            <w:r>
              <w:rPr>
                <w:rFonts w:ascii="Arial" w:cs="Arial" w:eastAsia="Arial" w:hAnsi="Arial"/>
                <w:sz w:val="18"/>
                <w:szCs w:val="18"/>
                <w:color w:val="auto"/>
              </w:rPr>
              <w:t>Book Value Per Share at Year-End</w:t>
            </w:r>
          </w:p>
        </w:tc>
        <w:tc>
          <w:tcPr>
            <w:tcW w:w="1800" w:type="dxa"/>
            <w:vAlign w:val="bottom"/>
          </w:tcPr>
          <w:p>
            <w:pPr>
              <w:jc w:val="right"/>
              <w:ind w:right="310"/>
              <w:spacing w:after="0"/>
              <w:rPr>
                <w:sz w:val="20"/>
                <w:szCs w:val="20"/>
                <w:color w:val="auto"/>
              </w:rPr>
            </w:pPr>
            <w:r>
              <w:rPr>
                <w:rFonts w:ascii="Arial" w:cs="Arial" w:eastAsia="Arial" w:hAnsi="Arial"/>
                <w:sz w:val="18"/>
                <w:szCs w:val="18"/>
                <w:color w:val="auto"/>
              </w:rPr>
              <w:t>$30.50</w:t>
            </w:r>
          </w:p>
        </w:tc>
        <w:tc>
          <w:tcPr>
            <w:tcW w:w="1320" w:type="dxa"/>
            <w:vAlign w:val="bottom"/>
          </w:tcPr>
          <w:p>
            <w:pPr>
              <w:jc w:val="right"/>
              <w:ind w:right="330"/>
              <w:spacing w:after="0"/>
              <w:rPr>
                <w:sz w:val="20"/>
                <w:szCs w:val="20"/>
                <w:color w:val="auto"/>
              </w:rPr>
            </w:pPr>
            <w:r>
              <w:rPr>
                <w:rFonts w:ascii="Arial" w:cs="Arial" w:eastAsia="Arial" w:hAnsi="Arial"/>
                <w:sz w:val="18"/>
                <w:szCs w:val="18"/>
                <w:color w:val="auto"/>
              </w:rPr>
              <w:t>$28.77</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$27.25</w:t>
            </w:r>
          </w:p>
        </w:tc>
        <w:tc>
          <w:tcPr>
            <w:tcW w:w="1320" w:type="dxa"/>
            <w:vAlign w:val="bottom"/>
          </w:tcPr>
          <w:p>
            <w:pPr>
              <w:jc w:val="right"/>
              <w:ind w:right="330"/>
              <w:spacing w:after="0"/>
              <w:rPr>
                <w:sz w:val="20"/>
                <w:szCs w:val="20"/>
                <w:color w:val="auto"/>
              </w:rPr>
            </w:pPr>
            <w:r>
              <w:rPr>
                <w:rFonts w:ascii="Arial" w:cs="Arial" w:eastAsia="Arial" w:hAnsi="Arial"/>
                <w:sz w:val="18"/>
                <w:szCs w:val="18"/>
                <w:color w:val="auto"/>
              </w:rPr>
              <w:t>$26.39</w:t>
            </w: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$25.37</w:t>
            </w:r>
          </w:p>
        </w:tc>
      </w:tr>
      <w:tr>
        <w:trPr>
          <w:trHeight w:val="27"/>
        </w:trPr>
        <w:tc>
          <w:tcPr>
            <w:tcW w:w="46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4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 Expenditures by Segment</w:t>
            </w:r>
          </w:p>
        </w:tc>
        <w:tc>
          <w:tcPr>
            <w:tcW w:w="18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4600" w:type="dxa"/>
            <w:vAlign w:val="bottom"/>
          </w:tcPr>
          <w:p>
            <w:pPr>
              <w:ind w:left="180"/>
              <w:spacing w:after="0"/>
              <w:rPr>
                <w:sz w:val="20"/>
                <w:szCs w:val="20"/>
                <w:color w:val="auto"/>
              </w:rPr>
            </w:pPr>
            <w:r>
              <w:rPr>
                <w:rFonts w:ascii="Arial" w:cs="Arial" w:eastAsia="Arial" w:hAnsi="Arial"/>
                <w:sz w:val="18"/>
                <w:szCs w:val="18"/>
                <w:color w:val="auto"/>
              </w:rPr>
              <w:t>Regulated Operations</w:t>
            </w:r>
          </w:p>
        </w:tc>
        <w:tc>
          <w:tcPr>
            <w:tcW w:w="1800" w:type="dxa"/>
            <w:vAlign w:val="bottom"/>
          </w:tcPr>
          <w:p>
            <w:pPr>
              <w:jc w:val="right"/>
              <w:ind w:right="310"/>
              <w:spacing w:after="0"/>
              <w:rPr>
                <w:sz w:val="20"/>
                <w:szCs w:val="20"/>
                <w:color w:val="auto"/>
              </w:rPr>
            </w:pPr>
            <w:r>
              <w:rPr>
                <w:rFonts w:ascii="Arial" w:cs="Arial" w:eastAsia="Arial" w:hAnsi="Arial"/>
                <w:sz w:val="18"/>
                <w:szCs w:val="18"/>
                <w:color w:val="auto"/>
              </w:rPr>
              <w:t>$418.2</w:t>
            </w:r>
          </w:p>
        </w:tc>
        <w:tc>
          <w:tcPr>
            <w:tcW w:w="1320" w:type="dxa"/>
            <w:vAlign w:val="bottom"/>
          </w:tcPr>
          <w:p>
            <w:pPr>
              <w:jc w:val="right"/>
              <w:ind w:right="330"/>
              <w:spacing w:after="0"/>
              <w:rPr>
                <w:sz w:val="20"/>
                <w:szCs w:val="20"/>
                <w:color w:val="auto"/>
              </w:rPr>
            </w:pPr>
            <w:r>
              <w:rPr>
                <w:rFonts w:ascii="Arial" w:cs="Arial" w:eastAsia="Arial" w:hAnsi="Arial"/>
                <w:sz w:val="18"/>
                <w:szCs w:val="18"/>
                <w:color w:val="auto"/>
              </w:rPr>
              <w:t>$228.0</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$256.4</w:t>
            </w:r>
          </w:p>
        </w:tc>
        <w:tc>
          <w:tcPr>
            <w:tcW w:w="1320" w:type="dxa"/>
            <w:vAlign w:val="bottom"/>
          </w:tcPr>
          <w:p>
            <w:pPr>
              <w:jc w:val="right"/>
              <w:ind w:right="330"/>
              <w:spacing w:after="0"/>
              <w:rPr>
                <w:sz w:val="20"/>
                <w:szCs w:val="20"/>
                <w:color w:val="auto"/>
              </w:rPr>
            </w:pPr>
            <w:r>
              <w:rPr>
                <w:rFonts w:ascii="Arial" w:cs="Arial" w:eastAsia="Arial" w:hAnsi="Arial"/>
                <w:sz w:val="18"/>
                <w:szCs w:val="18"/>
                <w:color w:val="auto"/>
              </w:rPr>
              <w:t>$299.2</w:t>
            </w: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$317.0</w:t>
            </w:r>
          </w:p>
        </w:tc>
      </w:tr>
      <w:tr>
        <w:trPr>
          <w:trHeight w:val="27"/>
        </w:trPr>
        <w:tc>
          <w:tcPr>
            <w:tcW w:w="46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5"/>
        </w:trPr>
        <w:tc>
          <w:tcPr>
            <w:tcW w:w="4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Investments and Other</w:t>
            </w:r>
          </w:p>
        </w:tc>
        <w:tc>
          <w:tcPr>
            <w:tcW w:w="18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14.0</w:t>
            </w:r>
          </w:p>
        </w:tc>
        <w:tc>
          <w:tcPr>
            <w:tcW w:w="13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18.8</w:t>
            </w:r>
          </w:p>
        </w:tc>
        <w:tc>
          <w:tcPr>
            <w:tcW w:w="13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3.6</w:t>
            </w:r>
          </w:p>
        </w:tc>
        <w:tc>
          <w:tcPr>
            <w:tcW w:w="13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4.5</w:t>
            </w:r>
          </w:p>
        </w:tc>
        <w:tc>
          <w:tcPr>
            <w:tcW w:w="10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5.9</w:t>
            </w:r>
          </w:p>
        </w:tc>
      </w:tr>
      <w:tr>
        <w:trPr>
          <w:trHeight w:val="237"/>
        </w:trPr>
        <w:tc>
          <w:tcPr>
            <w:tcW w:w="4600" w:type="dxa"/>
            <w:vAlign w:val="bottom"/>
            <w:tcBorders>
              <w:top w:val="single" w:sz="8" w:color="auto"/>
            </w:tcBorders>
          </w:tcPr>
          <w:p>
            <w:pPr>
              <w:ind w:left="380"/>
              <w:spacing w:after="0"/>
              <w:rPr>
                <w:sz w:val="20"/>
                <w:szCs w:val="20"/>
                <w:color w:val="auto"/>
              </w:rPr>
            </w:pPr>
            <w:r>
              <w:rPr>
                <w:rFonts w:ascii="Arial" w:cs="Arial" w:eastAsia="Arial" w:hAnsi="Arial"/>
                <w:sz w:val="18"/>
                <w:szCs w:val="18"/>
                <w:color w:val="auto"/>
              </w:rPr>
              <w:t>Total Capital Expenditures</w:t>
            </w:r>
          </w:p>
        </w:tc>
        <w:tc>
          <w:tcPr>
            <w:tcW w:w="180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rPr>
              <w:t>$432.2</w:t>
            </w:r>
          </w:p>
        </w:tc>
        <w:tc>
          <w:tcPr>
            <w:tcW w:w="132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rPr>
              <w:t>$246.8</w:t>
            </w:r>
          </w:p>
        </w:tc>
        <w:tc>
          <w:tcPr>
            <w:tcW w:w="130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rPr>
              <w:t>$260.0</w:t>
            </w:r>
          </w:p>
        </w:tc>
        <w:tc>
          <w:tcPr>
            <w:tcW w:w="132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rPr>
              <w:t>$303.7</w:t>
            </w:r>
          </w:p>
        </w:tc>
        <w:tc>
          <w:tcPr>
            <w:tcW w:w="10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$322.9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6"/>
          <w:szCs w:val="16"/>
          <w:i w:val="1"/>
          <w:iCs w:val="1"/>
          <w:color w:val="auto"/>
        </w:rPr>
      </w:pPr>
      <w:r>
        <w:rPr>
          <w:rFonts w:ascii="Arial" w:cs="Arial" w:eastAsia="Arial" w:hAnsi="Arial"/>
          <w:sz w:val="16"/>
          <w:szCs w:val="16"/>
          <w:i w:val="1"/>
          <w:iCs w:val="1"/>
          <w:color w:val="auto"/>
        </w:rPr>
        <w:t>In 2011, the remaining shares of the ALLETE Properties non-controlling interest were purchased.</w:t>
      </w:r>
    </w:p>
    <w:p>
      <w:pPr>
        <w:spacing w:after="0" w:line="19" w:lineRule="exact"/>
        <w:rPr>
          <w:rFonts w:ascii="Arial" w:cs="Arial" w:eastAsia="Arial" w:hAnsi="Arial"/>
          <w:sz w:val="16"/>
          <w:szCs w:val="16"/>
          <w:i w:val="1"/>
          <w:iCs w:val="1"/>
          <w:color w:val="auto"/>
        </w:rPr>
      </w:pPr>
    </w:p>
    <w:p>
      <w:pPr>
        <w:ind w:left="340" w:hanging="332"/>
        <w:spacing w:after="0"/>
        <w:tabs>
          <w:tab w:leader="none" w:pos="340" w:val="left"/>
        </w:tabs>
        <w:numPr>
          <w:ilvl w:val="0"/>
          <w:numId w:val="11"/>
        </w:numPr>
        <w:rPr>
          <w:rFonts w:ascii="Arial" w:cs="Arial" w:eastAsia="Arial" w:hAnsi="Arial"/>
          <w:sz w:val="16"/>
          <w:szCs w:val="16"/>
          <w:i w:val="1"/>
          <w:iCs w:val="1"/>
          <w:color w:val="auto"/>
        </w:rPr>
      </w:pPr>
      <w:r>
        <w:rPr>
          <w:rFonts w:ascii="Arial" w:cs="Arial" w:eastAsia="Arial" w:hAnsi="Arial"/>
          <w:sz w:val="16"/>
          <w:szCs w:val="16"/>
          <w:i w:val="1"/>
          <w:iCs w:val="1"/>
          <w:color w:val="auto"/>
        </w:rPr>
        <w:t>Excludes unallocated ESOP shares.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2012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364"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following discussion should be read in conjunction with our consolidated financial statements and notes to those statements and the other financial information appearing elsewhere in this report. In addition to historical information, the following discussion and other parts of this report contain forward-looking information that involves risks and uncertainties. Readers are cautioned that forward-looking statements should be read in conjunction with our disclosures in this Form 10-K under the headings: “Forward-Looking Statements” located on page 6 and “Risk Factors” located in Item 1A. The risks and uncertainties described in this Form 10-K are not the only ones facing our Company. Additional risks and uncertainties that we are not presently aware of, or that we currently consider immaterial, may also affect our business operations. Our business, financial condition or results of operations could suffer if the concerns set forth in this Form 10-K are realized.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color w:val="auto"/>
        </w:rPr>
        <w:t xml:space="preserve">Regulated Operations </w:t>
      </w:r>
      <w:r>
        <w:rPr>
          <w:rFonts w:ascii="Arial" w:cs="Arial" w:eastAsia="Arial" w:hAnsi="Arial"/>
          <w:sz w:val="17"/>
          <w:szCs w:val="17"/>
          <w:color w:val="auto"/>
        </w:rPr>
        <w:t>includes our regulated utilities, Minnesota Power and SWL&amp;P, as well as our investment in ATC, a Wisconsin-based regulated utility</w:t>
      </w:r>
      <w:r>
        <w:rPr>
          <w:rFonts w:ascii="Arial" w:cs="Arial" w:eastAsia="Arial" w:hAnsi="Arial"/>
          <w:sz w:val="17"/>
          <w:szCs w:val="17"/>
          <w:b w:val="1"/>
          <w:bCs w:val="1"/>
          <w:color w:val="auto"/>
        </w:rPr>
        <w:t xml:space="preserve"> </w:t>
      </w:r>
      <w:r>
        <w:rPr>
          <w:rFonts w:ascii="Arial" w:cs="Arial" w:eastAsia="Arial" w:hAnsi="Arial"/>
          <w:sz w:val="17"/>
          <w:szCs w:val="17"/>
          <w:color w:val="auto"/>
        </w:rPr>
        <w:t>that owns and maintains electric transmission assets in parts of Wisconsin, Michigan, Minnesota and Illinois. Minnesota Power provides regulated utility electric service in northeastern Minnesota to approximately 143,000 retail customers. Minnesota Power’s non-affiliated municipal customers consist of 16 municipalities in Minnesota and 1 private utility in Wisconsin. SWL&amp;P is also a private utility in Wisconsin and a customer of Minnesota Power. SWL&amp;P provides regulated electric, natural gas and water service in northwestern Wisconsin to approximately 15,000 electric customers, 12,000 natural gas customers and 10,000 water customers. Our regulated utility operations include retail and wholesale activities under the jurisdiction of state and federal regulatory authorities</w:t>
      </w:r>
      <w:r>
        <w:rPr>
          <w:rFonts w:ascii="Arial" w:cs="Arial" w:eastAsia="Arial" w:hAnsi="Arial"/>
          <w:sz w:val="17"/>
          <w:szCs w:val="17"/>
          <w:i w:val="1"/>
          <w:iCs w:val="1"/>
          <w:color w:val="auto"/>
        </w:rPr>
        <w:t>.</w:t>
      </w:r>
      <w:r>
        <w:rPr>
          <w:rFonts w:ascii="Arial" w:cs="Arial" w:eastAsia="Arial" w:hAnsi="Arial"/>
          <w:sz w:val="17"/>
          <w:szCs w:val="17"/>
          <w:color w:val="auto"/>
        </w:rPr>
        <w:t xml:space="preserve"> (See Item 1. Business – Regulated Operations – Regulatory Matters.)</w:t>
      </w:r>
    </w:p>
    <w:p>
      <w:pPr>
        <w:spacing w:after="0" w:line="172"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color w:val="auto"/>
        </w:rPr>
        <w:t xml:space="preserve">Investments and Other </w:t>
      </w:r>
      <w:r>
        <w:rPr>
          <w:rFonts w:ascii="Arial" w:cs="Arial" w:eastAsia="Arial" w:hAnsi="Arial"/>
          <w:sz w:val="16"/>
          <w:szCs w:val="16"/>
          <w:color w:val="auto"/>
        </w:rPr>
        <w:t>is comprised primarily of BNI Coal, our coal mining operations in North Dakota, ALLETE Properties, our Florida real estate</w:t>
      </w:r>
      <w:r>
        <w:rPr>
          <w:rFonts w:ascii="Arial" w:cs="Arial" w:eastAsia="Arial" w:hAnsi="Arial"/>
          <w:sz w:val="16"/>
          <w:szCs w:val="16"/>
          <w:b w:val="1"/>
          <w:bCs w:val="1"/>
          <w:color w:val="auto"/>
        </w:rPr>
        <w:t xml:space="preserve"> </w:t>
      </w:r>
      <w:r>
        <w:rPr>
          <w:rFonts w:ascii="Arial" w:cs="Arial" w:eastAsia="Arial" w:hAnsi="Arial"/>
          <w:sz w:val="16"/>
          <w:szCs w:val="16"/>
          <w:color w:val="auto"/>
        </w:rPr>
        <w:t>investment, and ALLETE Clean Energy, our business aimed at developing or acquiring capital projects that create energy solutions via wind, solar, biomass, hydro, natural gas/liquids, shale resources, clean coal and other clean energy innovations. This segment also includes other business development and corporate expenditures, a small amount of non-rate base generation, approximately 6,100 acres of land in Minnesota, and earnings on cash and investments.</w:t>
      </w:r>
    </w:p>
    <w:p>
      <w:pPr>
        <w:spacing w:after="0" w:line="15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ALLETE is incorporated under the laws of Minnesota. Our corporate headquarters are in Duluth, Minnesota. Statistical information is presented as of December 31, 2012, unless otherwise indicated. All subsidiaries are wholly-owned unless otherwise specifically indicated. References in this report to “we,” “us” and “our” are to ALLETE and its subsidiaries, collectively.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2012 Financial Overview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net income discussion summarizes a comparison of the year ended December 31, 2012, to the year ended December 31, 2011.</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Consolidated net income attributable to ALLETE for 2012 was $97.1 million, or $2.58 per diluted share, compared to $93.8 million, or $2.65 per diluted share, for 2011. Net income for 2011 included the reversal of a $6.2 million, or $0.18 per share, deferred tax liability related to a revenue receivable Minnesota Power agreed to forgo as part of a stipulation and settlement agreement in its 2010 rate case. Net income for 2011 also included the recognition of a $2.9 million, or $0.08 per share, income tax benefit related to the MPUC approval of our request to defer the retail portion of the tax charge taken in 2010 resulting from the PPACA. Net income for 2012 reflected higher cost recovery rider revenue and renewable tax credits and increased sales to our industrial customers. These increases were partially offset by increased operation and maintenance, depreciation and interest expenses, as well as higher costs under our Square Butte PPA. Earnings per share dilution was $0.16 as a result of additional shares of common stock outstanding in 2012. (See Note 12. Common Stock and Earnings Per Share.)</w:t>
      </w:r>
    </w:p>
    <w:p>
      <w:pPr>
        <w:spacing w:after="0" w:line="188"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 xml:space="preserve">Regulated Operations </w:t>
      </w:r>
      <w:r>
        <w:rPr>
          <w:rFonts w:ascii="Arial" w:cs="Arial" w:eastAsia="Arial" w:hAnsi="Arial"/>
          <w:sz w:val="17"/>
          <w:szCs w:val="17"/>
          <w:color w:val="auto"/>
        </w:rPr>
        <w:t>net income attributable to ALLETE was $96.1 million in 2012, compared to $100.4 million in 2011. Net income for 2011 included the</w:t>
      </w:r>
      <w:r>
        <w:rPr>
          <w:rFonts w:ascii="Arial" w:cs="Arial" w:eastAsia="Arial" w:hAnsi="Arial"/>
          <w:sz w:val="17"/>
          <w:szCs w:val="17"/>
          <w:b w:val="1"/>
          <w:bCs w:val="1"/>
          <w:color w:val="auto"/>
        </w:rPr>
        <w:t xml:space="preserve"> </w:t>
      </w:r>
      <w:r>
        <w:rPr>
          <w:rFonts w:ascii="Arial" w:cs="Arial" w:eastAsia="Arial" w:hAnsi="Arial"/>
          <w:sz w:val="17"/>
          <w:szCs w:val="17"/>
          <w:color w:val="auto"/>
        </w:rPr>
        <w:t>reversal of a $6.2 million, or $0.18 per share, deferred tax liability related to a revenue receivable Minnesota Power agreed to forgo as part of a stipulation and settlement agreement in its 2010 rate case. Net income for 2011 also included the recognition of a $2.9 million, or $0.08 per share, income tax benefit related to the MPUC approval of our request to defer the retail portion of the tax charge taken in 2010 resulting from the PPACA. Net income for 2012 reflected higher cost recovery rider revenue and renewable tax credits, and increased sales to industrial customers. These increases were partially offset by increased operating and maintenance, depreciation and interest expenses, as well as higher costs under our Square Butte PPA.</w:t>
      </w:r>
    </w:p>
    <w:p>
      <w:pPr>
        <w:spacing w:after="0" w:line="174" w:lineRule="exact"/>
        <w:rPr>
          <w:sz w:val="20"/>
          <w:szCs w:val="20"/>
          <w:color w:val="auto"/>
        </w:rPr>
      </w:pPr>
    </w:p>
    <w:p>
      <w:pPr>
        <w:jc w:val="both"/>
        <w:spacing w:after="0" w:line="313" w:lineRule="auto"/>
        <w:rPr>
          <w:sz w:val="20"/>
          <w:szCs w:val="20"/>
          <w:color w:val="auto"/>
        </w:rPr>
      </w:pPr>
      <w:r>
        <w:rPr>
          <w:rFonts w:ascii="Arial" w:cs="Arial" w:eastAsia="Arial" w:hAnsi="Arial"/>
          <w:sz w:val="17"/>
          <w:szCs w:val="17"/>
          <w:b w:val="1"/>
          <w:bCs w:val="1"/>
          <w:color w:val="auto"/>
        </w:rPr>
        <w:t xml:space="preserve">Investments and Other </w:t>
      </w:r>
      <w:r>
        <w:rPr>
          <w:rFonts w:ascii="Arial" w:cs="Arial" w:eastAsia="Arial" w:hAnsi="Arial"/>
          <w:sz w:val="17"/>
          <w:szCs w:val="17"/>
          <w:color w:val="auto"/>
        </w:rPr>
        <w:t>reflected net income attributable to ALLETE of $1.0 million for 2012, compared to a net loss of $6.6 million in 2011. The increase</w:t>
      </w:r>
      <w:r>
        <w:rPr>
          <w:rFonts w:ascii="Arial" w:cs="Arial" w:eastAsia="Arial" w:hAnsi="Arial"/>
          <w:sz w:val="17"/>
          <w:szCs w:val="17"/>
          <w:b w:val="1"/>
          <w:bCs w:val="1"/>
          <w:color w:val="auto"/>
        </w:rPr>
        <w:t xml:space="preserve"> </w:t>
      </w:r>
      <w:r>
        <w:rPr>
          <w:rFonts w:ascii="Arial" w:cs="Arial" w:eastAsia="Arial" w:hAnsi="Arial"/>
          <w:sz w:val="17"/>
          <w:szCs w:val="17"/>
          <w:color w:val="auto"/>
        </w:rPr>
        <w:t>in 2012 was primarily due to lower state income tax and interest expense, partially offset by increased business development expenses.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2012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364"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2012 Compared to 2011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 2. Business Segments for financial results by segment.)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Regulated Operations</w:t>
      </w:r>
    </w:p>
    <w:p>
      <w:pPr>
        <w:spacing w:after="0" w:line="229"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b w:val="1"/>
          <w:bCs w:val="1"/>
          <w:i w:val="1"/>
          <w:iCs w:val="1"/>
          <w:color w:val="auto"/>
        </w:rPr>
        <w:t xml:space="preserve">Operating Revenue </w:t>
      </w:r>
      <w:r>
        <w:rPr>
          <w:rFonts w:ascii="Arial" w:cs="Arial" w:eastAsia="Arial" w:hAnsi="Arial"/>
          <w:sz w:val="18"/>
          <w:szCs w:val="18"/>
          <w:color w:val="auto"/>
        </w:rPr>
        <w:t>increased $22.5 million, or 3 percent, from 2011 primarily due to higher cost recovery rider revenue and transmission revenue,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partially offset by lower fuel adjustment clause recoveries, lower revenue from our municipal customers and a 0.7 percent decrease in kilowatt-hours sold.</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Cost recovery rider revenue increased $22.1 million due to higher capital expenditures related to our Bison Wind Energy Center and CapX2020 projects.</w:t>
      </w:r>
    </w:p>
    <w:p>
      <w:pPr>
        <w:spacing w:after="0" w:line="248"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Transmission revenue increased $7.3 million primarily due to higher MISO Regional Expansion Criteria and Benefits (RECB) revenue related to our investment in CapX2020.</w:t>
      </w:r>
    </w:p>
    <w:p>
      <w:pPr>
        <w:spacing w:after="0" w:line="170"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 xml:space="preserve">Fuel adjustment clause recoveries decreased $1.7 million due to lower fuel and purchased power costs attributable to our retail and municipal customers. (See </w:t>
      </w:r>
      <w:r>
        <w:rPr>
          <w:rFonts w:ascii="Arial" w:cs="Arial" w:eastAsia="Arial" w:hAnsi="Arial"/>
          <w:sz w:val="18"/>
          <w:szCs w:val="18"/>
          <w:i w:val="1"/>
          <w:iCs w:val="1"/>
          <w:color w:val="auto"/>
        </w:rPr>
        <w:t>Operating Expenses - Fuel and Purchased Power Expense.</w:t>
      </w:r>
      <w:r>
        <w:rPr>
          <w:rFonts w:ascii="Arial" w:cs="Arial" w:eastAsia="Arial" w:hAnsi="Arial"/>
          <w:sz w:val="18"/>
          <w:szCs w:val="18"/>
          <w:color w:val="auto"/>
        </w:rPr>
        <w:t>)</w:t>
      </w:r>
    </w:p>
    <w:p>
      <w:pPr>
        <w:spacing w:after="0" w:line="170"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Revenue from our municipal customers decreased $1.6 million primarily due to period-over-period fluctuations in the true-up for actual costs provisions of the contracts. The rates included in these contracts are calculated using a cost-based formula methodology that is set at July 1 each year using estimated costs and a true-up for actual costs the following year.</w:t>
      </w:r>
    </w:p>
    <w:p>
      <w:pPr>
        <w:spacing w:after="0" w:line="181" w:lineRule="exact"/>
        <w:rPr>
          <w:sz w:val="20"/>
          <w:szCs w:val="20"/>
          <w:color w:val="auto"/>
        </w:rPr>
      </w:pPr>
    </w:p>
    <w:p>
      <w:pPr>
        <w:jc w:val="both"/>
        <w:ind w:left="340"/>
        <w:spacing w:after="0" w:line="273" w:lineRule="auto"/>
        <w:rPr>
          <w:sz w:val="20"/>
          <w:szCs w:val="20"/>
          <w:color w:val="auto"/>
        </w:rPr>
      </w:pPr>
      <w:r>
        <w:rPr>
          <w:rFonts w:ascii="Arial" w:cs="Arial" w:eastAsia="Arial" w:hAnsi="Arial"/>
          <w:sz w:val="17"/>
          <w:szCs w:val="17"/>
          <w:color w:val="auto"/>
        </w:rPr>
        <w:t>Revenue from Regulated Operations decreased $1.1 million due to a 0.7 percent reduction in kilowatt-hour sales. The decrease in kilowatt-hour sales was primarily due to lower sales to residential customers and Other Power Suppliers. Residential sales, as compared to 2011, were down primarily due to unseasonably warm weather during the first four months of 2012; heating degree days in Duluth, Minnesota were approximately 22 percent lower than in the first four months of 2011. Total kilowatt-hour sales to Other Power Suppliers decreased 9.3 percent from 2011. Sales to Other Power Suppliers are sold at market-based prices into the MISO market on a daily basis or through bilateral agreements of various durations. These decreases were partially offset by higher sales to our industrial customers, which increased 1.9 percent over 2011.</w:t>
      </w:r>
    </w:p>
    <w:p>
      <w:pPr>
        <w:spacing w:after="0" w:line="337"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6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80" w:type="dxa"/>
            <w:vAlign w:val="bottom"/>
          </w:tcPr>
          <w:p>
            <w:pPr>
              <w:jc w:val="right"/>
              <w:ind w:right="370"/>
              <w:spacing w:after="0"/>
              <w:rPr>
                <w:sz w:val="20"/>
                <w:szCs w:val="20"/>
                <w:color w:val="auto"/>
              </w:rPr>
            </w:pPr>
            <w:r>
              <w:rPr>
                <w:rFonts w:ascii="Arial" w:cs="Arial" w:eastAsia="Arial" w:hAnsi="Arial"/>
                <w:sz w:val="18"/>
                <w:szCs w:val="18"/>
                <w:b w:val="1"/>
                <w:bCs w:val="1"/>
                <w:color w:val="auto"/>
              </w:rPr>
              <w:t>Quantity</w:t>
            </w:r>
          </w:p>
        </w:tc>
        <w:tc>
          <w:tcPr>
            <w:tcW w:w="1380" w:type="dxa"/>
            <w:vAlign w:val="bottom"/>
          </w:tcPr>
          <w:p>
            <w:pPr>
              <w:jc w:val="right"/>
              <w:ind w:right="570"/>
              <w:spacing w:after="0"/>
              <w:rPr>
                <w:sz w:val="20"/>
                <w:szCs w:val="20"/>
                <w:color w:val="auto"/>
              </w:rPr>
            </w:pPr>
            <w:r>
              <w:rPr>
                <w:rFonts w:ascii="Arial" w:cs="Arial" w:eastAsia="Arial" w:hAnsi="Arial"/>
                <w:sz w:val="18"/>
                <w:szCs w:val="18"/>
                <w:b w:val="1"/>
                <w:bCs w:val="1"/>
                <w:color w:val="auto"/>
              </w:rPr>
              <w:t>%</w:t>
            </w:r>
          </w:p>
        </w:tc>
      </w:tr>
      <w:tr>
        <w:trPr>
          <w:trHeight w:val="234"/>
        </w:trPr>
        <w:tc>
          <w:tcPr>
            <w:tcW w:w="4600" w:type="dxa"/>
            <w:vAlign w:val="bottom"/>
          </w:tcPr>
          <w:p>
            <w:pPr>
              <w:ind w:left="20"/>
              <w:spacing w:after="0"/>
              <w:rPr>
                <w:sz w:val="20"/>
                <w:szCs w:val="20"/>
                <w:color w:val="auto"/>
              </w:rPr>
            </w:pPr>
            <w:r>
              <w:rPr>
                <w:rFonts w:ascii="Arial" w:cs="Arial" w:eastAsia="Arial" w:hAnsi="Arial"/>
                <w:sz w:val="18"/>
                <w:szCs w:val="18"/>
                <w:b w:val="1"/>
                <w:bCs w:val="1"/>
                <w:color w:val="auto"/>
              </w:rPr>
              <w:t>Kilowatt-hours Sold</w:t>
            </w:r>
          </w:p>
        </w:tc>
        <w:tc>
          <w:tcPr>
            <w:tcW w:w="2280" w:type="dxa"/>
            <w:vAlign w:val="bottom"/>
          </w:tcPr>
          <w:p>
            <w:pPr>
              <w:jc w:val="right"/>
              <w:ind w:right="270"/>
              <w:spacing w:after="0"/>
              <w:rPr>
                <w:sz w:val="20"/>
                <w:szCs w:val="20"/>
                <w:color w:val="auto"/>
              </w:rPr>
            </w:pPr>
            <w:r>
              <w:rPr>
                <w:rFonts w:ascii="Arial" w:cs="Arial" w:eastAsia="Arial" w:hAnsi="Arial"/>
                <w:sz w:val="18"/>
                <w:szCs w:val="18"/>
                <w:b w:val="1"/>
                <w:bCs w:val="1"/>
                <w:color w:val="auto"/>
              </w:rPr>
              <w:t>2012</w:t>
            </w:r>
          </w:p>
        </w:tc>
        <w:tc>
          <w:tcPr>
            <w:tcW w:w="1100" w:type="dxa"/>
            <w:vAlign w:val="bottom"/>
          </w:tcPr>
          <w:p>
            <w:pPr>
              <w:jc w:val="right"/>
              <w:ind w:right="130"/>
              <w:spacing w:after="0"/>
              <w:rPr>
                <w:sz w:val="20"/>
                <w:szCs w:val="20"/>
                <w:color w:val="auto"/>
              </w:rPr>
            </w:pPr>
            <w:r>
              <w:rPr>
                <w:rFonts w:ascii="Arial" w:cs="Arial" w:eastAsia="Arial" w:hAnsi="Arial"/>
                <w:sz w:val="18"/>
                <w:szCs w:val="18"/>
                <w:b w:val="1"/>
                <w:bCs w:val="1"/>
                <w:color w:val="auto"/>
              </w:rPr>
              <w:t>2011</w:t>
            </w:r>
          </w:p>
        </w:tc>
        <w:tc>
          <w:tcPr>
            <w:tcW w:w="1380" w:type="dxa"/>
            <w:vAlign w:val="bottom"/>
          </w:tcPr>
          <w:p>
            <w:pPr>
              <w:jc w:val="right"/>
              <w:ind w:right="390"/>
              <w:spacing w:after="0"/>
              <w:rPr>
                <w:sz w:val="20"/>
                <w:szCs w:val="20"/>
                <w:color w:val="auto"/>
              </w:rPr>
            </w:pPr>
            <w:r>
              <w:rPr>
                <w:rFonts w:ascii="Arial" w:cs="Arial" w:eastAsia="Arial" w:hAnsi="Arial"/>
                <w:sz w:val="18"/>
                <w:szCs w:val="18"/>
                <w:b w:val="1"/>
                <w:bCs w:val="1"/>
                <w:color w:val="auto"/>
              </w:rPr>
              <w:t>Variance</w:t>
            </w:r>
          </w:p>
        </w:tc>
        <w:tc>
          <w:tcPr>
            <w:tcW w:w="1380" w:type="dxa"/>
            <w:vAlign w:val="bottom"/>
          </w:tcPr>
          <w:p>
            <w:pPr>
              <w:jc w:val="right"/>
              <w:ind w:right="310"/>
              <w:spacing w:after="0"/>
              <w:rPr>
                <w:sz w:val="20"/>
                <w:szCs w:val="20"/>
                <w:color w:val="auto"/>
              </w:rPr>
            </w:pPr>
            <w:r>
              <w:rPr>
                <w:rFonts w:ascii="Arial" w:cs="Arial" w:eastAsia="Arial" w:hAnsi="Arial"/>
                <w:sz w:val="18"/>
                <w:szCs w:val="18"/>
                <w:b w:val="1"/>
                <w:bCs w:val="1"/>
                <w:color w:val="auto"/>
              </w:rPr>
              <w:t>Variance</w:t>
            </w:r>
          </w:p>
        </w:tc>
      </w:tr>
      <w:tr>
        <w:trPr>
          <w:trHeight w:val="27"/>
        </w:trPr>
        <w:tc>
          <w:tcPr>
            <w:tcW w:w="460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7"/>
        </w:trPr>
        <w:tc>
          <w:tcPr>
            <w:tcW w:w="460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2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7"/>
        </w:trPr>
        <w:tc>
          <w:tcPr>
            <w:tcW w:w="46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Regulated Utility</w:t>
            </w:r>
          </w:p>
        </w:tc>
        <w:tc>
          <w:tcPr>
            <w:tcW w:w="2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4600" w:type="dxa"/>
            <w:vAlign w:val="bottom"/>
          </w:tcPr>
          <w:p>
            <w:pPr>
              <w:ind w:left="260"/>
              <w:spacing w:after="0"/>
              <w:rPr>
                <w:sz w:val="20"/>
                <w:szCs w:val="20"/>
                <w:color w:val="auto"/>
              </w:rPr>
            </w:pPr>
            <w:r>
              <w:rPr>
                <w:rFonts w:ascii="Arial" w:cs="Arial" w:eastAsia="Arial" w:hAnsi="Arial"/>
                <w:sz w:val="18"/>
                <w:szCs w:val="18"/>
                <w:color w:val="auto"/>
              </w:rPr>
              <w:t>Retail and Municipals</w:t>
            </w:r>
          </w:p>
        </w:tc>
        <w:tc>
          <w:tcPr>
            <w:tcW w:w="2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
        </w:trPr>
        <w:tc>
          <w:tcPr>
            <w:tcW w:w="46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6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Residential</w:t>
            </w:r>
          </w:p>
        </w:tc>
        <w:tc>
          <w:tcPr>
            <w:tcW w:w="22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1,132</w:t>
            </w:r>
          </w:p>
        </w:tc>
        <w:tc>
          <w:tcPr>
            <w:tcW w:w="11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1,159</w:t>
            </w:r>
          </w:p>
        </w:tc>
        <w:tc>
          <w:tcPr>
            <w:tcW w:w="1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(27)</w:t>
            </w:r>
          </w:p>
        </w:tc>
        <w:tc>
          <w:tcPr>
            <w:tcW w:w="1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(2.3)</w:t>
            </w:r>
          </w:p>
        </w:tc>
      </w:tr>
      <w:tr>
        <w:trPr>
          <w:trHeight w:val="243"/>
        </w:trPr>
        <w:tc>
          <w:tcPr>
            <w:tcW w:w="4600" w:type="dxa"/>
            <w:vAlign w:val="bottom"/>
          </w:tcPr>
          <w:p>
            <w:pPr>
              <w:ind w:left="480"/>
              <w:spacing w:after="0"/>
              <w:rPr>
                <w:sz w:val="20"/>
                <w:szCs w:val="20"/>
                <w:color w:val="auto"/>
              </w:rPr>
            </w:pPr>
            <w:r>
              <w:rPr>
                <w:rFonts w:ascii="Arial" w:cs="Arial" w:eastAsia="Arial" w:hAnsi="Arial"/>
                <w:sz w:val="18"/>
                <w:szCs w:val="18"/>
                <w:color w:val="auto"/>
              </w:rPr>
              <w:t>Commercial</w:t>
            </w:r>
          </w:p>
        </w:tc>
        <w:tc>
          <w:tcPr>
            <w:tcW w:w="2280" w:type="dxa"/>
            <w:vAlign w:val="bottom"/>
          </w:tcPr>
          <w:p>
            <w:pPr>
              <w:jc w:val="right"/>
              <w:ind w:right="270"/>
              <w:spacing w:after="0"/>
              <w:rPr>
                <w:sz w:val="20"/>
                <w:szCs w:val="20"/>
                <w:color w:val="auto"/>
              </w:rPr>
            </w:pPr>
            <w:r>
              <w:rPr>
                <w:rFonts w:ascii="Arial" w:cs="Arial" w:eastAsia="Arial" w:hAnsi="Arial"/>
                <w:sz w:val="18"/>
                <w:szCs w:val="18"/>
                <w:color w:val="auto"/>
              </w:rPr>
              <w:t>1,436</w:t>
            </w: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1,433</w:t>
            </w:r>
          </w:p>
        </w:tc>
        <w:tc>
          <w:tcPr>
            <w:tcW w:w="1380" w:type="dxa"/>
            <w:vAlign w:val="bottom"/>
          </w:tcPr>
          <w:p>
            <w:pPr>
              <w:jc w:val="right"/>
              <w:ind w:right="250"/>
              <w:spacing w:after="0"/>
              <w:rPr>
                <w:sz w:val="20"/>
                <w:szCs w:val="20"/>
                <w:color w:val="auto"/>
              </w:rPr>
            </w:pPr>
            <w:r>
              <w:rPr>
                <w:rFonts w:ascii="Arial" w:cs="Arial" w:eastAsia="Arial" w:hAnsi="Arial"/>
                <w:sz w:val="18"/>
                <w:szCs w:val="18"/>
                <w:color w:val="auto"/>
              </w:rPr>
              <w:t>3</w:t>
            </w:r>
          </w:p>
        </w:tc>
        <w:tc>
          <w:tcPr>
            <w:tcW w:w="1380" w:type="dxa"/>
            <w:vAlign w:val="bottom"/>
          </w:tcPr>
          <w:p>
            <w:pPr>
              <w:jc w:val="right"/>
              <w:ind w:right="250"/>
              <w:spacing w:after="0"/>
              <w:rPr>
                <w:sz w:val="20"/>
                <w:szCs w:val="20"/>
                <w:color w:val="auto"/>
              </w:rPr>
            </w:pPr>
            <w:r>
              <w:rPr>
                <w:rFonts w:ascii="Arial" w:cs="Arial" w:eastAsia="Arial" w:hAnsi="Arial"/>
                <w:sz w:val="18"/>
                <w:szCs w:val="18"/>
                <w:color w:val="auto"/>
              </w:rPr>
              <w:t>0.2</w:t>
            </w:r>
          </w:p>
        </w:tc>
      </w:tr>
      <w:tr>
        <w:trPr>
          <w:trHeight w:val="27"/>
        </w:trPr>
        <w:tc>
          <w:tcPr>
            <w:tcW w:w="46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6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Industrial</w:t>
            </w:r>
          </w:p>
        </w:tc>
        <w:tc>
          <w:tcPr>
            <w:tcW w:w="22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7,502</w:t>
            </w:r>
          </w:p>
        </w:tc>
        <w:tc>
          <w:tcPr>
            <w:tcW w:w="11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7,365</w:t>
            </w:r>
          </w:p>
        </w:tc>
        <w:tc>
          <w:tcPr>
            <w:tcW w:w="13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137</w:t>
            </w:r>
          </w:p>
        </w:tc>
        <w:tc>
          <w:tcPr>
            <w:tcW w:w="13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1.9</w:t>
            </w:r>
          </w:p>
        </w:tc>
      </w:tr>
      <w:tr>
        <w:trPr>
          <w:trHeight w:val="243"/>
        </w:trPr>
        <w:tc>
          <w:tcPr>
            <w:tcW w:w="4600" w:type="dxa"/>
            <w:vAlign w:val="bottom"/>
          </w:tcPr>
          <w:p>
            <w:pPr>
              <w:ind w:left="480"/>
              <w:spacing w:after="0"/>
              <w:rPr>
                <w:sz w:val="20"/>
                <w:szCs w:val="20"/>
                <w:color w:val="auto"/>
              </w:rPr>
            </w:pPr>
            <w:r>
              <w:rPr>
                <w:rFonts w:ascii="Arial" w:cs="Arial" w:eastAsia="Arial" w:hAnsi="Arial"/>
                <w:sz w:val="18"/>
                <w:szCs w:val="18"/>
                <w:color w:val="auto"/>
              </w:rPr>
              <w:t>Municipals</w:t>
            </w:r>
          </w:p>
        </w:tc>
        <w:tc>
          <w:tcPr>
            <w:tcW w:w="2280" w:type="dxa"/>
            <w:vAlign w:val="bottom"/>
          </w:tcPr>
          <w:p>
            <w:pPr>
              <w:jc w:val="right"/>
              <w:ind w:right="270"/>
              <w:spacing w:after="0"/>
              <w:rPr>
                <w:sz w:val="20"/>
                <w:szCs w:val="20"/>
                <w:color w:val="auto"/>
              </w:rPr>
            </w:pPr>
            <w:r>
              <w:rPr>
                <w:rFonts w:ascii="Arial" w:cs="Arial" w:eastAsia="Arial" w:hAnsi="Arial"/>
                <w:sz w:val="18"/>
                <w:szCs w:val="18"/>
                <w:color w:val="auto"/>
              </w:rPr>
              <w:t>1,020</w:t>
            </w: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1,013</w:t>
            </w:r>
          </w:p>
        </w:tc>
        <w:tc>
          <w:tcPr>
            <w:tcW w:w="1380" w:type="dxa"/>
            <w:vAlign w:val="bottom"/>
          </w:tcPr>
          <w:p>
            <w:pPr>
              <w:jc w:val="right"/>
              <w:ind w:right="250"/>
              <w:spacing w:after="0"/>
              <w:rPr>
                <w:sz w:val="20"/>
                <w:szCs w:val="20"/>
                <w:color w:val="auto"/>
              </w:rPr>
            </w:pPr>
            <w:r>
              <w:rPr>
                <w:rFonts w:ascii="Arial" w:cs="Arial" w:eastAsia="Arial" w:hAnsi="Arial"/>
                <w:sz w:val="18"/>
                <w:szCs w:val="18"/>
                <w:color w:val="auto"/>
              </w:rPr>
              <w:t>7</w:t>
            </w:r>
          </w:p>
        </w:tc>
        <w:tc>
          <w:tcPr>
            <w:tcW w:w="1380" w:type="dxa"/>
            <w:vAlign w:val="bottom"/>
          </w:tcPr>
          <w:p>
            <w:pPr>
              <w:jc w:val="right"/>
              <w:ind w:right="250"/>
              <w:spacing w:after="0"/>
              <w:rPr>
                <w:sz w:val="20"/>
                <w:szCs w:val="20"/>
                <w:color w:val="auto"/>
              </w:rPr>
            </w:pPr>
            <w:r>
              <w:rPr>
                <w:rFonts w:ascii="Arial" w:cs="Arial" w:eastAsia="Arial" w:hAnsi="Arial"/>
                <w:sz w:val="18"/>
                <w:szCs w:val="18"/>
                <w:color w:val="auto"/>
              </w:rPr>
              <w:t>0.7</w:t>
            </w:r>
          </w:p>
        </w:tc>
      </w:tr>
      <w:tr>
        <w:trPr>
          <w:trHeight w:val="27"/>
        </w:trPr>
        <w:tc>
          <w:tcPr>
            <w:tcW w:w="460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460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Total Retail and Municipals</w:t>
            </w:r>
          </w:p>
        </w:tc>
        <w:tc>
          <w:tcPr>
            <w:tcW w:w="22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11,090</w:t>
            </w:r>
          </w:p>
        </w:tc>
        <w:tc>
          <w:tcPr>
            <w:tcW w:w="11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10,970</w:t>
            </w:r>
          </w:p>
        </w:tc>
        <w:tc>
          <w:tcPr>
            <w:tcW w:w="13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120</w:t>
            </w:r>
          </w:p>
        </w:tc>
        <w:tc>
          <w:tcPr>
            <w:tcW w:w="13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1.1</w:t>
            </w:r>
          </w:p>
        </w:tc>
      </w:tr>
      <w:tr>
        <w:trPr>
          <w:trHeight w:val="243"/>
        </w:trPr>
        <w:tc>
          <w:tcPr>
            <w:tcW w:w="4600" w:type="dxa"/>
            <w:vAlign w:val="bottom"/>
          </w:tcPr>
          <w:p>
            <w:pPr>
              <w:ind w:left="260"/>
              <w:spacing w:after="0"/>
              <w:rPr>
                <w:sz w:val="20"/>
                <w:szCs w:val="20"/>
                <w:color w:val="auto"/>
              </w:rPr>
            </w:pPr>
            <w:r>
              <w:rPr>
                <w:rFonts w:ascii="Arial" w:cs="Arial" w:eastAsia="Arial" w:hAnsi="Arial"/>
                <w:sz w:val="18"/>
                <w:szCs w:val="18"/>
                <w:color w:val="auto"/>
              </w:rPr>
              <w:t>Other Power Suppliers</w:t>
            </w:r>
          </w:p>
        </w:tc>
        <w:tc>
          <w:tcPr>
            <w:tcW w:w="2280" w:type="dxa"/>
            <w:vAlign w:val="bottom"/>
          </w:tcPr>
          <w:p>
            <w:pPr>
              <w:jc w:val="right"/>
              <w:ind w:right="270"/>
              <w:spacing w:after="0"/>
              <w:rPr>
                <w:sz w:val="20"/>
                <w:szCs w:val="20"/>
                <w:color w:val="auto"/>
              </w:rPr>
            </w:pPr>
            <w:r>
              <w:rPr>
                <w:rFonts w:ascii="Arial" w:cs="Arial" w:eastAsia="Arial" w:hAnsi="Arial"/>
                <w:sz w:val="18"/>
                <w:szCs w:val="18"/>
                <w:color w:val="auto"/>
              </w:rPr>
              <w:t>1,999</w:t>
            </w: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2,205</w:t>
            </w:r>
          </w:p>
        </w:tc>
        <w:tc>
          <w:tcPr>
            <w:tcW w:w="1380" w:type="dxa"/>
            <w:vAlign w:val="bottom"/>
          </w:tcPr>
          <w:p>
            <w:pPr>
              <w:jc w:val="right"/>
              <w:ind w:right="190"/>
              <w:spacing w:after="0"/>
              <w:rPr>
                <w:sz w:val="20"/>
                <w:szCs w:val="20"/>
                <w:color w:val="auto"/>
              </w:rPr>
            </w:pPr>
            <w:r>
              <w:rPr>
                <w:rFonts w:ascii="Arial" w:cs="Arial" w:eastAsia="Arial" w:hAnsi="Arial"/>
                <w:sz w:val="18"/>
                <w:szCs w:val="18"/>
                <w:color w:val="auto"/>
              </w:rPr>
              <w:t>(206)</w:t>
            </w:r>
          </w:p>
        </w:tc>
        <w:tc>
          <w:tcPr>
            <w:tcW w:w="1380" w:type="dxa"/>
            <w:vAlign w:val="bottom"/>
          </w:tcPr>
          <w:p>
            <w:pPr>
              <w:jc w:val="right"/>
              <w:ind w:right="190"/>
              <w:spacing w:after="0"/>
              <w:rPr>
                <w:sz w:val="20"/>
                <w:szCs w:val="20"/>
                <w:color w:val="auto"/>
              </w:rPr>
            </w:pPr>
            <w:r>
              <w:rPr>
                <w:rFonts w:ascii="Arial" w:cs="Arial" w:eastAsia="Arial" w:hAnsi="Arial"/>
                <w:sz w:val="18"/>
                <w:szCs w:val="18"/>
                <w:color w:val="auto"/>
              </w:rPr>
              <w:t>(9.3)</w:t>
            </w:r>
          </w:p>
        </w:tc>
      </w:tr>
      <w:tr>
        <w:trPr>
          <w:trHeight w:val="27"/>
        </w:trPr>
        <w:tc>
          <w:tcPr>
            <w:tcW w:w="460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Regulated Utility Kilowatt-hours Sold</w:t>
            </w:r>
          </w:p>
        </w:tc>
        <w:tc>
          <w:tcPr>
            <w:tcW w:w="22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13,089</w:t>
            </w:r>
          </w:p>
        </w:tc>
        <w:tc>
          <w:tcPr>
            <w:tcW w:w="11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13,175</w:t>
            </w:r>
          </w:p>
        </w:tc>
        <w:tc>
          <w:tcPr>
            <w:tcW w:w="1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(86)</w:t>
            </w:r>
          </w:p>
        </w:tc>
        <w:tc>
          <w:tcPr>
            <w:tcW w:w="1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(0.7)</w:t>
            </w:r>
          </w:p>
        </w:tc>
      </w:tr>
      <w:tr>
        <w:trPr>
          <w:trHeight w:val="20"/>
        </w:trPr>
        <w:tc>
          <w:tcPr>
            <w:tcW w:w="4600" w:type="dxa"/>
            <w:vAlign w:val="bottom"/>
            <w:shd w:val="clear" w:color="auto" w:fill="000000"/>
          </w:tcPr>
          <w:p>
            <w:pPr>
              <w:spacing w:after="0" w:line="20" w:lineRule="exact"/>
              <w:rPr>
                <w:sz w:val="1"/>
                <w:szCs w:val="1"/>
                <w:color w:val="auto"/>
              </w:rPr>
            </w:pPr>
          </w:p>
        </w:tc>
        <w:tc>
          <w:tcPr>
            <w:tcW w:w="22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r>
    </w:tbl>
    <w:p>
      <w:pPr>
        <w:spacing w:after="0" w:line="202" w:lineRule="exact"/>
        <w:rPr>
          <w:sz w:val="20"/>
          <w:szCs w:val="20"/>
          <w:color w:val="auto"/>
        </w:rPr>
      </w:pPr>
    </w:p>
    <w:p>
      <w:pPr>
        <w:jc w:val="both"/>
        <w:ind w:left="340"/>
        <w:spacing w:after="0" w:line="312" w:lineRule="auto"/>
        <w:rPr>
          <w:sz w:val="20"/>
          <w:szCs w:val="20"/>
          <w:color w:val="auto"/>
        </w:rPr>
      </w:pPr>
      <w:r>
        <w:rPr>
          <w:rFonts w:ascii="Arial" w:cs="Arial" w:eastAsia="Arial" w:hAnsi="Arial"/>
          <w:sz w:val="16"/>
          <w:szCs w:val="16"/>
          <w:color w:val="auto"/>
        </w:rPr>
        <w:t>Revenue from electric sales to taconite customers accounted for 26 percent of consolidated operating revenue in 2012 (26 percent in 2011). Revenue from electric sales to paper, pulp and wood product customers accounted for 9 percent of consolidated operating revenue in 2012 (9 percent in 2011). Revenue from electric sales to pipelines and other industrials accounted for 6 percent of consolidated operating revenue in 2012 (7 percent in 2011).</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 xml:space="preserve">Operating Expenses </w:t>
      </w:r>
      <w:r>
        <w:rPr>
          <w:rFonts w:ascii="Arial" w:cs="Arial" w:eastAsia="Arial" w:hAnsi="Arial"/>
          <w:sz w:val="18"/>
          <w:szCs w:val="18"/>
          <w:color w:val="auto"/>
        </w:rPr>
        <w:t>increased $19.1 million, or 3 percent, from 2011.</w:t>
      </w:r>
    </w:p>
    <w:p>
      <w:pPr>
        <w:spacing w:after="0" w:line="225"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i w:val="1"/>
          <w:iCs w:val="1"/>
          <w:color w:val="auto"/>
        </w:rPr>
        <w:t xml:space="preserve">Fuel and Purchased Power Expense </w:t>
      </w:r>
      <w:r>
        <w:rPr>
          <w:rFonts w:ascii="Arial" w:cs="Arial" w:eastAsia="Arial" w:hAnsi="Arial"/>
          <w:sz w:val="18"/>
          <w:szCs w:val="18"/>
          <w:color w:val="auto"/>
        </w:rPr>
        <w:t>increased $2.1 million, or 1 percent, from 2011 primarily due to a $3.2 million increase in the capacity component of</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our Square Butte PPA; the capacity component is not recovered through our fuel adjustment clause. Fuel and purchased power expense related to our retail and municipal customers is recovered through the fuel adjustment clause (see </w:t>
      </w:r>
      <w:r>
        <w:rPr>
          <w:rFonts w:ascii="Arial" w:cs="Arial" w:eastAsia="Arial" w:hAnsi="Arial"/>
          <w:sz w:val="18"/>
          <w:szCs w:val="18"/>
          <w:i w:val="1"/>
          <w:iCs w:val="1"/>
          <w:color w:val="auto"/>
        </w:rPr>
        <w:t>Operating Revenue</w:t>
      </w:r>
      <w:r>
        <w:rPr>
          <w:rFonts w:ascii="Arial" w:cs="Arial" w:eastAsia="Arial" w:hAnsi="Arial"/>
          <w:sz w:val="18"/>
          <w:szCs w:val="18"/>
          <w:color w:val="auto"/>
        </w:rPr>
        <w: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2012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364"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2012 Compared to 2011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Regulated Operations (Continued)</w:t>
      </w:r>
    </w:p>
    <w:p>
      <w:pPr>
        <w:spacing w:after="0" w:line="211" w:lineRule="exact"/>
        <w:rPr>
          <w:sz w:val="20"/>
          <w:szCs w:val="20"/>
          <w:color w:val="auto"/>
        </w:rPr>
      </w:pPr>
    </w:p>
    <w:p>
      <w:pPr>
        <w:jc w:val="both"/>
        <w:ind w:left="340"/>
        <w:spacing w:after="0" w:line="312" w:lineRule="auto"/>
        <w:rPr>
          <w:sz w:val="20"/>
          <w:szCs w:val="20"/>
          <w:color w:val="auto"/>
        </w:rPr>
      </w:pPr>
      <w:r>
        <w:rPr>
          <w:rFonts w:ascii="Arial" w:cs="Arial" w:eastAsia="Arial" w:hAnsi="Arial"/>
          <w:sz w:val="16"/>
          <w:szCs w:val="16"/>
          <w:i w:val="1"/>
          <w:iCs w:val="1"/>
          <w:color w:val="auto"/>
        </w:rPr>
        <w:t xml:space="preserve">Operating and Maintenance Expense </w:t>
      </w:r>
      <w:r>
        <w:rPr>
          <w:rFonts w:ascii="Arial" w:cs="Arial" w:eastAsia="Arial" w:hAnsi="Arial"/>
          <w:sz w:val="16"/>
          <w:szCs w:val="16"/>
          <w:color w:val="auto"/>
        </w:rPr>
        <w:t>increased $8.5 million, or 3 percent, from 2011 primarily due to increased salary, benefit, and transmission</w:t>
      </w:r>
      <w:r>
        <w:rPr>
          <w:rFonts w:ascii="Arial" w:cs="Arial" w:eastAsia="Arial" w:hAnsi="Arial"/>
          <w:sz w:val="16"/>
          <w:szCs w:val="16"/>
          <w:i w:val="1"/>
          <w:iCs w:val="1"/>
          <w:color w:val="auto"/>
        </w:rPr>
        <w:t xml:space="preserve"> </w:t>
      </w:r>
      <w:r>
        <w:rPr>
          <w:rFonts w:ascii="Arial" w:cs="Arial" w:eastAsia="Arial" w:hAnsi="Arial"/>
          <w:sz w:val="16"/>
          <w:szCs w:val="16"/>
          <w:color w:val="auto"/>
        </w:rPr>
        <w:t>expenses. Benefit expenses increased primarily due to higher pension expense resulting from lower discount rates. Transmission expenses increased primarily due to higher MISO RECB expense. These increases were partially offset by lower plant outage and maintenance expenses in 2012.</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Depreciation Expense </w:t>
      </w:r>
      <w:r>
        <w:rPr>
          <w:rFonts w:ascii="Arial" w:cs="Arial" w:eastAsia="Arial" w:hAnsi="Arial"/>
          <w:sz w:val="18"/>
          <w:szCs w:val="18"/>
          <w:color w:val="auto"/>
        </w:rPr>
        <w:t>increased $8.5 million, or 10 percent, from 2011 reflecting additional property, plant and equipment in service.</w:t>
      </w:r>
    </w:p>
    <w:p>
      <w:pPr>
        <w:spacing w:after="0" w:line="225"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b w:val="1"/>
          <w:bCs w:val="1"/>
          <w:i w:val="1"/>
          <w:iCs w:val="1"/>
          <w:color w:val="auto"/>
        </w:rPr>
        <w:t xml:space="preserve">Interest Expense </w:t>
      </w:r>
      <w:r>
        <w:rPr>
          <w:rFonts w:ascii="Arial" w:cs="Arial" w:eastAsia="Arial" w:hAnsi="Arial"/>
          <w:sz w:val="18"/>
          <w:szCs w:val="18"/>
          <w:color w:val="auto"/>
        </w:rPr>
        <w:t>increased $4.0 million, or 11 percent, from 2011 primarily due to higher average long-term debt balances, partially offset by higher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AFUDC - Debt.</w:t>
      </w:r>
    </w:p>
    <w:p>
      <w:pPr>
        <w:spacing w:after="0" w:line="170" w:lineRule="exact"/>
        <w:rPr>
          <w:sz w:val="20"/>
          <w:szCs w:val="20"/>
          <w:color w:val="auto"/>
        </w:rPr>
      </w:pPr>
    </w:p>
    <w:p>
      <w:pPr>
        <w:jc w:val="both"/>
        <w:ind w:left="340"/>
        <w:spacing w:after="0" w:line="302" w:lineRule="auto"/>
        <w:rPr>
          <w:sz w:val="20"/>
          <w:szCs w:val="20"/>
          <w:color w:val="auto"/>
        </w:rPr>
      </w:pPr>
      <w:r>
        <w:rPr>
          <w:rFonts w:ascii="Arial" w:cs="Arial" w:eastAsia="Arial" w:hAnsi="Arial"/>
          <w:sz w:val="16"/>
          <w:szCs w:val="16"/>
          <w:b w:val="1"/>
          <w:bCs w:val="1"/>
          <w:i w:val="1"/>
          <w:iCs w:val="1"/>
          <w:color w:val="auto"/>
        </w:rPr>
        <w:t xml:space="preserve">Income Tax Expense </w:t>
      </w:r>
      <w:r>
        <w:rPr>
          <w:rFonts w:ascii="Arial" w:cs="Arial" w:eastAsia="Arial" w:hAnsi="Arial"/>
          <w:sz w:val="16"/>
          <w:szCs w:val="16"/>
          <w:color w:val="auto"/>
        </w:rPr>
        <w:t>increased $7.2 million, or 17 percent, from 2011 primarily due to the non-recurring tax benefits recorded in 2011 for the reversal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 $6.2 million deferred tax liability related to a revenue receivable Minnesota Power agreed to forgo as part of a stipulation and settlement agreement in its 2010 rate case and the recognition of a $2.9 million income tax benefit related to the MPUC approval of our request to defer the retail portion of the tax charge taken in 2010 resulting from the PPACA. The 2012 income tax expense was impacted by increased renewable tax credits over 2011.</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 and Other</w:t>
      </w:r>
    </w:p>
    <w:p>
      <w:pPr>
        <w:spacing w:after="0" w:line="229" w:lineRule="exact"/>
        <w:rPr>
          <w:sz w:val="20"/>
          <w:szCs w:val="20"/>
          <w:color w:val="auto"/>
        </w:rPr>
      </w:pPr>
    </w:p>
    <w:p>
      <w:pPr>
        <w:jc w:val="both"/>
        <w:ind w:left="340"/>
        <w:spacing w:after="0" w:line="308" w:lineRule="auto"/>
        <w:rPr>
          <w:sz w:val="20"/>
          <w:szCs w:val="20"/>
          <w:color w:val="auto"/>
        </w:rPr>
      </w:pPr>
      <w:r>
        <w:rPr>
          <w:rFonts w:ascii="Arial" w:cs="Arial" w:eastAsia="Arial" w:hAnsi="Arial"/>
          <w:sz w:val="17"/>
          <w:szCs w:val="17"/>
          <w:b w:val="1"/>
          <w:bCs w:val="1"/>
          <w:i w:val="1"/>
          <w:iCs w:val="1"/>
          <w:color w:val="auto"/>
        </w:rPr>
        <w:t xml:space="preserve">Operating Revenue </w:t>
      </w:r>
      <w:r>
        <w:rPr>
          <w:rFonts w:ascii="Arial" w:cs="Arial" w:eastAsia="Arial" w:hAnsi="Arial"/>
          <w:sz w:val="17"/>
          <w:szCs w:val="17"/>
          <w:color w:val="auto"/>
        </w:rPr>
        <w:t>increased $10.5 million, or 14 percent, from 2011 primarily due to a $10.8 million increase in revenue at BNI Coal. BNI Coal, which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operates under a cost plus fixed fee contract, recorded higher revenue as a result of higher expenses in 2012. (See </w:t>
      </w:r>
      <w:r>
        <w:rPr>
          <w:rFonts w:ascii="Arial" w:cs="Arial" w:eastAsia="Arial" w:hAnsi="Arial"/>
          <w:sz w:val="17"/>
          <w:szCs w:val="17"/>
          <w:i w:val="1"/>
          <w:iCs w:val="1"/>
          <w:color w:val="auto"/>
        </w:rPr>
        <w:t>Operating Expenses</w:t>
      </w:r>
      <w:r>
        <w:rPr>
          <w:rFonts w:ascii="Arial" w:cs="Arial" w:eastAsia="Arial" w:hAnsi="Arial"/>
          <w:sz w:val="17"/>
          <w:szCs w:val="17"/>
          <w:color w:val="auto"/>
        </w:rPr>
        <w:t>.)</w:t>
      </w:r>
    </w:p>
    <w:p>
      <w:pPr>
        <w:spacing w:after="0" w:line="305"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4640" w:type="dxa"/>
            <w:vAlign w:val="bottom"/>
          </w:tcPr>
          <w:p>
            <w:pPr>
              <w:ind w:left="20"/>
              <w:spacing w:after="0"/>
              <w:rPr>
                <w:sz w:val="20"/>
                <w:szCs w:val="20"/>
                <w:color w:val="auto"/>
              </w:rPr>
            </w:pPr>
            <w:r>
              <w:rPr>
                <w:rFonts w:ascii="Arial" w:cs="Arial" w:eastAsia="Arial" w:hAnsi="Arial"/>
                <w:sz w:val="18"/>
                <w:szCs w:val="18"/>
                <w:b w:val="1"/>
                <w:bCs w:val="1"/>
                <w:color w:val="auto"/>
              </w:rPr>
              <w:t>ALLETE Properties</w:t>
            </w:r>
          </w:p>
        </w:tc>
        <w:tc>
          <w:tcPr>
            <w:tcW w:w="3120" w:type="dxa"/>
            <w:vAlign w:val="bottom"/>
          </w:tcPr>
          <w:p>
            <w:pPr>
              <w:jc w:val="right"/>
              <w:spacing w:after="0"/>
              <w:rPr>
                <w:sz w:val="20"/>
                <w:szCs w:val="20"/>
                <w:color w:val="auto"/>
              </w:rPr>
            </w:pPr>
            <w:r>
              <w:rPr>
                <w:rFonts w:ascii="Arial" w:cs="Arial" w:eastAsia="Arial" w:hAnsi="Arial"/>
                <w:sz w:val="18"/>
                <w:szCs w:val="18"/>
                <w:b w:val="1"/>
                <w:bCs w:val="1"/>
                <w:color w:val="auto"/>
              </w:rPr>
              <w:t>2012</w:t>
            </w:r>
          </w:p>
        </w:tc>
        <w:tc>
          <w:tcPr>
            <w:tcW w:w="9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2011</w:t>
            </w:r>
          </w:p>
        </w:tc>
        <w:tc>
          <w:tcPr>
            <w:tcW w:w="800" w:type="dxa"/>
            <w:vAlign w:val="bottom"/>
          </w:tcPr>
          <w:p>
            <w:pPr>
              <w:spacing w:after="0"/>
              <w:rPr>
                <w:sz w:val="20"/>
                <w:szCs w:val="20"/>
                <w:color w:val="auto"/>
              </w:rPr>
            </w:pPr>
          </w:p>
        </w:tc>
      </w:tr>
      <w:tr>
        <w:trPr>
          <w:trHeight w:val="270"/>
        </w:trPr>
        <w:tc>
          <w:tcPr>
            <w:tcW w:w="4640" w:type="dxa"/>
            <w:vAlign w:val="bottom"/>
          </w:tcPr>
          <w:p>
            <w:pPr>
              <w:ind w:left="20"/>
              <w:spacing w:after="0"/>
              <w:rPr>
                <w:sz w:val="20"/>
                <w:szCs w:val="20"/>
                <w:color w:val="auto"/>
              </w:rPr>
            </w:pPr>
            <w:r>
              <w:rPr>
                <w:rFonts w:ascii="Arial" w:cs="Arial" w:eastAsia="Arial" w:hAnsi="Arial"/>
                <w:sz w:val="18"/>
                <w:szCs w:val="18"/>
                <w:b w:val="1"/>
                <w:bCs w:val="1"/>
                <w:color w:val="auto"/>
              </w:rPr>
              <w:t>Revenue and Sales Activity</w:t>
            </w:r>
          </w:p>
        </w:tc>
        <w:tc>
          <w:tcPr>
            <w:tcW w:w="3120" w:type="dxa"/>
            <w:vAlign w:val="bottom"/>
          </w:tcPr>
          <w:p>
            <w:pPr>
              <w:jc w:val="right"/>
              <w:ind w:right="270"/>
              <w:spacing w:after="0"/>
              <w:rPr>
                <w:sz w:val="20"/>
                <w:szCs w:val="20"/>
                <w:color w:val="auto"/>
              </w:rPr>
            </w:pPr>
            <w:r>
              <w:rPr>
                <w:rFonts w:ascii="Arial" w:cs="Arial" w:eastAsia="Arial" w:hAnsi="Arial"/>
                <w:sz w:val="18"/>
                <w:szCs w:val="18"/>
                <w:b w:val="1"/>
                <w:bCs w:val="1"/>
                <w:color w:val="auto"/>
              </w:rPr>
              <w:t xml:space="preserve">Acres </w:t>
            </w:r>
            <w:r>
              <w:rPr>
                <w:rFonts w:ascii="Arial" w:cs="Arial" w:eastAsia="Arial" w:hAnsi="Arial"/>
                <w:sz w:val="18"/>
                <w:szCs w:val="18"/>
                <w:b w:val="1"/>
                <w:bCs w:val="1"/>
                <w:i w:val="1"/>
                <w:iCs w:val="1"/>
                <w:color w:val="auto"/>
              </w:rPr>
              <w:t>(a)</w:t>
            </w:r>
          </w:p>
        </w:tc>
        <w:tc>
          <w:tcPr>
            <w:tcW w:w="900" w:type="dxa"/>
            <w:vAlign w:val="bottom"/>
          </w:tcPr>
          <w:p>
            <w:pPr>
              <w:jc w:val="right"/>
              <w:ind w:right="90"/>
              <w:spacing w:after="0"/>
              <w:rPr>
                <w:sz w:val="20"/>
                <w:szCs w:val="20"/>
                <w:color w:val="auto"/>
              </w:rPr>
            </w:pPr>
            <w:r>
              <w:rPr>
                <w:rFonts w:ascii="Arial" w:cs="Arial" w:eastAsia="Arial" w:hAnsi="Arial"/>
                <w:sz w:val="18"/>
                <w:szCs w:val="18"/>
                <w:b w:val="1"/>
                <w:bCs w:val="1"/>
                <w:color w:val="auto"/>
              </w:rPr>
              <w:t>Amount</w:t>
            </w:r>
          </w:p>
        </w:tc>
        <w:tc>
          <w:tcPr>
            <w:tcW w:w="1240" w:type="dxa"/>
            <w:vAlign w:val="bottom"/>
          </w:tcPr>
          <w:p>
            <w:pPr>
              <w:jc w:val="right"/>
              <w:ind w:right="250"/>
              <w:spacing w:after="0"/>
              <w:rPr>
                <w:sz w:val="20"/>
                <w:szCs w:val="20"/>
                <w:color w:val="auto"/>
              </w:rPr>
            </w:pPr>
            <w:r>
              <w:rPr>
                <w:rFonts w:ascii="Arial" w:cs="Arial" w:eastAsia="Arial" w:hAnsi="Arial"/>
                <w:sz w:val="18"/>
                <w:szCs w:val="18"/>
                <w:b w:val="1"/>
                <w:bCs w:val="1"/>
                <w:color w:val="auto"/>
              </w:rPr>
              <w:t xml:space="preserve">Acres </w:t>
            </w:r>
            <w:r>
              <w:rPr>
                <w:rFonts w:ascii="Arial" w:cs="Arial" w:eastAsia="Arial" w:hAnsi="Arial"/>
                <w:sz w:val="18"/>
                <w:szCs w:val="18"/>
                <w:b w:val="1"/>
                <w:bCs w:val="1"/>
                <w:i w:val="1"/>
                <w:iCs w:val="1"/>
                <w:color w:val="auto"/>
              </w:rPr>
              <w:t>(a)</w:t>
            </w:r>
          </w:p>
        </w:tc>
        <w:tc>
          <w:tcPr>
            <w:tcW w:w="80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Amount</w:t>
            </w:r>
          </w:p>
        </w:tc>
      </w:tr>
      <w:tr>
        <w:trPr>
          <w:trHeight w:val="27"/>
        </w:trPr>
        <w:tc>
          <w:tcPr>
            <w:tcW w:w="4640" w:type="dxa"/>
            <w:vAlign w:val="bottom"/>
            <w:tcBorders>
              <w:bottom w:val="single" w:sz="8" w:color="auto"/>
            </w:tcBorders>
          </w:tcPr>
          <w:p>
            <w:pPr>
              <w:spacing w:after="0"/>
              <w:rPr>
                <w:sz w:val="2"/>
                <w:szCs w:val="2"/>
                <w:color w:val="auto"/>
              </w:rPr>
            </w:pPr>
          </w:p>
        </w:tc>
        <w:tc>
          <w:tcPr>
            <w:tcW w:w="3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4640" w:type="dxa"/>
            <w:vAlign w:val="bottom"/>
          </w:tcPr>
          <w:p>
            <w:pPr>
              <w:ind w:left="20"/>
              <w:spacing w:after="0"/>
              <w:rPr>
                <w:sz w:val="20"/>
                <w:szCs w:val="20"/>
                <w:color w:val="auto"/>
              </w:rPr>
            </w:pPr>
            <w:r>
              <w:rPr>
                <w:rFonts w:ascii="Arial" w:cs="Arial" w:eastAsia="Arial" w:hAnsi="Arial"/>
                <w:sz w:val="18"/>
                <w:szCs w:val="18"/>
                <w:b w:val="1"/>
                <w:bCs w:val="1"/>
                <w:color w:val="auto"/>
              </w:rPr>
              <w:t>Dollars in Millions</w:t>
            </w:r>
          </w:p>
        </w:tc>
        <w:tc>
          <w:tcPr>
            <w:tcW w:w="3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7"/>
        </w:trPr>
        <w:tc>
          <w:tcPr>
            <w:tcW w:w="4640" w:type="dxa"/>
            <w:vAlign w:val="bottom"/>
          </w:tcPr>
          <w:p>
            <w:pPr>
              <w:spacing w:after="0"/>
              <w:rPr>
                <w:sz w:val="2"/>
                <w:szCs w:val="2"/>
                <w:color w:val="auto"/>
              </w:rPr>
            </w:pPr>
          </w:p>
        </w:tc>
        <w:tc>
          <w:tcPr>
            <w:tcW w:w="3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4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 from Land Sales</w:t>
            </w:r>
          </w:p>
        </w:tc>
        <w:tc>
          <w:tcPr>
            <w:tcW w:w="312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3</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w:t>
            </w:r>
          </w:p>
        </w:tc>
      </w:tr>
      <w:tr>
        <w:trPr>
          <w:trHeight w:val="243"/>
        </w:trPr>
        <w:tc>
          <w:tcPr>
            <w:tcW w:w="4640" w:type="dxa"/>
            <w:vAlign w:val="bottom"/>
          </w:tcPr>
          <w:p>
            <w:pPr>
              <w:ind w:left="20"/>
              <w:spacing w:after="0"/>
              <w:rPr>
                <w:sz w:val="20"/>
                <w:szCs w:val="20"/>
                <w:color w:val="auto"/>
              </w:rPr>
            </w:pPr>
            <w:r>
              <w:rPr>
                <w:rFonts w:ascii="Arial" w:cs="Arial" w:eastAsia="Arial" w:hAnsi="Arial"/>
                <w:sz w:val="18"/>
                <w:szCs w:val="18"/>
                <w:color w:val="auto"/>
              </w:rPr>
              <w:t xml:space="preserve">Other Revenue </w:t>
            </w:r>
            <w:r>
              <w:rPr>
                <w:rFonts w:ascii="Arial" w:cs="Arial" w:eastAsia="Arial" w:hAnsi="Arial"/>
                <w:sz w:val="18"/>
                <w:szCs w:val="18"/>
                <w:i w:val="1"/>
                <w:iCs w:val="1"/>
                <w:color w:val="auto"/>
              </w:rPr>
              <w:t>(b)</w:t>
            </w:r>
          </w:p>
        </w:tc>
        <w:tc>
          <w:tcPr>
            <w:tcW w:w="3120" w:type="dxa"/>
            <w:vAlign w:val="bottom"/>
          </w:tcPr>
          <w:p>
            <w:pPr>
              <w:spacing w:after="0"/>
              <w:rPr>
                <w:sz w:val="21"/>
                <w:szCs w:val="21"/>
                <w:color w:val="auto"/>
              </w:rPr>
            </w:pP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$2.1</w:t>
            </w:r>
          </w:p>
        </w:tc>
        <w:tc>
          <w:tcPr>
            <w:tcW w:w="12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0.9</w:t>
            </w:r>
          </w:p>
        </w:tc>
      </w:tr>
      <w:tr>
        <w:trPr>
          <w:trHeight w:val="27"/>
        </w:trPr>
        <w:tc>
          <w:tcPr>
            <w:tcW w:w="4640" w:type="dxa"/>
            <w:vAlign w:val="bottom"/>
            <w:tcBorders>
              <w:bottom w:val="single" w:sz="8" w:color="auto"/>
            </w:tcBorders>
          </w:tcPr>
          <w:p>
            <w:pPr>
              <w:spacing w:after="0"/>
              <w:rPr>
                <w:sz w:val="2"/>
                <w:szCs w:val="2"/>
                <w:color w:val="auto"/>
              </w:rPr>
            </w:pPr>
          </w:p>
        </w:tc>
        <w:tc>
          <w:tcPr>
            <w:tcW w:w="3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4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ALLETE Properties Revenue</w:t>
            </w:r>
          </w:p>
        </w:tc>
        <w:tc>
          <w:tcPr>
            <w:tcW w:w="3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$2.1</w:t>
            </w:r>
          </w:p>
        </w:tc>
        <w:tc>
          <w:tcPr>
            <w:tcW w:w="1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r>
      <w:tr>
        <w:trPr>
          <w:trHeight w:val="20"/>
        </w:trPr>
        <w:tc>
          <w:tcPr>
            <w:tcW w:w="4640" w:type="dxa"/>
            <w:vAlign w:val="bottom"/>
            <w:shd w:val="clear" w:color="auto" w:fill="000000"/>
          </w:tcPr>
          <w:p>
            <w:pPr>
              <w:spacing w:after="0" w:line="20" w:lineRule="exact"/>
              <w:rPr>
                <w:sz w:val="1"/>
                <w:szCs w:val="1"/>
                <w:color w:val="auto"/>
              </w:rPr>
            </w:pPr>
          </w:p>
        </w:tc>
        <w:tc>
          <w:tcPr>
            <w:tcW w:w="3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bl>
    <w:p>
      <w:pPr>
        <w:ind w:left="660" w:hanging="328"/>
        <w:spacing w:after="0"/>
        <w:tabs>
          <w:tab w:leader="none" w:pos="660" w:val="left"/>
        </w:tabs>
        <w:numPr>
          <w:ilvl w:val="0"/>
          <w:numId w:val="12"/>
        </w:numPr>
        <w:rPr>
          <w:rFonts w:ascii="Arial" w:cs="Arial" w:eastAsia="Arial" w:hAnsi="Arial"/>
          <w:sz w:val="16"/>
          <w:szCs w:val="16"/>
          <w:i w:val="1"/>
          <w:iCs w:val="1"/>
          <w:color w:val="auto"/>
        </w:rPr>
      </w:pPr>
      <w:r>
        <w:rPr>
          <w:rFonts w:ascii="Arial" w:cs="Arial" w:eastAsia="Arial" w:hAnsi="Arial"/>
          <w:sz w:val="16"/>
          <w:szCs w:val="16"/>
          <w:i w:val="1"/>
          <w:iCs w:val="1"/>
          <w:color w:val="auto"/>
        </w:rPr>
        <w:t>Acreage amounts are shown on a gross basis, including wetlands.</w:t>
      </w:r>
    </w:p>
    <w:p>
      <w:pPr>
        <w:spacing w:after="0" w:line="9" w:lineRule="exact"/>
        <w:rPr>
          <w:rFonts w:ascii="Arial" w:cs="Arial" w:eastAsia="Arial" w:hAnsi="Arial"/>
          <w:sz w:val="16"/>
          <w:szCs w:val="16"/>
          <w:i w:val="1"/>
          <w:iCs w:val="1"/>
          <w:color w:val="auto"/>
        </w:rPr>
      </w:pPr>
    </w:p>
    <w:p>
      <w:pPr>
        <w:jc w:val="both"/>
        <w:ind w:left="660" w:hanging="328"/>
        <w:spacing w:after="0" w:line="252" w:lineRule="auto"/>
        <w:tabs>
          <w:tab w:leader="none" w:pos="660" w:val="left"/>
        </w:tabs>
        <w:numPr>
          <w:ilvl w:val="0"/>
          <w:numId w:val="12"/>
        </w:numPr>
        <w:rPr>
          <w:rFonts w:ascii="Arial" w:cs="Arial" w:eastAsia="Arial" w:hAnsi="Arial"/>
          <w:sz w:val="16"/>
          <w:szCs w:val="16"/>
          <w:i w:val="1"/>
          <w:iCs w:val="1"/>
          <w:color w:val="auto"/>
        </w:rPr>
      </w:pPr>
      <w:r>
        <w:rPr>
          <w:rFonts w:ascii="Arial" w:cs="Arial" w:eastAsia="Arial" w:hAnsi="Arial"/>
          <w:sz w:val="16"/>
          <w:szCs w:val="16"/>
          <w:i w:val="1"/>
          <w:iCs w:val="1"/>
          <w:color w:val="auto"/>
        </w:rPr>
        <w:t>For the year ended December 31, 2012, Other Revenue includes wetland mitigation bank credit sales of $1.1million. For the year ended December 31, 2011, Other Revenue includes a $0.4 million forfeited deposit due to the transfer of property back to ALLETE Properties by deed-in-lieu of foreclosure, in satisfaction of amounts previously owed under long-term financing receivables.</w:t>
      </w:r>
    </w:p>
    <w:p>
      <w:pPr>
        <w:spacing w:after="0" w:line="158"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b w:val="1"/>
          <w:bCs w:val="1"/>
          <w:i w:val="1"/>
          <w:iCs w:val="1"/>
          <w:color w:val="auto"/>
        </w:rPr>
        <w:t xml:space="preserve">Operating Expenses </w:t>
      </w:r>
      <w:r>
        <w:rPr>
          <w:rFonts w:ascii="Arial" w:cs="Arial" w:eastAsia="Arial" w:hAnsi="Arial"/>
          <w:sz w:val="18"/>
          <w:szCs w:val="18"/>
          <w:color w:val="auto"/>
        </w:rPr>
        <w:t>increased $8.7 million, or 10 percent, from 2011 reflecting higher expenses at BNI Coal of $8.4 million primarily due to higher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repairs, fuel costs and new equipment leases; these costs are recovered through the cost plus fixed fee contract. (See </w:t>
      </w:r>
      <w:r>
        <w:rPr>
          <w:rFonts w:ascii="Arial" w:cs="Arial" w:eastAsia="Arial" w:hAnsi="Arial"/>
          <w:sz w:val="18"/>
          <w:szCs w:val="18"/>
          <w:i w:val="1"/>
          <w:iCs w:val="1"/>
          <w:color w:val="auto"/>
        </w:rPr>
        <w:t>Operating Revenue</w:t>
      </w:r>
      <w:r>
        <w:rPr>
          <w:rFonts w:ascii="Arial" w:cs="Arial" w:eastAsia="Arial" w:hAnsi="Arial"/>
          <w:sz w:val="18"/>
          <w:szCs w:val="18"/>
          <w:color w:val="auto"/>
        </w:rPr>
        <w:t>.) The remaining increase was primarily due to higher business development expenses. These increases were partially offset by a $1.7 million pretax impairment charge taken at ALLETE Properties in 2011.</w:t>
      </w:r>
    </w:p>
    <w:p>
      <w:pPr>
        <w:spacing w:after="0" w:line="187"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b w:val="1"/>
          <w:bCs w:val="1"/>
          <w:i w:val="1"/>
          <w:iCs w:val="1"/>
          <w:color w:val="auto"/>
        </w:rPr>
        <w:t xml:space="preserve">Interest Expense </w:t>
      </w:r>
      <w:r>
        <w:rPr>
          <w:rFonts w:ascii="Arial" w:cs="Arial" w:eastAsia="Arial" w:hAnsi="Arial"/>
          <w:sz w:val="18"/>
          <w:szCs w:val="18"/>
          <w:color w:val="auto"/>
        </w:rPr>
        <w:t>decreased $2.1 million, or 27 percent, from 2011 primarily due to an increase in the proportion of ALLETE interest expense allocated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Minnesota Power. We record interest expense for our Regulated Operations based on Minnesota Power’s rate base and authorized capital structure, and allocate the remaining balance to Investments and Other. Interest expense also decreased due to the reversal of interest accrued in previous years related to our uncertain tax positions.</w:t>
      </w:r>
    </w:p>
    <w:p>
      <w:pPr>
        <w:spacing w:after="0" w:line="187"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b w:val="1"/>
          <w:bCs w:val="1"/>
          <w:i w:val="1"/>
          <w:iCs w:val="1"/>
          <w:color w:val="auto"/>
        </w:rPr>
        <w:t xml:space="preserve">Income Tax Benefits </w:t>
      </w:r>
      <w:r>
        <w:rPr>
          <w:rFonts w:ascii="Arial" w:cs="Arial" w:eastAsia="Arial" w:hAnsi="Arial"/>
          <w:sz w:val="18"/>
          <w:szCs w:val="18"/>
          <w:color w:val="auto"/>
        </w:rPr>
        <w:t>increased $4.8 million, or 63 percent, from 2011 due to lower state tax expense. State income tax expense was lower in 2012</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primarily due to North Dakota income tax credits attributable to our North Dakota capital investment, and recognized as a result of ALLETE’s expected generation of future taxable income in excess of that generated by our Regulated Operations.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2012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364"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2012 Compared to 2011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 – Consolidated</w:t>
      </w:r>
    </w:p>
    <w:p>
      <w:pPr>
        <w:spacing w:after="0" w:line="229" w:lineRule="exact"/>
        <w:rPr>
          <w:sz w:val="20"/>
          <w:szCs w:val="20"/>
          <w:color w:val="auto"/>
        </w:rPr>
      </w:pPr>
    </w:p>
    <w:p>
      <w:pPr>
        <w:jc w:val="both"/>
        <w:ind w:left="340"/>
        <w:spacing w:after="0" w:line="271" w:lineRule="auto"/>
        <w:rPr>
          <w:sz w:val="20"/>
          <w:szCs w:val="20"/>
          <w:color w:val="auto"/>
        </w:rPr>
      </w:pPr>
      <w:r>
        <w:rPr>
          <w:rFonts w:ascii="Arial" w:cs="Arial" w:eastAsia="Arial" w:hAnsi="Arial"/>
          <w:sz w:val="17"/>
          <w:szCs w:val="17"/>
          <w:color w:val="auto"/>
        </w:rPr>
        <w:t>For the year ended December 31, 2012, the effective tax rate was 28.1 percent (27.6 percent for the year ended December 31, 2011; the effective tax rate for the year ended December 31, 2011, was lowered by 4.8 percentage points due to the non-recurring reversal of the deferred tax liability related to a revenue receivable that Minnesota Power agreed to forgo as part of a stipulation and settlement agreement in its 2010 rate case, and by 2.2 percentage points due to the non-recurring income tax benefit related to the MPUC approval of our request to defer the retail portion of the tax charge taken in 2010 resulting from the PPACA). The increase in the effective tax rate from the year ended December 31, 2011, was primarily due to the 2011 non-recurring items above, which were offset by increased renewable tax credits in 2012. The effective tax rate deviated from the statutory rate of approximately 41 percent primarily due to deductions for AFUDC - Equity, investment tax credits, renewable tax credits and depletion, and in 2011, for the non-recurring items discussed above. (See Note 14. Income Tax Expense.)</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2011 Compared to 2010</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 2. Business Segments for financial results by segment.)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Regulated Operations</w:t>
      </w:r>
    </w:p>
    <w:p>
      <w:pPr>
        <w:spacing w:after="0" w:line="229" w:lineRule="exact"/>
        <w:rPr>
          <w:sz w:val="20"/>
          <w:szCs w:val="20"/>
          <w:color w:val="auto"/>
        </w:rPr>
      </w:pPr>
    </w:p>
    <w:p>
      <w:pPr>
        <w:jc w:val="both"/>
        <w:ind w:left="340"/>
        <w:spacing w:after="0" w:line="286" w:lineRule="auto"/>
        <w:rPr>
          <w:sz w:val="20"/>
          <w:szCs w:val="20"/>
          <w:color w:val="auto"/>
        </w:rPr>
      </w:pPr>
      <w:r>
        <w:rPr>
          <w:rFonts w:ascii="Arial" w:cs="Arial" w:eastAsia="Arial" w:hAnsi="Arial"/>
          <w:sz w:val="17"/>
          <w:szCs w:val="17"/>
          <w:b w:val="1"/>
          <w:bCs w:val="1"/>
          <w:i w:val="1"/>
          <w:iCs w:val="1"/>
          <w:color w:val="auto"/>
        </w:rPr>
        <w:t xml:space="preserve">Operating Revenue </w:t>
      </w:r>
      <w:r>
        <w:rPr>
          <w:rFonts w:ascii="Arial" w:cs="Arial" w:eastAsia="Arial" w:hAnsi="Arial"/>
          <w:sz w:val="17"/>
          <w:szCs w:val="17"/>
          <w:color w:val="auto"/>
        </w:rPr>
        <w:t>increased $16.4 million, or 2 percent, from 2010 primarily due to increased sales to our retail and municipal customers, increased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cost recovery rider revenue, higher fuel clause recoveries, increased financial incentives under the Minnesota Conservation Improvement Program, and implementation of final retail rates. These increases were partially offset by lower sales to Other Power Suppliers.</w:t>
      </w:r>
    </w:p>
    <w:p>
      <w:pPr>
        <w:spacing w:after="0" w:line="166" w:lineRule="exact"/>
        <w:rPr>
          <w:sz w:val="20"/>
          <w:szCs w:val="20"/>
          <w:color w:val="auto"/>
        </w:rPr>
      </w:pPr>
    </w:p>
    <w:p>
      <w:pPr>
        <w:jc w:val="both"/>
        <w:ind w:left="340"/>
        <w:spacing w:after="0" w:line="302" w:lineRule="auto"/>
        <w:rPr>
          <w:sz w:val="20"/>
          <w:szCs w:val="20"/>
          <w:color w:val="auto"/>
        </w:rPr>
      </w:pPr>
      <w:r>
        <w:rPr>
          <w:rFonts w:ascii="Arial" w:cs="Arial" w:eastAsia="Arial" w:hAnsi="Arial"/>
          <w:sz w:val="16"/>
          <w:szCs w:val="16"/>
          <w:color w:val="auto"/>
        </w:rPr>
        <w:t>Revenue and kilowatt-hour sales to retail and municipal customers increased $21.5 million and 5.6 percent, respectively, from 2010 primarily due to a 8.2 percent increase in kilowatt-hour sales to our industrial customers and the implementation of final retail rates. Increased revenue from those sales was offset by a $30.5 million and a 19.7 percent decrease in revenue and kilowatt-hour sales, respectively, to Other Power Suppliers. Sales to Other Power Suppliers are sold at market-based prices into the MISO market on a daily basis or through bilateral agreements of various durations.</w:t>
      </w:r>
    </w:p>
    <w:p>
      <w:pPr>
        <w:spacing w:after="0" w:line="312"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80" w:type="dxa"/>
            <w:vAlign w:val="bottom"/>
          </w:tcPr>
          <w:p>
            <w:pPr>
              <w:jc w:val="right"/>
              <w:ind w:right="390"/>
              <w:spacing w:after="0"/>
              <w:rPr>
                <w:sz w:val="20"/>
                <w:szCs w:val="20"/>
                <w:color w:val="auto"/>
              </w:rPr>
            </w:pPr>
            <w:r>
              <w:rPr>
                <w:rFonts w:ascii="Arial" w:cs="Arial" w:eastAsia="Arial" w:hAnsi="Arial"/>
                <w:sz w:val="18"/>
                <w:szCs w:val="18"/>
                <w:b w:val="1"/>
                <w:bCs w:val="1"/>
                <w:color w:val="auto"/>
              </w:rPr>
              <w:t>Quantity</w:t>
            </w:r>
          </w:p>
        </w:tc>
        <w:tc>
          <w:tcPr>
            <w:tcW w:w="1360" w:type="dxa"/>
            <w:vAlign w:val="bottom"/>
          </w:tcPr>
          <w:p>
            <w:pPr>
              <w:jc w:val="right"/>
              <w:ind w:right="570"/>
              <w:spacing w:after="0"/>
              <w:rPr>
                <w:sz w:val="20"/>
                <w:szCs w:val="20"/>
                <w:color w:val="auto"/>
              </w:rPr>
            </w:pPr>
            <w:r>
              <w:rPr>
                <w:rFonts w:ascii="Arial" w:cs="Arial" w:eastAsia="Arial" w:hAnsi="Arial"/>
                <w:sz w:val="18"/>
                <w:szCs w:val="18"/>
                <w:b w:val="1"/>
                <w:bCs w:val="1"/>
                <w:color w:val="auto"/>
              </w:rPr>
              <w:t>%</w:t>
            </w:r>
          </w:p>
        </w:tc>
      </w:tr>
      <w:tr>
        <w:trPr>
          <w:trHeight w:val="234"/>
        </w:trPr>
        <w:tc>
          <w:tcPr>
            <w:tcW w:w="4620" w:type="dxa"/>
            <w:vAlign w:val="bottom"/>
          </w:tcPr>
          <w:p>
            <w:pPr>
              <w:ind w:left="20"/>
              <w:spacing w:after="0"/>
              <w:rPr>
                <w:sz w:val="20"/>
                <w:szCs w:val="20"/>
                <w:color w:val="auto"/>
              </w:rPr>
            </w:pPr>
            <w:r>
              <w:rPr>
                <w:rFonts w:ascii="Arial" w:cs="Arial" w:eastAsia="Arial" w:hAnsi="Arial"/>
                <w:sz w:val="18"/>
                <w:szCs w:val="18"/>
                <w:b w:val="1"/>
                <w:bCs w:val="1"/>
                <w:color w:val="auto"/>
              </w:rPr>
              <w:t>Kilowatt-hours Sold</w:t>
            </w:r>
          </w:p>
        </w:tc>
        <w:tc>
          <w:tcPr>
            <w:tcW w:w="22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2011</w:t>
            </w:r>
          </w:p>
        </w:tc>
        <w:tc>
          <w:tcPr>
            <w:tcW w:w="1100" w:type="dxa"/>
            <w:vAlign w:val="bottom"/>
          </w:tcPr>
          <w:p>
            <w:pPr>
              <w:jc w:val="right"/>
              <w:ind w:right="130"/>
              <w:spacing w:after="0"/>
              <w:rPr>
                <w:sz w:val="20"/>
                <w:szCs w:val="20"/>
                <w:color w:val="auto"/>
              </w:rPr>
            </w:pPr>
            <w:r>
              <w:rPr>
                <w:rFonts w:ascii="Arial" w:cs="Arial" w:eastAsia="Arial" w:hAnsi="Arial"/>
                <w:sz w:val="18"/>
                <w:szCs w:val="18"/>
                <w:b w:val="1"/>
                <w:bCs w:val="1"/>
                <w:color w:val="auto"/>
              </w:rPr>
              <w:t>2010</w:t>
            </w:r>
          </w:p>
        </w:tc>
        <w:tc>
          <w:tcPr>
            <w:tcW w:w="1380" w:type="dxa"/>
            <w:vAlign w:val="bottom"/>
          </w:tcPr>
          <w:p>
            <w:pPr>
              <w:jc w:val="right"/>
              <w:ind w:right="390"/>
              <w:spacing w:after="0"/>
              <w:rPr>
                <w:sz w:val="20"/>
                <w:szCs w:val="20"/>
                <w:color w:val="auto"/>
              </w:rPr>
            </w:pPr>
            <w:r>
              <w:rPr>
                <w:rFonts w:ascii="Arial" w:cs="Arial" w:eastAsia="Arial" w:hAnsi="Arial"/>
                <w:sz w:val="18"/>
                <w:szCs w:val="18"/>
                <w:b w:val="1"/>
                <w:bCs w:val="1"/>
                <w:color w:val="auto"/>
              </w:rPr>
              <w:t>Variance</w:t>
            </w:r>
          </w:p>
        </w:tc>
        <w:tc>
          <w:tcPr>
            <w:tcW w:w="1360" w:type="dxa"/>
            <w:vAlign w:val="bottom"/>
          </w:tcPr>
          <w:p>
            <w:pPr>
              <w:jc w:val="right"/>
              <w:ind w:right="310"/>
              <w:spacing w:after="0"/>
              <w:rPr>
                <w:sz w:val="20"/>
                <w:szCs w:val="20"/>
                <w:color w:val="auto"/>
              </w:rPr>
            </w:pPr>
            <w:r>
              <w:rPr>
                <w:rFonts w:ascii="Arial" w:cs="Arial" w:eastAsia="Arial" w:hAnsi="Arial"/>
                <w:sz w:val="18"/>
                <w:szCs w:val="18"/>
                <w:b w:val="1"/>
                <w:bCs w:val="1"/>
                <w:color w:val="auto"/>
              </w:rPr>
              <w:t>Variance</w:t>
            </w:r>
          </w:p>
        </w:tc>
      </w:tr>
      <w:tr>
        <w:trPr>
          <w:trHeight w:val="27"/>
        </w:trPr>
        <w:tc>
          <w:tcPr>
            <w:tcW w:w="462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7"/>
        </w:trPr>
        <w:tc>
          <w:tcPr>
            <w:tcW w:w="462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2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7"/>
        </w:trPr>
        <w:tc>
          <w:tcPr>
            <w:tcW w:w="46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Regulated Utility</w:t>
            </w:r>
          </w:p>
        </w:tc>
        <w:tc>
          <w:tcPr>
            <w:tcW w:w="2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4620" w:type="dxa"/>
            <w:vAlign w:val="bottom"/>
          </w:tcPr>
          <w:p>
            <w:pPr>
              <w:ind w:left="260"/>
              <w:spacing w:after="0"/>
              <w:rPr>
                <w:sz w:val="20"/>
                <w:szCs w:val="20"/>
                <w:color w:val="auto"/>
              </w:rPr>
            </w:pPr>
            <w:r>
              <w:rPr>
                <w:rFonts w:ascii="Arial" w:cs="Arial" w:eastAsia="Arial" w:hAnsi="Arial"/>
                <w:sz w:val="18"/>
                <w:szCs w:val="18"/>
                <w:color w:val="auto"/>
              </w:rPr>
              <w:t>Retail and Municipals</w:t>
            </w:r>
          </w:p>
        </w:tc>
        <w:tc>
          <w:tcPr>
            <w:tcW w:w="2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7"/>
        </w:trPr>
        <w:tc>
          <w:tcPr>
            <w:tcW w:w="46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6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Residential</w:t>
            </w:r>
          </w:p>
        </w:tc>
        <w:tc>
          <w:tcPr>
            <w:tcW w:w="22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1,159</w:t>
            </w:r>
          </w:p>
        </w:tc>
        <w:tc>
          <w:tcPr>
            <w:tcW w:w="11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1,150</w:t>
            </w:r>
          </w:p>
        </w:tc>
        <w:tc>
          <w:tcPr>
            <w:tcW w:w="13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9</w:t>
            </w:r>
          </w:p>
        </w:tc>
        <w:tc>
          <w:tcPr>
            <w:tcW w:w="13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0.8</w:t>
            </w:r>
          </w:p>
        </w:tc>
      </w:tr>
      <w:tr>
        <w:trPr>
          <w:trHeight w:val="243"/>
        </w:trPr>
        <w:tc>
          <w:tcPr>
            <w:tcW w:w="4620" w:type="dxa"/>
            <w:vAlign w:val="bottom"/>
          </w:tcPr>
          <w:p>
            <w:pPr>
              <w:ind w:left="480"/>
              <w:spacing w:after="0"/>
              <w:rPr>
                <w:sz w:val="20"/>
                <w:szCs w:val="20"/>
                <w:color w:val="auto"/>
              </w:rPr>
            </w:pPr>
            <w:r>
              <w:rPr>
                <w:rFonts w:ascii="Arial" w:cs="Arial" w:eastAsia="Arial" w:hAnsi="Arial"/>
                <w:sz w:val="18"/>
                <w:szCs w:val="18"/>
                <w:color w:val="auto"/>
              </w:rPr>
              <w:t>Commercial</w:t>
            </w:r>
          </w:p>
        </w:tc>
        <w:tc>
          <w:tcPr>
            <w:tcW w:w="2280" w:type="dxa"/>
            <w:vAlign w:val="bottom"/>
          </w:tcPr>
          <w:p>
            <w:pPr>
              <w:jc w:val="right"/>
              <w:ind w:right="290"/>
              <w:spacing w:after="0"/>
              <w:rPr>
                <w:sz w:val="20"/>
                <w:szCs w:val="20"/>
                <w:color w:val="auto"/>
              </w:rPr>
            </w:pPr>
            <w:r>
              <w:rPr>
                <w:rFonts w:ascii="Arial" w:cs="Arial" w:eastAsia="Arial" w:hAnsi="Arial"/>
                <w:sz w:val="18"/>
                <w:szCs w:val="18"/>
                <w:color w:val="auto"/>
              </w:rPr>
              <w:t>1,433</w:t>
            </w: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1,433</w:t>
            </w:r>
          </w:p>
        </w:tc>
        <w:tc>
          <w:tcPr>
            <w:tcW w:w="138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250"/>
              <w:spacing w:after="0"/>
              <w:rPr>
                <w:sz w:val="20"/>
                <w:szCs w:val="20"/>
                <w:color w:val="auto"/>
              </w:rPr>
            </w:pPr>
            <w:r>
              <w:rPr>
                <w:rFonts w:ascii="Arial" w:cs="Arial" w:eastAsia="Arial" w:hAnsi="Arial"/>
                <w:sz w:val="18"/>
                <w:szCs w:val="18"/>
                <w:color w:val="auto"/>
              </w:rPr>
              <w:t>—</w:t>
            </w:r>
          </w:p>
        </w:tc>
      </w:tr>
      <w:tr>
        <w:trPr>
          <w:trHeight w:val="27"/>
        </w:trPr>
        <w:tc>
          <w:tcPr>
            <w:tcW w:w="46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6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Industrial</w:t>
            </w:r>
          </w:p>
        </w:tc>
        <w:tc>
          <w:tcPr>
            <w:tcW w:w="22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7,365</w:t>
            </w:r>
          </w:p>
        </w:tc>
        <w:tc>
          <w:tcPr>
            <w:tcW w:w="11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6,804</w:t>
            </w:r>
          </w:p>
        </w:tc>
        <w:tc>
          <w:tcPr>
            <w:tcW w:w="13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561</w:t>
            </w:r>
          </w:p>
        </w:tc>
        <w:tc>
          <w:tcPr>
            <w:tcW w:w="13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8.2</w:t>
            </w:r>
          </w:p>
        </w:tc>
      </w:tr>
      <w:tr>
        <w:trPr>
          <w:trHeight w:val="243"/>
        </w:trPr>
        <w:tc>
          <w:tcPr>
            <w:tcW w:w="4620" w:type="dxa"/>
            <w:vAlign w:val="bottom"/>
          </w:tcPr>
          <w:p>
            <w:pPr>
              <w:ind w:left="480"/>
              <w:spacing w:after="0"/>
              <w:rPr>
                <w:sz w:val="20"/>
                <w:szCs w:val="20"/>
                <w:color w:val="auto"/>
              </w:rPr>
            </w:pPr>
            <w:r>
              <w:rPr>
                <w:rFonts w:ascii="Arial" w:cs="Arial" w:eastAsia="Arial" w:hAnsi="Arial"/>
                <w:sz w:val="18"/>
                <w:szCs w:val="18"/>
                <w:color w:val="auto"/>
              </w:rPr>
              <w:t>Municipals</w:t>
            </w:r>
          </w:p>
        </w:tc>
        <w:tc>
          <w:tcPr>
            <w:tcW w:w="2280" w:type="dxa"/>
            <w:vAlign w:val="bottom"/>
          </w:tcPr>
          <w:p>
            <w:pPr>
              <w:jc w:val="right"/>
              <w:ind w:right="290"/>
              <w:spacing w:after="0"/>
              <w:rPr>
                <w:sz w:val="20"/>
                <w:szCs w:val="20"/>
                <w:color w:val="auto"/>
              </w:rPr>
            </w:pPr>
            <w:r>
              <w:rPr>
                <w:rFonts w:ascii="Arial" w:cs="Arial" w:eastAsia="Arial" w:hAnsi="Arial"/>
                <w:sz w:val="18"/>
                <w:szCs w:val="18"/>
                <w:color w:val="auto"/>
              </w:rPr>
              <w:t>1,013</w:t>
            </w: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1,006</w:t>
            </w:r>
          </w:p>
        </w:tc>
        <w:tc>
          <w:tcPr>
            <w:tcW w:w="1380" w:type="dxa"/>
            <w:vAlign w:val="bottom"/>
          </w:tcPr>
          <w:p>
            <w:pPr>
              <w:jc w:val="right"/>
              <w:ind w:right="270"/>
              <w:spacing w:after="0"/>
              <w:rPr>
                <w:sz w:val="20"/>
                <w:szCs w:val="20"/>
                <w:color w:val="auto"/>
              </w:rPr>
            </w:pPr>
            <w:r>
              <w:rPr>
                <w:rFonts w:ascii="Arial" w:cs="Arial" w:eastAsia="Arial" w:hAnsi="Arial"/>
                <w:sz w:val="18"/>
                <w:szCs w:val="18"/>
                <w:color w:val="auto"/>
              </w:rPr>
              <w:t>7</w:t>
            </w:r>
          </w:p>
        </w:tc>
        <w:tc>
          <w:tcPr>
            <w:tcW w:w="1360" w:type="dxa"/>
            <w:vAlign w:val="bottom"/>
          </w:tcPr>
          <w:p>
            <w:pPr>
              <w:jc w:val="right"/>
              <w:ind w:right="250"/>
              <w:spacing w:after="0"/>
              <w:rPr>
                <w:sz w:val="20"/>
                <w:szCs w:val="20"/>
                <w:color w:val="auto"/>
              </w:rPr>
            </w:pPr>
            <w:r>
              <w:rPr>
                <w:rFonts w:ascii="Arial" w:cs="Arial" w:eastAsia="Arial" w:hAnsi="Arial"/>
                <w:sz w:val="18"/>
                <w:szCs w:val="18"/>
                <w:color w:val="auto"/>
              </w:rPr>
              <w:t>0.7</w:t>
            </w:r>
          </w:p>
        </w:tc>
      </w:tr>
      <w:tr>
        <w:trPr>
          <w:trHeight w:val="27"/>
        </w:trPr>
        <w:tc>
          <w:tcPr>
            <w:tcW w:w="462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462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Total Retail and Municipals</w:t>
            </w:r>
          </w:p>
        </w:tc>
        <w:tc>
          <w:tcPr>
            <w:tcW w:w="22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10,970</w:t>
            </w:r>
          </w:p>
        </w:tc>
        <w:tc>
          <w:tcPr>
            <w:tcW w:w="11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10,393</w:t>
            </w:r>
          </w:p>
        </w:tc>
        <w:tc>
          <w:tcPr>
            <w:tcW w:w="13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577</w:t>
            </w:r>
          </w:p>
        </w:tc>
        <w:tc>
          <w:tcPr>
            <w:tcW w:w="13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5.6</w:t>
            </w:r>
          </w:p>
        </w:tc>
      </w:tr>
      <w:tr>
        <w:trPr>
          <w:trHeight w:val="243"/>
        </w:trPr>
        <w:tc>
          <w:tcPr>
            <w:tcW w:w="4620" w:type="dxa"/>
            <w:vAlign w:val="bottom"/>
          </w:tcPr>
          <w:p>
            <w:pPr>
              <w:ind w:left="260"/>
              <w:spacing w:after="0"/>
              <w:rPr>
                <w:sz w:val="20"/>
                <w:szCs w:val="20"/>
                <w:color w:val="auto"/>
              </w:rPr>
            </w:pPr>
            <w:r>
              <w:rPr>
                <w:rFonts w:ascii="Arial" w:cs="Arial" w:eastAsia="Arial" w:hAnsi="Arial"/>
                <w:sz w:val="18"/>
                <w:szCs w:val="18"/>
                <w:color w:val="auto"/>
              </w:rPr>
              <w:t>Other Power Suppliers</w:t>
            </w:r>
          </w:p>
        </w:tc>
        <w:tc>
          <w:tcPr>
            <w:tcW w:w="2280" w:type="dxa"/>
            <w:vAlign w:val="bottom"/>
          </w:tcPr>
          <w:p>
            <w:pPr>
              <w:jc w:val="right"/>
              <w:ind w:right="290"/>
              <w:spacing w:after="0"/>
              <w:rPr>
                <w:sz w:val="20"/>
                <w:szCs w:val="20"/>
                <w:color w:val="auto"/>
              </w:rPr>
            </w:pPr>
            <w:r>
              <w:rPr>
                <w:rFonts w:ascii="Arial" w:cs="Arial" w:eastAsia="Arial" w:hAnsi="Arial"/>
                <w:sz w:val="18"/>
                <w:szCs w:val="18"/>
                <w:color w:val="auto"/>
              </w:rPr>
              <w:t>2,205</w:t>
            </w: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2,745</w:t>
            </w:r>
          </w:p>
        </w:tc>
        <w:tc>
          <w:tcPr>
            <w:tcW w:w="1380" w:type="dxa"/>
            <w:vAlign w:val="bottom"/>
          </w:tcPr>
          <w:p>
            <w:pPr>
              <w:jc w:val="right"/>
              <w:ind w:right="210"/>
              <w:spacing w:after="0"/>
              <w:rPr>
                <w:sz w:val="20"/>
                <w:szCs w:val="20"/>
                <w:color w:val="auto"/>
              </w:rPr>
            </w:pPr>
            <w:r>
              <w:rPr>
                <w:rFonts w:ascii="Arial" w:cs="Arial" w:eastAsia="Arial" w:hAnsi="Arial"/>
                <w:sz w:val="18"/>
                <w:szCs w:val="18"/>
                <w:color w:val="auto"/>
              </w:rPr>
              <w:t>(540)</w:t>
            </w:r>
          </w:p>
        </w:tc>
        <w:tc>
          <w:tcPr>
            <w:tcW w:w="1360" w:type="dxa"/>
            <w:vAlign w:val="bottom"/>
          </w:tcPr>
          <w:p>
            <w:pPr>
              <w:jc w:val="right"/>
              <w:ind w:right="190"/>
              <w:spacing w:after="0"/>
              <w:rPr>
                <w:sz w:val="20"/>
                <w:szCs w:val="20"/>
                <w:color w:val="auto"/>
              </w:rPr>
            </w:pPr>
            <w:r>
              <w:rPr>
                <w:rFonts w:ascii="Arial" w:cs="Arial" w:eastAsia="Arial" w:hAnsi="Arial"/>
                <w:sz w:val="18"/>
                <w:szCs w:val="18"/>
                <w:color w:val="auto"/>
              </w:rPr>
              <w:t>(19.7)</w:t>
            </w:r>
          </w:p>
        </w:tc>
      </w:tr>
      <w:tr>
        <w:trPr>
          <w:trHeight w:val="27"/>
        </w:trPr>
        <w:tc>
          <w:tcPr>
            <w:tcW w:w="462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Regulated Utility Kilowatt-hours Sold</w:t>
            </w:r>
          </w:p>
        </w:tc>
        <w:tc>
          <w:tcPr>
            <w:tcW w:w="22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13,175</w:t>
            </w:r>
          </w:p>
        </w:tc>
        <w:tc>
          <w:tcPr>
            <w:tcW w:w="11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13,138</w:t>
            </w:r>
          </w:p>
        </w:tc>
        <w:tc>
          <w:tcPr>
            <w:tcW w:w="13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37</w:t>
            </w:r>
          </w:p>
        </w:tc>
        <w:tc>
          <w:tcPr>
            <w:tcW w:w="13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0.3</w:t>
            </w:r>
          </w:p>
        </w:tc>
      </w:tr>
      <w:tr>
        <w:trPr>
          <w:trHeight w:val="20"/>
        </w:trPr>
        <w:tc>
          <w:tcPr>
            <w:tcW w:w="4620" w:type="dxa"/>
            <w:vAlign w:val="bottom"/>
            <w:shd w:val="clear" w:color="auto" w:fill="000000"/>
          </w:tcPr>
          <w:p>
            <w:pPr>
              <w:spacing w:after="0" w:line="20" w:lineRule="exact"/>
              <w:rPr>
                <w:sz w:val="1"/>
                <w:szCs w:val="1"/>
                <w:color w:val="auto"/>
              </w:rPr>
            </w:pPr>
          </w:p>
        </w:tc>
        <w:tc>
          <w:tcPr>
            <w:tcW w:w="22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r>
    </w:tbl>
    <w:p>
      <w:pPr>
        <w:spacing w:after="0" w:line="202" w:lineRule="exact"/>
        <w:rPr>
          <w:sz w:val="20"/>
          <w:szCs w:val="20"/>
          <w:color w:val="auto"/>
        </w:rPr>
      </w:pPr>
    </w:p>
    <w:p>
      <w:pPr>
        <w:jc w:val="both"/>
        <w:ind w:left="340"/>
        <w:spacing w:after="0" w:line="312" w:lineRule="auto"/>
        <w:rPr>
          <w:sz w:val="20"/>
          <w:szCs w:val="20"/>
          <w:color w:val="auto"/>
        </w:rPr>
      </w:pPr>
      <w:r>
        <w:rPr>
          <w:rFonts w:ascii="Arial" w:cs="Arial" w:eastAsia="Arial" w:hAnsi="Arial"/>
          <w:sz w:val="16"/>
          <w:szCs w:val="16"/>
          <w:color w:val="auto"/>
        </w:rPr>
        <w:t>Revenue from electric sales to taconite customers accounted for 26 percent of consolidated operating revenue in 2011 (24 percent in 2010). Revenue from electric sales to paper, pulp and wood product customers accounted for 9 percent of consolidated operating revenue in 2011 (9 percent in 2010). Revenue from electric sales to pipelines and other industrials accounted for 7 percent of consolidated operating revenue in 2011 (6 percent in 2010).</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Cost recovery rider revenue increased $12.2 million due to higher capital expenditures primarily related to our Bison 1 and CapX2020 projects.</w:t>
      </w:r>
    </w:p>
    <w:p>
      <w:pPr>
        <w:spacing w:after="0" w:line="237"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color w:val="auto"/>
        </w:rPr>
        <w:t>Fuel adjustment clause recoveries increased $6.3 million, or 8 percent, from 2010 due to an increase in kilowatt-hour sales and higher fuel and purchased power costs attributable to our retail and municipal customers.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ALLETE 2012 Form 10-K</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364" w:right="239" w:bottom="1440" w:gutter="0" w:footer="0" w:header="0"/>
        </w:sectPr>
      </w:pPr>
    </w:p>
    <w:bookmarkStart w:id="37" w:name="page38"/>
    <w:bookmarkEnd w:id="37"/>
    <w:p>
      <w:pPr>
        <w:ind w:left="340"/>
        <w:spacing w:after="0"/>
        <w:rPr>
          <w:sz w:val="20"/>
          <w:szCs w:val="20"/>
          <w:color w:val="auto"/>
        </w:rPr>
      </w:pPr>
      <w:r>
        <w:rPr>
          <w:rFonts w:ascii="Arial" w:cs="Arial" w:eastAsia="Arial" w:hAnsi="Arial"/>
          <w:sz w:val="18"/>
          <w:szCs w:val="18"/>
          <w:b w:val="1"/>
          <w:bCs w:val="1"/>
          <w:color w:val="auto"/>
        </w:rPr>
        <w:t>2011 Compared to 2010 (Continued)</w:t>
      </w:r>
    </w:p>
    <w:p>
      <w:pPr>
        <w:spacing w:after="0" w:line="2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Regulated Operations (Continued)</w:t>
      </w:r>
    </w:p>
    <w:p>
      <w:pPr>
        <w:spacing w:after="0" w:line="211"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Financial incentives under the Minnesota Conservation Improvement Program increased $5.9 million reflecting a shared savings model to recognize utility progress toward meeting the energy-saving goal of 1.5 percent established in the Next Generation Energy Act of 2007.</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Wholesale rate revenue increased $5.6 million reflecting higher rates.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 xml:space="preserve">Operating Expenses </w:t>
      </w:r>
      <w:r>
        <w:rPr>
          <w:rFonts w:ascii="Arial" w:cs="Arial" w:eastAsia="Arial" w:hAnsi="Arial"/>
          <w:sz w:val="18"/>
          <w:szCs w:val="18"/>
          <w:color w:val="auto"/>
        </w:rPr>
        <w:t>were consistent with 2010 overall.</w:t>
      </w:r>
    </w:p>
    <w:p>
      <w:pPr>
        <w:spacing w:after="0" w:line="225"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i w:val="1"/>
          <w:iCs w:val="1"/>
          <w:color w:val="auto"/>
        </w:rPr>
        <w:t xml:space="preserve">Fuel and Purchased Power Expense </w:t>
      </w:r>
      <w:r>
        <w:rPr>
          <w:rFonts w:ascii="Arial" w:cs="Arial" w:eastAsia="Arial" w:hAnsi="Arial"/>
          <w:sz w:val="18"/>
          <w:szCs w:val="18"/>
          <w:color w:val="auto"/>
        </w:rPr>
        <w:t>decreased $18.5 million, or 6 percent, from 2010 primarily due to a 23 percent reduction in MWhs purchased and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lower purchased power prices. In 2010, additional purchased power was required to meet planned major outages at Boswell and Square Butte. Also included in 2010 was a $5.4 million charge for the write-off of a deferred fuel clause regulatory asset related to the 2008 rate case. Fuel and purchased power expense related to our retail and municipal customers is recovered through the fuel adjustment clause (see </w:t>
      </w:r>
      <w:r>
        <w:rPr>
          <w:rFonts w:ascii="Arial" w:cs="Arial" w:eastAsia="Arial" w:hAnsi="Arial"/>
          <w:sz w:val="18"/>
          <w:szCs w:val="18"/>
          <w:i w:val="1"/>
          <w:iCs w:val="1"/>
          <w:color w:val="auto"/>
        </w:rPr>
        <w:t>Operating Revenue</w:t>
      </w:r>
      <w:r>
        <w:rPr>
          <w:rFonts w:ascii="Arial" w:cs="Arial" w:eastAsia="Arial" w:hAnsi="Arial"/>
          <w:sz w:val="18"/>
          <w:szCs w:val="18"/>
          <w:color w:val="auto"/>
        </w:rPr>
        <w:t>) and increased due to higher kilowatt-hour sales to these customers.</w:t>
      </w:r>
    </w:p>
    <w:p>
      <w:pPr>
        <w:spacing w:after="0" w:line="188"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i w:val="1"/>
          <w:iCs w:val="1"/>
          <w:color w:val="auto"/>
        </w:rPr>
        <w:t xml:space="preserve">Operating and Maintenance Expense </w:t>
      </w:r>
      <w:r>
        <w:rPr>
          <w:rFonts w:ascii="Arial" w:cs="Arial" w:eastAsia="Arial" w:hAnsi="Arial"/>
          <w:sz w:val="18"/>
          <w:szCs w:val="18"/>
          <w:color w:val="auto"/>
        </w:rPr>
        <w:t>increased $9.2 million, or 3 percent, from 2010 primarily reflecting increased property tax and benefit expense.</w:t>
      </w:r>
      <w:r>
        <w:rPr>
          <w:rFonts w:ascii="Arial" w:cs="Arial" w:eastAsia="Arial" w:hAnsi="Arial"/>
          <w:sz w:val="18"/>
          <w:szCs w:val="18"/>
          <w:i w:val="1"/>
          <w:iCs w:val="1"/>
          <w:color w:val="auto"/>
        </w:rPr>
        <w:t xml:space="preserve"> </w:t>
      </w:r>
      <w:r>
        <w:rPr>
          <w:rFonts w:ascii="Arial" w:cs="Arial" w:eastAsia="Arial" w:hAnsi="Arial"/>
          <w:sz w:val="18"/>
          <w:szCs w:val="18"/>
          <w:color w:val="auto"/>
        </w:rPr>
        <w:t>Property tax expense increased $5.5 million due to more taxable plant and higher rates while benefits increased $4.0 primarily due to increased pension costs as a result of lower discount rates.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Depreciation Expense </w:t>
      </w:r>
      <w:r>
        <w:rPr>
          <w:rFonts w:ascii="Arial" w:cs="Arial" w:eastAsia="Arial" w:hAnsi="Arial"/>
          <w:sz w:val="18"/>
          <w:szCs w:val="18"/>
          <w:color w:val="auto"/>
        </w:rPr>
        <w:t>increased $9.3 million, or 12 percent, from 2010 reflecting additional property, plant and equipment in service.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 xml:space="preserve">Interest Expense </w:t>
      </w:r>
      <w:r>
        <w:rPr>
          <w:rFonts w:ascii="Arial" w:cs="Arial" w:eastAsia="Arial" w:hAnsi="Arial"/>
          <w:sz w:val="18"/>
          <w:szCs w:val="18"/>
          <w:color w:val="auto"/>
        </w:rPr>
        <w:t>increased $3.5 million, or 11 percent, from 2010 primarily due to higher long-term debt balances.</w:t>
      </w:r>
    </w:p>
    <w:p>
      <w:pPr>
        <w:spacing w:after="0" w:line="225" w:lineRule="exact"/>
        <w:rPr>
          <w:sz w:val="20"/>
          <w:szCs w:val="20"/>
          <w:color w:val="auto"/>
        </w:rPr>
      </w:pPr>
    </w:p>
    <w:p>
      <w:pPr>
        <w:jc w:val="both"/>
        <w:ind w:left="340"/>
        <w:spacing w:after="0" w:line="276" w:lineRule="auto"/>
        <w:rPr>
          <w:sz w:val="20"/>
          <w:szCs w:val="20"/>
          <w:color w:val="auto"/>
        </w:rPr>
      </w:pPr>
      <w:r>
        <w:rPr>
          <w:rFonts w:ascii="Arial" w:cs="Arial" w:eastAsia="Arial" w:hAnsi="Arial"/>
          <w:sz w:val="17"/>
          <w:szCs w:val="17"/>
          <w:b w:val="1"/>
          <w:bCs w:val="1"/>
          <w:i w:val="1"/>
          <w:iCs w:val="1"/>
          <w:color w:val="auto"/>
        </w:rPr>
        <w:t xml:space="preserve">Income Tax Expense </w:t>
      </w:r>
      <w:r>
        <w:rPr>
          <w:rFonts w:ascii="Arial" w:cs="Arial" w:eastAsia="Arial" w:hAnsi="Arial"/>
          <w:sz w:val="17"/>
          <w:szCs w:val="17"/>
          <w:color w:val="auto"/>
        </w:rPr>
        <w:t>decreased $8.4 million, or 16 percent, from 2010 primarily due to the reversal of a $6.2 million deferred tax liability related to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revenue receivable Minnesota Power agreed to forgo as part of a stipulation and settlement agreement in its 2010 rate case, increased renewable tax credits of $3.2 million and the recognition of a non-recurring $2.9 million income tax benefit related to the MPUC approval of our request to defer the retail portion of the tax charge taken in 2010 resulting from the PPACA. Also contributing to the decrease was a non-recurring income tax charge of $3.6 million resulting from the PPACA in the first quarter of 2010. (See Note 5. Regulatory Matters.)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 and Other</w:t>
      </w:r>
    </w:p>
    <w:p>
      <w:pPr>
        <w:spacing w:after="0" w:line="229"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b w:val="1"/>
          <w:bCs w:val="1"/>
          <w:i w:val="1"/>
          <w:iCs w:val="1"/>
          <w:color w:val="auto"/>
        </w:rPr>
        <w:t xml:space="preserve">Operating Revenue </w:t>
      </w:r>
      <w:r>
        <w:rPr>
          <w:rFonts w:ascii="Arial" w:cs="Arial" w:eastAsia="Arial" w:hAnsi="Arial"/>
          <w:sz w:val="18"/>
          <w:szCs w:val="18"/>
          <w:color w:val="auto"/>
        </w:rPr>
        <w:t>increased $4.8 million, or 7 percent, from 2010 reflecting a $5.6 million increase in revenue at BNI Coal, partially offset by a $0.9</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decrease in revenue at ALLETE Properties. BNI Coal, which operates under a cost plus fixed fee contract, recorded higher sales revenue as a result of higher expenses in 2011. (See Operating Expense.)</w:t>
      </w:r>
    </w:p>
    <w:p>
      <w:pPr>
        <w:spacing w:after="0" w:line="339"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4380" w:type="dxa"/>
            <w:vAlign w:val="bottom"/>
          </w:tcPr>
          <w:p>
            <w:pPr>
              <w:ind w:left="20"/>
              <w:spacing w:after="0"/>
              <w:rPr>
                <w:sz w:val="20"/>
                <w:szCs w:val="20"/>
                <w:color w:val="auto"/>
              </w:rPr>
            </w:pPr>
            <w:r>
              <w:rPr>
                <w:rFonts w:ascii="Arial" w:cs="Arial" w:eastAsia="Arial" w:hAnsi="Arial"/>
                <w:sz w:val="18"/>
                <w:szCs w:val="18"/>
                <w:b w:val="1"/>
                <w:bCs w:val="1"/>
                <w:color w:val="auto"/>
              </w:rPr>
              <w:t>ALLETE Properties</w:t>
            </w:r>
          </w:p>
        </w:tc>
        <w:tc>
          <w:tcPr>
            <w:tcW w:w="2980" w:type="dxa"/>
            <w:vAlign w:val="bottom"/>
          </w:tcPr>
          <w:p>
            <w:pPr>
              <w:jc w:val="right"/>
              <w:spacing w:after="0"/>
              <w:rPr>
                <w:sz w:val="20"/>
                <w:szCs w:val="20"/>
                <w:color w:val="auto"/>
              </w:rPr>
            </w:pPr>
            <w:r>
              <w:rPr>
                <w:rFonts w:ascii="Arial" w:cs="Arial" w:eastAsia="Arial" w:hAnsi="Arial"/>
                <w:sz w:val="18"/>
                <w:szCs w:val="18"/>
                <w:b w:val="1"/>
                <w:bCs w:val="1"/>
                <w:color w:val="auto"/>
              </w:rPr>
              <w:t>2011</w:t>
            </w:r>
          </w:p>
        </w:tc>
        <w:tc>
          <w:tcPr>
            <w:tcW w:w="10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2010</w:t>
            </w:r>
          </w:p>
        </w:tc>
        <w:tc>
          <w:tcPr>
            <w:tcW w:w="920" w:type="dxa"/>
            <w:vAlign w:val="bottom"/>
          </w:tcPr>
          <w:p>
            <w:pPr>
              <w:spacing w:after="0"/>
              <w:rPr>
                <w:sz w:val="20"/>
                <w:szCs w:val="20"/>
                <w:color w:val="auto"/>
              </w:rPr>
            </w:pPr>
          </w:p>
        </w:tc>
      </w:tr>
      <w:tr>
        <w:trPr>
          <w:trHeight w:val="270"/>
        </w:trPr>
        <w:tc>
          <w:tcPr>
            <w:tcW w:w="4380" w:type="dxa"/>
            <w:vAlign w:val="bottom"/>
          </w:tcPr>
          <w:p>
            <w:pPr>
              <w:ind w:left="20"/>
              <w:spacing w:after="0"/>
              <w:rPr>
                <w:sz w:val="20"/>
                <w:szCs w:val="20"/>
                <w:color w:val="auto"/>
              </w:rPr>
            </w:pPr>
            <w:r>
              <w:rPr>
                <w:rFonts w:ascii="Arial" w:cs="Arial" w:eastAsia="Arial" w:hAnsi="Arial"/>
                <w:sz w:val="18"/>
                <w:szCs w:val="18"/>
                <w:b w:val="1"/>
                <w:bCs w:val="1"/>
                <w:color w:val="auto"/>
              </w:rPr>
              <w:t>Revenue and Sales Activity</w:t>
            </w:r>
          </w:p>
        </w:tc>
        <w:tc>
          <w:tcPr>
            <w:tcW w:w="2980" w:type="dxa"/>
            <w:vAlign w:val="bottom"/>
          </w:tcPr>
          <w:p>
            <w:pPr>
              <w:jc w:val="right"/>
              <w:ind w:right="390"/>
              <w:spacing w:after="0"/>
              <w:rPr>
                <w:sz w:val="20"/>
                <w:szCs w:val="20"/>
                <w:color w:val="auto"/>
              </w:rPr>
            </w:pPr>
            <w:r>
              <w:rPr>
                <w:rFonts w:ascii="Arial" w:cs="Arial" w:eastAsia="Arial" w:hAnsi="Arial"/>
                <w:sz w:val="18"/>
                <w:szCs w:val="18"/>
                <w:b w:val="1"/>
                <w:bCs w:val="1"/>
                <w:color w:val="auto"/>
              </w:rPr>
              <w:t xml:space="preserve">Acres </w:t>
            </w:r>
            <w:r>
              <w:rPr>
                <w:rFonts w:ascii="Arial" w:cs="Arial" w:eastAsia="Arial" w:hAnsi="Arial"/>
                <w:sz w:val="18"/>
                <w:szCs w:val="18"/>
                <w:b w:val="1"/>
                <w:bCs w:val="1"/>
                <w:i w:val="1"/>
                <w:iCs w:val="1"/>
                <w:color w:val="auto"/>
              </w:rPr>
              <w:t>(a)</w:t>
            </w:r>
          </w:p>
        </w:tc>
        <w:tc>
          <w:tcPr>
            <w:tcW w:w="1000" w:type="dxa"/>
            <w:vAlign w:val="bottom"/>
          </w:tcPr>
          <w:p>
            <w:pPr>
              <w:jc w:val="right"/>
              <w:ind w:right="250"/>
              <w:spacing w:after="0"/>
              <w:rPr>
                <w:sz w:val="20"/>
                <w:szCs w:val="20"/>
                <w:color w:val="auto"/>
              </w:rPr>
            </w:pPr>
            <w:r>
              <w:rPr>
                <w:rFonts w:ascii="Arial" w:cs="Arial" w:eastAsia="Arial" w:hAnsi="Arial"/>
                <w:sz w:val="18"/>
                <w:szCs w:val="18"/>
                <w:b w:val="1"/>
                <w:bCs w:val="1"/>
                <w:color w:val="auto"/>
                <w:w w:val="94"/>
              </w:rPr>
              <w:t>Amount</w:t>
            </w:r>
          </w:p>
        </w:tc>
        <w:tc>
          <w:tcPr>
            <w:tcW w:w="1340" w:type="dxa"/>
            <w:vAlign w:val="bottom"/>
          </w:tcPr>
          <w:p>
            <w:pPr>
              <w:jc w:val="right"/>
              <w:ind w:right="370"/>
              <w:spacing w:after="0"/>
              <w:rPr>
                <w:sz w:val="20"/>
                <w:szCs w:val="20"/>
                <w:color w:val="auto"/>
              </w:rPr>
            </w:pPr>
            <w:r>
              <w:rPr>
                <w:rFonts w:ascii="Arial" w:cs="Arial" w:eastAsia="Arial" w:hAnsi="Arial"/>
                <w:sz w:val="18"/>
                <w:szCs w:val="18"/>
                <w:b w:val="1"/>
                <w:bCs w:val="1"/>
                <w:color w:val="auto"/>
              </w:rPr>
              <w:t xml:space="preserve">Acres </w:t>
            </w:r>
            <w:r>
              <w:rPr>
                <w:rFonts w:ascii="Arial" w:cs="Arial" w:eastAsia="Arial" w:hAnsi="Arial"/>
                <w:sz w:val="18"/>
                <w:szCs w:val="18"/>
                <w:b w:val="1"/>
                <w:bCs w:val="1"/>
                <w:i w:val="1"/>
                <w:iCs w:val="1"/>
                <w:color w:val="auto"/>
              </w:rPr>
              <w:t>(a)</w:t>
            </w:r>
          </w:p>
        </w:tc>
        <w:tc>
          <w:tcPr>
            <w:tcW w:w="920" w:type="dxa"/>
            <w:vAlign w:val="bottom"/>
          </w:tcPr>
          <w:p>
            <w:pPr>
              <w:jc w:val="right"/>
              <w:ind w:right="170"/>
              <w:spacing w:after="0"/>
              <w:rPr>
                <w:sz w:val="20"/>
                <w:szCs w:val="20"/>
                <w:color w:val="auto"/>
              </w:rPr>
            </w:pPr>
            <w:r>
              <w:rPr>
                <w:rFonts w:ascii="Arial" w:cs="Arial" w:eastAsia="Arial" w:hAnsi="Arial"/>
                <w:sz w:val="18"/>
                <w:szCs w:val="18"/>
                <w:b w:val="1"/>
                <w:bCs w:val="1"/>
                <w:color w:val="auto"/>
                <w:w w:val="94"/>
              </w:rPr>
              <w:t>Amount</w:t>
            </w:r>
          </w:p>
        </w:tc>
      </w:tr>
      <w:tr>
        <w:trPr>
          <w:trHeight w:val="27"/>
        </w:trPr>
        <w:tc>
          <w:tcPr>
            <w:tcW w:w="4380" w:type="dxa"/>
            <w:vAlign w:val="bottom"/>
            <w:tcBorders>
              <w:bottom w:val="single" w:sz="8" w:color="auto"/>
            </w:tcBorders>
          </w:tcPr>
          <w:p>
            <w:pPr>
              <w:spacing w:after="0"/>
              <w:rPr>
                <w:sz w:val="2"/>
                <w:szCs w:val="2"/>
                <w:color w:val="auto"/>
              </w:rPr>
            </w:pPr>
          </w:p>
        </w:tc>
        <w:tc>
          <w:tcPr>
            <w:tcW w:w="29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4380" w:type="dxa"/>
            <w:vAlign w:val="bottom"/>
          </w:tcPr>
          <w:p>
            <w:pPr>
              <w:ind w:left="20"/>
              <w:spacing w:after="0"/>
              <w:rPr>
                <w:sz w:val="20"/>
                <w:szCs w:val="20"/>
                <w:color w:val="auto"/>
              </w:rPr>
            </w:pPr>
            <w:r>
              <w:rPr>
                <w:rFonts w:ascii="Arial" w:cs="Arial" w:eastAsia="Arial" w:hAnsi="Arial"/>
                <w:sz w:val="18"/>
                <w:szCs w:val="18"/>
                <w:b w:val="1"/>
                <w:bCs w:val="1"/>
                <w:color w:val="auto"/>
              </w:rPr>
              <w:t>Dollars in Millions</w:t>
            </w:r>
          </w:p>
        </w:tc>
        <w:tc>
          <w:tcPr>
            <w:tcW w:w="29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7"/>
        </w:trPr>
        <w:tc>
          <w:tcPr>
            <w:tcW w:w="438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 from Land Sales</w:t>
            </w:r>
          </w:p>
        </w:tc>
        <w:tc>
          <w:tcPr>
            <w:tcW w:w="29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3</w:t>
            </w: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$0.4</w:t>
            </w:r>
          </w:p>
        </w:tc>
        <w:tc>
          <w:tcPr>
            <w:tcW w:w="13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380" w:type="dxa"/>
            <w:vAlign w:val="bottom"/>
          </w:tcPr>
          <w:p>
            <w:pPr>
              <w:ind w:left="20"/>
              <w:spacing w:after="0"/>
              <w:rPr>
                <w:sz w:val="20"/>
                <w:szCs w:val="20"/>
                <w:color w:val="auto"/>
              </w:rPr>
            </w:pPr>
            <w:r>
              <w:rPr>
                <w:rFonts w:ascii="Arial" w:cs="Arial" w:eastAsia="Arial" w:hAnsi="Arial"/>
                <w:sz w:val="18"/>
                <w:szCs w:val="18"/>
                <w:color w:val="auto"/>
              </w:rPr>
              <w:t xml:space="preserve">Other Revenue </w:t>
            </w:r>
            <w:r>
              <w:rPr>
                <w:rFonts w:ascii="Arial" w:cs="Arial" w:eastAsia="Arial" w:hAnsi="Arial"/>
                <w:sz w:val="18"/>
                <w:szCs w:val="18"/>
                <w:i w:val="1"/>
                <w:iCs w:val="1"/>
                <w:color w:val="auto"/>
              </w:rPr>
              <w:t>(b)</w:t>
            </w:r>
          </w:p>
        </w:tc>
        <w:tc>
          <w:tcPr>
            <w:tcW w:w="2980" w:type="dxa"/>
            <w:vAlign w:val="bottom"/>
          </w:tcPr>
          <w:p>
            <w:pPr>
              <w:spacing w:after="0"/>
              <w:rPr>
                <w:sz w:val="21"/>
                <w:szCs w:val="21"/>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0.9</w:t>
            </w:r>
          </w:p>
        </w:tc>
        <w:tc>
          <w:tcPr>
            <w:tcW w:w="13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$2.2</w:t>
            </w:r>
          </w:p>
        </w:tc>
      </w:tr>
      <w:tr>
        <w:trPr>
          <w:trHeight w:val="27"/>
        </w:trPr>
        <w:tc>
          <w:tcPr>
            <w:tcW w:w="4380" w:type="dxa"/>
            <w:vAlign w:val="bottom"/>
            <w:tcBorders>
              <w:bottom w:val="single" w:sz="8" w:color="auto"/>
            </w:tcBorders>
          </w:tcPr>
          <w:p>
            <w:pPr>
              <w:spacing w:after="0"/>
              <w:rPr>
                <w:sz w:val="2"/>
                <w:szCs w:val="2"/>
                <w:color w:val="auto"/>
              </w:rPr>
            </w:pPr>
          </w:p>
        </w:tc>
        <w:tc>
          <w:tcPr>
            <w:tcW w:w="29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4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ALLETE Properties Revenue</w:t>
            </w:r>
          </w:p>
        </w:tc>
        <w:tc>
          <w:tcPr>
            <w:tcW w:w="29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$1.3</w:t>
            </w:r>
          </w:p>
        </w:tc>
        <w:tc>
          <w:tcPr>
            <w:tcW w:w="1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w:t>
            </w:r>
          </w:p>
        </w:tc>
      </w:tr>
      <w:tr>
        <w:trPr>
          <w:trHeight w:val="20"/>
        </w:trPr>
        <w:tc>
          <w:tcPr>
            <w:tcW w:w="4380" w:type="dxa"/>
            <w:vAlign w:val="bottom"/>
            <w:shd w:val="clear" w:color="auto" w:fill="000000"/>
          </w:tcPr>
          <w:p>
            <w:pPr>
              <w:spacing w:after="0" w:line="20" w:lineRule="exact"/>
              <w:rPr>
                <w:sz w:val="1"/>
                <w:szCs w:val="1"/>
                <w:color w:val="auto"/>
              </w:rPr>
            </w:pPr>
          </w:p>
        </w:tc>
        <w:tc>
          <w:tcPr>
            <w:tcW w:w="29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r>
    </w:tbl>
    <w:p>
      <w:pPr>
        <w:spacing w:after="0" w:line="3"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i w:val="1"/>
          <w:iCs w:val="1"/>
          <w:color w:val="auto"/>
        </w:rPr>
      </w:pPr>
      <w:r>
        <w:rPr>
          <w:rFonts w:ascii="Arial" w:cs="Arial" w:eastAsia="Arial" w:hAnsi="Arial"/>
          <w:sz w:val="16"/>
          <w:szCs w:val="16"/>
          <w:i w:val="1"/>
          <w:iCs w:val="1"/>
          <w:color w:val="auto"/>
        </w:rPr>
        <w:t>Acreage amounts are shown on a gross basis, including wetlands.</w:t>
      </w:r>
    </w:p>
    <w:p>
      <w:pPr>
        <w:spacing w:after="0" w:line="9" w:lineRule="exact"/>
        <w:rPr>
          <w:rFonts w:ascii="Arial" w:cs="Arial" w:eastAsia="Arial" w:hAnsi="Arial"/>
          <w:sz w:val="18"/>
          <w:szCs w:val="18"/>
          <w:i w:val="1"/>
          <w:iCs w:val="1"/>
          <w:color w:val="auto"/>
        </w:rPr>
      </w:pPr>
    </w:p>
    <w:p>
      <w:pPr>
        <w:jc w:val="both"/>
        <w:ind w:left="660" w:hanging="328"/>
        <w:spacing w:after="0" w:line="279" w:lineRule="auto"/>
        <w:tabs>
          <w:tab w:leader="none" w:pos="660" w:val="left"/>
        </w:tabs>
        <w:numPr>
          <w:ilvl w:val="0"/>
          <w:numId w:val="13"/>
        </w:numPr>
        <w:rPr>
          <w:rFonts w:ascii="Arial" w:cs="Arial" w:eastAsia="Arial" w:hAnsi="Arial"/>
          <w:sz w:val="18"/>
          <w:szCs w:val="18"/>
          <w:i w:val="1"/>
          <w:iCs w:val="1"/>
          <w:color w:val="auto"/>
        </w:rPr>
      </w:pPr>
      <w:r>
        <w:rPr>
          <w:rFonts w:ascii="Arial" w:cs="Arial" w:eastAsia="Arial" w:hAnsi="Arial"/>
          <w:sz w:val="16"/>
          <w:szCs w:val="16"/>
          <w:i w:val="1"/>
          <w:iCs w:val="1"/>
          <w:color w:val="auto"/>
        </w:rPr>
        <w:t>For the year ended December 31, 2011, Other Revenue included a $0.4 million forfeited deposit due to the transfer of property back to ALLETE Properties by deed-in-lieu of foreclosure, in satisfaction of amounts previously owed under long-term financing receivables. For the year ended December 31, 2010, Other Revenue included a $0.7 million pretax gain due to the return of seller-financed property from an entity which filed for Chapter 11 bankruptcy in June 2009. Also included in 2010 were $0.3 million of forfeited deposits and $0.3 million related to a lawsuit settlement.</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2012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364"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2011 Compared to 2010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 and Other (Continued)</w:t>
      </w:r>
    </w:p>
    <w:p>
      <w:pPr>
        <w:spacing w:after="0" w:line="211" w:lineRule="exact"/>
        <w:rPr>
          <w:sz w:val="20"/>
          <w:szCs w:val="20"/>
          <w:color w:val="auto"/>
        </w:rPr>
      </w:pPr>
    </w:p>
    <w:p>
      <w:pPr>
        <w:jc w:val="both"/>
        <w:ind w:left="340"/>
        <w:spacing w:after="0" w:line="293" w:lineRule="auto"/>
        <w:rPr>
          <w:sz w:val="20"/>
          <w:szCs w:val="20"/>
          <w:color w:val="auto"/>
        </w:rPr>
      </w:pPr>
      <w:r>
        <w:rPr>
          <w:rFonts w:ascii="Arial" w:cs="Arial" w:eastAsia="Arial" w:hAnsi="Arial"/>
          <w:sz w:val="16"/>
          <w:szCs w:val="16"/>
          <w:b w:val="1"/>
          <w:bCs w:val="1"/>
          <w:i w:val="1"/>
          <w:iCs w:val="1"/>
          <w:color w:val="auto"/>
        </w:rPr>
        <w:t xml:space="preserve">Operating Expenses </w:t>
      </w:r>
      <w:r>
        <w:rPr>
          <w:rFonts w:ascii="Arial" w:cs="Arial" w:eastAsia="Arial" w:hAnsi="Arial"/>
          <w:sz w:val="16"/>
          <w:szCs w:val="16"/>
          <w:color w:val="auto"/>
        </w:rPr>
        <w:t>increased $7.0 million, or 9 percent, from 2010 reflecting higher expenses at BNI Coal of $5.1 million primarily due to higher fuel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costs; these costs were recovered through the cost plus fixed fee contract. (See </w:t>
      </w:r>
      <w:r>
        <w:rPr>
          <w:rFonts w:ascii="Arial" w:cs="Arial" w:eastAsia="Arial" w:hAnsi="Arial"/>
          <w:sz w:val="16"/>
          <w:szCs w:val="16"/>
          <w:i w:val="1"/>
          <w:iCs w:val="1"/>
          <w:color w:val="auto"/>
        </w:rPr>
        <w:t>Operating Revenue</w:t>
      </w:r>
      <w:r>
        <w:rPr>
          <w:rFonts w:ascii="Arial" w:cs="Arial" w:eastAsia="Arial" w:hAnsi="Arial"/>
          <w:sz w:val="16"/>
          <w:szCs w:val="16"/>
          <w:color w:val="auto"/>
        </w:rPr>
        <w:t>.) The remaining increase in 2011 was primarily attributable to higher business development, interest and investment-related expenses. Also contributing to the increased expenses was a $1.7 million pretax impairment charge taken at ALLETE Properties. In the fourth quarter of 2011, an impairment analysis of estimated future undiscounted cash flows was conducted and indicated that the cash flows were not adequate to recover the carrying basis of certain properties not strategic to our three major development projects. These increases were partially offset by a reduction in operating expenses at ALLETE Properties.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 – Consolidated</w:t>
      </w:r>
    </w:p>
    <w:p>
      <w:pPr>
        <w:spacing w:after="0" w:line="229" w:lineRule="exact"/>
        <w:rPr>
          <w:sz w:val="20"/>
          <w:szCs w:val="20"/>
          <w:color w:val="auto"/>
        </w:rPr>
      </w:pPr>
    </w:p>
    <w:p>
      <w:pPr>
        <w:jc w:val="both"/>
        <w:ind w:left="340"/>
        <w:spacing w:after="0" w:line="272" w:lineRule="auto"/>
        <w:rPr>
          <w:sz w:val="20"/>
          <w:szCs w:val="20"/>
          <w:color w:val="auto"/>
        </w:rPr>
      </w:pPr>
      <w:r>
        <w:rPr>
          <w:rFonts w:ascii="Arial" w:cs="Arial" w:eastAsia="Arial" w:hAnsi="Arial"/>
          <w:sz w:val="17"/>
          <w:szCs w:val="17"/>
          <w:color w:val="auto"/>
        </w:rPr>
        <w:t>For the year ended December 31, 2011, the effective tax rate was 27.6 percent (37.2 percent for the year ended December 31, 2010). The effective tax rate for the year ended December 31, 2011, was lowered by 4.8 percentage points due to the non-recurring reversal of the deferred tax liability related to a revenue receivable that Minnesota Power agreed to forgo as part of a stipulation and settlement agreement in its 2010 rate case, and by 2.2 percentage points due to the income tax benefit related to the MPUC approval of our request to defer the retail portion of the tax charge taken in 2010 resulting from the PPACA. The decrease in the effective tax rate from the year ended December 31, 2010, was due to the 2011 non-recurring items above, and an increase in renewable tax credits. The effective tax rate deviated from the statutory rate of approximately 41 percent primarily due to deductions for depletion, investment tax credits, and renewable tax credits. (See Note 14. Income Tax Expense.)</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preparation of financial statements and related disclosures in conformity with GAAP requires management to make various estimates and assumptions that affect amounts reported in the consolidated financial statements. These estimates and assumptions may be revised, which may have a material effect on the consolidated financial statements. Actual results may differ from these estimates and assumptions. These policies are discussed with the Audit Committee of our Board of Directors on a regular basis. The following represent the policies we believe are most critical to our business and the understanding of our results of operations.</w:t>
      </w:r>
    </w:p>
    <w:p>
      <w:pPr>
        <w:spacing w:after="0" w:line="184" w:lineRule="exact"/>
        <w:rPr>
          <w:sz w:val="20"/>
          <w:szCs w:val="20"/>
          <w:color w:val="auto"/>
        </w:rPr>
      </w:pPr>
    </w:p>
    <w:p>
      <w:pPr>
        <w:jc w:val="both"/>
        <w:spacing w:after="0" w:line="292" w:lineRule="auto"/>
        <w:rPr>
          <w:sz w:val="20"/>
          <w:szCs w:val="20"/>
          <w:color w:val="auto"/>
        </w:rPr>
      </w:pPr>
      <w:r>
        <w:rPr>
          <w:rFonts w:ascii="Arial" w:cs="Arial" w:eastAsia="Arial" w:hAnsi="Arial"/>
          <w:sz w:val="16"/>
          <w:szCs w:val="16"/>
          <w:b w:val="1"/>
          <w:bCs w:val="1"/>
          <w:color w:val="auto"/>
        </w:rPr>
        <w:t xml:space="preserve">Regulatory Accounting. </w:t>
      </w:r>
      <w:r>
        <w:rPr>
          <w:rFonts w:ascii="Arial" w:cs="Arial" w:eastAsia="Arial" w:hAnsi="Arial"/>
          <w:sz w:val="16"/>
          <w:szCs w:val="16"/>
          <w:color w:val="auto"/>
        </w:rPr>
        <w:t>Our regulated utility operations are accounted for in accordance with the accounting standards for the effects of certain types of</w:t>
      </w:r>
      <w:r>
        <w:rPr>
          <w:rFonts w:ascii="Arial" w:cs="Arial" w:eastAsia="Arial" w:hAnsi="Arial"/>
          <w:sz w:val="16"/>
          <w:szCs w:val="16"/>
          <w:b w:val="1"/>
          <w:bCs w:val="1"/>
          <w:color w:val="auto"/>
        </w:rPr>
        <w:t xml:space="preserve"> </w:t>
      </w:r>
      <w:r>
        <w:rPr>
          <w:rFonts w:ascii="Arial" w:cs="Arial" w:eastAsia="Arial" w:hAnsi="Arial"/>
          <w:sz w:val="16"/>
          <w:szCs w:val="16"/>
          <w:color w:val="auto"/>
        </w:rPr>
        <w:t>regulation. These standards require us to reflect the effect of regulatory decisions in our financial statements. Regulatory assets represent incurred costs that have been deferred as they are probable for recovery in customer rates. Regulatory liabilities represent obligations to make refunds to customers and amounts collected in rates for which the related costs have not yet been incurred. The Company assesses quarterly whether regulatory assets and liabilities meet the criteria for probability of future recovery or deferral. This assessment considers factors such as, but not limited to, changes in the regulatory environment and recent rate orders to other regulated entities under the same jurisdiction. If future recovery or refund of costs becomes no longer probable, the assets and liabilities would be recognized in current period net income or other comprehensive income. (See Note 5. Regulatory Matters.)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2012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364"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Critical Accounting Policies (Continued)</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b w:val="1"/>
          <w:bCs w:val="1"/>
          <w:color w:val="auto"/>
        </w:rPr>
        <w:t xml:space="preserve">Pension and Postretirement Health and Life Actuarial Assumptions. </w:t>
      </w:r>
      <w:r>
        <w:rPr>
          <w:rFonts w:ascii="Arial" w:cs="Arial" w:eastAsia="Arial" w:hAnsi="Arial"/>
          <w:sz w:val="16"/>
          <w:szCs w:val="16"/>
          <w:color w:val="auto"/>
        </w:rPr>
        <w:t>We account for our pension and postretirement benefit obligations in accordance</w:t>
      </w:r>
      <w:r>
        <w:rPr>
          <w:rFonts w:ascii="Arial" w:cs="Arial" w:eastAsia="Arial" w:hAnsi="Arial"/>
          <w:sz w:val="16"/>
          <w:szCs w:val="16"/>
          <w:b w:val="1"/>
          <w:bCs w:val="1"/>
          <w:color w:val="auto"/>
        </w:rPr>
        <w:t xml:space="preserve"> </w:t>
      </w:r>
      <w:r>
        <w:rPr>
          <w:rFonts w:ascii="Arial" w:cs="Arial" w:eastAsia="Arial" w:hAnsi="Arial"/>
          <w:sz w:val="16"/>
          <w:szCs w:val="16"/>
          <w:color w:val="auto"/>
        </w:rPr>
        <w:t>with the accounting standards for defined benefit pension and other postretirement plans. These standards require the use of several important assumptions, including the expected long-term rate of return on plan assets and the discount rate, among others, in determining our obligations and the annual cost of our pension and postretirement benefits. In establishing the expected long-term rate of return on plan assets, we determine the long-term historical performance of each asset class, adjust these for current economic conditions, and utilizing the target allocation of our plan assets, forecast the expected long-term rate of return. Our pension asset allocation at December 31, 2012, was approximately 54 percent equity securities, 28 percent debt, 13 percent private equity, and 5 percent real estate. Our postretirement health and life asset allocation at December 31, 2012, was approximately 56 percent equity securities, 35 percent debt, and 9 percent private equity. Equity securities consist of a mix of market capitalization sizes with domestic and international securities. In 2012 we used expected long-term rates of return of 8.25 percent in our actuarial determination of our pension expense and 6.60 percent to 8.25 percent in our actuarial determination of our other postretirement expense. The actuarial determination uses an asset smoothing methodology for actual returns to reduce the volatility of varying investment performance over time. We review our expected long-term rate of return assumption annually and will adjust it to respond to changing market conditions. A one-quarter percent decrease in the expected long-term rate of return would increase the annual expense for pension and other postretirement benefits by approximately $1.4 million, pretax.</w:t>
      </w:r>
    </w:p>
    <w:p>
      <w:pPr>
        <w:spacing w:after="0" w:line="16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discount rate is computed using a yield curve adjusted for ALLETE’s projected cash flows to match our plan characteristics. The yield curve is determined using high-quality, long-term corporate bond rates at the valuation date. In 2012, we used discount rates of 4.54 percent and 4.56 percent in our actuarial determination of our pension and other postretirement expense, respectively. We review our discount rate annually and will adjust it to respond to changing market conditions. A one-quarter percent decrease in the discount rate would increase the annual expense for pension and other postretirement benefits by approximately $2.2 million, pretax. (See Note 15. Pension and Other Postretirement Benefit Plans.)</w:t>
      </w:r>
    </w:p>
    <w:p>
      <w:pPr>
        <w:spacing w:after="0" w:line="16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Impairment of Long-Lived Assets. </w:t>
      </w:r>
      <w:r>
        <w:rPr>
          <w:rFonts w:ascii="Arial" w:cs="Arial" w:eastAsia="Arial" w:hAnsi="Arial"/>
          <w:sz w:val="18"/>
          <w:szCs w:val="18"/>
          <w:color w:val="auto"/>
        </w:rPr>
        <w:t>We review our long-lived assets, which include the real estate assets of ALLETE Properties, for indicators of</w:t>
      </w:r>
      <w:r>
        <w:rPr>
          <w:rFonts w:ascii="Arial" w:cs="Arial" w:eastAsia="Arial" w:hAnsi="Arial"/>
          <w:sz w:val="18"/>
          <w:szCs w:val="18"/>
          <w:b w:val="1"/>
          <w:bCs w:val="1"/>
          <w:color w:val="auto"/>
        </w:rPr>
        <w:t xml:space="preserve"> </w:t>
      </w:r>
      <w:r>
        <w:rPr>
          <w:rFonts w:ascii="Arial" w:cs="Arial" w:eastAsia="Arial" w:hAnsi="Arial"/>
          <w:sz w:val="18"/>
          <w:szCs w:val="18"/>
          <w:color w:val="auto"/>
        </w:rPr>
        <w:t>impairment in accordance with the accounting standards for property, plant and equipment on a quarterly basis.</w:t>
      </w:r>
    </w:p>
    <w:p>
      <w:pPr>
        <w:spacing w:after="0" w:line="16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accordance with the accounting standards for property, plant and equipment, if indicators of impairment exist, we test our real estate assets for recoverability by comparing the carrying amount of the asset to the undiscounted future net cash flows expected to be generated by the asset. Cash flows are assessed at the lowest level of identifiable cash flows, which may be by each land parcel, combining various parcels into bulk sales, or other combinations thereof. Our consideration of possible impairment for our real estate assets requires us to make estimates of future cash flows on an undiscounted basis. The undiscounted future net cash flows are impacted by trends and factors known to us at the time they are calculated and our expectations related to management’s best estimate of future sales prices, the holding period and timing of sales, the method of disposition and the future expenditures necessary to develop and maintain the operations, including community development district assessments, property taxes and normal operation and maintenance costs. These estimates and expectations are specific to, and may vary among, each land parcel or bulk sale. If the excess of undiscounted cash flows over the carrying value of a property is small, there is a greater risk of future impairment in the event of such changes and any resulting impairment charges could be material.</w:t>
      </w:r>
    </w:p>
    <w:p>
      <w:pPr>
        <w:spacing w:after="0" w:line="19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Taxation. </w:t>
      </w:r>
      <w:r>
        <w:rPr>
          <w:rFonts w:ascii="Arial" w:cs="Arial" w:eastAsia="Arial" w:hAnsi="Arial"/>
          <w:sz w:val="18"/>
          <w:szCs w:val="18"/>
          <w:color w:val="auto"/>
        </w:rPr>
        <w:t>We are required to make judgments regarding the potential tax effects of various financial transactions and our ongoing operations to estimate our</w:t>
      </w:r>
      <w:r>
        <w:rPr>
          <w:rFonts w:ascii="Arial" w:cs="Arial" w:eastAsia="Arial" w:hAnsi="Arial"/>
          <w:sz w:val="18"/>
          <w:szCs w:val="18"/>
          <w:b w:val="1"/>
          <w:bCs w:val="1"/>
          <w:color w:val="auto"/>
        </w:rPr>
        <w:t xml:space="preserve"> </w:t>
      </w:r>
      <w:r>
        <w:rPr>
          <w:rFonts w:ascii="Arial" w:cs="Arial" w:eastAsia="Arial" w:hAnsi="Arial"/>
          <w:sz w:val="18"/>
          <w:szCs w:val="18"/>
          <w:color w:val="auto"/>
        </w:rPr>
        <w:t>obligations to taxing authorities. These tax obligations include income, real estate and sales/use taxes. Judgments related to income taxes require the recognition in our financial statements of the largest tax benefit of a tax position that is “more-likely-than-not” to be sustained on audit. Tax positions that do not meet the “more-likely-than-not” criteria are reflected as a tax liability in accordance with the accounting standards for uncertainty in income taxes. We record a valuation allowance against our deferred tax assets to the extent it is more-likely-than-not that some portion or all of the deferred tax assets will not be realized.</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subject to income taxes in various jurisdictions. We make assumptions and judgments each reporting period to estimate our income tax assets, liabilities, benefits, and expenses. Judgments and assumptions are supported by historical data and reasonable projections. Our assumptions and judgments include projections of our future federal and state taxable income, and state apportionment, to determine our ability to utilize NOL and credit carryforwards prior to their expiration. Significant changes in assumptions regarding future federal and state taxable income could require valuation allowances which could result in a material impact on our results of operations.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2012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364"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Outlook</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ALLETE is an energy company committed to earning a financial return that rewards our shareholders, allows for reinvestment in our businesses and sustains growth. The Company has a key long-term objective of achieving minimum average earnings per share growth of 5 percent per year (using 2010 as a base year) and maintaining a competitive dividend payout. To accomplish this, Minnesota Power will continue to pursue customer growth opportunities and cost recovery rider approval for environmental, renewable and transmission investments, as well as work with legislators and regulators to earn a fair rate of return. In addition, ALLETE expects to pursue new energy-centric initiatives that provide long-term earnings growth potential, while at the same time reduce our exposure to industrial electricity sales. The new energy-centric pursuits will be in renewable energy, transmission and other energy-related infrastructure or infrastructure services.</w:t>
      </w:r>
    </w:p>
    <w:p>
      <w:pPr>
        <w:spacing w:after="0" w:line="18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believe that, over the long-term, less carbon intensive and more sustainable energy sources will play an increasingly important role in our nation’s energy mix. Minnesota Power has developed renewable resources which will be used to meet regulated renewable supply requirements and is considering additional investments. In addition, in June 2011, we established ALLETE Clean Energy, a wholly-owned subsidiary of ALLETE. ALLETE Clean Energy operates independently of Minnesota Power to develop or acquire capital projects aimed at creating energy solutions via wind, solar, biomass, hydro, natural gas/liquids, shale resources, clean coal and other clean energy innovations. ALLETE Clean Energy intends to market to electric utilities, cooperatives, municipalities, independent power marketers and large end-users across North America through long-term contracts or other sale arrangements, and will be subject to applicable state and federal regulatory approvals. For wind development, we intend to capitalize on our existing presence in North Dakota through BNI Coal, our DC transmission line and our Bison Wind Energy Center. We have a long-term business presence and established landowner relationships in North Dakota.</w:t>
      </w:r>
    </w:p>
    <w:p>
      <w:pPr>
        <w:spacing w:after="0" w:line="19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plan to make investments in transmission opportunities that strengthen or enhance the transmission grid or take advantage of our geographical location between sources of renewable energy and end users. This includes the Great Northern Transmission Line and the CapX2020 initiative, as well as investments to enhance our own transmission facilities, investments in other transmission assets (individually or in combination with others), and our investment in ATC. Transmission investments could be made by Minnesota Power or a subsidiary of ALLETE. (See Regulated Operations – Transmission.)</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North American energy trends continue to evolve, and may be impacted by emerging technological, environmental, and demand changes. We believe this may create opportunity, and we are exploring investing in other energy-centric businesses related to energy infrastructure and infrastructure services. Our investment criteria focuses on investments with recurring or contractual revenues, differentiated offerings and reasonable barriers to entry. In addition, investments would typically support ALLETE’s investment grade credit metrics and dividend policy.</w:t>
      </w:r>
    </w:p>
    <w:p>
      <w:pPr>
        <w:spacing w:after="0" w:line="18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color w:val="auto"/>
        </w:rPr>
        <w:t xml:space="preserve">Regulated Operations. </w:t>
      </w:r>
      <w:r>
        <w:rPr>
          <w:rFonts w:ascii="Arial" w:cs="Arial" w:eastAsia="Arial" w:hAnsi="Arial"/>
          <w:sz w:val="17"/>
          <w:szCs w:val="17"/>
          <w:color w:val="auto"/>
        </w:rPr>
        <w:t>Minnesota Power’s long-term strategy is to be the leading electric energy provider in northeastern Minnesota by providing safe,</w:t>
      </w:r>
      <w:r>
        <w:rPr>
          <w:rFonts w:ascii="Arial" w:cs="Arial" w:eastAsia="Arial" w:hAnsi="Arial"/>
          <w:sz w:val="17"/>
          <w:szCs w:val="17"/>
          <w:b w:val="1"/>
          <w:bCs w:val="1"/>
          <w:color w:val="auto"/>
        </w:rPr>
        <w:t xml:space="preserve"> </w:t>
      </w:r>
      <w:r>
        <w:rPr>
          <w:rFonts w:ascii="Arial" w:cs="Arial" w:eastAsia="Arial" w:hAnsi="Arial"/>
          <w:sz w:val="17"/>
          <w:szCs w:val="17"/>
          <w:color w:val="auto"/>
        </w:rPr>
        <w:t>reliable and cost-competitive electric energy, while complying with environmental permit conditions and renewable requirements. Keeping the cost of energy production competitive enables Minnesota Power to effectively compete in the wholesale power markets and minimizes retail rate increases to help maintain the viability of its customers. As part of maintaining cost competitiveness, Minnesota Power intends to reduce its exposure to possible future carbon and GHG legislation by reshaping its generation portfolio, over time, to reduce its reliance on coal. We will monitor and review proposed environmental regulations and may challenge those that add considerable cost with limited environmental benefit. Minnesota Power will continue to pursue customer growth opportunities and cost recovery rider approval for environmental, renewable and transmission investments, as well as work with legislators and regulators to earn a fair rate of return. We project that our Regulated Operations will not earn its allowed rate of return in 2013.</w:t>
      </w:r>
    </w:p>
    <w:p>
      <w:pPr>
        <w:spacing w:after="0" w:line="176" w:lineRule="exact"/>
        <w:rPr>
          <w:sz w:val="20"/>
          <w:szCs w:val="20"/>
          <w:color w:val="auto"/>
        </w:rPr>
      </w:pPr>
    </w:p>
    <w:p>
      <w:pPr>
        <w:spacing w:after="0" w:line="342" w:lineRule="auto"/>
        <w:rPr>
          <w:sz w:val="20"/>
          <w:szCs w:val="20"/>
          <w:color w:val="auto"/>
        </w:rPr>
      </w:pPr>
      <w:r>
        <w:rPr>
          <w:rFonts w:ascii="Arial" w:cs="Arial" w:eastAsia="Arial" w:hAnsi="Arial"/>
          <w:sz w:val="16"/>
          <w:szCs w:val="16"/>
          <w:b w:val="1"/>
          <w:bCs w:val="1"/>
          <w:i w:val="1"/>
          <w:iCs w:val="1"/>
          <w:color w:val="auto"/>
        </w:rPr>
        <w:t xml:space="preserve">Regulatory Matters. </w:t>
      </w:r>
      <w:r>
        <w:rPr>
          <w:rFonts w:ascii="Arial" w:cs="Arial" w:eastAsia="Arial" w:hAnsi="Arial"/>
          <w:sz w:val="16"/>
          <w:szCs w:val="16"/>
          <w:color w:val="auto"/>
        </w:rPr>
        <w:t>Entities within our Regulated Operations segment are under the jurisdiction of the MPUC, the FERC or the PSCW. See Item 1. Business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Regulated Operations – Regulatory Matters for discussion of regulatory matters within our Minnesota, FERC, Wisconsin and North Dakota jurisdictions.</w:t>
      </w:r>
    </w:p>
    <w:p>
      <w:pPr>
        <w:spacing w:after="0" w:line="12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 xml:space="preserve">Industrial Customers. </w:t>
      </w:r>
      <w:r>
        <w:rPr>
          <w:rFonts w:ascii="Arial" w:cs="Arial" w:eastAsia="Arial" w:hAnsi="Arial"/>
          <w:sz w:val="16"/>
          <w:szCs w:val="16"/>
          <w:color w:val="auto"/>
        </w:rPr>
        <w:t>Electric power is one of several key inputs in the taconite mining, iron concentrate, paper, pulp and wood products, and pipeline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industries. In 2012, 57 percent (56 percent in 2011) of our Regulated Utility kilowatt-hour sales were made to our industrial customers in these industries.</w:t>
      </w:r>
    </w:p>
    <w:p>
      <w:pPr>
        <w:spacing w:after="0" w:line="124"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Minnesota Power provides electric service to five taconite customers capable of producing up to approximately 41 million tons of taconite pellets annually. Taconite pellets produced in Minnesota are primarily shipped to North American steel making facilities that are part of the integrated steel industry. Steel produced from these North American facilities is used primarily in the manufacture of automobiles, appliances, pipe and tube products for the gas and oil industry, and in the construction industry. Historically, less than five percent of Minnesota taconite production is exported outside of North America.</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2012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364"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Outlook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Industrial Customers (Continued)</w:t>
      </w:r>
    </w:p>
    <w:p>
      <w:pPr>
        <w:spacing w:after="0" w:line="21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There has been a general historical correlation between U.S. steel production and Minnesota taconite production. The World Steel Association, an association of approximately 170 steel producers, national and regional steel industry associations, and steel research institutes representing around 85 percent of world steel production, projected U.S. steel consumption in 2013 will be similar to 2012. The American Iron and Steel Institute (AISI), an association of North American steel producers, reported that U.S. raw steel production operated at approximately 75 percent of capacity in 2012 (75 percent in 2011, 70 percent in 2010). Based on these projections, 2013 taconite production levels in Minnesota are expected to be similar to 2012. The following table reflects Minnesota Power’s taconite customers’ production levels for the past ten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1299845</wp:posOffset>
            </wp:positionH>
            <wp:positionV relativeFrom="paragraph">
              <wp:posOffset>208280</wp:posOffset>
            </wp:positionV>
            <wp:extent cx="4673600" cy="24269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673600" cy="2426970"/>
                    </a:xfrm>
                    <a:prstGeom prst="rect">
                      <a:avLst/>
                    </a:prstGeom>
                    <a:noFill/>
                  </pic:spPr>
                </pic:pic>
              </a:graphicData>
            </a:graphic>
          </wp:anchor>
        </w:drawing>
      </w:r>
    </w:p>
    <w:p>
      <w:pPr>
        <w:spacing w:after="0" w:line="317" w:lineRule="exact"/>
        <w:rPr>
          <w:sz w:val="20"/>
          <w:szCs w:val="20"/>
          <w:color w:val="auto"/>
        </w:rPr>
      </w:pPr>
    </w:p>
    <w:tbl>
      <w:tblPr>
        <w:tblLayout w:type="fixed"/>
        <w:tblInd w:w="2040" w:type="dxa"/>
        <w:tblCellMar>
          <w:top w:w="0" w:type="dxa"/>
          <w:left w:w="0" w:type="dxa"/>
          <w:bottom w:w="0" w:type="dxa"/>
          <w:right w:w="0" w:type="dxa"/>
        </w:tblCellMar>
      </w:tblPr>
      <w:tr>
        <w:trPr>
          <w:trHeight w:val="207"/>
        </w:trPr>
        <w:tc>
          <w:tcPr>
            <w:tcW w:w="1680" w:type="dxa"/>
            <w:vAlign w:val="bottom"/>
          </w:tcPr>
          <w:p>
            <w:pPr>
              <w:spacing w:after="0"/>
              <w:rPr>
                <w:sz w:val="17"/>
                <w:szCs w:val="17"/>
                <w:color w:val="auto"/>
              </w:rPr>
            </w:pPr>
          </w:p>
        </w:tc>
        <w:tc>
          <w:tcPr>
            <w:tcW w:w="5680" w:type="dxa"/>
            <w:vAlign w:val="bottom"/>
            <w:gridSpan w:val="3"/>
          </w:tcPr>
          <w:p>
            <w:pPr>
              <w:ind w:left="120"/>
              <w:spacing w:after="0"/>
              <w:rPr>
                <w:sz w:val="20"/>
                <w:szCs w:val="20"/>
                <w:color w:val="auto"/>
              </w:rPr>
            </w:pPr>
            <w:r>
              <w:rPr>
                <w:rFonts w:ascii="Arial" w:cs="Arial" w:eastAsia="Arial" w:hAnsi="Arial"/>
                <w:sz w:val="18"/>
                <w:szCs w:val="18"/>
                <w:b w:val="1"/>
                <w:bCs w:val="1"/>
                <w:color w:val="auto"/>
              </w:rPr>
              <w:t>Minnesota Power Taconite Customer Production</w:t>
            </w:r>
          </w:p>
        </w:tc>
      </w:tr>
      <w:tr>
        <w:trPr>
          <w:trHeight w:val="291"/>
        </w:trPr>
        <w:tc>
          <w:tcPr>
            <w:tcW w:w="1680" w:type="dxa"/>
            <w:vAlign w:val="bottom"/>
          </w:tcPr>
          <w:p>
            <w:pPr>
              <w:ind w:left="1080"/>
              <w:spacing w:after="0"/>
              <w:rPr>
                <w:sz w:val="20"/>
                <w:szCs w:val="20"/>
                <w:color w:val="auto"/>
              </w:rPr>
            </w:pPr>
            <w:r>
              <w:rPr>
                <w:rFonts w:ascii="Arial" w:cs="Arial" w:eastAsia="Arial" w:hAnsi="Arial"/>
                <w:sz w:val="18"/>
                <w:szCs w:val="18"/>
                <w:b w:val="1"/>
                <w:bCs w:val="1"/>
                <w:color w:val="auto"/>
              </w:rPr>
              <w:t>Year</w:t>
            </w:r>
          </w:p>
        </w:tc>
        <w:tc>
          <w:tcPr>
            <w:tcW w:w="120" w:type="dxa"/>
            <w:vAlign w:val="bottom"/>
          </w:tcPr>
          <w:p>
            <w:pPr>
              <w:spacing w:after="0"/>
              <w:rPr>
                <w:sz w:val="24"/>
                <w:szCs w:val="24"/>
                <w:color w:val="auto"/>
              </w:rPr>
            </w:pPr>
          </w:p>
        </w:tc>
        <w:tc>
          <w:tcPr>
            <w:tcW w:w="3760" w:type="dxa"/>
            <w:vAlign w:val="bottom"/>
            <w:tcBorders>
              <w:top w:val="single" w:sz="8" w:color="auto"/>
            </w:tcBorders>
          </w:tcPr>
          <w:p>
            <w:pPr>
              <w:spacing w:after="0"/>
              <w:rPr>
                <w:sz w:val="24"/>
                <w:szCs w:val="24"/>
                <w:color w:val="auto"/>
              </w:rPr>
            </w:pPr>
          </w:p>
        </w:tc>
        <w:tc>
          <w:tcPr>
            <w:tcW w:w="1800" w:type="dxa"/>
            <w:vAlign w:val="bottom"/>
          </w:tcPr>
          <w:p>
            <w:pPr>
              <w:jc w:val="center"/>
              <w:ind w:right="550"/>
              <w:spacing w:after="0"/>
              <w:rPr>
                <w:sz w:val="20"/>
                <w:szCs w:val="20"/>
                <w:color w:val="auto"/>
              </w:rPr>
            </w:pPr>
            <w:r>
              <w:rPr>
                <w:rFonts w:ascii="Arial" w:cs="Arial" w:eastAsia="Arial" w:hAnsi="Arial"/>
                <w:sz w:val="18"/>
                <w:szCs w:val="18"/>
                <w:b w:val="1"/>
                <w:bCs w:val="1"/>
                <w:color w:val="auto"/>
                <w:w w:val="91"/>
              </w:rPr>
              <w:t>Tons (Millions)</w:t>
            </w:r>
          </w:p>
        </w:tc>
      </w:tr>
      <w:tr>
        <w:trPr>
          <w:trHeight w:val="27"/>
        </w:trPr>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37"/>
        </w:trPr>
        <w:tc>
          <w:tcPr>
            <w:tcW w:w="1680" w:type="dxa"/>
            <w:vAlign w:val="bottom"/>
          </w:tcPr>
          <w:p>
            <w:pPr>
              <w:ind w:left="1100"/>
              <w:spacing w:after="0"/>
              <w:rPr>
                <w:sz w:val="20"/>
                <w:szCs w:val="20"/>
                <w:color w:val="auto"/>
              </w:rPr>
            </w:pPr>
            <w:r>
              <w:rPr>
                <w:rFonts w:ascii="Arial" w:cs="Arial" w:eastAsia="Arial" w:hAnsi="Arial"/>
                <w:sz w:val="18"/>
                <w:szCs w:val="18"/>
                <w:color w:val="auto"/>
              </w:rPr>
              <w:t>2012*</w:t>
            </w:r>
          </w:p>
        </w:tc>
        <w:tc>
          <w:tcPr>
            <w:tcW w:w="5680" w:type="dxa"/>
            <w:vAlign w:val="bottom"/>
            <w:gridSpan w:val="3"/>
          </w:tcPr>
          <w:p>
            <w:pPr>
              <w:jc w:val="center"/>
              <w:ind w:left="3130"/>
              <w:spacing w:after="0"/>
              <w:rPr>
                <w:sz w:val="20"/>
                <w:szCs w:val="20"/>
                <w:color w:val="auto"/>
              </w:rPr>
            </w:pPr>
            <w:r>
              <w:rPr>
                <w:rFonts w:ascii="Arial" w:cs="Arial" w:eastAsia="Arial" w:hAnsi="Arial"/>
                <w:sz w:val="18"/>
                <w:szCs w:val="18"/>
                <w:color w:val="auto"/>
                <w:w w:val="89"/>
              </w:rPr>
              <w:t>39</w:t>
            </w:r>
          </w:p>
        </w:tc>
      </w:tr>
      <w:tr>
        <w:trPr>
          <w:trHeight w:val="27"/>
        </w:trPr>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7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1680" w:type="dxa"/>
            <w:vAlign w:val="bottom"/>
            <w:tcBorders>
              <w:bottom w:val="single" w:sz="8" w:color="CCEEFF"/>
            </w:tcBorders>
            <w:shd w:val="clear" w:color="auto" w:fill="CCEEFF"/>
          </w:tcPr>
          <w:p>
            <w:pPr>
              <w:ind w:left="1080"/>
              <w:spacing w:after="0"/>
              <w:rPr>
                <w:sz w:val="20"/>
                <w:szCs w:val="20"/>
                <w:color w:val="auto"/>
              </w:rPr>
            </w:pPr>
            <w:r>
              <w:rPr>
                <w:rFonts w:ascii="Arial" w:cs="Arial" w:eastAsia="Arial" w:hAnsi="Arial"/>
                <w:sz w:val="18"/>
                <w:szCs w:val="18"/>
                <w:color w:val="auto"/>
              </w:rPr>
              <w:t>2011</w:t>
            </w:r>
          </w:p>
        </w:tc>
        <w:tc>
          <w:tcPr>
            <w:tcW w:w="5680" w:type="dxa"/>
            <w:vAlign w:val="bottom"/>
            <w:tcBorders>
              <w:bottom w:val="single" w:sz="8" w:color="CCEEFF"/>
            </w:tcBorders>
            <w:gridSpan w:val="3"/>
            <w:shd w:val="clear" w:color="auto" w:fill="CCEEFF"/>
          </w:tcPr>
          <w:p>
            <w:pPr>
              <w:jc w:val="center"/>
              <w:ind w:left="3130"/>
              <w:spacing w:after="0"/>
              <w:rPr>
                <w:sz w:val="20"/>
                <w:szCs w:val="20"/>
                <w:color w:val="auto"/>
              </w:rPr>
            </w:pPr>
            <w:r>
              <w:rPr>
                <w:rFonts w:ascii="Arial" w:cs="Arial" w:eastAsia="Arial" w:hAnsi="Arial"/>
                <w:sz w:val="18"/>
                <w:szCs w:val="18"/>
                <w:color w:val="auto"/>
                <w:w w:val="89"/>
              </w:rPr>
              <w:t>39</w:t>
            </w:r>
          </w:p>
        </w:tc>
      </w:tr>
      <w:tr>
        <w:trPr>
          <w:trHeight w:val="243"/>
        </w:trPr>
        <w:tc>
          <w:tcPr>
            <w:tcW w:w="1680" w:type="dxa"/>
            <w:vAlign w:val="bottom"/>
          </w:tcPr>
          <w:p>
            <w:pPr>
              <w:ind w:left="1080"/>
              <w:spacing w:after="0"/>
              <w:rPr>
                <w:sz w:val="20"/>
                <w:szCs w:val="20"/>
                <w:color w:val="auto"/>
              </w:rPr>
            </w:pPr>
            <w:r>
              <w:rPr>
                <w:rFonts w:ascii="Arial" w:cs="Arial" w:eastAsia="Arial" w:hAnsi="Arial"/>
                <w:sz w:val="18"/>
                <w:szCs w:val="18"/>
                <w:color w:val="auto"/>
              </w:rPr>
              <w:t>2010</w:t>
            </w:r>
          </w:p>
        </w:tc>
        <w:tc>
          <w:tcPr>
            <w:tcW w:w="5680" w:type="dxa"/>
            <w:vAlign w:val="bottom"/>
            <w:gridSpan w:val="3"/>
          </w:tcPr>
          <w:p>
            <w:pPr>
              <w:jc w:val="center"/>
              <w:ind w:left="3130"/>
              <w:spacing w:after="0"/>
              <w:rPr>
                <w:sz w:val="20"/>
                <w:szCs w:val="20"/>
                <w:color w:val="auto"/>
              </w:rPr>
            </w:pPr>
            <w:r>
              <w:rPr>
                <w:rFonts w:ascii="Arial" w:cs="Arial" w:eastAsia="Arial" w:hAnsi="Arial"/>
                <w:sz w:val="18"/>
                <w:szCs w:val="18"/>
                <w:color w:val="auto"/>
                <w:w w:val="89"/>
              </w:rPr>
              <w:t>35</w:t>
            </w:r>
          </w:p>
        </w:tc>
      </w:tr>
      <w:tr>
        <w:trPr>
          <w:trHeight w:val="27"/>
        </w:trPr>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7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1680" w:type="dxa"/>
            <w:vAlign w:val="bottom"/>
            <w:tcBorders>
              <w:bottom w:val="single" w:sz="8" w:color="CCEEFF"/>
            </w:tcBorders>
            <w:shd w:val="clear" w:color="auto" w:fill="CCEEFF"/>
          </w:tcPr>
          <w:p>
            <w:pPr>
              <w:ind w:left="1080"/>
              <w:spacing w:after="0"/>
              <w:rPr>
                <w:sz w:val="20"/>
                <w:szCs w:val="20"/>
                <w:color w:val="auto"/>
              </w:rPr>
            </w:pPr>
            <w:r>
              <w:rPr>
                <w:rFonts w:ascii="Arial" w:cs="Arial" w:eastAsia="Arial" w:hAnsi="Arial"/>
                <w:sz w:val="18"/>
                <w:szCs w:val="18"/>
                <w:color w:val="auto"/>
              </w:rPr>
              <w:t>2009</w:t>
            </w:r>
          </w:p>
        </w:tc>
        <w:tc>
          <w:tcPr>
            <w:tcW w:w="5680" w:type="dxa"/>
            <w:vAlign w:val="bottom"/>
            <w:tcBorders>
              <w:bottom w:val="single" w:sz="8" w:color="CCEEFF"/>
            </w:tcBorders>
            <w:gridSpan w:val="3"/>
            <w:shd w:val="clear" w:color="auto" w:fill="CCEEFF"/>
          </w:tcPr>
          <w:p>
            <w:pPr>
              <w:jc w:val="center"/>
              <w:ind w:left="3130"/>
              <w:spacing w:after="0"/>
              <w:rPr>
                <w:sz w:val="20"/>
                <w:szCs w:val="20"/>
                <w:color w:val="auto"/>
              </w:rPr>
            </w:pPr>
            <w:r>
              <w:rPr>
                <w:rFonts w:ascii="Arial" w:cs="Arial" w:eastAsia="Arial" w:hAnsi="Arial"/>
                <w:sz w:val="18"/>
                <w:szCs w:val="18"/>
                <w:color w:val="auto"/>
                <w:w w:val="89"/>
              </w:rPr>
              <w:t>17</w:t>
            </w:r>
          </w:p>
        </w:tc>
      </w:tr>
      <w:tr>
        <w:trPr>
          <w:trHeight w:val="243"/>
        </w:trPr>
        <w:tc>
          <w:tcPr>
            <w:tcW w:w="1680" w:type="dxa"/>
            <w:vAlign w:val="bottom"/>
          </w:tcPr>
          <w:p>
            <w:pPr>
              <w:ind w:left="1080"/>
              <w:spacing w:after="0"/>
              <w:rPr>
                <w:sz w:val="20"/>
                <w:szCs w:val="20"/>
                <w:color w:val="auto"/>
              </w:rPr>
            </w:pPr>
            <w:r>
              <w:rPr>
                <w:rFonts w:ascii="Arial" w:cs="Arial" w:eastAsia="Arial" w:hAnsi="Arial"/>
                <w:sz w:val="18"/>
                <w:szCs w:val="18"/>
                <w:color w:val="auto"/>
              </w:rPr>
              <w:t>2008</w:t>
            </w:r>
          </w:p>
        </w:tc>
        <w:tc>
          <w:tcPr>
            <w:tcW w:w="5680" w:type="dxa"/>
            <w:vAlign w:val="bottom"/>
            <w:gridSpan w:val="3"/>
          </w:tcPr>
          <w:p>
            <w:pPr>
              <w:jc w:val="center"/>
              <w:ind w:left="3130"/>
              <w:spacing w:after="0"/>
              <w:rPr>
                <w:sz w:val="20"/>
                <w:szCs w:val="20"/>
                <w:color w:val="auto"/>
              </w:rPr>
            </w:pPr>
            <w:r>
              <w:rPr>
                <w:rFonts w:ascii="Arial" w:cs="Arial" w:eastAsia="Arial" w:hAnsi="Arial"/>
                <w:sz w:val="18"/>
                <w:szCs w:val="18"/>
                <w:color w:val="auto"/>
                <w:w w:val="89"/>
              </w:rPr>
              <w:t>39</w:t>
            </w:r>
          </w:p>
        </w:tc>
      </w:tr>
      <w:tr>
        <w:trPr>
          <w:trHeight w:val="27"/>
        </w:trPr>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7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1680" w:type="dxa"/>
            <w:vAlign w:val="bottom"/>
            <w:tcBorders>
              <w:bottom w:val="single" w:sz="8" w:color="CCEEFF"/>
            </w:tcBorders>
            <w:shd w:val="clear" w:color="auto" w:fill="CCEEFF"/>
          </w:tcPr>
          <w:p>
            <w:pPr>
              <w:ind w:left="1080"/>
              <w:spacing w:after="0"/>
              <w:rPr>
                <w:sz w:val="20"/>
                <w:szCs w:val="20"/>
                <w:color w:val="auto"/>
              </w:rPr>
            </w:pPr>
            <w:r>
              <w:rPr>
                <w:rFonts w:ascii="Arial" w:cs="Arial" w:eastAsia="Arial" w:hAnsi="Arial"/>
                <w:sz w:val="18"/>
                <w:szCs w:val="18"/>
                <w:color w:val="auto"/>
              </w:rPr>
              <w:t>2007</w:t>
            </w:r>
          </w:p>
        </w:tc>
        <w:tc>
          <w:tcPr>
            <w:tcW w:w="5680" w:type="dxa"/>
            <w:vAlign w:val="bottom"/>
            <w:tcBorders>
              <w:bottom w:val="single" w:sz="8" w:color="CCEEFF"/>
            </w:tcBorders>
            <w:gridSpan w:val="3"/>
            <w:shd w:val="clear" w:color="auto" w:fill="CCEEFF"/>
          </w:tcPr>
          <w:p>
            <w:pPr>
              <w:jc w:val="center"/>
              <w:ind w:left="3130"/>
              <w:spacing w:after="0"/>
              <w:rPr>
                <w:sz w:val="20"/>
                <w:szCs w:val="20"/>
                <w:color w:val="auto"/>
              </w:rPr>
            </w:pPr>
            <w:r>
              <w:rPr>
                <w:rFonts w:ascii="Arial" w:cs="Arial" w:eastAsia="Arial" w:hAnsi="Arial"/>
                <w:sz w:val="18"/>
                <w:szCs w:val="18"/>
                <w:color w:val="auto"/>
                <w:w w:val="89"/>
              </w:rPr>
              <w:t>38</w:t>
            </w:r>
          </w:p>
        </w:tc>
      </w:tr>
      <w:tr>
        <w:trPr>
          <w:trHeight w:val="243"/>
        </w:trPr>
        <w:tc>
          <w:tcPr>
            <w:tcW w:w="1680" w:type="dxa"/>
            <w:vAlign w:val="bottom"/>
          </w:tcPr>
          <w:p>
            <w:pPr>
              <w:ind w:left="1080"/>
              <w:spacing w:after="0"/>
              <w:rPr>
                <w:sz w:val="20"/>
                <w:szCs w:val="20"/>
                <w:color w:val="auto"/>
              </w:rPr>
            </w:pPr>
            <w:r>
              <w:rPr>
                <w:rFonts w:ascii="Arial" w:cs="Arial" w:eastAsia="Arial" w:hAnsi="Arial"/>
                <w:sz w:val="18"/>
                <w:szCs w:val="18"/>
                <w:color w:val="auto"/>
              </w:rPr>
              <w:t>2006</w:t>
            </w:r>
          </w:p>
        </w:tc>
        <w:tc>
          <w:tcPr>
            <w:tcW w:w="5680" w:type="dxa"/>
            <w:vAlign w:val="bottom"/>
            <w:gridSpan w:val="3"/>
          </w:tcPr>
          <w:p>
            <w:pPr>
              <w:jc w:val="center"/>
              <w:ind w:left="3130"/>
              <w:spacing w:after="0"/>
              <w:rPr>
                <w:sz w:val="20"/>
                <w:szCs w:val="20"/>
                <w:color w:val="auto"/>
              </w:rPr>
            </w:pPr>
            <w:r>
              <w:rPr>
                <w:rFonts w:ascii="Arial" w:cs="Arial" w:eastAsia="Arial" w:hAnsi="Arial"/>
                <w:sz w:val="18"/>
                <w:szCs w:val="18"/>
                <w:color w:val="auto"/>
                <w:w w:val="89"/>
              </w:rPr>
              <w:t>39</w:t>
            </w:r>
          </w:p>
        </w:tc>
      </w:tr>
      <w:tr>
        <w:trPr>
          <w:trHeight w:val="27"/>
        </w:trPr>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7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1680" w:type="dxa"/>
            <w:vAlign w:val="bottom"/>
            <w:tcBorders>
              <w:bottom w:val="single" w:sz="8" w:color="CCEEFF"/>
            </w:tcBorders>
            <w:shd w:val="clear" w:color="auto" w:fill="CCEEFF"/>
          </w:tcPr>
          <w:p>
            <w:pPr>
              <w:ind w:left="1080"/>
              <w:spacing w:after="0"/>
              <w:rPr>
                <w:sz w:val="20"/>
                <w:szCs w:val="20"/>
                <w:color w:val="auto"/>
              </w:rPr>
            </w:pPr>
            <w:r>
              <w:rPr>
                <w:rFonts w:ascii="Arial" w:cs="Arial" w:eastAsia="Arial" w:hAnsi="Arial"/>
                <w:sz w:val="18"/>
                <w:szCs w:val="18"/>
                <w:color w:val="auto"/>
              </w:rPr>
              <w:t>2005</w:t>
            </w:r>
          </w:p>
        </w:tc>
        <w:tc>
          <w:tcPr>
            <w:tcW w:w="5680" w:type="dxa"/>
            <w:vAlign w:val="bottom"/>
            <w:tcBorders>
              <w:bottom w:val="single" w:sz="8" w:color="CCEEFF"/>
            </w:tcBorders>
            <w:gridSpan w:val="3"/>
            <w:shd w:val="clear" w:color="auto" w:fill="CCEEFF"/>
          </w:tcPr>
          <w:p>
            <w:pPr>
              <w:jc w:val="center"/>
              <w:ind w:left="3130"/>
              <w:spacing w:after="0"/>
              <w:rPr>
                <w:sz w:val="20"/>
                <w:szCs w:val="20"/>
                <w:color w:val="auto"/>
              </w:rPr>
            </w:pPr>
            <w:r>
              <w:rPr>
                <w:rFonts w:ascii="Arial" w:cs="Arial" w:eastAsia="Arial" w:hAnsi="Arial"/>
                <w:sz w:val="18"/>
                <w:szCs w:val="18"/>
                <w:color w:val="auto"/>
                <w:w w:val="89"/>
              </w:rPr>
              <w:t>40</w:t>
            </w:r>
          </w:p>
        </w:tc>
      </w:tr>
      <w:tr>
        <w:trPr>
          <w:trHeight w:val="243"/>
        </w:trPr>
        <w:tc>
          <w:tcPr>
            <w:tcW w:w="1680" w:type="dxa"/>
            <w:vAlign w:val="bottom"/>
          </w:tcPr>
          <w:p>
            <w:pPr>
              <w:ind w:left="1080"/>
              <w:spacing w:after="0"/>
              <w:rPr>
                <w:sz w:val="20"/>
                <w:szCs w:val="20"/>
                <w:color w:val="auto"/>
              </w:rPr>
            </w:pPr>
            <w:r>
              <w:rPr>
                <w:rFonts w:ascii="Arial" w:cs="Arial" w:eastAsia="Arial" w:hAnsi="Arial"/>
                <w:sz w:val="18"/>
                <w:szCs w:val="18"/>
                <w:color w:val="auto"/>
              </w:rPr>
              <w:t>2004</w:t>
            </w:r>
          </w:p>
        </w:tc>
        <w:tc>
          <w:tcPr>
            <w:tcW w:w="5680" w:type="dxa"/>
            <w:vAlign w:val="bottom"/>
            <w:gridSpan w:val="3"/>
          </w:tcPr>
          <w:p>
            <w:pPr>
              <w:jc w:val="center"/>
              <w:ind w:left="3130"/>
              <w:spacing w:after="0"/>
              <w:rPr>
                <w:sz w:val="20"/>
                <w:szCs w:val="20"/>
                <w:color w:val="auto"/>
              </w:rPr>
            </w:pPr>
            <w:r>
              <w:rPr>
                <w:rFonts w:ascii="Arial" w:cs="Arial" w:eastAsia="Arial" w:hAnsi="Arial"/>
                <w:sz w:val="18"/>
                <w:szCs w:val="18"/>
                <w:color w:val="auto"/>
                <w:w w:val="89"/>
              </w:rPr>
              <w:t>39</w:t>
            </w:r>
          </w:p>
        </w:tc>
      </w:tr>
      <w:tr>
        <w:trPr>
          <w:trHeight w:val="27"/>
        </w:trPr>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7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43"/>
        </w:trPr>
        <w:tc>
          <w:tcPr>
            <w:tcW w:w="168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2003</w:t>
            </w:r>
          </w:p>
        </w:tc>
        <w:tc>
          <w:tcPr>
            <w:tcW w:w="5680" w:type="dxa"/>
            <w:vAlign w:val="bottom"/>
            <w:gridSpan w:val="3"/>
            <w:shd w:val="clear" w:color="auto" w:fill="CCEEFF"/>
          </w:tcPr>
          <w:p>
            <w:pPr>
              <w:jc w:val="center"/>
              <w:ind w:left="3130"/>
              <w:spacing w:after="0"/>
              <w:rPr>
                <w:sz w:val="20"/>
                <w:szCs w:val="20"/>
                <w:color w:val="auto"/>
              </w:rPr>
            </w:pPr>
            <w:r>
              <w:rPr>
                <w:rFonts w:ascii="Arial" w:cs="Arial" w:eastAsia="Arial" w:hAnsi="Arial"/>
                <w:sz w:val="18"/>
                <w:szCs w:val="18"/>
                <w:color w:val="auto"/>
                <w:w w:val="89"/>
              </w:rPr>
              <w:t>34</w:t>
            </w:r>
          </w:p>
        </w:tc>
      </w:tr>
      <w:tr>
        <w:trPr>
          <w:trHeight w:val="27"/>
        </w:trPr>
        <w:tc>
          <w:tcPr>
            <w:tcW w:w="16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76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r>
    </w:tbl>
    <w:p>
      <w:pPr>
        <w:spacing w:after="0" w:line="13" w:lineRule="exact"/>
        <w:rPr>
          <w:sz w:val="20"/>
          <w:szCs w:val="20"/>
          <w:color w:val="auto"/>
        </w:rPr>
      </w:pPr>
    </w:p>
    <w:p>
      <w:pPr>
        <w:ind w:left="2080"/>
        <w:spacing w:after="0"/>
        <w:rPr>
          <w:sz w:val="20"/>
          <w:szCs w:val="20"/>
          <w:color w:val="auto"/>
        </w:rPr>
      </w:pPr>
      <w:r>
        <w:rPr>
          <w:rFonts w:ascii="Arial" w:cs="Arial" w:eastAsia="Arial" w:hAnsi="Arial"/>
          <w:sz w:val="16"/>
          <w:szCs w:val="16"/>
          <w:i w:val="1"/>
          <w:iCs w:val="1"/>
          <w:color w:val="auto"/>
        </w:rPr>
        <w:t>Source: Minnesota Department of Revenue December 2012 Mining Tax Guide for years 2003 - 2011.</w:t>
      </w:r>
    </w:p>
    <w:p>
      <w:pPr>
        <w:spacing w:after="0" w:line="86" w:lineRule="exact"/>
        <w:rPr>
          <w:sz w:val="20"/>
          <w:szCs w:val="20"/>
          <w:color w:val="auto"/>
        </w:rPr>
      </w:pPr>
    </w:p>
    <w:p>
      <w:pPr>
        <w:ind w:left="2080"/>
        <w:spacing w:after="0"/>
        <w:rPr>
          <w:sz w:val="20"/>
          <w:szCs w:val="20"/>
          <w:color w:val="auto"/>
        </w:rPr>
      </w:pPr>
      <w:r>
        <w:rPr>
          <w:rFonts w:ascii="Arial" w:cs="Arial" w:eastAsia="Arial" w:hAnsi="Arial"/>
          <w:sz w:val="18"/>
          <w:szCs w:val="18"/>
          <w:i w:val="1"/>
          <w:iCs w:val="1"/>
          <w:color w:val="auto"/>
        </w:rPr>
        <w:t>* Preliminary data from the Minnesota Department of Revenue.</w:t>
      </w:r>
    </w:p>
    <w:p>
      <w:pPr>
        <w:spacing w:after="0" w:line="2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taconite customers may experience annual variations in production levels due to such factors as economic conditions, short-term demand changes or maintenance outages. We estimate that a one million ton change in our taconite customers’ production would change our annual earnings per share by approximately $0.03, net of power marketing sales at 2012 year-end prices. Changes in wholesale electric prices or customer contractual demand nominations could impact this estimate. Long-term reductions in production or a permanent shut down of a taconite customer may lead us to file a rate case to recover lost revenues.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Similar to our taconite customers, Minnesota Power’s four major paper mills ran at, or very near, full capacity for the majority of 2012. Similar levels are expected in 2013.</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Northshore Mining Company</w:t>
      </w:r>
      <w:r>
        <w:rPr>
          <w:rFonts w:ascii="Arial" w:cs="Arial" w:eastAsia="Arial" w:hAnsi="Arial"/>
          <w:sz w:val="17"/>
          <w:szCs w:val="17"/>
          <w:color w:val="auto"/>
        </w:rPr>
        <w:t>. In November 2012, Cliffs Natural Resources Inc. announced an idling of two small production lines for all of 2013 at its</w:t>
      </w:r>
      <w:r>
        <w:rPr>
          <w:rFonts w:ascii="Arial" w:cs="Arial" w:eastAsia="Arial" w:hAnsi="Arial"/>
          <w:sz w:val="17"/>
          <w:szCs w:val="17"/>
          <w:i w:val="1"/>
          <w:iCs w:val="1"/>
          <w:color w:val="auto"/>
        </w:rPr>
        <w:t xml:space="preserve"> </w:t>
      </w:r>
      <w:r>
        <w:rPr>
          <w:rFonts w:ascii="Arial" w:cs="Arial" w:eastAsia="Arial" w:hAnsi="Arial"/>
          <w:sz w:val="17"/>
          <w:szCs w:val="17"/>
          <w:color w:val="auto"/>
        </w:rPr>
        <w:t>Northshore Mining Company (Northshore) facility in Silver Bay, Minnesota. Northshore has on-site generation supplying most of its power needs at the Silver Bay facility and therefore, the production idling at Northshore will not have an adverse effect on Minnesota Power’s sales to taconite customers.</w:t>
      </w:r>
    </w:p>
    <w:p>
      <w:pPr>
        <w:spacing w:after="0" w:line="166" w:lineRule="exact"/>
        <w:rPr>
          <w:sz w:val="20"/>
          <w:szCs w:val="20"/>
          <w:color w:val="auto"/>
        </w:rPr>
      </w:pPr>
    </w:p>
    <w:p>
      <w:pPr>
        <w:jc w:val="both"/>
        <w:spacing w:after="0" w:line="297" w:lineRule="auto"/>
        <w:rPr>
          <w:sz w:val="20"/>
          <w:szCs w:val="20"/>
          <w:color w:val="auto"/>
        </w:rPr>
      </w:pPr>
      <w:r>
        <w:rPr>
          <w:rFonts w:ascii="Arial" w:cs="Arial" w:eastAsia="Arial" w:hAnsi="Arial"/>
          <w:sz w:val="16"/>
          <w:szCs w:val="16"/>
          <w:i w:val="1"/>
          <w:iCs w:val="1"/>
          <w:color w:val="auto"/>
        </w:rPr>
        <w:t xml:space="preserve">Prospective Additional Load. </w:t>
      </w:r>
      <w:r>
        <w:rPr>
          <w:rFonts w:ascii="Arial" w:cs="Arial" w:eastAsia="Arial" w:hAnsi="Arial"/>
          <w:sz w:val="16"/>
          <w:szCs w:val="16"/>
          <w:color w:val="auto"/>
        </w:rPr>
        <w:t>Minnesota Power is pursuing new wholesale and retail loads in and around its service territory. Currently, several companies in</w:t>
      </w:r>
      <w:r>
        <w:rPr>
          <w:rFonts w:ascii="Arial" w:cs="Arial" w:eastAsia="Arial" w:hAnsi="Arial"/>
          <w:sz w:val="16"/>
          <w:szCs w:val="16"/>
          <w:i w:val="1"/>
          <w:iCs w:val="1"/>
          <w:color w:val="auto"/>
        </w:rPr>
        <w:t xml:space="preserve"> </w:t>
      </w:r>
      <w:r>
        <w:rPr>
          <w:rFonts w:ascii="Arial" w:cs="Arial" w:eastAsia="Arial" w:hAnsi="Arial"/>
          <w:sz w:val="16"/>
          <w:szCs w:val="16"/>
          <w:color w:val="auto"/>
        </w:rPr>
        <w:t>northeastern Minnesota continue to progress in the development of natural resource based projects that represent long-term growth potential and load diversity for Minnesota Power. These potential projects are in the ferrous and non-ferrous mining and steel industries and include PolyMet, Mesabi Nugget, USS Corporation’s expansion at its Keewatin taconite facility, Essar Steel Limited Minnesota (Essar), and Magnetation. We cannot predict the outcome of these projects, but if these projects are constructed, Minnesota Power could serve up to approximately 600 MW of new retail or wholesale load.</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2012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364"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Outlook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Industrial Customers (Continued)</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PolyMet</w:t>
      </w:r>
      <w:r>
        <w:rPr>
          <w:rFonts w:ascii="Arial" w:cs="Arial" w:eastAsia="Arial" w:hAnsi="Arial"/>
          <w:sz w:val="18"/>
          <w:szCs w:val="18"/>
          <w:color w:val="auto"/>
        </w:rPr>
        <w:t>. Minnesota Power has executed a long-term contract with PolyMet, a new industrial customer planning to start a copper-nickel and precious metal</w:t>
      </w:r>
      <w:r>
        <w:rPr>
          <w:rFonts w:ascii="Arial" w:cs="Arial" w:eastAsia="Arial" w:hAnsi="Arial"/>
          <w:sz w:val="18"/>
          <w:szCs w:val="18"/>
          <w:i w:val="1"/>
          <w:iCs w:val="1"/>
          <w:color w:val="auto"/>
        </w:rPr>
        <w:t xml:space="preserve"> </w:t>
      </w:r>
      <w:r>
        <w:rPr>
          <w:rFonts w:ascii="Arial" w:cs="Arial" w:eastAsia="Arial" w:hAnsi="Arial"/>
          <w:sz w:val="18"/>
          <w:szCs w:val="18"/>
          <w:color w:val="auto"/>
        </w:rPr>
        <w:t>(non-ferrous) mining operation in northeastern Minnesota. PolyMet began work on a Supplemental Draft Environmental Impact Statement (SDEIS) in 2010. The SDEIS will address environmental issues, including those dealing with a land exchange between PolyMet and the U.S. Forest Service (USFS), which is critical to the mine site development. The EPA and the USFS joined as lead agencies in the SDEIS process. Release of the SDEIS is expected in the first half of 2013, to be followed by a public review and comment period. Assuming successful completion of the SDEIS process and subsequent issuance of permits, Minnesota Power could begin to supply between 45 MW and 70 MW of load as early as 2015 through a 10-year power supply contract that would begin upon start-up of the mining operations.</w:t>
      </w:r>
    </w:p>
    <w:p>
      <w:pPr>
        <w:spacing w:after="0" w:line="18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i w:val="1"/>
          <w:iCs w:val="1"/>
          <w:color w:val="auto"/>
        </w:rPr>
        <w:t xml:space="preserve">Mesabi Nugget. </w:t>
      </w:r>
      <w:r>
        <w:rPr>
          <w:rFonts w:ascii="Arial" w:cs="Arial" w:eastAsia="Arial" w:hAnsi="Arial"/>
          <w:sz w:val="17"/>
          <w:szCs w:val="17"/>
          <w:color w:val="auto"/>
        </w:rPr>
        <w:t>The construction of the initial Mesabi Nugget facility is complete and production began in January 2010. Mesabi Nugget continues to pursue</w:t>
      </w:r>
      <w:r>
        <w:rPr>
          <w:rFonts w:ascii="Arial" w:cs="Arial" w:eastAsia="Arial" w:hAnsi="Arial"/>
          <w:sz w:val="17"/>
          <w:szCs w:val="17"/>
          <w:i w:val="1"/>
          <w:iCs w:val="1"/>
          <w:color w:val="auto"/>
        </w:rPr>
        <w:t xml:space="preserve"> </w:t>
      </w:r>
      <w:r>
        <w:rPr>
          <w:rFonts w:ascii="Arial" w:cs="Arial" w:eastAsia="Arial" w:hAnsi="Arial"/>
          <w:sz w:val="17"/>
          <w:szCs w:val="17"/>
          <w:color w:val="auto"/>
        </w:rPr>
        <w:t>permits for taconite mining activities on lands formerly mined by Erie Mining Company and LTV Steel Mining Company near Hoyt Lakes, Minnesota. Upon receipt of permits to mine, Mesabi Nugget could mine and self-supply its own iron ore concentrate about a year later, which would result in increased electrical loads above our current 20 MW long-term power supply contract with Mesabi Nugget which lasts at least through 2017. In the meantime, Mesabi Nugget will receive iron ore concentrate from a new Mining Resources, LLC facility located near Chisholm, Minnesota.</w:t>
      </w:r>
    </w:p>
    <w:p>
      <w:pPr>
        <w:spacing w:after="0" w:line="1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Keewatin Taconite. </w:t>
      </w:r>
      <w:r>
        <w:rPr>
          <w:rFonts w:ascii="Arial" w:cs="Arial" w:eastAsia="Arial" w:hAnsi="Arial"/>
          <w:sz w:val="18"/>
          <w:szCs w:val="18"/>
          <w:color w:val="auto"/>
        </w:rPr>
        <w:t>In February 2008, USS Corporation announced its intent to restart a pellet line at its Keewatin Taconite (Keetac) processing facility. If</w:t>
      </w:r>
      <w:r>
        <w:rPr>
          <w:rFonts w:ascii="Arial" w:cs="Arial" w:eastAsia="Arial" w:hAnsi="Arial"/>
          <w:sz w:val="18"/>
          <w:szCs w:val="18"/>
          <w:i w:val="1"/>
          <w:iCs w:val="1"/>
          <w:color w:val="auto"/>
        </w:rPr>
        <w:t xml:space="preserve"> </w:t>
      </w:r>
      <w:r>
        <w:rPr>
          <w:rFonts w:ascii="Arial" w:cs="Arial" w:eastAsia="Arial" w:hAnsi="Arial"/>
          <w:sz w:val="18"/>
          <w:szCs w:val="18"/>
          <w:color w:val="auto"/>
        </w:rPr>
        <w:t>restarted, this pellet line, which has been idle since 1980, could bring 3.6 million tons of additional pellet making capability to northeastern Minnesota and could result in over 60 MW of additional load for Minnesota Power. Project permits have been received and should the project be approved by USS Corporation’s Board of Directors, construction activities could commence immediately thereafter with production expected to begin approximately two to three years later.</w:t>
      </w:r>
    </w:p>
    <w:p>
      <w:pPr>
        <w:spacing w:after="0" w:line="18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auto"/>
        </w:rPr>
        <w:t xml:space="preserve">City of Nashwauk. </w:t>
      </w:r>
      <w:r>
        <w:rPr>
          <w:rFonts w:ascii="Arial" w:cs="Arial" w:eastAsia="Arial" w:hAnsi="Arial"/>
          <w:sz w:val="17"/>
          <w:szCs w:val="17"/>
          <w:color w:val="auto"/>
        </w:rPr>
        <w:t>On May 1, 2012, the Company entered into a new formula-based wholesale electric sales agreement with the City of Nashwauk for all of</w:t>
      </w:r>
      <w:r>
        <w:rPr>
          <w:rFonts w:ascii="Arial" w:cs="Arial" w:eastAsia="Arial" w:hAnsi="Arial"/>
          <w:sz w:val="17"/>
          <w:szCs w:val="17"/>
          <w:i w:val="1"/>
          <w:iCs w:val="1"/>
          <w:color w:val="auto"/>
        </w:rPr>
        <w:t xml:space="preserve"> </w:t>
      </w:r>
      <w:r>
        <w:rPr>
          <w:rFonts w:ascii="Arial" w:cs="Arial" w:eastAsia="Arial" w:hAnsi="Arial"/>
          <w:sz w:val="17"/>
          <w:szCs w:val="17"/>
          <w:color w:val="auto"/>
        </w:rPr>
        <w:t>the City’s electric service requirements, effective April 1, 2013 through June 30, 2024. A new Essar taconite facility is currently under construction in the city of Nashwauk, Minnesota. This facility will result in approximately 110 MW of additional load for Minnesota Power. Essar has indicated plans for start-up in mid-2013, with pellet production beginning during the second half of the year, resulting in a minimal impact on our results of operations until late 2013. ALLETE believes Essar will move towards full production capacity levels during 2014. Under the terms of a facilities construction agreement, Minnesota Power is constructing a 230 kV transmission system upgrade to serve the Essar load. This upgrade is expected to cost approximately $35 million and is scheduled to be in service in April 2013, at which time the City of Nashwauk will begin to provide electric service for Essar’s new taconite facility. Expansions for additional pellet production, production of direct reduced iron and production of steel slabs are also being considered for future years. In addition, on February 11, 2013, Essar announced a ten year iron ore pellet off-take agreement with ArcelorMittal. Under terms of the agreement Essar will supply 3.5 million tons of pellets annually to ArcelorMittal, which is expected to begin in late 2013.</w:t>
      </w:r>
    </w:p>
    <w:p>
      <w:pPr>
        <w:spacing w:after="0" w:line="17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Magnetation. </w:t>
      </w:r>
      <w:r>
        <w:rPr>
          <w:rFonts w:ascii="Arial" w:cs="Arial" w:eastAsia="Arial" w:hAnsi="Arial"/>
          <w:sz w:val="17"/>
          <w:szCs w:val="17"/>
          <w:color w:val="auto"/>
        </w:rPr>
        <w:t>In December 2011, the MPUC approved Minnesota Power’s electric service agreement with Magnetation. Magnetation, a company in</w:t>
      </w:r>
      <w:r>
        <w:rPr>
          <w:rFonts w:ascii="Arial" w:cs="Arial" w:eastAsia="Arial" w:hAnsi="Arial"/>
          <w:sz w:val="17"/>
          <w:szCs w:val="17"/>
          <w:i w:val="1"/>
          <w:iCs w:val="1"/>
          <w:color w:val="auto"/>
        </w:rPr>
        <w:t xml:space="preserve"> </w:t>
      </w:r>
      <w:r>
        <w:rPr>
          <w:rFonts w:ascii="Arial" w:cs="Arial" w:eastAsia="Arial" w:hAnsi="Arial"/>
          <w:sz w:val="17"/>
          <w:szCs w:val="17"/>
          <w:color w:val="auto"/>
        </w:rPr>
        <w:t>northeastern Minnesota, produces iron ore concentrate from low-grade natural ore tailing basins, already mined stockpiles and newly mined iron formations. Magnetation’s facility near Taconite, Minnesota is fully operational with equipment additions currently underway at the facility.</w:t>
      </w:r>
    </w:p>
    <w:p>
      <w:pPr>
        <w:spacing w:after="0" w:line="16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October 2011, Magnetation and integrated steelmaker, AK Steel Corporation (AK Steel), announced a joint venture, Magnetation LLC, under which construction activities for two new facilities, near Calumet and Coleraine, Minnesota, are expected to commence in 2013. The Calumet facility could come on line in late 2014 and the Coleraine facility shortly thereafter to supply iron ore concentrate to Magnetation’s new pellet plant that is under construction in Reynolds, Indiana. Construction of these new iron ore concentrate facilities could result in approximately 20 MW of additional load for Minnesota Power.</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2012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364"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Outlook (Continued)</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b w:val="1"/>
          <w:bCs w:val="1"/>
          <w:i w:val="1"/>
          <w:iCs w:val="1"/>
          <w:color w:val="auto"/>
        </w:rPr>
        <w:t xml:space="preserve">EnergyForward. </w:t>
      </w:r>
      <w:r>
        <w:rPr>
          <w:rFonts w:ascii="Arial" w:cs="Arial" w:eastAsia="Arial" w:hAnsi="Arial"/>
          <w:sz w:val="16"/>
          <w:szCs w:val="16"/>
          <w:color w:val="auto"/>
        </w:rPr>
        <w:t>On January 30, 2013, Minnesota Power announced “EnergyForward”, a strategic plan for assuring reliability, protecting affordability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further improving environmental performance. The plan includes completed and planned investments in wind and hydroelectric power, the addition of natural gas as a generation fuel source, and the installation of emissions control technology. Significant elements of the “EnergyForward” plan include:</w:t>
      </w:r>
    </w:p>
    <w:p>
      <w:pPr>
        <w:spacing w:after="0" w:line="147" w:lineRule="exact"/>
        <w:rPr>
          <w:sz w:val="20"/>
          <w:szCs w:val="20"/>
          <w:color w:val="auto"/>
        </w:rPr>
      </w:pPr>
    </w:p>
    <w:p>
      <w:pPr>
        <w:ind w:left="660" w:hanging="328"/>
        <w:spacing w:after="0" w:line="258"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Major wind investments in North Dakota. Including the 210 MW of wind generation commissioned in December 2012, our total Bison Wind Energy Center now has 292 MW of nameplate capacity (see Renewable Energy).</w:t>
      </w:r>
    </w:p>
    <w:p>
      <w:pPr>
        <w:spacing w:after="0" w:line="1" w:lineRule="exact"/>
        <w:rPr>
          <w:rFonts w:ascii="Arial" w:cs="Arial" w:eastAsia="Arial" w:hAnsi="Arial"/>
          <w:sz w:val="18"/>
          <w:szCs w:val="18"/>
          <w:color w:val="auto"/>
        </w:rPr>
      </w:pPr>
    </w:p>
    <w:p>
      <w:pPr>
        <w:ind w:left="660" w:hanging="328"/>
        <w:spacing w:after="0" w:line="281" w:lineRule="auto"/>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Planned installation of approximately $350 to $400 million in emissions control technology at our Boswell Unit 4 to further reduce emissions of SO</w:t>
      </w:r>
      <w:r>
        <w:rPr>
          <w:rFonts w:ascii="Arial" w:cs="Arial" w:eastAsia="Arial" w:hAnsi="Arial"/>
          <w:sz w:val="11"/>
          <w:szCs w:val="11"/>
          <w:color w:val="auto"/>
        </w:rPr>
        <w:t>2</w:t>
      </w:r>
      <w:r>
        <w:rPr>
          <w:rFonts w:ascii="Arial" w:cs="Arial" w:eastAsia="Arial" w:hAnsi="Arial"/>
          <w:sz w:val="16"/>
          <w:szCs w:val="16"/>
          <w:color w:val="auto"/>
        </w:rPr>
        <w:t>, particulates and mercury. (See Item 1. Business – Regulated Operations – Regulatory Matters – Boswell Mercury Emissions Reduction Plan.)</w:t>
      </w:r>
    </w:p>
    <w:p>
      <w:pPr>
        <w:spacing w:after="0" w:line="1" w:lineRule="exact"/>
        <w:rPr>
          <w:rFonts w:ascii="Arial" w:cs="Arial" w:eastAsia="Arial" w:hAnsi="Arial"/>
          <w:sz w:val="16"/>
          <w:szCs w:val="16"/>
          <w:color w:val="auto"/>
        </w:rPr>
      </w:pPr>
    </w:p>
    <w:p>
      <w:pPr>
        <w:ind w:left="660" w:hanging="328"/>
        <w:spacing w:after="0"/>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Planning for the proposed Great Northern Transmission Line to deliver hydroelectric power from northern Manitoba by 2020. (See Item 1. Business</w:t>
      </w:r>
    </w:p>
    <w:p>
      <w:pPr>
        <w:spacing w:after="0" w:line="32"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 Regulated Operations – Transmission and Distribution.)</w:t>
      </w:r>
    </w:p>
    <w:p>
      <w:pPr>
        <w:spacing w:after="0" w:line="9" w:lineRule="exact"/>
        <w:rPr>
          <w:rFonts w:ascii="Arial" w:cs="Arial" w:eastAsia="Arial" w:hAnsi="Arial"/>
          <w:sz w:val="16"/>
          <w:szCs w:val="16"/>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conversion of our Laskin Energy Center from coal to cleaner-burning natural gas in 2015.</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Retiring Taconite Harbor Unit 3, one of three coal units at our Taconite Harbor Energy Center, in 2015.</w:t>
      </w:r>
    </w:p>
    <w:p>
      <w:pPr>
        <w:spacing w:after="0" w:line="21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“EnergyForward” initiatives are subject to regulatory approval, and will be included in Minnesota Power’s Integrated Resource Plan to be filed with the MPUC on March 1, 2013 (see Item 1. Business – Regulated Operations – Regulatory Matters).</w:t>
      </w:r>
    </w:p>
    <w:p>
      <w:pPr>
        <w:spacing w:after="0" w:line="17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b w:val="1"/>
          <w:bCs w:val="1"/>
          <w:i w:val="1"/>
          <w:iCs w:val="1"/>
          <w:color w:val="auto"/>
        </w:rPr>
        <w:t xml:space="preserve">Boswell Mercury Emissions Reduction Plan. </w:t>
      </w:r>
      <w:r>
        <w:rPr>
          <w:rFonts w:ascii="Arial" w:cs="Arial" w:eastAsia="Arial" w:hAnsi="Arial"/>
          <w:sz w:val="16"/>
          <w:szCs w:val="16"/>
          <w:color w:val="auto"/>
        </w:rPr>
        <w:t>Minnesota Power is required to implement a mercury emissions reduction project for Boswell Unit 4 under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Minnesota Mercury Emissions Reduction and the Federal MATS rule. On August 31, 2012, Minnesota Power filed its mercury emissions reduction plan for Boswell Unit 4 with the MPUC and the MPCA. The plan proposes that Minnesota Power install pollution controls by early 2016 to address both the Minnesota mercury emissions reduction requirements and the Federal MATS rule. Costs to implement the Boswell Unit 4 mercury emissions reduction plan are included in the estimated capital expenditures and are estimated to be between $350 million and $400 million. The MPCA has 180 days to comment on the mercury emissions reduction plan, which then is reviewed by the MPUC for a decision. We expect a decision by the MPUC on the plan in the third quarter of 2013. After approval by the MPUC we anticipate filing a petition to include investments and expenditures in customer billing rates.</w:t>
      </w:r>
    </w:p>
    <w:p>
      <w:pPr>
        <w:spacing w:after="0" w:line="16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i w:val="1"/>
          <w:iCs w:val="1"/>
          <w:color w:val="auto"/>
        </w:rPr>
        <w:t>Renewable Energy</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February 2007, Minnesota enacted a law requiring 25 percent of Minnesota Power’s total retail and wholesale energy sales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Minnesota be from renewable energy sources by 2025. The law also requires Minnesota Power to meet interim milestones of 12 percent by 2012, 17 percent by 2016 and 20 percent by 2020. The law allows the MPUC to modify or delay meeting a milestone if implementation will cause significant ratepayer cost or technical reliability issues. If a utility is not in compliance with a milestone, the MPUC may order the utility to construct facilities, purchase renewable energy or purchase renewable energy credits. Minnesota Power met the 2012 milestone and has developed a plan to meet the future renewable milestones which is included in its 2010 Integrated Resource Plan. The MPUC approved the Integrated Resource Plan in its final order issued in May 2011. Minnesota Power will submit its next Integrated Resource Plan on March 1, 2013, and include an update on its plans and progress in meeting the Minnesota renewable energy milestones through 2025.</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Minnesota Power has taken several steps in executing its renewable energy strategy through key renewable projects that will ensure we meet the identified state mandate at the lowest cost for customers. We have executed two long-term PPAs with an affiliate of NextEra Energy, Inc., for wind energy in North Dakota (Oliver Wind I and II). Other steps include Taconite Ridge, our 25 MW wind facility located in northeastern Minnesota, and our 292 MW Bison Wind Energy Center in North Dakota. Approximately 20 percent of the Company’s total retail and municipal energy sales will be supplied by renewable energy sources in 2013.</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North Dakota Wind Development. </w:t>
      </w:r>
      <w:r>
        <w:rPr>
          <w:rFonts w:ascii="Arial" w:cs="Arial" w:eastAsia="Arial" w:hAnsi="Arial"/>
          <w:sz w:val="18"/>
          <w:szCs w:val="18"/>
          <w:color w:val="auto"/>
        </w:rPr>
        <w:t>Minnesota Power uses our 465-mile, 250 kV DC transmission line that runs from Center, North Dakota, to Duluth,</w:t>
      </w:r>
      <w:r>
        <w:rPr>
          <w:rFonts w:ascii="Arial" w:cs="Arial" w:eastAsia="Arial" w:hAnsi="Arial"/>
          <w:sz w:val="18"/>
          <w:szCs w:val="18"/>
          <w:i w:val="1"/>
          <w:iCs w:val="1"/>
          <w:color w:val="auto"/>
        </w:rPr>
        <w:t xml:space="preserve"> </w:t>
      </w:r>
      <w:r>
        <w:rPr>
          <w:rFonts w:ascii="Arial" w:cs="Arial" w:eastAsia="Arial" w:hAnsi="Arial"/>
          <w:sz w:val="18"/>
          <w:szCs w:val="18"/>
          <w:color w:val="auto"/>
        </w:rPr>
        <w:t>Minnesota to transport increasing amounts of wind energy from North Dakota while gradually phasing out coal-based electricity delivered to our system over this transmission line from Square Butte’s lignite coal-fired generating unit.</w:t>
      </w:r>
    </w:p>
    <w:p>
      <w:pPr>
        <w:spacing w:after="0" w:line="18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Our Bison Wind Energy Center in North Dakota consists of 292 MW of nameplate capacity. The 82 MW Bison 1 wind facility was completed in two phases; the first phase in 2010 and the second phase in January 2012. The 105 MW Bison 2 and 105 MW Bison 3 wind facilities were completed in December 2012. Total project costs for our Bison Wind Energy Center were $473.3 million through December 31, 2012. In September 2011, and November 2011, the MPUC approved Minnesota Power’s petition seeking cost recovery for investments and expenditures related to Bison 2 and Bison 3, respectively.</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2012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364"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Outlook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Renewable Energy (Continued)</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Current customer billing rates were approved by the MPUC in a November 2011 order and are based on investments and expenditures associated with our Bison Wind Energy Center through that period. We anticipate filing a cost recovery petition with the MPUC in the first half of 2013 to update customer billing rates for subsequent investments and expenditures since 2011.</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current capital expenditures plan includes additional wind energy investments in North Dakota in 2016 and 2017 to meet Minnesota’s 25 percent renewable energy mandate by 2025 (see Liquidity and Capital Resources – Capital Requirements). On January 2, 2013, The American Taxpayer Relief Act of 2012 extended the availability of the production tax credit for renewable energy facilities that commence construction by December 31, 2013. As a result, we are evaluating the acceleration of these investments so that construction would commence in 2013.</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Manitoba Hydro. </w:t>
      </w:r>
      <w:r>
        <w:rPr>
          <w:rFonts w:ascii="Arial" w:cs="Arial" w:eastAsia="Arial" w:hAnsi="Arial"/>
          <w:sz w:val="18"/>
          <w:szCs w:val="18"/>
          <w:color w:val="auto"/>
        </w:rPr>
        <w:t>Minnesota Power has a long-term PPA with Manitoba Hydro for the purchase of 50 MW of capacity and energy associated with that</w:t>
      </w:r>
      <w:r>
        <w:rPr>
          <w:rFonts w:ascii="Arial" w:cs="Arial" w:eastAsia="Arial" w:hAnsi="Arial"/>
          <w:sz w:val="18"/>
          <w:szCs w:val="18"/>
          <w:i w:val="1"/>
          <w:iCs w:val="1"/>
          <w:color w:val="auto"/>
        </w:rPr>
        <w:t xml:space="preserve"> </w:t>
      </w:r>
      <w:r>
        <w:rPr>
          <w:rFonts w:ascii="Arial" w:cs="Arial" w:eastAsia="Arial" w:hAnsi="Arial"/>
          <w:sz w:val="18"/>
          <w:szCs w:val="18"/>
          <w:color w:val="auto"/>
        </w:rPr>
        <w:t>capacity, which expires in April 2015. In addition, Minnesota Power signed a separate PPA with Manitoba Hydro to purchase surplus energy through April 2022. This energy-only transaction primarily consists of surplus hydro energy on Manitoba Hydro’s system that is delivered to Minnesota Power on a non-firm basis. The pricing is based on forward market prices. Under this agreement with Manitoba Hydro, Minnesota Power will be purchasing at least one million MWh of energy over the contract term.</w:t>
      </w:r>
    </w:p>
    <w:p>
      <w:pPr>
        <w:spacing w:after="0" w:line="18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May 2011, Minnesota Power and Manitoba Hydro signed an additional long-term PPA. The PPA calls for Manitoba Hydro to sell 250 MW of capacity and energy to Minnesota Power for 15 years beginning in 2020. The capacity price is adjusted annually until 2020 by a change in a governmental inflationary index. The energy price is based on a formula that includes an annual fixed price component adjusted for a change in a governmental inflationary index and a natural gas index, as well as market prices. The agreement is subject to construction of additional transmission capacity between Manitoba and Minnesota’s Iron Range. In addition, we are exploring other regional grid enhancements that would allow for the movement of more renewable energy in the Upper Midwest while at the same time strengthening electric reliability in the region.</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Integrated Resource Plan</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May 2011, the MPUC issued its final order approving our 2010 Integrated Resource Plan. As a condition of the final order,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required baseload diversification study evaluating the impact of additional environmental regulations over the next two decades was filed on February 6, 2012. Minnesota Power’s Integrated Resource Plan to be filed on March 1, 2013, will detail our “EnergyForward” strategic plan (see </w:t>
      </w:r>
      <w:r>
        <w:rPr>
          <w:rFonts w:ascii="Arial" w:cs="Arial" w:eastAsia="Arial" w:hAnsi="Arial"/>
          <w:sz w:val="18"/>
          <w:szCs w:val="18"/>
          <w:i w:val="1"/>
          <w:iCs w:val="1"/>
          <w:color w:val="auto"/>
        </w:rPr>
        <w:t>EnergyForward</w:t>
      </w:r>
      <w:r>
        <w:rPr>
          <w:rFonts w:ascii="Arial" w:cs="Arial" w:eastAsia="Arial" w:hAnsi="Arial"/>
          <w:sz w:val="18"/>
          <w:szCs w:val="18"/>
          <w:color w:val="auto"/>
        </w:rPr>
        <w:t>), and will include an analysis of a variety of existing and future energy resource alternatives and a projection of customer cost impact by</w:t>
      </w:r>
      <w:r>
        <w:rPr>
          <w:rFonts w:ascii="Arial" w:cs="Arial" w:eastAsia="Arial" w:hAnsi="Arial"/>
          <w:sz w:val="18"/>
          <w:szCs w:val="18"/>
          <w:i w:val="1"/>
          <w:iCs w:val="1"/>
          <w:color w:val="auto"/>
        </w:rPr>
        <w:t xml:space="preserve"> </w:t>
      </w:r>
      <w:r>
        <w:rPr>
          <w:rFonts w:ascii="Arial" w:cs="Arial" w:eastAsia="Arial" w:hAnsi="Arial"/>
          <w:sz w:val="18"/>
          <w:szCs w:val="18"/>
          <w:color w:val="auto"/>
        </w:rPr>
        <w:t>class.</w:t>
      </w:r>
    </w:p>
    <w:p>
      <w:pPr>
        <w:spacing w:after="0" w:line="18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Transmission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plan to make investments in transmission opportunities that strengthen or enhance the transmission grid or take advantage of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geographical location between sources of renewable energy and end users. This includes the Great Northern Transmission Line and the CapX2020 initiative, as well as investments to enhance our own transmission facilities, investments in other transmission assets (individually or in combination with others), and our investment in ATC. See also Item 1. Business – Regulated Operations.</w:t>
      </w:r>
    </w:p>
    <w:p>
      <w:pPr>
        <w:spacing w:after="0" w:line="18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 xml:space="preserve">Hydro Operations. </w:t>
      </w:r>
      <w:r>
        <w:rPr>
          <w:rFonts w:ascii="Arial" w:cs="Arial" w:eastAsia="Arial" w:hAnsi="Arial"/>
          <w:sz w:val="18"/>
          <w:szCs w:val="18"/>
          <w:color w:val="auto"/>
        </w:rPr>
        <w:t>On June 19 and 20, 2012, record rainfall and flooding occurred near Duluth, Minnesota and surrounding areas. The flooding impacted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Minnesota Power’s hydro system, particularly the Thomson Energy Center, which is currently off-line due to damage to the forebay canal and flooding at the facility.</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has property insurance coverage of $100 million per occurrence and a deductible of $500,000 per event, providing coverage for water damage, equipment damage, and other structural damage at covered facilities. Damage to covered facilities, which includes significant electrical, mechanical and facility infrastructure damage at the Thomson facility, is estimated to be approximately $10 million, net of insurance.</w:t>
      </w:r>
    </w:p>
    <w:p>
      <w:pPr>
        <w:spacing w:after="0" w:line="18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policy does not cover damage to land and earthen structures, which includes the majority of the damage to the forebay canal at the Thomson facility. Minnesota Power is continuing to assess options for rebuilding the forebay canal and is in close contact with the appropriate regulatory bodies which oversee the hydro system operations, including dams and reservoirs. Until that assessment is complete, we are not able to fully estimate the capital cost and schedule for rebuilding the forebay canal and resuming generation; however, based on a preliminary evaluation, the capital rebuild cost is estimated to be approximately $15 million to $25 million. Any expenditures to rebuild the forebay canal would be capitalized. Minnesota Power is working towards returning to partial generation from the Thomson Energy Center by the end of 2013 and to full generation by the end of 2014.</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2012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364"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Outlook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Hydro Operations (Continued)</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Thomson facility represents approximately 5 percent of total company electric generation capability. Additional purchased power expense required due to the Thomson facility outage will be recovered through our fuel adjustment clause. We do not believe that this event will have a material impact on our financial position or results of operations.</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 and Other</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BNI Coal. </w:t>
      </w:r>
      <w:r>
        <w:rPr>
          <w:rFonts w:ascii="Arial" w:cs="Arial" w:eastAsia="Arial" w:hAnsi="Arial"/>
          <w:sz w:val="18"/>
          <w:szCs w:val="18"/>
          <w:color w:val="auto"/>
        </w:rPr>
        <w:t>In 2012, BNI Coal sold 4.4 million tons of coal (4.3 million tons in 2011) and anticipates 2013 sales will be similar to 2012. BNI continues to</w:t>
      </w:r>
      <w:r>
        <w:rPr>
          <w:rFonts w:ascii="Arial" w:cs="Arial" w:eastAsia="Arial" w:hAnsi="Arial"/>
          <w:sz w:val="18"/>
          <w:szCs w:val="18"/>
          <w:i w:val="1"/>
          <w:iCs w:val="1"/>
          <w:color w:val="auto"/>
        </w:rPr>
        <w:t xml:space="preserve"> </w:t>
      </w:r>
      <w:r>
        <w:rPr>
          <w:rFonts w:ascii="Arial" w:cs="Arial" w:eastAsia="Arial" w:hAnsi="Arial"/>
          <w:sz w:val="18"/>
          <w:szCs w:val="18"/>
          <w:color w:val="auto"/>
        </w:rPr>
        <w:t>operate under a cost plus fixed fee agreement extending through 2026.</w:t>
      </w:r>
    </w:p>
    <w:p>
      <w:pPr>
        <w:spacing w:after="0" w:line="17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i w:val="1"/>
          <w:iCs w:val="1"/>
          <w:color w:val="auto"/>
        </w:rPr>
        <w:t xml:space="preserve">ALLETE Properties. </w:t>
      </w:r>
      <w:r>
        <w:rPr>
          <w:rFonts w:ascii="Arial" w:cs="Arial" w:eastAsia="Arial" w:hAnsi="Arial"/>
          <w:sz w:val="17"/>
          <w:szCs w:val="17"/>
          <w:color w:val="auto"/>
        </w:rPr>
        <w:t>ALLETE Properties represents our Florida real estate investment. Our current strategy for the assets is to complete and maintain key</w:t>
      </w:r>
      <w:r>
        <w:rPr>
          <w:rFonts w:ascii="Arial" w:cs="Arial" w:eastAsia="Arial" w:hAnsi="Arial"/>
          <w:sz w:val="17"/>
          <w:szCs w:val="17"/>
          <w:i w:val="1"/>
          <w:iCs w:val="1"/>
          <w:color w:val="auto"/>
        </w:rPr>
        <w:t xml:space="preserve"> </w:t>
      </w:r>
      <w:r>
        <w:rPr>
          <w:rFonts w:ascii="Arial" w:cs="Arial" w:eastAsia="Arial" w:hAnsi="Arial"/>
          <w:sz w:val="17"/>
          <w:szCs w:val="17"/>
          <w:color w:val="auto"/>
        </w:rPr>
        <w:t>entitlements and infrastructure improvements without requiring significant additional investment, sell the portfolio when opportunities arise and reinvest the proceeds in our growth initiatives. If weak market conditions continue for an extended period of time, the impact on our future operations would be the continuation of little or no sales while still incurring operating expenses and carrying costs such as community development district assessments and property taxes, or impairments. ALLETE does not intend to acquire additional Florida real estate.</w:t>
      </w:r>
    </w:p>
    <w:p>
      <w:pPr>
        <w:spacing w:after="0" w:line="17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two major development projects are Town Center and Palm Coast Park. Another major project, Ormond Crossings, is in the permitting stage. The City of Ormond Beach, Florida, approved a development agreement for Ormond Crossings which will facilitate development of the project as currently planned. Separately, the Lake Swamp wetland mitigation bank was permitted on land that was previously part of Ormond Crossings.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0" w:type="dxa"/>
            <w:vAlign w:val="bottom"/>
          </w:tcPr>
          <w:p>
            <w:pPr>
              <w:ind w:left="40"/>
              <w:spacing w:after="0"/>
              <w:rPr>
                <w:sz w:val="20"/>
                <w:szCs w:val="20"/>
                <w:color w:val="auto"/>
              </w:rPr>
            </w:pPr>
            <w:r>
              <w:rPr>
                <w:rFonts w:ascii="Arial" w:cs="Arial" w:eastAsia="Arial" w:hAnsi="Arial"/>
                <w:sz w:val="18"/>
                <w:szCs w:val="18"/>
                <w:b w:val="1"/>
                <w:bCs w:val="1"/>
                <w:color w:val="auto"/>
              </w:rPr>
              <w:t>Summary of Development Projects (100% Owned)</w:t>
            </w:r>
          </w:p>
        </w:tc>
        <w:tc>
          <w:tcPr>
            <w:tcW w:w="2680" w:type="dxa"/>
            <w:vAlign w:val="bottom"/>
          </w:tcPr>
          <w:p>
            <w:pPr>
              <w:spacing w:after="0"/>
              <w:rPr>
                <w:sz w:val="20"/>
                <w:szCs w:val="20"/>
                <w:color w:val="auto"/>
              </w:rPr>
            </w:pPr>
          </w:p>
        </w:tc>
        <w:tc>
          <w:tcPr>
            <w:tcW w:w="1380" w:type="dxa"/>
            <w:vAlign w:val="bottom"/>
          </w:tcPr>
          <w:p>
            <w:pPr>
              <w:jc w:val="right"/>
              <w:ind w:right="230"/>
              <w:spacing w:after="0"/>
              <w:rPr>
                <w:sz w:val="20"/>
                <w:szCs w:val="20"/>
                <w:color w:val="auto"/>
              </w:rPr>
            </w:pPr>
            <w:r>
              <w:rPr>
                <w:rFonts w:ascii="Arial" w:cs="Arial" w:eastAsia="Arial" w:hAnsi="Arial"/>
                <w:sz w:val="18"/>
                <w:szCs w:val="18"/>
                <w:b w:val="1"/>
                <w:bCs w:val="1"/>
                <w:color w:val="auto"/>
              </w:rPr>
              <w:t>Residential</w:t>
            </w:r>
          </w:p>
        </w:tc>
        <w:tc>
          <w:tcPr>
            <w:tcW w:w="1660" w:type="dxa"/>
            <w:vAlign w:val="bottom"/>
          </w:tcPr>
          <w:p>
            <w:pPr>
              <w:jc w:val="right"/>
              <w:ind w:right="150"/>
              <w:spacing w:after="0"/>
              <w:rPr>
                <w:sz w:val="20"/>
                <w:szCs w:val="20"/>
                <w:color w:val="auto"/>
              </w:rPr>
            </w:pPr>
            <w:r>
              <w:rPr>
                <w:rFonts w:ascii="Arial" w:cs="Arial" w:eastAsia="Arial" w:hAnsi="Arial"/>
                <w:sz w:val="18"/>
                <w:szCs w:val="18"/>
                <w:b w:val="1"/>
                <w:bCs w:val="1"/>
                <w:color w:val="auto"/>
              </w:rPr>
              <w:t>Non-residential</w:t>
            </w:r>
          </w:p>
        </w:tc>
      </w:tr>
      <w:tr>
        <w:trPr>
          <w:trHeight w:val="270"/>
        </w:trPr>
        <w:tc>
          <w:tcPr>
            <w:tcW w:w="5600" w:type="dxa"/>
            <w:vAlign w:val="bottom"/>
          </w:tcPr>
          <w:p>
            <w:pPr>
              <w:ind w:left="40"/>
              <w:spacing w:after="0"/>
              <w:rPr>
                <w:sz w:val="20"/>
                <w:szCs w:val="20"/>
                <w:color w:val="auto"/>
              </w:rPr>
            </w:pPr>
            <w:r>
              <w:rPr>
                <w:rFonts w:ascii="Arial" w:cs="Arial" w:eastAsia="Arial" w:hAnsi="Arial"/>
                <w:sz w:val="18"/>
                <w:szCs w:val="18"/>
                <w:b w:val="1"/>
                <w:bCs w:val="1"/>
                <w:color w:val="auto"/>
              </w:rPr>
              <w:t>Land Available-for-Sale</w:t>
            </w:r>
          </w:p>
        </w:tc>
        <w:tc>
          <w:tcPr>
            <w:tcW w:w="2680" w:type="dxa"/>
            <w:vAlign w:val="bottom"/>
          </w:tcPr>
          <w:p>
            <w:pPr>
              <w:jc w:val="right"/>
              <w:ind w:right="230"/>
              <w:spacing w:after="0"/>
              <w:rPr>
                <w:sz w:val="20"/>
                <w:szCs w:val="20"/>
                <w:color w:val="auto"/>
              </w:rPr>
            </w:pPr>
            <w:r>
              <w:rPr>
                <w:rFonts w:ascii="Arial" w:cs="Arial" w:eastAsia="Arial" w:hAnsi="Arial"/>
                <w:sz w:val="18"/>
                <w:szCs w:val="18"/>
                <w:b w:val="1"/>
                <w:bCs w:val="1"/>
                <w:color w:val="auto"/>
              </w:rPr>
              <w:t xml:space="preserve">Acres </w:t>
            </w:r>
            <w:r>
              <w:rPr>
                <w:rFonts w:ascii="Arial" w:cs="Arial" w:eastAsia="Arial" w:hAnsi="Arial"/>
                <w:sz w:val="18"/>
                <w:szCs w:val="18"/>
                <w:b w:val="1"/>
                <w:bCs w:val="1"/>
                <w:i w:val="1"/>
                <w:iCs w:val="1"/>
                <w:color w:val="auto"/>
              </w:rPr>
              <w:t>(a)</w:t>
            </w:r>
          </w:p>
        </w:tc>
        <w:tc>
          <w:tcPr>
            <w:tcW w:w="1380" w:type="dxa"/>
            <w:vAlign w:val="bottom"/>
          </w:tcPr>
          <w:p>
            <w:pPr>
              <w:jc w:val="right"/>
              <w:ind w:right="330"/>
              <w:spacing w:after="0"/>
              <w:rPr>
                <w:sz w:val="20"/>
                <w:szCs w:val="20"/>
                <w:color w:val="auto"/>
              </w:rPr>
            </w:pPr>
            <w:r>
              <w:rPr>
                <w:rFonts w:ascii="Arial" w:cs="Arial" w:eastAsia="Arial" w:hAnsi="Arial"/>
                <w:sz w:val="18"/>
                <w:szCs w:val="18"/>
                <w:b w:val="1"/>
                <w:bCs w:val="1"/>
                <w:color w:val="auto"/>
              </w:rPr>
              <w:t xml:space="preserve">Units </w:t>
            </w:r>
            <w:r>
              <w:rPr>
                <w:rFonts w:ascii="Arial" w:cs="Arial" w:eastAsia="Arial" w:hAnsi="Arial"/>
                <w:sz w:val="18"/>
                <w:szCs w:val="18"/>
                <w:b w:val="1"/>
                <w:bCs w:val="1"/>
                <w:i w:val="1"/>
                <w:iCs w:val="1"/>
                <w:color w:val="auto"/>
              </w:rPr>
              <w:t>(b)</w:t>
            </w:r>
          </w:p>
        </w:tc>
        <w:tc>
          <w:tcPr>
            <w:tcW w:w="1660" w:type="dxa"/>
            <w:vAlign w:val="bottom"/>
          </w:tcPr>
          <w:p>
            <w:pPr>
              <w:jc w:val="right"/>
              <w:ind w:right="310"/>
              <w:spacing w:after="0"/>
              <w:rPr>
                <w:sz w:val="20"/>
                <w:szCs w:val="20"/>
                <w:color w:val="auto"/>
              </w:rPr>
            </w:pPr>
            <w:r>
              <w:rPr>
                <w:rFonts w:ascii="Arial" w:cs="Arial" w:eastAsia="Arial" w:hAnsi="Arial"/>
                <w:sz w:val="18"/>
                <w:szCs w:val="18"/>
                <w:b w:val="1"/>
                <w:bCs w:val="1"/>
                <w:color w:val="auto"/>
              </w:rPr>
              <w:t xml:space="preserve">Sq. Ft. </w:t>
            </w:r>
            <w:r>
              <w:rPr>
                <w:rFonts w:ascii="Arial" w:cs="Arial" w:eastAsia="Arial" w:hAnsi="Arial"/>
                <w:sz w:val="18"/>
                <w:szCs w:val="18"/>
                <w:b w:val="1"/>
                <w:bCs w:val="1"/>
                <w:i w:val="1"/>
                <w:iCs w:val="1"/>
                <w:color w:val="auto"/>
              </w:rPr>
              <w:t>(b,c)</w:t>
            </w:r>
          </w:p>
        </w:tc>
      </w:tr>
      <w:tr>
        <w:trPr>
          <w:trHeight w:val="27"/>
        </w:trPr>
        <w:tc>
          <w:tcPr>
            <w:tcW w:w="560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37"/>
        </w:trPr>
        <w:tc>
          <w:tcPr>
            <w:tcW w:w="5600" w:type="dxa"/>
            <w:vAlign w:val="bottom"/>
          </w:tcPr>
          <w:p>
            <w:pPr>
              <w:ind w:left="40"/>
              <w:spacing w:after="0"/>
              <w:rPr>
                <w:sz w:val="20"/>
                <w:szCs w:val="20"/>
                <w:color w:val="auto"/>
              </w:rPr>
            </w:pPr>
            <w:r>
              <w:rPr>
                <w:rFonts w:ascii="Arial" w:cs="Arial" w:eastAsia="Arial" w:hAnsi="Arial"/>
                <w:sz w:val="18"/>
                <w:szCs w:val="18"/>
                <w:color w:val="auto"/>
              </w:rPr>
              <w:t>Current Development Projects</w:t>
            </w:r>
          </w:p>
        </w:tc>
        <w:tc>
          <w:tcPr>
            <w:tcW w:w="26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27"/>
        </w:trPr>
        <w:tc>
          <w:tcPr>
            <w:tcW w:w="560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Town Center</w:t>
            </w:r>
          </w:p>
        </w:tc>
        <w:tc>
          <w:tcPr>
            <w:tcW w:w="26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965</w:t>
            </w:r>
          </w:p>
        </w:tc>
        <w:tc>
          <w:tcPr>
            <w:tcW w:w="13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2,485</w:t>
            </w: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2,246,200</w:t>
            </w:r>
          </w:p>
        </w:tc>
      </w:tr>
      <w:tr>
        <w:trPr>
          <w:trHeight w:val="243"/>
        </w:trPr>
        <w:tc>
          <w:tcPr>
            <w:tcW w:w="5600" w:type="dxa"/>
            <w:vAlign w:val="bottom"/>
          </w:tcPr>
          <w:p>
            <w:pPr>
              <w:ind w:left="280"/>
              <w:spacing w:after="0"/>
              <w:rPr>
                <w:sz w:val="20"/>
                <w:szCs w:val="20"/>
                <w:color w:val="auto"/>
              </w:rPr>
            </w:pPr>
            <w:r>
              <w:rPr>
                <w:rFonts w:ascii="Arial" w:cs="Arial" w:eastAsia="Arial" w:hAnsi="Arial"/>
                <w:sz w:val="18"/>
                <w:szCs w:val="18"/>
                <w:color w:val="auto"/>
              </w:rPr>
              <w:t>Palm Coast Park</w:t>
            </w:r>
          </w:p>
        </w:tc>
        <w:tc>
          <w:tcPr>
            <w:tcW w:w="2680" w:type="dxa"/>
            <w:vAlign w:val="bottom"/>
          </w:tcPr>
          <w:p>
            <w:pPr>
              <w:jc w:val="right"/>
              <w:ind w:right="110"/>
              <w:spacing w:after="0"/>
              <w:rPr>
                <w:sz w:val="20"/>
                <w:szCs w:val="20"/>
                <w:color w:val="auto"/>
              </w:rPr>
            </w:pPr>
            <w:r>
              <w:rPr>
                <w:rFonts w:ascii="Arial" w:cs="Arial" w:eastAsia="Arial" w:hAnsi="Arial"/>
                <w:sz w:val="18"/>
                <w:szCs w:val="18"/>
                <w:color w:val="auto"/>
              </w:rPr>
              <w:t>3,888</w:t>
            </w:r>
          </w:p>
        </w:tc>
        <w:tc>
          <w:tcPr>
            <w:tcW w:w="1380" w:type="dxa"/>
            <w:vAlign w:val="bottom"/>
          </w:tcPr>
          <w:p>
            <w:pPr>
              <w:jc w:val="right"/>
              <w:ind w:right="150"/>
              <w:spacing w:after="0"/>
              <w:rPr>
                <w:sz w:val="20"/>
                <w:szCs w:val="20"/>
                <w:color w:val="auto"/>
              </w:rPr>
            </w:pPr>
            <w:r>
              <w:rPr>
                <w:rFonts w:ascii="Arial" w:cs="Arial" w:eastAsia="Arial" w:hAnsi="Arial"/>
                <w:sz w:val="18"/>
                <w:szCs w:val="18"/>
                <w:color w:val="auto"/>
              </w:rPr>
              <w:t>3,554</w:t>
            </w: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3,096,800</w:t>
            </w:r>
          </w:p>
        </w:tc>
      </w:tr>
      <w:tr>
        <w:trPr>
          <w:trHeight w:val="27"/>
        </w:trPr>
        <w:tc>
          <w:tcPr>
            <w:tcW w:w="560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44"/>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Current Development Projects</w:t>
            </w:r>
          </w:p>
        </w:tc>
        <w:tc>
          <w:tcPr>
            <w:tcW w:w="26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4,853</w:t>
            </w:r>
          </w:p>
        </w:tc>
        <w:tc>
          <w:tcPr>
            <w:tcW w:w="13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6,039</w:t>
            </w: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5,343,000</w:t>
            </w:r>
          </w:p>
        </w:tc>
      </w:tr>
      <w:tr>
        <w:trPr>
          <w:trHeight w:val="284"/>
        </w:trPr>
        <w:tc>
          <w:tcPr>
            <w:tcW w:w="560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Planned Development Project</w:t>
            </w:r>
          </w:p>
        </w:tc>
        <w:tc>
          <w:tcPr>
            <w:tcW w:w="26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r>
      <w:tr>
        <w:trPr>
          <w:trHeight w:val="243"/>
        </w:trPr>
        <w:tc>
          <w:tcPr>
            <w:tcW w:w="5600" w:type="dxa"/>
            <w:vAlign w:val="bottom"/>
          </w:tcPr>
          <w:p>
            <w:pPr>
              <w:ind w:left="280"/>
              <w:spacing w:after="0"/>
              <w:rPr>
                <w:sz w:val="20"/>
                <w:szCs w:val="20"/>
                <w:color w:val="auto"/>
              </w:rPr>
            </w:pPr>
            <w:r>
              <w:rPr>
                <w:rFonts w:ascii="Arial" w:cs="Arial" w:eastAsia="Arial" w:hAnsi="Arial"/>
                <w:sz w:val="18"/>
                <w:szCs w:val="18"/>
                <w:color w:val="auto"/>
              </w:rPr>
              <w:t>Ormond Crossings</w:t>
            </w:r>
          </w:p>
        </w:tc>
        <w:tc>
          <w:tcPr>
            <w:tcW w:w="2680" w:type="dxa"/>
            <w:vAlign w:val="bottom"/>
          </w:tcPr>
          <w:p>
            <w:pPr>
              <w:jc w:val="right"/>
              <w:ind w:right="110"/>
              <w:spacing w:after="0"/>
              <w:rPr>
                <w:sz w:val="20"/>
                <w:szCs w:val="20"/>
                <w:color w:val="auto"/>
              </w:rPr>
            </w:pPr>
            <w:r>
              <w:rPr>
                <w:rFonts w:ascii="Arial" w:cs="Arial" w:eastAsia="Arial" w:hAnsi="Arial"/>
                <w:sz w:val="18"/>
                <w:szCs w:val="18"/>
                <w:color w:val="auto"/>
              </w:rPr>
              <w:t>2,914</w:t>
            </w:r>
          </w:p>
        </w:tc>
        <w:tc>
          <w:tcPr>
            <w:tcW w:w="1380" w:type="dxa"/>
            <w:vAlign w:val="bottom"/>
          </w:tcPr>
          <w:p>
            <w:pPr>
              <w:jc w:val="right"/>
              <w:ind w:right="150"/>
              <w:spacing w:after="0"/>
              <w:rPr>
                <w:sz w:val="20"/>
                <w:szCs w:val="20"/>
                <w:color w:val="auto"/>
              </w:rPr>
            </w:pPr>
            <w:r>
              <w:rPr>
                <w:rFonts w:ascii="Arial" w:cs="Arial" w:eastAsia="Arial" w:hAnsi="Arial"/>
                <w:sz w:val="18"/>
                <w:szCs w:val="18"/>
                <w:color w:val="auto"/>
              </w:rPr>
              <w:t>2,950</w:t>
            </w: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3,215,000</w:t>
            </w:r>
          </w:p>
        </w:tc>
      </w:tr>
      <w:tr>
        <w:trPr>
          <w:trHeight w:val="27"/>
        </w:trPr>
        <w:tc>
          <w:tcPr>
            <w:tcW w:w="560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6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r>
      <w:tr>
        <w:trPr>
          <w:trHeight w:val="243"/>
        </w:trPr>
        <w:tc>
          <w:tcPr>
            <w:tcW w:w="5600" w:type="dxa"/>
            <w:vAlign w:val="bottom"/>
          </w:tcPr>
          <w:p>
            <w:pPr>
              <w:ind w:left="280"/>
              <w:spacing w:after="0"/>
              <w:rPr>
                <w:sz w:val="20"/>
                <w:szCs w:val="20"/>
                <w:color w:val="auto"/>
              </w:rPr>
            </w:pPr>
            <w:r>
              <w:rPr>
                <w:rFonts w:ascii="Arial" w:cs="Arial" w:eastAsia="Arial" w:hAnsi="Arial"/>
                <w:sz w:val="18"/>
                <w:szCs w:val="18"/>
                <w:color w:val="auto"/>
              </w:rPr>
              <w:t>Lake Swamp Wetland Mitigation Project</w:t>
            </w:r>
          </w:p>
        </w:tc>
        <w:tc>
          <w:tcPr>
            <w:tcW w:w="2680" w:type="dxa"/>
            <w:vAlign w:val="bottom"/>
          </w:tcPr>
          <w:p>
            <w:pPr>
              <w:jc w:val="right"/>
              <w:ind w:right="110"/>
              <w:spacing w:after="0"/>
              <w:rPr>
                <w:sz w:val="20"/>
                <w:szCs w:val="20"/>
                <w:color w:val="auto"/>
              </w:rPr>
            </w:pPr>
            <w:r>
              <w:rPr>
                <w:rFonts w:ascii="Arial" w:cs="Arial" w:eastAsia="Arial" w:hAnsi="Arial"/>
                <w:sz w:val="18"/>
                <w:szCs w:val="18"/>
                <w:color w:val="auto"/>
              </w:rPr>
              <w:t>3,044</w:t>
            </w:r>
          </w:p>
        </w:tc>
        <w:tc>
          <w:tcPr>
            <w:tcW w:w="1380" w:type="dxa"/>
            <w:vAlign w:val="bottom"/>
          </w:tcPr>
          <w:p>
            <w:pPr>
              <w:jc w:val="right"/>
              <w:ind w:right="150"/>
              <w:spacing w:after="0"/>
              <w:rPr>
                <w:sz w:val="20"/>
                <w:szCs w:val="20"/>
                <w:color w:val="auto"/>
              </w:rPr>
            </w:pPr>
            <w:r>
              <w:rPr>
                <w:rFonts w:ascii="Arial" w:cs="Arial" w:eastAsia="Arial" w:hAnsi="Arial"/>
                <w:sz w:val="18"/>
                <w:szCs w:val="18"/>
                <w:i w:val="1"/>
                <w:iCs w:val="1"/>
                <w:color w:val="auto"/>
              </w:rPr>
              <w:t>(d)</w:t>
            </w:r>
          </w:p>
        </w:tc>
        <w:tc>
          <w:tcPr>
            <w:tcW w:w="1660" w:type="dxa"/>
            <w:vAlign w:val="bottom"/>
          </w:tcPr>
          <w:p>
            <w:pPr>
              <w:jc w:val="right"/>
              <w:ind w:right="10"/>
              <w:spacing w:after="0"/>
              <w:rPr>
                <w:sz w:val="20"/>
                <w:szCs w:val="20"/>
                <w:color w:val="auto"/>
              </w:rPr>
            </w:pPr>
            <w:r>
              <w:rPr>
                <w:rFonts w:ascii="Arial" w:cs="Arial" w:eastAsia="Arial" w:hAnsi="Arial"/>
                <w:sz w:val="18"/>
                <w:szCs w:val="18"/>
                <w:i w:val="1"/>
                <w:iCs w:val="1"/>
                <w:color w:val="auto"/>
              </w:rPr>
              <w:t>(d)</w:t>
            </w:r>
          </w:p>
        </w:tc>
      </w:tr>
      <w:tr>
        <w:trPr>
          <w:trHeight w:val="27"/>
        </w:trPr>
        <w:tc>
          <w:tcPr>
            <w:tcW w:w="560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44"/>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of Development Projects</w:t>
            </w:r>
          </w:p>
        </w:tc>
        <w:tc>
          <w:tcPr>
            <w:tcW w:w="26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10,811</w:t>
            </w:r>
          </w:p>
        </w:tc>
        <w:tc>
          <w:tcPr>
            <w:tcW w:w="13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8,989</w:t>
            </w: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8,558,000</w:t>
            </w:r>
          </w:p>
        </w:tc>
      </w:tr>
      <w:tr>
        <w:trPr>
          <w:trHeight w:val="20"/>
        </w:trPr>
        <w:tc>
          <w:tcPr>
            <w:tcW w:w="5600" w:type="dxa"/>
            <w:vAlign w:val="bottom"/>
            <w:shd w:val="clear" w:color="auto" w:fill="000000"/>
          </w:tcPr>
          <w:p>
            <w:pPr>
              <w:spacing w:after="0" w:line="20" w:lineRule="exact"/>
              <w:rPr>
                <w:sz w:val="1"/>
                <w:szCs w:val="1"/>
                <w:color w:val="auto"/>
              </w:rPr>
            </w:pPr>
          </w:p>
        </w:tc>
        <w:tc>
          <w:tcPr>
            <w:tcW w:w="268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r>
    </w:tbl>
    <w:p>
      <w:pPr>
        <w:ind w:left="340" w:hanging="332"/>
        <w:spacing w:after="0"/>
        <w:tabs>
          <w:tab w:leader="none" w:pos="340" w:val="left"/>
        </w:tabs>
        <w:numPr>
          <w:ilvl w:val="0"/>
          <w:numId w:val="15"/>
        </w:numPr>
        <w:rPr>
          <w:rFonts w:ascii="Arial" w:cs="Arial" w:eastAsia="Arial" w:hAnsi="Arial"/>
          <w:sz w:val="16"/>
          <w:szCs w:val="16"/>
          <w:i w:val="1"/>
          <w:iCs w:val="1"/>
          <w:color w:val="auto"/>
        </w:rPr>
      </w:pPr>
      <w:r>
        <w:rPr>
          <w:rFonts w:ascii="Arial" w:cs="Arial" w:eastAsia="Arial" w:hAnsi="Arial"/>
          <w:sz w:val="16"/>
          <w:szCs w:val="16"/>
          <w:i w:val="1"/>
          <w:iCs w:val="1"/>
          <w:color w:val="auto"/>
        </w:rPr>
        <w:t>Acreage amounts are approximate and shown on a gross basis, including wetlands.</w:t>
      </w:r>
    </w:p>
    <w:p>
      <w:pPr>
        <w:spacing w:after="0" w:line="9" w:lineRule="exact"/>
        <w:rPr>
          <w:rFonts w:ascii="Arial" w:cs="Arial" w:eastAsia="Arial" w:hAnsi="Arial"/>
          <w:sz w:val="16"/>
          <w:szCs w:val="16"/>
          <w:i w:val="1"/>
          <w:iCs w:val="1"/>
          <w:color w:val="auto"/>
        </w:rPr>
      </w:pPr>
    </w:p>
    <w:p>
      <w:pPr>
        <w:ind w:left="340" w:hanging="332"/>
        <w:spacing w:after="0"/>
        <w:tabs>
          <w:tab w:leader="none" w:pos="340" w:val="left"/>
        </w:tabs>
        <w:numPr>
          <w:ilvl w:val="0"/>
          <w:numId w:val="15"/>
        </w:numPr>
        <w:rPr>
          <w:rFonts w:ascii="Arial" w:cs="Arial" w:eastAsia="Arial" w:hAnsi="Arial"/>
          <w:sz w:val="16"/>
          <w:szCs w:val="16"/>
          <w:i w:val="1"/>
          <w:iCs w:val="1"/>
          <w:color w:val="auto"/>
        </w:rPr>
      </w:pPr>
      <w:r>
        <w:rPr>
          <w:rFonts w:ascii="Arial" w:cs="Arial" w:eastAsia="Arial" w:hAnsi="Arial"/>
          <w:sz w:val="16"/>
          <w:szCs w:val="16"/>
          <w:i w:val="1"/>
          <w:iCs w:val="1"/>
          <w:color w:val="auto"/>
        </w:rPr>
        <w:t>Units and square footage are estimated. Density at build out may differ from these estimates.</w:t>
      </w:r>
    </w:p>
    <w:p>
      <w:pPr>
        <w:spacing w:after="0" w:line="5" w:lineRule="exact"/>
        <w:rPr>
          <w:rFonts w:ascii="Arial" w:cs="Arial" w:eastAsia="Arial" w:hAnsi="Arial"/>
          <w:sz w:val="16"/>
          <w:szCs w:val="16"/>
          <w:i w:val="1"/>
          <w:iCs w:val="1"/>
          <w:color w:val="auto"/>
        </w:rPr>
      </w:pPr>
    </w:p>
    <w:p>
      <w:pPr>
        <w:ind w:left="340" w:hanging="332"/>
        <w:spacing w:after="0"/>
        <w:tabs>
          <w:tab w:leader="none" w:pos="340" w:val="left"/>
        </w:tabs>
        <w:numPr>
          <w:ilvl w:val="0"/>
          <w:numId w:val="15"/>
        </w:numPr>
        <w:rPr>
          <w:rFonts w:ascii="Arial" w:cs="Arial" w:eastAsia="Arial" w:hAnsi="Arial"/>
          <w:sz w:val="16"/>
          <w:szCs w:val="16"/>
          <w:i w:val="1"/>
          <w:iCs w:val="1"/>
          <w:color w:val="auto"/>
        </w:rPr>
      </w:pPr>
      <w:r>
        <w:rPr>
          <w:rFonts w:ascii="Arial" w:cs="Arial" w:eastAsia="Arial" w:hAnsi="Arial"/>
          <w:sz w:val="16"/>
          <w:szCs w:val="16"/>
          <w:i w:val="1"/>
          <w:iCs w:val="1"/>
          <w:color w:val="auto"/>
        </w:rPr>
        <w:t>Depending on the project, non-residential includes retail commercial, non-retail commercial, office, industrial, warehouse, storage and institutional.</w:t>
      </w:r>
    </w:p>
    <w:p>
      <w:pPr>
        <w:spacing w:after="0" w:line="5" w:lineRule="exact"/>
        <w:rPr>
          <w:rFonts w:ascii="Arial" w:cs="Arial" w:eastAsia="Arial" w:hAnsi="Arial"/>
          <w:sz w:val="16"/>
          <w:szCs w:val="16"/>
          <w:i w:val="1"/>
          <w:iCs w:val="1"/>
          <w:color w:val="auto"/>
        </w:rPr>
      </w:pPr>
    </w:p>
    <w:p>
      <w:pPr>
        <w:ind w:left="340" w:right="20" w:hanging="332"/>
        <w:spacing w:after="0" w:line="257" w:lineRule="auto"/>
        <w:tabs>
          <w:tab w:leader="none" w:pos="340" w:val="left"/>
        </w:tabs>
        <w:numPr>
          <w:ilvl w:val="0"/>
          <w:numId w:val="15"/>
        </w:numPr>
        <w:rPr>
          <w:rFonts w:ascii="Arial" w:cs="Arial" w:eastAsia="Arial" w:hAnsi="Arial"/>
          <w:sz w:val="16"/>
          <w:szCs w:val="16"/>
          <w:i w:val="1"/>
          <w:iCs w:val="1"/>
          <w:color w:val="auto"/>
        </w:rPr>
      </w:pPr>
      <w:r>
        <w:rPr>
          <w:rFonts w:ascii="Arial" w:cs="Arial" w:eastAsia="Arial" w:hAnsi="Arial"/>
          <w:sz w:val="16"/>
          <w:szCs w:val="16"/>
          <w:i w:val="1"/>
          <w:iCs w:val="1"/>
          <w:color w:val="auto"/>
        </w:rPr>
        <w:t>The Lake Swamp wetland mitigation bank is a permitted, regionally significant wetlands mitigation bank. Wetland mitigation credits will be used at Ormond Crossings and are available-for-sale to developers of other projects that are located in the bank’s service area.</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In addition to the three development projects and the mitigation bank, ALLETE Properties has 1,960 acres of other land available-for-sale.</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 xml:space="preserve">ALLETE Clean Energy. </w:t>
      </w:r>
      <w:r>
        <w:rPr>
          <w:rFonts w:ascii="Arial" w:cs="Arial" w:eastAsia="Arial" w:hAnsi="Arial"/>
          <w:sz w:val="16"/>
          <w:szCs w:val="16"/>
          <w:color w:val="auto"/>
        </w:rPr>
        <w:t>In August 2011, the Company filed with the MPUC for approval of certain affiliated interest agreements between ALLETE and</w:t>
      </w:r>
      <w:r>
        <w:rPr>
          <w:rFonts w:ascii="Arial" w:cs="Arial" w:eastAsia="Arial" w:hAnsi="Arial"/>
          <w:sz w:val="16"/>
          <w:szCs w:val="16"/>
          <w:i w:val="1"/>
          <w:iCs w:val="1"/>
          <w:color w:val="auto"/>
        </w:rPr>
        <w:t xml:space="preserve"> </w:t>
      </w:r>
      <w:r>
        <w:rPr>
          <w:rFonts w:ascii="Arial" w:cs="Arial" w:eastAsia="Arial" w:hAnsi="Arial"/>
          <w:sz w:val="16"/>
          <w:szCs w:val="16"/>
          <w:color w:val="auto"/>
        </w:rPr>
        <w:t>ALLETE Clean Energy. These agreements relate to various relationships with ALLETE, including the accounting for certain shared services, as well as the transfer of transmission and wind development rights in North Dakota to ALLETE Clean Energy. These transmission and wind development rights are separate and distinct from those needed by Minnesota Power to meet Minnesota’s renewable energy standard requirements. On July 23, 2012, the MPUC issued an order approving certain administrative items related to accounting for shared services and the transfer of meteorological towers, while deferring decisions related to transmission and wind development rights pending the MPUC’s further review of Minnesota Power’s future retail electric service needs.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2012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364"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Outlook (Continued)</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color w:val="auto"/>
        </w:rPr>
        <w:t xml:space="preserve">Income Taxes. </w:t>
      </w:r>
      <w:r>
        <w:rPr>
          <w:rFonts w:ascii="Arial" w:cs="Arial" w:eastAsia="Arial" w:hAnsi="Arial"/>
          <w:sz w:val="17"/>
          <w:szCs w:val="17"/>
          <w:color w:val="auto"/>
        </w:rPr>
        <w:t>ALLETE’s aggregate federal and multi-state statutory tax rate is approximately 41 percent for 2012. On an ongoing basis, ALLETE has</w:t>
      </w:r>
      <w:r>
        <w:rPr>
          <w:rFonts w:ascii="Arial" w:cs="Arial" w:eastAsia="Arial" w:hAnsi="Arial"/>
          <w:sz w:val="17"/>
          <w:szCs w:val="17"/>
          <w:b w:val="1"/>
          <w:bCs w:val="1"/>
          <w:color w:val="auto"/>
        </w:rPr>
        <w:t xml:space="preserve"> </w:t>
      </w:r>
      <w:r>
        <w:rPr>
          <w:rFonts w:ascii="Arial" w:cs="Arial" w:eastAsia="Arial" w:hAnsi="Arial"/>
          <w:sz w:val="17"/>
          <w:szCs w:val="17"/>
          <w:color w:val="auto"/>
        </w:rPr>
        <w:t>certain tax credits and other tax adjustments that reduce the statutory rate to the effective tax rate. These tax credits and adjustments historically have included items such as investment tax credits, renewable tax credits, AFUDC-Equity, domestic manufacturer’s deduction, depletion, as well as other items. The annual effective rate can also be impacted by such items as changes in income from operations before non-controlling interest and income taxes, state and federal tax law changes that become effective during the year, business combinations and configuration changes, tax planning initiatives and resolution of prior years’ tax matters. Due primarily to increased renewable tax credits as a result of additional wind generation, we expect our effective tax rate to be approximately 20 percent for 2013. We also expect that our effective tax rate will be lower than the statutory rate over the next ten years due to production tax credits attributable to our wind generation.</w:t>
      </w: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Liquidity Position. </w:t>
      </w:r>
      <w:r>
        <w:rPr>
          <w:rFonts w:ascii="Arial" w:cs="Arial" w:eastAsia="Arial" w:hAnsi="Arial"/>
          <w:sz w:val="18"/>
          <w:szCs w:val="18"/>
          <w:color w:val="auto"/>
        </w:rPr>
        <w:t>ALLETE is well-positioned to meet the Company’s liquidity needs. As of December 31, 2012, we had cash and cash equivalents of $80.8</w:t>
      </w:r>
      <w:r>
        <w:rPr>
          <w:rFonts w:ascii="Arial" w:cs="Arial" w:eastAsia="Arial" w:hAnsi="Arial"/>
          <w:sz w:val="18"/>
          <w:szCs w:val="18"/>
          <w:b w:val="1"/>
          <w:bCs w:val="1"/>
          <w:color w:val="auto"/>
        </w:rPr>
        <w:t xml:space="preserve"> </w:t>
      </w:r>
      <w:r>
        <w:rPr>
          <w:rFonts w:ascii="Arial" w:cs="Arial" w:eastAsia="Arial" w:hAnsi="Arial"/>
          <w:sz w:val="18"/>
          <w:szCs w:val="18"/>
          <w:color w:val="auto"/>
        </w:rPr>
        <w:t>million, $406.4 million in available consolidated lines of credit and a debt-to-capital ratio of 46 percent.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Capital Structure. </w:t>
      </w:r>
      <w:r>
        <w:rPr>
          <w:rFonts w:ascii="Arial" w:cs="Arial" w:eastAsia="Arial" w:hAnsi="Arial"/>
          <w:sz w:val="18"/>
          <w:szCs w:val="18"/>
          <w:color w:val="auto"/>
        </w:rPr>
        <w:t>ALLETE’s capital structure for each of the last three years is as follows: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00" w:type="dxa"/>
            <w:vAlign w:val="bottom"/>
          </w:tcPr>
          <w:p>
            <w:pPr>
              <w:ind w:left="40"/>
              <w:spacing w:after="0"/>
              <w:rPr>
                <w:sz w:val="20"/>
                <w:szCs w:val="20"/>
                <w:color w:val="auto"/>
              </w:rPr>
            </w:pPr>
            <w:r>
              <w:rPr>
                <w:rFonts w:ascii="Arial" w:cs="Arial" w:eastAsia="Arial" w:hAnsi="Arial"/>
                <w:sz w:val="18"/>
                <w:szCs w:val="18"/>
                <w:b w:val="1"/>
                <w:bCs w:val="1"/>
                <w:color w:val="auto"/>
              </w:rPr>
              <w:t>Year Ended December 31</w:t>
            </w:r>
          </w:p>
        </w:tc>
        <w:tc>
          <w:tcPr>
            <w:tcW w:w="1840" w:type="dxa"/>
            <w:vAlign w:val="bottom"/>
          </w:tcPr>
          <w:p>
            <w:pPr>
              <w:jc w:val="right"/>
              <w:ind w:right="190"/>
              <w:spacing w:after="0"/>
              <w:rPr>
                <w:sz w:val="20"/>
                <w:szCs w:val="20"/>
                <w:color w:val="auto"/>
              </w:rPr>
            </w:pPr>
            <w:r>
              <w:rPr>
                <w:rFonts w:ascii="Arial" w:cs="Arial" w:eastAsia="Arial" w:hAnsi="Arial"/>
                <w:sz w:val="18"/>
                <w:szCs w:val="18"/>
                <w:b w:val="1"/>
                <w:bCs w:val="1"/>
                <w:color w:val="auto"/>
              </w:rPr>
              <w:t>2012</w:t>
            </w:r>
          </w:p>
        </w:tc>
        <w:tc>
          <w:tcPr>
            <w:tcW w:w="1000" w:type="dxa"/>
            <w:vAlign w:val="bottom"/>
          </w:tcPr>
          <w:p>
            <w:pPr>
              <w:jc w:val="right"/>
              <w:ind w:right="450"/>
              <w:spacing w:after="0"/>
              <w:rPr>
                <w:sz w:val="20"/>
                <w:szCs w:val="20"/>
                <w:color w:val="auto"/>
              </w:rPr>
            </w:pPr>
            <w:r>
              <w:rPr>
                <w:rFonts w:ascii="Arial" w:cs="Arial" w:eastAsia="Arial" w:hAnsi="Arial"/>
                <w:sz w:val="18"/>
                <w:szCs w:val="18"/>
                <w:b w:val="1"/>
                <w:bCs w:val="1"/>
                <w:color w:val="auto"/>
              </w:rPr>
              <w:t>%</w:t>
            </w:r>
          </w:p>
        </w:tc>
        <w:tc>
          <w:tcPr>
            <w:tcW w:w="1160" w:type="dxa"/>
            <w:vAlign w:val="bottom"/>
          </w:tcPr>
          <w:p>
            <w:pPr>
              <w:jc w:val="right"/>
              <w:ind w:right="170"/>
              <w:spacing w:after="0"/>
              <w:rPr>
                <w:sz w:val="20"/>
                <w:szCs w:val="20"/>
                <w:color w:val="auto"/>
              </w:rPr>
            </w:pPr>
            <w:r>
              <w:rPr>
                <w:rFonts w:ascii="Arial" w:cs="Arial" w:eastAsia="Arial" w:hAnsi="Arial"/>
                <w:sz w:val="18"/>
                <w:szCs w:val="18"/>
                <w:b w:val="1"/>
                <w:bCs w:val="1"/>
                <w:color w:val="auto"/>
              </w:rPr>
              <w:t>2011</w:t>
            </w:r>
          </w:p>
        </w:tc>
        <w:tc>
          <w:tcPr>
            <w:tcW w:w="980" w:type="dxa"/>
            <w:vAlign w:val="bottom"/>
          </w:tcPr>
          <w:p>
            <w:pPr>
              <w:jc w:val="right"/>
              <w:ind w:right="450"/>
              <w:spacing w:after="0"/>
              <w:rPr>
                <w:sz w:val="20"/>
                <w:szCs w:val="20"/>
                <w:color w:val="auto"/>
              </w:rPr>
            </w:pPr>
            <w:r>
              <w:rPr>
                <w:rFonts w:ascii="Arial" w:cs="Arial" w:eastAsia="Arial" w:hAnsi="Arial"/>
                <w:sz w:val="18"/>
                <w:szCs w:val="18"/>
                <w:b w:val="1"/>
                <w:bCs w:val="1"/>
                <w:color w:val="auto"/>
              </w:rPr>
              <w:t>%</w:t>
            </w:r>
          </w:p>
        </w:tc>
        <w:tc>
          <w:tcPr>
            <w:tcW w:w="1180" w:type="dxa"/>
            <w:vAlign w:val="bottom"/>
          </w:tcPr>
          <w:p>
            <w:pPr>
              <w:jc w:val="right"/>
              <w:ind w:right="190"/>
              <w:spacing w:after="0"/>
              <w:rPr>
                <w:sz w:val="20"/>
                <w:szCs w:val="20"/>
                <w:color w:val="auto"/>
              </w:rPr>
            </w:pPr>
            <w:r>
              <w:rPr>
                <w:rFonts w:ascii="Arial" w:cs="Arial" w:eastAsia="Arial" w:hAnsi="Arial"/>
                <w:sz w:val="18"/>
                <w:szCs w:val="18"/>
                <w:b w:val="1"/>
                <w:bCs w:val="1"/>
                <w:color w:val="auto"/>
              </w:rPr>
              <w:t>2010</w:t>
            </w:r>
          </w:p>
        </w:tc>
        <w:tc>
          <w:tcPr>
            <w:tcW w:w="860" w:type="dxa"/>
            <w:vAlign w:val="bottom"/>
          </w:tcPr>
          <w:p>
            <w:pPr>
              <w:jc w:val="right"/>
              <w:ind w:right="330"/>
              <w:spacing w:after="0"/>
              <w:rPr>
                <w:sz w:val="20"/>
                <w:szCs w:val="20"/>
                <w:color w:val="auto"/>
              </w:rPr>
            </w:pPr>
            <w:r>
              <w:rPr>
                <w:rFonts w:ascii="Arial" w:cs="Arial" w:eastAsia="Arial" w:hAnsi="Arial"/>
                <w:sz w:val="18"/>
                <w:szCs w:val="18"/>
                <w:b w:val="1"/>
                <w:bCs w:val="1"/>
                <w:color w:val="auto"/>
              </w:rPr>
              <w:t>%</w:t>
            </w:r>
          </w:p>
        </w:tc>
      </w:tr>
      <w:tr>
        <w:trPr>
          <w:trHeight w:val="27"/>
        </w:trPr>
        <w:tc>
          <w:tcPr>
            <w:tcW w:w="44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440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18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7"/>
        </w:trPr>
        <w:tc>
          <w:tcPr>
            <w:tcW w:w="44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4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Equity</w:t>
            </w:r>
          </w:p>
        </w:tc>
        <w:tc>
          <w:tcPr>
            <w:tcW w:w="184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$1,201.0</w:t>
            </w:r>
          </w:p>
        </w:tc>
        <w:tc>
          <w:tcPr>
            <w:tcW w:w="10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54</w:t>
            </w:r>
          </w:p>
        </w:tc>
        <w:tc>
          <w:tcPr>
            <w:tcW w:w="11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$1,079.3</w:t>
            </w:r>
          </w:p>
        </w:tc>
        <w:tc>
          <w:tcPr>
            <w:tcW w:w="9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56</w:t>
            </w:r>
          </w:p>
        </w:tc>
        <w:tc>
          <w:tcPr>
            <w:tcW w:w="11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$976.0</w:t>
            </w:r>
          </w:p>
        </w:tc>
        <w:tc>
          <w:tcPr>
            <w:tcW w:w="8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55</w:t>
            </w:r>
          </w:p>
        </w:tc>
      </w:tr>
      <w:tr>
        <w:trPr>
          <w:trHeight w:val="243"/>
        </w:trPr>
        <w:tc>
          <w:tcPr>
            <w:tcW w:w="4400" w:type="dxa"/>
            <w:vAlign w:val="bottom"/>
          </w:tcPr>
          <w:p>
            <w:pPr>
              <w:ind w:left="40"/>
              <w:spacing w:after="0"/>
              <w:rPr>
                <w:sz w:val="20"/>
                <w:szCs w:val="20"/>
                <w:color w:val="auto"/>
              </w:rPr>
            </w:pPr>
            <w:r>
              <w:rPr>
                <w:rFonts w:ascii="Arial" w:cs="Arial" w:eastAsia="Arial" w:hAnsi="Arial"/>
                <w:sz w:val="18"/>
                <w:szCs w:val="18"/>
                <w:color w:val="auto"/>
              </w:rPr>
              <w:t>Non-Controlling Interest</w:t>
            </w:r>
          </w:p>
        </w:tc>
        <w:tc>
          <w:tcPr>
            <w:tcW w:w="18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90"/>
              <w:spacing w:after="0"/>
              <w:rPr>
                <w:sz w:val="20"/>
                <w:szCs w:val="20"/>
                <w:color w:val="auto"/>
              </w:rPr>
            </w:pPr>
            <w:r>
              <w:rPr>
                <w:rFonts w:ascii="Arial" w:cs="Arial" w:eastAsia="Arial" w:hAnsi="Arial"/>
                <w:sz w:val="18"/>
                <w:szCs w:val="18"/>
                <w:color w:val="auto"/>
              </w:rPr>
              <w:t>9.0</w:t>
            </w: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1</w:t>
            </w:r>
          </w:p>
        </w:tc>
      </w:tr>
      <w:tr>
        <w:trPr>
          <w:trHeight w:val="27"/>
        </w:trPr>
        <w:tc>
          <w:tcPr>
            <w:tcW w:w="44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4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(Including Current Maturities)</w:t>
            </w:r>
          </w:p>
        </w:tc>
        <w:tc>
          <w:tcPr>
            <w:tcW w:w="184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1,018.1</w:t>
            </w:r>
          </w:p>
        </w:tc>
        <w:tc>
          <w:tcPr>
            <w:tcW w:w="10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46</w:t>
            </w:r>
          </w:p>
        </w:tc>
        <w:tc>
          <w:tcPr>
            <w:tcW w:w="11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863.3</w:t>
            </w:r>
          </w:p>
        </w:tc>
        <w:tc>
          <w:tcPr>
            <w:tcW w:w="9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44</w:t>
            </w:r>
          </w:p>
        </w:tc>
        <w:tc>
          <w:tcPr>
            <w:tcW w:w="11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785.0</w:t>
            </w:r>
          </w:p>
        </w:tc>
        <w:tc>
          <w:tcPr>
            <w:tcW w:w="8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44</w:t>
            </w:r>
          </w:p>
        </w:tc>
      </w:tr>
      <w:tr>
        <w:trPr>
          <w:trHeight w:val="243"/>
        </w:trPr>
        <w:tc>
          <w:tcPr>
            <w:tcW w:w="4400" w:type="dxa"/>
            <w:vAlign w:val="bottom"/>
          </w:tcPr>
          <w:p>
            <w:pPr>
              <w:ind w:left="40"/>
              <w:spacing w:after="0"/>
              <w:rPr>
                <w:sz w:val="20"/>
                <w:szCs w:val="20"/>
                <w:color w:val="auto"/>
              </w:rPr>
            </w:pPr>
            <w:r>
              <w:rPr>
                <w:rFonts w:ascii="Arial" w:cs="Arial" w:eastAsia="Arial" w:hAnsi="Arial"/>
                <w:sz w:val="18"/>
                <w:szCs w:val="18"/>
                <w:color w:val="auto"/>
              </w:rPr>
              <w:t>Short-Term Debt</w:t>
            </w:r>
          </w:p>
        </w:tc>
        <w:tc>
          <w:tcPr>
            <w:tcW w:w="18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70"/>
              <w:spacing w:after="0"/>
              <w:rPr>
                <w:sz w:val="20"/>
                <w:szCs w:val="20"/>
                <w:color w:val="auto"/>
              </w:rPr>
            </w:pPr>
            <w:r>
              <w:rPr>
                <w:rFonts w:ascii="Arial" w:cs="Arial" w:eastAsia="Arial" w:hAnsi="Arial"/>
                <w:sz w:val="18"/>
                <w:szCs w:val="18"/>
                <w:color w:val="auto"/>
              </w:rPr>
              <w:t>1.1</w:t>
            </w:r>
          </w:p>
        </w:tc>
        <w:tc>
          <w:tcPr>
            <w:tcW w:w="9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90"/>
              <w:spacing w:after="0"/>
              <w:rPr>
                <w:sz w:val="20"/>
                <w:szCs w:val="20"/>
                <w:color w:val="auto"/>
              </w:rPr>
            </w:pPr>
            <w:r>
              <w:rPr>
                <w:rFonts w:ascii="Arial" w:cs="Arial" w:eastAsia="Arial" w:hAnsi="Arial"/>
                <w:sz w:val="18"/>
                <w:szCs w:val="18"/>
                <w:color w:val="auto"/>
              </w:rPr>
              <w:t>1.0</w:t>
            </w: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7"/>
        </w:trPr>
        <w:tc>
          <w:tcPr>
            <w:tcW w:w="44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440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$2,219.1</w:t>
            </w:r>
          </w:p>
        </w:tc>
        <w:tc>
          <w:tcPr>
            <w:tcW w:w="10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100</w:t>
            </w:r>
          </w:p>
        </w:tc>
        <w:tc>
          <w:tcPr>
            <w:tcW w:w="11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$1,943.7</w:t>
            </w:r>
          </w:p>
        </w:tc>
        <w:tc>
          <w:tcPr>
            <w:tcW w:w="9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100</w:t>
            </w:r>
          </w:p>
        </w:tc>
        <w:tc>
          <w:tcPr>
            <w:tcW w:w="11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$1,771.0</w:t>
            </w:r>
          </w:p>
        </w:tc>
        <w:tc>
          <w:tcPr>
            <w:tcW w:w="8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100</w:t>
            </w:r>
          </w:p>
        </w:tc>
      </w:tr>
      <w:tr>
        <w:trPr>
          <w:trHeight w:val="20"/>
        </w:trPr>
        <w:tc>
          <w:tcPr>
            <w:tcW w:w="4400" w:type="dxa"/>
            <w:vAlign w:val="bottom"/>
            <w:shd w:val="clear" w:color="auto" w:fill="000000"/>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Cash Flows. </w:t>
      </w:r>
      <w:r>
        <w:rPr>
          <w:rFonts w:ascii="Arial" w:cs="Arial" w:eastAsia="Arial" w:hAnsi="Arial"/>
          <w:sz w:val="18"/>
          <w:szCs w:val="18"/>
          <w:color w:val="auto"/>
        </w:rPr>
        <w:t>Selected information from ALLETE’s Consolidated Statement of Cash Flows is as follows: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80" w:type="dxa"/>
            <w:vAlign w:val="bottom"/>
          </w:tcPr>
          <w:p>
            <w:pPr>
              <w:ind w:left="40"/>
              <w:spacing w:after="0"/>
              <w:rPr>
                <w:sz w:val="20"/>
                <w:szCs w:val="20"/>
                <w:color w:val="auto"/>
              </w:rPr>
            </w:pPr>
            <w:r>
              <w:rPr>
                <w:rFonts w:ascii="Arial" w:cs="Arial" w:eastAsia="Arial" w:hAnsi="Arial"/>
                <w:sz w:val="18"/>
                <w:szCs w:val="18"/>
                <w:b w:val="1"/>
                <w:bCs w:val="1"/>
                <w:color w:val="auto"/>
              </w:rPr>
              <w:t>Year Ended December 31</w:t>
            </w:r>
          </w:p>
        </w:tc>
        <w:tc>
          <w:tcPr>
            <w:tcW w:w="3180" w:type="dxa"/>
            <w:vAlign w:val="bottom"/>
          </w:tcPr>
          <w:p>
            <w:pPr>
              <w:jc w:val="right"/>
              <w:ind w:right="390"/>
              <w:spacing w:after="0"/>
              <w:rPr>
                <w:sz w:val="20"/>
                <w:szCs w:val="20"/>
                <w:color w:val="auto"/>
              </w:rPr>
            </w:pPr>
            <w:r>
              <w:rPr>
                <w:rFonts w:ascii="Arial" w:cs="Arial" w:eastAsia="Arial" w:hAnsi="Arial"/>
                <w:sz w:val="18"/>
                <w:szCs w:val="18"/>
                <w:b w:val="1"/>
                <w:bCs w:val="1"/>
                <w:color w:val="auto"/>
              </w:rPr>
              <w:t>2012</w:t>
            </w:r>
          </w:p>
        </w:tc>
        <w:tc>
          <w:tcPr>
            <w:tcW w:w="1380" w:type="dxa"/>
            <w:vAlign w:val="bottom"/>
          </w:tcPr>
          <w:p>
            <w:pPr>
              <w:jc w:val="right"/>
              <w:ind w:right="390"/>
              <w:spacing w:after="0"/>
              <w:rPr>
                <w:sz w:val="20"/>
                <w:szCs w:val="20"/>
                <w:color w:val="auto"/>
              </w:rPr>
            </w:pPr>
            <w:r>
              <w:rPr>
                <w:rFonts w:ascii="Arial" w:cs="Arial" w:eastAsia="Arial" w:hAnsi="Arial"/>
                <w:sz w:val="18"/>
                <w:szCs w:val="18"/>
                <w:b w:val="1"/>
                <w:bCs w:val="1"/>
                <w:color w:val="auto"/>
              </w:rPr>
              <w:t>2011</w:t>
            </w: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2010</w:t>
            </w:r>
          </w:p>
        </w:tc>
      </w:tr>
      <w:tr>
        <w:trPr>
          <w:trHeight w:val="27"/>
        </w:trPr>
        <w:tc>
          <w:tcPr>
            <w:tcW w:w="5880" w:type="dxa"/>
            <w:vAlign w:val="bottom"/>
            <w:tcBorders>
              <w:bottom w:val="single" w:sz="8" w:color="auto"/>
            </w:tcBorders>
          </w:tcPr>
          <w:p>
            <w:pPr>
              <w:spacing w:after="0"/>
              <w:rPr>
                <w:sz w:val="2"/>
                <w:szCs w:val="2"/>
                <w:color w:val="auto"/>
              </w:rPr>
            </w:pPr>
          </w:p>
        </w:tc>
        <w:tc>
          <w:tcPr>
            <w:tcW w:w="3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588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3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7"/>
        </w:trPr>
        <w:tc>
          <w:tcPr>
            <w:tcW w:w="588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318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$101.1</w:t>
            </w:r>
          </w:p>
        </w:tc>
        <w:tc>
          <w:tcPr>
            <w:tcW w:w="138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$44.9</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$25.7</w:t>
            </w:r>
          </w:p>
        </w:tc>
      </w:tr>
      <w:tr>
        <w:trPr>
          <w:trHeight w:val="243"/>
        </w:trPr>
        <w:tc>
          <w:tcPr>
            <w:tcW w:w="5880" w:type="dxa"/>
            <w:vAlign w:val="bottom"/>
          </w:tcPr>
          <w:p>
            <w:pPr>
              <w:ind w:left="40"/>
              <w:spacing w:after="0"/>
              <w:rPr>
                <w:sz w:val="20"/>
                <w:szCs w:val="20"/>
                <w:color w:val="auto"/>
              </w:rPr>
            </w:pPr>
            <w:r>
              <w:rPr>
                <w:rFonts w:ascii="Arial" w:cs="Arial" w:eastAsia="Arial" w:hAnsi="Arial"/>
                <w:sz w:val="18"/>
                <w:szCs w:val="18"/>
                <w:color w:val="auto"/>
              </w:rPr>
              <w:t>Cash Flows from (for)</w:t>
            </w:r>
          </w:p>
        </w:tc>
        <w:tc>
          <w:tcPr>
            <w:tcW w:w="31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588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8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Operating Activities</w:t>
            </w:r>
          </w:p>
        </w:tc>
        <w:tc>
          <w:tcPr>
            <w:tcW w:w="318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239.6</w:t>
            </w:r>
          </w:p>
        </w:tc>
        <w:tc>
          <w:tcPr>
            <w:tcW w:w="138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241.7</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228.7</w:t>
            </w:r>
          </w:p>
        </w:tc>
      </w:tr>
      <w:tr>
        <w:trPr>
          <w:trHeight w:val="243"/>
        </w:trPr>
        <w:tc>
          <w:tcPr>
            <w:tcW w:w="5880" w:type="dxa"/>
            <w:vAlign w:val="bottom"/>
          </w:tcPr>
          <w:p>
            <w:pPr>
              <w:ind w:left="280"/>
              <w:spacing w:after="0"/>
              <w:rPr>
                <w:sz w:val="20"/>
                <w:szCs w:val="20"/>
                <w:color w:val="auto"/>
              </w:rPr>
            </w:pPr>
            <w:r>
              <w:rPr>
                <w:rFonts w:ascii="Arial" w:cs="Arial" w:eastAsia="Arial" w:hAnsi="Arial"/>
                <w:sz w:val="18"/>
                <w:szCs w:val="18"/>
                <w:color w:val="auto"/>
              </w:rPr>
              <w:t>Investing Activities</w:t>
            </w:r>
          </w:p>
        </w:tc>
        <w:tc>
          <w:tcPr>
            <w:tcW w:w="3180" w:type="dxa"/>
            <w:vAlign w:val="bottom"/>
          </w:tcPr>
          <w:p>
            <w:pPr>
              <w:jc w:val="right"/>
              <w:ind w:right="330"/>
              <w:spacing w:after="0"/>
              <w:rPr>
                <w:sz w:val="20"/>
                <w:szCs w:val="20"/>
                <w:color w:val="auto"/>
              </w:rPr>
            </w:pPr>
            <w:r>
              <w:rPr>
                <w:rFonts w:ascii="Arial" w:cs="Arial" w:eastAsia="Arial" w:hAnsi="Arial"/>
                <w:sz w:val="18"/>
                <w:szCs w:val="18"/>
                <w:color w:val="auto"/>
              </w:rPr>
              <w:t>(420.1)</w:t>
            </w:r>
          </w:p>
        </w:tc>
        <w:tc>
          <w:tcPr>
            <w:tcW w:w="1380" w:type="dxa"/>
            <w:vAlign w:val="bottom"/>
          </w:tcPr>
          <w:p>
            <w:pPr>
              <w:jc w:val="right"/>
              <w:ind w:right="330"/>
              <w:spacing w:after="0"/>
              <w:rPr>
                <w:sz w:val="20"/>
                <w:szCs w:val="20"/>
                <w:color w:val="auto"/>
              </w:rPr>
            </w:pPr>
            <w:r>
              <w:rPr>
                <w:rFonts w:ascii="Arial" w:cs="Arial" w:eastAsia="Arial" w:hAnsi="Arial"/>
                <w:sz w:val="18"/>
                <w:szCs w:val="18"/>
                <w:color w:val="auto"/>
              </w:rPr>
              <w:t>(240.9)</w:t>
            </w:r>
          </w:p>
        </w:tc>
        <w:tc>
          <w:tcPr>
            <w:tcW w:w="980" w:type="dxa"/>
            <w:vAlign w:val="bottom"/>
          </w:tcPr>
          <w:p>
            <w:pPr>
              <w:jc w:val="right"/>
              <w:spacing w:after="0"/>
              <w:rPr>
                <w:sz w:val="20"/>
                <w:szCs w:val="20"/>
                <w:color w:val="auto"/>
              </w:rPr>
            </w:pPr>
            <w:r>
              <w:rPr>
                <w:rFonts w:ascii="Arial" w:cs="Arial" w:eastAsia="Arial" w:hAnsi="Arial"/>
                <w:sz w:val="18"/>
                <w:szCs w:val="18"/>
                <w:color w:val="auto"/>
              </w:rPr>
              <w:t>(250.9)</w:t>
            </w:r>
          </w:p>
        </w:tc>
      </w:tr>
      <w:tr>
        <w:trPr>
          <w:trHeight w:val="27"/>
        </w:trPr>
        <w:tc>
          <w:tcPr>
            <w:tcW w:w="588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5"/>
        </w:trPr>
        <w:tc>
          <w:tcPr>
            <w:tcW w:w="58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Financing Activities</w:t>
            </w:r>
          </w:p>
        </w:tc>
        <w:tc>
          <w:tcPr>
            <w:tcW w:w="318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160.2</w:t>
            </w:r>
          </w:p>
        </w:tc>
        <w:tc>
          <w:tcPr>
            <w:tcW w:w="138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55.4</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41.4</w:t>
            </w:r>
          </w:p>
        </w:tc>
      </w:tr>
      <w:tr>
        <w:trPr>
          <w:trHeight w:val="237"/>
        </w:trPr>
        <w:tc>
          <w:tcPr>
            <w:tcW w:w="588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Change in Cash and Cash Equivalents</w:t>
            </w:r>
          </w:p>
        </w:tc>
        <w:tc>
          <w:tcPr>
            <w:tcW w:w="318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rPr>
              <w:t>(20.3)</w:t>
            </w:r>
          </w:p>
        </w:tc>
        <w:tc>
          <w:tcPr>
            <w:tcW w:w="138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color w:val="auto"/>
              </w:rPr>
              <w:t>56.2</w:t>
            </w: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19.2</w:t>
            </w:r>
          </w:p>
        </w:tc>
      </w:tr>
      <w:tr>
        <w:trPr>
          <w:trHeight w:val="27"/>
        </w:trPr>
        <w:tc>
          <w:tcPr>
            <w:tcW w:w="5880" w:type="dxa"/>
            <w:vAlign w:val="bottom"/>
            <w:tcBorders>
              <w:bottom w:val="single" w:sz="8" w:color="auto"/>
            </w:tcBorders>
          </w:tcPr>
          <w:p>
            <w:pPr>
              <w:spacing w:after="0"/>
              <w:rPr>
                <w:sz w:val="2"/>
                <w:szCs w:val="2"/>
                <w:color w:val="auto"/>
              </w:rPr>
            </w:pPr>
          </w:p>
        </w:tc>
        <w:tc>
          <w:tcPr>
            <w:tcW w:w="3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5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318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$80.8</w:t>
            </w:r>
          </w:p>
        </w:tc>
        <w:tc>
          <w:tcPr>
            <w:tcW w:w="138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$101.1</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$44.9</w:t>
            </w:r>
          </w:p>
        </w:tc>
      </w:tr>
      <w:tr>
        <w:trPr>
          <w:trHeight w:val="20"/>
        </w:trPr>
        <w:tc>
          <w:tcPr>
            <w:tcW w:w="5880" w:type="dxa"/>
            <w:vAlign w:val="bottom"/>
            <w:shd w:val="clear" w:color="auto" w:fill="000000"/>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Operating Activities. </w:t>
      </w:r>
      <w:r>
        <w:rPr>
          <w:rFonts w:ascii="Arial" w:cs="Arial" w:eastAsia="Arial" w:hAnsi="Arial"/>
          <w:sz w:val="18"/>
          <w:szCs w:val="18"/>
          <w:color w:val="auto"/>
        </w:rPr>
        <w:t>Cash from operating activities was $239.6 million for 2012 ($241.7 million for 2011; $228.7 million for 2010). Cash from operating</w:t>
      </w:r>
      <w:r>
        <w:rPr>
          <w:rFonts w:ascii="Arial" w:cs="Arial" w:eastAsia="Arial" w:hAnsi="Arial"/>
          <w:sz w:val="18"/>
          <w:szCs w:val="18"/>
          <w:b w:val="1"/>
          <w:bCs w:val="1"/>
          <w:color w:val="auto"/>
        </w:rPr>
        <w:t xml:space="preserve"> </w:t>
      </w:r>
      <w:r>
        <w:rPr>
          <w:rFonts w:ascii="Arial" w:cs="Arial" w:eastAsia="Arial" w:hAnsi="Arial"/>
          <w:sz w:val="18"/>
          <w:szCs w:val="18"/>
          <w:color w:val="auto"/>
        </w:rPr>
        <w:t>activities was similar to 2011 as lower cash contributions to pension and other postretirement benefit plans ($8.8 million in 2012 and $24.7 million in 2011) were offset by higher cost recovery rider receivables in 2012 and income tax refunds received in 2011.</w:t>
      </w:r>
    </w:p>
    <w:p>
      <w:pPr>
        <w:spacing w:after="0" w:line="18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Cash from operating activities was higher in 2011 than 2010 primarily due to higher 2011 net income primarily from our Regulated Operations segment, decreased cash contributions to our pension and other postretirement employee benefit plans ($24.7 million in 2011 and $39.3 million in 2010), and increased customer deposits, partially offset by a decrease in accounts payable and higher inventory balances.</w:t>
      </w:r>
    </w:p>
    <w:p>
      <w:pPr>
        <w:spacing w:after="0" w:line="177" w:lineRule="exact"/>
        <w:rPr>
          <w:sz w:val="20"/>
          <w:szCs w:val="20"/>
          <w:color w:val="auto"/>
        </w:rPr>
      </w:pPr>
    </w:p>
    <w:p>
      <w:pPr>
        <w:jc w:val="both"/>
        <w:ind w:right="20"/>
        <w:spacing w:after="0" w:line="313" w:lineRule="auto"/>
        <w:rPr>
          <w:sz w:val="20"/>
          <w:szCs w:val="20"/>
          <w:color w:val="auto"/>
        </w:rPr>
      </w:pPr>
      <w:r>
        <w:rPr>
          <w:rFonts w:ascii="Arial" w:cs="Arial" w:eastAsia="Arial" w:hAnsi="Arial"/>
          <w:sz w:val="17"/>
          <w:szCs w:val="17"/>
          <w:b w:val="1"/>
          <w:bCs w:val="1"/>
          <w:color w:val="auto"/>
        </w:rPr>
        <w:t xml:space="preserve">Investing Activities. </w:t>
      </w:r>
      <w:r>
        <w:rPr>
          <w:rFonts w:ascii="Arial" w:cs="Arial" w:eastAsia="Arial" w:hAnsi="Arial"/>
          <w:sz w:val="17"/>
          <w:szCs w:val="17"/>
          <w:color w:val="auto"/>
        </w:rPr>
        <w:t>Cash used for investing activities was $420.1 million for 2012 ($240.9 million for 2011; $250.9 million for 2010). The increase in cash</w:t>
      </w:r>
      <w:r>
        <w:rPr>
          <w:rFonts w:ascii="Arial" w:cs="Arial" w:eastAsia="Arial" w:hAnsi="Arial"/>
          <w:sz w:val="17"/>
          <w:szCs w:val="17"/>
          <w:b w:val="1"/>
          <w:bCs w:val="1"/>
          <w:color w:val="auto"/>
        </w:rPr>
        <w:t xml:space="preserve"> </w:t>
      </w:r>
      <w:r>
        <w:rPr>
          <w:rFonts w:ascii="Arial" w:cs="Arial" w:eastAsia="Arial" w:hAnsi="Arial"/>
          <w:sz w:val="17"/>
          <w:szCs w:val="17"/>
          <w:color w:val="auto"/>
        </w:rPr>
        <w:t>used for investing activities was primarily due to higher capital expenditures in 2012 primarily related to our Bison Wind Energy Center.</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2012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364"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Liquidity and Capital Resources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Activities (Continued)</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Cash used for investing activities in 2011 was lower than 2010 primarily due to lower capital expenditures in 2011 and the redemption of ARS for $6.7 million in January 2011.</w:t>
      </w:r>
    </w:p>
    <w:p>
      <w:pPr>
        <w:spacing w:after="0" w:line="16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Financing Activities. </w:t>
      </w:r>
      <w:r>
        <w:rPr>
          <w:rFonts w:ascii="Arial" w:cs="Arial" w:eastAsia="Arial" w:hAnsi="Arial"/>
          <w:sz w:val="18"/>
          <w:szCs w:val="18"/>
          <w:color w:val="auto"/>
        </w:rPr>
        <w:t>Cash from financing activities was $160.2 million for 2012 ($55.4 million for 2011; $41.4 million for 2010). The increase in cash from</w:t>
      </w:r>
      <w:r>
        <w:rPr>
          <w:rFonts w:ascii="Arial" w:cs="Arial" w:eastAsia="Arial" w:hAnsi="Arial"/>
          <w:sz w:val="18"/>
          <w:szCs w:val="18"/>
          <w:b w:val="1"/>
          <w:bCs w:val="1"/>
          <w:color w:val="auto"/>
        </w:rPr>
        <w:t xml:space="preserve"> </w:t>
      </w:r>
      <w:r>
        <w:rPr>
          <w:rFonts w:ascii="Arial" w:cs="Arial" w:eastAsia="Arial" w:hAnsi="Arial"/>
          <w:sz w:val="18"/>
          <w:szCs w:val="18"/>
          <w:color w:val="auto"/>
        </w:rPr>
        <w:t>financing activities in 2012 was primarily due to increased proceeds from long-term debt and common stock issuances.</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Cash from financing activities was higher in 2011 compared to 2010 primarily due to increased proceeds from the issuances of common stock, partially offset by lower net proceeds of long-term debt in 2011.</w:t>
      </w:r>
    </w:p>
    <w:p>
      <w:pPr>
        <w:spacing w:after="0" w:line="16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Working Capital</w:t>
      </w:r>
      <w:r>
        <w:rPr>
          <w:rFonts w:ascii="Arial" w:cs="Arial" w:eastAsia="Arial" w:hAnsi="Arial"/>
          <w:sz w:val="18"/>
          <w:szCs w:val="18"/>
          <w:color w:val="auto"/>
        </w:rPr>
        <w:t>. Additional working capital, if and when needed, generally is provided by consolidated bank lines of credit or the sale of securities or</w:t>
      </w:r>
      <w:r>
        <w:rPr>
          <w:rFonts w:ascii="Arial" w:cs="Arial" w:eastAsia="Arial" w:hAnsi="Arial"/>
          <w:sz w:val="18"/>
          <w:szCs w:val="18"/>
          <w:b w:val="1"/>
          <w:bCs w:val="1"/>
          <w:color w:val="auto"/>
        </w:rPr>
        <w:t xml:space="preserve"> </w:t>
      </w:r>
      <w:r>
        <w:rPr>
          <w:rFonts w:ascii="Arial" w:cs="Arial" w:eastAsia="Arial" w:hAnsi="Arial"/>
          <w:sz w:val="18"/>
          <w:szCs w:val="18"/>
          <w:color w:val="auto"/>
        </w:rPr>
        <w:t>commercial paper. As of December 31, 2012, we had available consolidated bank lines of credit aggregating $406.4 million, of which $150.0 million expires in January 2014, and $250.0 million expires in June 2015. In addition, we have 0.9 million original issue shares of our common stock available for issuance through Invest Direct, our direct stock purchase and dividend reinvestment plan, and 4.5 million original issue shares of common stock available for issuance through a Distribution Agreement with KCCI, Inc. The amount and timing of future sales of our securities will depend upon market conditions and our specific needs.</w:t>
      </w:r>
    </w:p>
    <w:p>
      <w:pPr>
        <w:spacing w:after="0" w:line="18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color w:val="auto"/>
        </w:rPr>
        <w:t>Securities</w:t>
      </w:r>
      <w:r>
        <w:rPr>
          <w:rFonts w:ascii="Arial" w:cs="Arial" w:eastAsia="Arial" w:hAnsi="Arial"/>
          <w:sz w:val="17"/>
          <w:szCs w:val="17"/>
          <w:color w:val="auto"/>
        </w:rPr>
        <w:t>. We entered into a distribution agreement with KCCI, Inc., in February 2008, as amended most recently on August 3, 2012, with respect to the</w:t>
      </w:r>
      <w:r>
        <w:rPr>
          <w:rFonts w:ascii="Arial" w:cs="Arial" w:eastAsia="Arial" w:hAnsi="Arial"/>
          <w:sz w:val="17"/>
          <w:szCs w:val="17"/>
          <w:b w:val="1"/>
          <w:bCs w:val="1"/>
          <w:color w:val="auto"/>
        </w:rPr>
        <w:t xml:space="preserve"> </w:t>
      </w:r>
      <w:r>
        <w:rPr>
          <w:rFonts w:ascii="Arial" w:cs="Arial" w:eastAsia="Arial" w:hAnsi="Arial"/>
          <w:sz w:val="17"/>
          <w:szCs w:val="17"/>
          <w:color w:val="auto"/>
        </w:rPr>
        <w:t>issuance and sale of up to an aggregate of 9.6 million shares of our common stock, without par value, of which 4.5 million remain available for issuance. For the quarter ended December 31, 2012, 0.4 million shares of common stock were issued under this agreement, resulting in net proceeds of $17.9 million (for the quarter ended December 31, 2011, no shares were issued). For the year ended December 31, 2012, 1.3 million shares of common stock were issued under this agreement, resulting in net proceeds of $53.1 million (0.4 million shares for net proceeds of $16.0 million for the year ended December 31, 2011). The shares issued in 2012 were, and the remaining shares may be, offered for sale, from time to time, in accordance with the terms of the amended distribution agreement pursuant to Registration Statement Nos. 333-170289.</w:t>
      </w:r>
    </w:p>
    <w:p>
      <w:pPr>
        <w:spacing w:after="0" w:line="17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the year ended December 31, 2012, we issued a total of 0.5 million shares of common stock through Invest Direct, the Employee Stock Purchase Plan, and the Retirement Savings and Stock Ownership Plan, resulting in net proceeds of $23.9 million. These shares of common stock were registered under Registration Statement Nos. 333-166515, 333-105225, 333-183051 and 333-162890, respectively.</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July 2, 2012, we issued $160.0 million of the Company’s First Mortgage Bonds (Bonds) in the private placement market in two series. (See Note 10. Short-Term and Long-Term Debt.) On July 16, 2012, we used a portion of the proceeds from the sale of the Bonds to redeem $6.0 million of 6.50 percent Industrial Development Revenue Bonds and to repay outstanding borrowings of $14.0 million on our $150.0 million line of credit. The remaining proceeds were used to fund utility capital expenditures and for general corporate purposes.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Covenants</w:t>
      </w:r>
      <w:r>
        <w:rPr>
          <w:rFonts w:ascii="Arial" w:cs="Arial" w:eastAsia="Arial" w:hAnsi="Arial"/>
          <w:sz w:val="18"/>
          <w:szCs w:val="18"/>
          <w:color w:val="auto"/>
        </w:rPr>
        <w:t>. See Note 10. Short-Term and Long-Term Debt for information regarding our financial covenants.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r>
        <w:rPr>
          <w:rFonts w:ascii="Arial" w:cs="Arial" w:eastAsia="Arial" w:hAnsi="Arial"/>
          <w:sz w:val="18"/>
          <w:szCs w:val="18"/>
          <w:color w:val="auto"/>
        </w:rPr>
        <w:t>. Off-balance sheet arrangements are discussed in Note 11. Commitments, Guarantees and Contingencies.</w:t>
      </w:r>
    </w:p>
    <w:p>
      <w:pPr>
        <w:spacing w:after="0" w:line="2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Contractual Obligations and Commercial Commitments</w:t>
      </w:r>
      <w:r>
        <w:rPr>
          <w:rFonts w:ascii="Arial" w:cs="Arial" w:eastAsia="Arial" w:hAnsi="Arial"/>
          <w:sz w:val="18"/>
          <w:szCs w:val="18"/>
          <w:color w:val="auto"/>
        </w:rPr>
        <w:t>. ALLETE has contractual obligations and other commitments that will need to be funded in the</w:t>
      </w:r>
      <w:r>
        <w:rPr>
          <w:rFonts w:ascii="Arial" w:cs="Arial" w:eastAsia="Arial" w:hAnsi="Arial"/>
          <w:sz w:val="18"/>
          <w:szCs w:val="18"/>
          <w:b w:val="1"/>
          <w:bCs w:val="1"/>
          <w:color w:val="auto"/>
        </w:rPr>
        <w:t xml:space="preserve"> </w:t>
      </w:r>
      <w:r>
        <w:rPr>
          <w:rFonts w:ascii="Arial" w:cs="Arial" w:eastAsia="Arial" w:hAnsi="Arial"/>
          <w:sz w:val="18"/>
          <w:szCs w:val="18"/>
          <w:color w:val="auto"/>
        </w:rPr>
        <w:t>future, in addition to its capital expenditure programs. Following is a summarized table of contractual obligations and other commercial commitments at December 31, 2012.</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2012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364" w:right="23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300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Payments Due by Period</w:t>
            </w:r>
          </w:p>
        </w:tc>
        <w:tc>
          <w:tcPr>
            <w:tcW w:w="114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7"/>
        </w:trPr>
        <w:tc>
          <w:tcPr>
            <w:tcW w:w="458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4580" w:type="dxa"/>
            <w:vAlign w:val="bottom"/>
          </w:tcPr>
          <w:p>
            <w:pPr>
              <w:ind w:left="40"/>
              <w:spacing w:after="0"/>
              <w:rPr>
                <w:sz w:val="20"/>
                <w:szCs w:val="20"/>
                <w:color w:val="auto"/>
              </w:rPr>
            </w:pPr>
            <w:r>
              <w:rPr>
                <w:rFonts w:ascii="Arial" w:cs="Arial" w:eastAsia="Arial" w:hAnsi="Arial"/>
                <w:sz w:val="18"/>
                <w:szCs w:val="18"/>
                <w:b w:val="1"/>
                <w:bCs w:val="1"/>
                <w:color w:val="auto"/>
              </w:rPr>
              <w:t>Contractual Obligations</w:t>
            </w:r>
          </w:p>
        </w:tc>
        <w:tc>
          <w:tcPr>
            <w:tcW w:w="1500" w:type="dxa"/>
            <w:vAlign w:val="bottom"/>
          </w:tcPr>
          <w:p>
            <w:pPr>
              <w:spacing w:after="0"/>
              <w:rPr>
                <w:sz w:val="20"/>
                <w:szCs w:val="20"/>
                <w:color w:val="auto"/>
              </w:rPr>
            </w:pPr>
          </w:p>
        </w:tc>
        <w:tc>
          <w:tcPr>
            <w:tcW w:w="1460" w:type="dxa"/>
            <w:vAlign w:val="bottom"/>
          </w:tcPr>
          <w:p>
            <w:pPr>
              <w:jc w:val="right"/>
              <w:ind w:right="410"/>
              <w:spacing w:after="0"/>
              <w:rPr>
                <w:sz w:val="20"/>
                <w:szCs w:val="20"/>
                <w:color w:val="auto"/>
              </w:rPr>
            </w:pPr>
            <w:r>
              <w:rPr>
                <w:rFonts w:ascii="Arial" w:cs="Arial" w:eastAsia="Arial" w:hAnsi="Arial"/>
                <w:sz w:val="18"/>
                <w:szCs w:val="18"/>
                <w:b w:val="1"/>
                <w:bCs w:val="1"/>
                <w:color w:val="auto"/>
              </w:rPr>
              <w:t>Less than</w:t>
            </w:r>
          </w:p>
        </w:tc>
        <w:tc>
          <w:tcPr>
            <w:tcW w:w="1540" w:type="dxa"/>
            <w:vAlign w:val="bottom"/>
          </w:tcPr>
          <w:p>
            <w:pPr>
              <w:jc w:val="right"/>
              <w:ind w:right="730"/>
              <w:spacing w:after="0"/>
              <w:rPr>
                <w:sz w:val="20"/>
                <w:szCs w:val="20"/>
                <w:color w:val="auto"/>
              </w:rPr>
            </w:pPr>
            <w:r>
              <w:rPr>
                <w:rFonts w:ascii="Arial" w:cs="Arial" w:eastAsia="Arial" w:hAnsi="Arial"/>
                <w:sz w:val="18"/>
                <w:szCs w:val="18"/>
                <w:b w:val="1"/>
                <w:bCs w:val="1"/>
                <w:color w:val="auto"/>
              </w:rPr>
              <w:t>1 to 3</w:t>
            </w:r>
          </w:p>
        </w:tc>
        <w:tc>
          <w:tcPr>
            <w:tcW w:w="1140" w:type="dxa"/>
            <w:vAlign w:val="bottom"/>
          </w:tcPr>
          <w:p>
            <w:pPr>
              <w:jc w:val="right"/>
              <w:ind w:right="530"/>
              <w:spacing w:after="0"/>
              <w:rPr>
                <w:sz w:val="20"/>
                <w:szCs w:val="20"/>
                <w:color w:val="auto"/>
              </w:rPr>
            </w:pPr>
            <w:r>
              <w:rPr>
                <w:rFonts w:ascii="Arial" w:cs="Arial" w:eastAsia="Arial" w:hAnsi="Arial"/>
                <w:sz w:val="18"/>
                <w:szCs w:val="18"/>
                <w:b w:val="1"/>
                <w:bCs w:val="1"/>
                <w:color w:val="auto"/>
              </w:rPr>
              <w:t>4 to 5</w:t>
            </w:r>
          </w:p>
        </w:tc>
        <w:tc>
          <w:tcPr>
            <w:tcW w:w="1200" w:type="dxa"/>
            <w:vAlign w:val="bottom"/>
          </w:tcPr>
          <w:p>
            <w:pPr>
              <w:jc w:val="right"/>
              <w:ind w:right="390"/>
              <w:spacing w:after="0"/>
              <w:rPr>
                <w:sz w:val="20"/>
                <w:szCs w:val="20"/>
                <w:color w:val="auto"/>
              </w:rPr>
            </w:pPr>
            <w:r>
              <w:rPr>
                <w:rFonts w:ascii="Arial" w:cs="Arial" w:eastAsia="Arial" w:hAnsi="Arial"/>
                <w:sz w:val="18"/>
                <w:szCs w:val="18"/>
                <w:b w:val="1"/>
                <w:bCs w:val="1"/>
                <w:color w:val="auto"/>
              </w:rPr>
              <w:t>After</w:t>
            </w:r>
          </w:p>
        </w:tc>
      </w:tr>
      <w:tr>
        <w:trPr>
          <w:trHeight w:val="270"/>
        </w:trPr>
        <w:tc>
          <w:tcPr>
            <w:tcW w:w="4580" w:type="dxa"/>
            <w:vAlign w:val="bottom"/>
          </w:tcPr>
          <w:p>
            <w:pPr>
              <w:ind w:left="40"/>
              <w:spacing w:after="0"/>
              <w:rPr>
                <w:sz w:val="20"/>
                <w:szCs w:val="20"/>
                <w:color w:val="auto"/>
              </w:rPr>
            </w:pPr>
            <w:r>
              <w:rPr>
                <w:rFonts w:ascii="Arial" w:cs="Arial" w:eastAsia="Arial" w:hAnsi="Arial"/>
                <w:sz w:val="18"/>
                <w:szCs w:val="18"/>
                <w:b w:val="1"/>
                <w:bCs w:val="1"/>
                <w:color w:val="auto"/>
              </w:rPr>
              <w:t>As of December 31, 2012</w:t>
            </w:r>
          </w:p>
        </w:tc>
        <w:tc>
          <w:tcPr>
            <w:tcW w:w="1500" w:type="dxa"/>
            <w:vAlign w:val="bottom"/>
          </w:tcPr>
          <w:p>
            <w:pPr>
              <w:jc w:val="right"/>
              <w:ind w:right="510"/>
              <w:spacing w:after="0"/>
              <w:rPr>
                <w:sz w:val="20"/>
                <w:szCs w:val="20"/>
                <w:color w:val="auto"/>
              </w:rPr>
            </w:pPr>
            <w:r>
              <w:rPr>
                <w:rFonts w:ascii="Arial" w:cs="Arial" w:eastAsia="Arial" w:hAnsi="Arial"/>
                <w:sz w:val="18"/>
                <w:szCs w:val="18"/>
                <w:b w:val="1"/>
                <w:bCs w:val="1"/>
                <w:color w:val="auto"/>
              </w:rPr>
              <w:t>Total</w:t>
            </w:r>
          </w:p>
        </w:tc>
        <w:tc>
          <w:tcPr>
            <w:tcW w:w="1460" w:type="dxa"/>
            <w:vAlign w:val="bottom"/>
          </w:tcPr>
          <w:p>
            <w:pPr>
              <w:jc w:val="right"/>
              <w:ind w:right="530"/>
              <w:spacing w:after="0"/>
              <w:rPr>
                <w:sz w:val="20"/>
                <w:szCs w:val="20"/>
                <w:color w:val="auto"/>
              </w:rPr>
            </w:pPr>
            <w:r>
              <w:rPr>
                <w:rFonts w:ascii="Arial" w:cs="Arial" w:eastAsia="Arial" w:hAnsi="Arial"/>
                <w:sz w:val="18"/>
                <w:szCs w:val="18"/>
                <w:b w:val="1"/>
                <w:bCs w:val="1"/>
                <w:color w:val="auto"/>
              </w:rPr>
              <w:t>1 Year</w:t>
            </w:r>
          </w:p>
        </w:tc>
        <w:tc>
          <w:tcPr>
            <w:tcW w:w="1540" w:type="dxa"/>
            <w:vAlign w:val="bottom"/>
          </w:tcPr>
          <w:p>
            <w:pPr>
              <w:jc w:val="right"/>
              <w:ind w:right="730"/>
              <w:spacing w:after="0"/>
              <w:rPr>
                <w:sz w:val="20"/>
                <w:szCs w:val="20"/>
                <w:color w:val="auto"/>
              </w:rPr>
            </w:pPr>
            <w:r>
              <w:rPr>
                <w:rFonts w:ascii="Arial" w:cs="Arial" w:eastAsia="Arial" w:hAnsi="Arial"/>
                <w:sz w:val="18"/>
                <w:szCs w:val="18"/>
                <w:b w:val="1"/>
                <w:bCs w:val="1"/>
                <w:color w:val="auto"/>
              </w:rPr>
              <w:t>Years</w:t>
            </w:r>
          </w:p>
        </w:tc>
        <w:tc>
          <w:tcPr>
            <w:tcW w:w="1140" w:type="dxa"/>
            <w:vAlign w:val="bottom"/>
          </w:tcPr>
          <w:p>
            <w:pPr>
              <w:jc w:val="right"/>
              <w:ind w:right="530"/>
              <w:spacing w:after="0"/>
              <w:rPr>
                <w:sz w:val="20"/>
                <w:szCs w:val="20"/>
                <w:color w:val="auto"/>
              </w:rPr>
            </w:pPr>
            <w:r>
              <w:rPr>
                <w:rFonts w:ascii="Arial" w:cs="Arial" w:eastAsia="Arial" w:hAnsi="Arial"/>
                <w:sz w:val="18"/>
                <w:szCs w:val="18"/>
                <w:b w:val="1"/>
                <w:bCs w:val="1"/>
                <w:color w:val="auto"/>
              </w:rPr>
              <w:t>Years</w:t>
            </w:r>
          </w:p>
        </w:tc>
        <w:tc>
          <w:tcPr>
            <w:tcW w:w="1200" w:type="dxa"/>
            <w:vAlign w:val="bottom"/>
          </w:tcPr>
          <w:p>
            <w:pPr>
              <w:jc w:val="right"/>
              <w:ind w:right="310"/>
              <w:spacing w:after="0"/>
              <w:rPr>
                <w:sz w:val="20"/>
                <w:szCs w:val="20"/>
                <w:color w:val="auto"/>
              </w:rPr>
            </w:pPr>
            <w:r>
              <w:rPr>
                <w:rFonts w:ascii="Arial" w:cs="Arial" w:eastAsia="Arial" w:hAnsi="Arial"/>
                <w:sz w:val="18"/>
                <w:szCs w:val="18"/>
                <w:b w:val="1"/>
                <w:bCs w:val="1"/>
                <w:color w:val="auto"/>
              </w:rPr>
              <w:t>5 Years</w:t>
            </w:r>
          </w:p>
        </w:tc>
      </w:tr>
      <w:tr>
        <w:trPr>
          <w:trHeight w:val="27"/>
        </w:trPr>
        <w:tc>
          <w:tcPr>
            <w:tcW w:w="45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458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15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7"/>
        </w:trPr>
        <w:tc>
          <w:tcPr>
            <w:tcW w:w="45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15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$1,613.0</w:t>
            </w:r>
          </w:p>
        </w:tc>
        <w:tc>
          <w:tcPr>
            <w:tcW w:w="14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$129.8</w:t>
            </w:r>
          </w:p>
        </w:tc>
        <w:tc>
          <w:tcPr>
            <w:tcW w:w="154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$258.2</w:t>
            </w:r>
          </w:p>
        </w:tc>
        <w:tc>
          <w:tcPr>
            <w:tcW w:w="11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$127.6</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$1,097.4</w:t>
            </w: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Pension</w:t>
            </w:r>
          </w:p>
        </w:tc>
        <w:tc>
          <w:tcPr>
            <w:tcW w:w="1500" w:type="dxa"/>
            <w:vAlign w:val="bottom"/>
          </w:tcPr>
          <w:p>
            <w:pPr>
              <w:jc w:val="right"/>
              <w:ind w:right="130"/>
              <w:spacing w:after="0"/>
              <w:rPr>
                <w:sz w:val="20"/>
                <w:szCs w:val="20"/>
                <w:color w:val="auto"/>
              </w:rPr>
            </w:pPr>
            <w:r>
              <w:rPr>
                <w:rFonts w:ascii="Arial" w:cs="Arial" w:eastAsia="Arial" w:hAnsi="Arial"/>
                <w:sz w:val="18"/>
                <w:szCs w:val="18"/>
                <w:color w:val="auto"/>
              </w:rPr>
              <w:t>202.8</w:t>
            </w:r>
          </w:p>
        </w:tc>
        <w:tc>
          <w:tcPr>
            <w:tcW w:w="1460" w:type="dxa"/>
            <w:vAlign w:val="bottom"/>
          </w:tcPr>
          <w:p>
            <w:pPr>
              <w:jc w:val="right"/>
              <w:ind w:right="210"/>
              <w:spacing w:after="0"/>
              <w:rPr>
                <w:sz w:val="20"/>
                <w:szCs w:val="20"/>
                <w:color w:val="auto"/>
              </w:rPr>
            </w:pPr>
            <w:r>
              <w:rPr>
                <w:rFonts w:ascii="Arial" w:cs="Arial" w:eastAsia="Arial" w:hAnsi="Arial"/>
                <w:sz w:val="18"/>
                <w:szCs w:val="18"/>
                <w:color w:val="auto"/>
              </w:rPr>
              <w:t>31.2</w:t>
            </w:r>
          </w:p>
        </w:tc>
        <w:tc>
          <w:tcPr>
            <w:tcW w:w="1540" w:type="dxa"/>
            <w:vAlign w:val="bottom"/>
          </w:tcPr>
          <w:p>
            <w:pPr>
              <w:jc w:val="right"/>
              <w:ind w:right="370"/>
              <w:spacing w:after="0"/>
              <w:rPr>
                <w:sz w:val="20"/>
                <w:szCs w:val="20"/>
                <w:color w:val="auto"/>
              </w:rPr>
            </w:pPr>
            <w:r>
              <w:rPr>
                <w:rFonts w:ascii="Arial" w:cs="Arial" w:eastAsia="Arial" w:hAnsi="Arial"/>
                <w:sz w:val="18"/>
                <w:szCs w:val="18"/>
                <w:color w:val="auto"/>
              </w:rPr>
              <w:t>99.8</w:t>
            </w:r>
          </w:p>
        </w:tc>
        <w:tc>
          <w:tcPr>
            <w:tcW w:w="1140" w:type="dxa"/>
            <w:vAlign w:val="bottom"/>
          </w:tcPr>
          <w:p>
            <w:pPr>
              <w:jc w:val="right"/>
              <w:ind w:right="170"/>
              <w:spacing w:after="0"/>
              <w:rPr>
                <w:sz w:val="20"/>
                <w:szCs w:val="20"/>
                <w:color w:val="auto"/>
              </w:rPr>
            </w:pPr>
            <w:r>
              <w:rPr>
                <w:rFonts w:ascii="Arial" w:cs="Arial" w:eastAsia="Arial" w:hAnsi="Arial"/>
                <w:sz w:val="18"/>
                <w:szCs w:val="18"/>
                <w:color w:val="auto"/>
              </w:rPr>
              <w:t>71.8</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5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Postretirement Benefit Plans</w:t>
            </w:r>
          </w:p>
        </w:tc>
        <w:tc>
          <w:tcPr>
            <w:tcW w:w="15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53.9</w:t>
            </w:r>
          </w:p>
        </w:tc>
        <w:tc>
          <w:tcPr>
            <w:tcW w:w="14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7.6</w:t>
            </w:r>
          </w:p>
        </w:tc>
        <w:tc>
          <w:tcPr>
            <w:tcW w:w="154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26.6</w:t>
            </w:r>
          </w:p>
        </w:tc>
        <w:tc>
          <w:tcPr>
            <w:tcW w:w="11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19.7</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Operating Lease Obligations</w:t>
            </w:r>
          </w:p>
        </w:tc>
        <w:tc>
          <w:tcPr>
            <w:tcW w:w="1500" w:type="dxa"/>
            <w:vAlign w:val="bottom"/>
          </w:tcPr>
          <w:p>
            <w:pPr>
              <w:jc w:val="right"/>
              <w:ind w:right="130"/>
              <w:spacing w:after="0"/>
              <w:rPr>
                <w:sz w:val="20"/>
                <w:szCs w:val="20"/>
                <w:color w:val="auto"/>
              </w:rPr>
            </w:pPr>
            <w:r>
              <w:rPr>
                <w:rFonts w:ascii="Arial" w:cs="Arial" w:eastAsia="Arial" w:hAnsi="Arial"/>
                <w:sz w:val="18"/>
                <w:szCs w:val="18"/>
                <w:color w:val="auto"/>
              </w:rPr>
              <w:t>87.4</w:t>
            </w:r>
          </w:p>
        </w:tc>
        <w:tc>
          <w:tcPr>
            <w:tcW w:w="1460" w:type="dxa"/>
            <w:vAlign w:val="bottom"/>
          </w:tcPr>
          <w:p>
            <w:pPr>
              <w:jc w:val="right"/>
              <w:ind w:right="210"/>
              <w:spacing w:after="0"/>
              <w:rPr>
                <w:sz w:val="20"/>
                <w:szCs w:val="20"/>
                <w:color w:val="auto"/>
              </w:rPr>
            </w:pPr>
            <w:r>
              <w:rPr>
                <w:rFonts w:ascii="Arial" w:cs="Arial" w:eastAsia="Arial" w:hAnsi="Arial"/>
                <w:sz w:val="18"/>
                <w:szCs w:val="18"/>
                <w:color w:val="auto"/>
              </w:rPr>
              <w:t>11.5</w:t>
            </w:r>
          </w:p>
        </w:tc>
        <w:tc>
          <w:tcPr>
            <w:tcW w:w="1540" w:type="dxa"/>
            <w:vAlign w:val="bottom"/>
          </w:tcPr>
          <w:p>
            <w:pPr>
              <w:jc w:val="right"/>
              <w:ind w:right="370"/>
              <w:spacing w:after="0"/>
              <w:rPr>
                <w:sz w:val="20"/>
                <w:szCs w:val="20"/>
                <w:color w:val="auto"/>
              </w:rPr>
            </w:pPr>
            <w:r>
              <w:rPr>
                <w:rFonts w:ascii="Arial" w:cs="Arial" w:eastAsia="Arial" w:hAnsi="Arial"/>
                <w:sz w:val="18"/>
                <w:szCs w:val="18"/>
                <w:color w:val="auto"/>
              </w:rPr>
              <w:t>32.4</w:t>
            </w:r>
          </w:p>
        </w:tc>
        <w:tc>
          <w:tcPr>
            <w:tcW w:w="1140" w:type="dxa"/>
            <w:vAlign w:val="bottom"/>
          </w:tcPr>
          <w:p>
            <w:pPr>
              <w:jc w:val="right"/>
              <w:ind w:right="170"/>
              <w:spacing w:after="0"/>
              <w:rPr>
                <w:sz w:val="20"/>
                <w:szCs w:val="20"/>
                <w:color w:val="auto"/>
              </w:rPr>
            </w:pPr>
            <w:r>
              <w:rPr>
                <w:rFonts w:ascii="Arial" w:cs="Arial" w:eastAsia="Arial" w:hAnsi="Arial"/>
                <w:sz w:val="18"/>
                <w:szCs w:val="18"/>
                <w:color w:val="auto"/>
              </w:rPr>
              <w:t>15.7</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27.8</w:t>
            </w:r>
          </w:p>
        </w:tc>
      </w:tr>
      <w:tr>
        <w:trPr>
          <w:trHeight w:val="27"/>
        </w:trPr>
        <w:tc>
          <w:tcPr>
            <w:tcW w:w="45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Uncertain Tax Positions </w:t>
            </w:r>
            <w:r>
              <w:rPr>
                <w:rFonts w:ascii="Arial" w:cs="Arial" w:eastAsia="Arial" w:hAnsi="Arial"/>
                <w:sz w:val="18"/>
                <w:szCs w:val="18"/>
                <w:i w:val="1"/>
                <w:iCs w:val="1"/>
                <w:color w:val="auto"/>
              </w:rPr>
              <w:t>(a)</w:t>
            </w:r>
          </w:p>
        </w:tc>
        <w:tc>
          <w:tcPr>
            <w:tcW w:w="15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 xml:space="preserve">Unconditional Purchase Obligations </w:t>
            </w:r>
            <w:r>
              <w:rPr>
                <w:rFonts w:ascii="Arial" w:cs="Arial" w:eastAsia="Arial" w:hAnsi="Arial"/>
                <w:sz w:val="18"/>
                <w:szCs w:val="18"/>
                <w:i w:val="1"/>
                <w:iCs w:val="1"/>
                <w:color w:val="auto"/>
              </w:rPr>
              <w:t>(b)</w:t>
            </w:r>
          </w:p>
        </w:tc>
        <w:tc>
          <w:tcPr>
            <w:tcW w:w="1500" w:type="dxa"/>
            <w:vAlign w:val="bottom"/>
          </w:tcPr>
          <w:p>
            <w:pPr>
              <w:jc w:val="right"/>
              <w:ind w:right="130"/>
              <w:spacing w:after="0"/>
              <w:rPr>
                <w:sz w:val="20"/>
                <w:szCs w:val="20"/>
                <w:color w:val="auto"/>
              </w:rPr>
            </w:pPr>
            <w:r>
              <w:rPr>
                <w:rFonts w:ascii="Arial" w:cs="Arial" w:eastAsia="Arial" w:hAnsi="Arial"/>
                <w:sz w:val="18"/>
                <w:szCs w:val="18"/>
                <w:color w:val="auto"/>
              </w:rPr>
              <w:t>576.7</w:t>
            </w:r>
          </w:p>
        </w:tc>
        <w:tc>
          <w:tcPr>
            <w:tcW w:w="1460" w:type="dxa"/>
            <w:vAlign w:val="bottom"/>
          </w:tcPr>
          <w:p>
            <w:pPr>
              <w:jc w:val="right"/>
              <w:ind w:right="210"/>
              <w:spacing w:after="0"/>
              <w:rPr>
                <w:sz w:val="20"/>
                <w:szCs w:val="20"/>
                <w:color w:val="auto"/>
              </w:rPr>
            </w:pPr>
            <w:r>
              <w:rPr>
                <w:rFonts w:ascii="Arial" w:cs="Arial" w:eastAsia="Arial" w:hAnsi="Arial"/>
                <w:sz w:val="18"/>
                <w:szCs w:val="18"/>
                <w:color w:val="auto"/>
              </w:rPr>
              <w:t>125.3</w:t>
            </w:r>
          </w:p>
        </w:tc>
        <w:tc>
          <w:tcPr>
            <w:tcW w:w="1540" w:type="dxa"/>
            <w:vAlign w:val="bottom"/>
          </w:tcPr>
          <w:p>
            <w:pPr>
              <w:jc w:val="right"/>
              <w:ind w:right="370"/>
              <w:spacing w:after="0"/>
              <w:rPr>
                <w:sz w:val="20"/>
                <w:szCs w:val="20"/>
                <w:color w:val="auto"/>
              </w:rPr>
            </w:pPr>
            <w:r>
              <w:rPr>
                <w:rFonts w:ascii="Arial" w:cs="Arial" w:eastAsia="Arial" w:hAnsi="Arial"/>
                <w:sz w:val="18"/>
                <w:szCs w:val="18"/>
                <w:color w:val="auto"/>
              </w:rPr>
              <w:t>179.3</w:t>
            </w:r>
          </w:p>
        </w:tc>
        <w:tc>
          <w:tcPr>
            <w:tcW w:w="1140" w:type="dxa"/>
            <w:vAlign w:val="bottom"/>
          </w:tcPr>
          <w:p>
            <w:pPr>
              <w:jc w:val="right"/>
              <w:ind w:right="170"/>
              <w:spacing w:after="0"/>
              <w:rPr>
                <w:sz w:val="20"/>
                <w:szCs w:val="20"/>
                <w:color w:val="auto"/>
              </w:rPr>
            </w:pPr>
            <w:r>
              <w:rPr>
                <w:rFonts w:ascii="Arial" w:cs="Arial" w:eastAsia="Arial" w:hAnsi="Arial"/>
                <w:sz w:val="18"/>
                <w:szCs w:val="18"/>
                <w:color w:val="auto"/>
              </w:rPr>
              <w:t>82.8</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189.3</w:t>
            </w:r>
          </w:p>
        </w:tc>
      </w:tr>
      <w:tr>
        <w:trPr>
          <w:trHeight w:val="27"/>
        </w:trPr>
        <w:tc>
          <w:tcPr>
            <w:tcW w:w="45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45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$2,533.8</w:t>
            </w:r>
          </w:p>
        </w:tc>
        <w:tc>
          <w:tcPr>
            <w:tcW w:w="14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$305.4</w:t>
            </w:r>
          </w:p>
        </w:tc>
        <w:tc>
          <w:tcPr>
            <w:tcW w:w="154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$596.3</w:t>
            </w:r>
          </w:p>
        </w:tc>
        <w:tc>
          <w:tcPr>
            <w:tcW w:w="11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$317.6</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$1,314.5</w:t>
            </w:r>
          </w:p>
        </w:tc>
      </w:tr>
      <w:tr>
        <w:trPr>
          <w:trHeight w:val="20"/>
        </w:trPr>
        <w:tc>
          <w:tcPr>
            <w:tcW w:w="458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r>
    </w:tbl>
    <w:p>
      <w:pPr>
        <w:ind w:left="340" w:hanging="332"/>
        <w:spacing w:after="0"/>
        <w:tabs>
          <w:tab w:leader="none" w:pos="340" w:val="left"/>
        </w:tabs>
        <w:numPr>
          <w:ilvl w:val="0"/>
          <w:numId w:val="16"/>
        </w:numPr>
        <w:rPr>
          <w:rFonts w:ascii="Arial" w:cs="Arial" w:eastAsia="Arial" w:hAnsi="Arial"/>
          <w:sz w:val="15"/>
          <w:szCs w:val="15"/>
          <w:i w:val="1"/>
          <w:iCs w:val="1"/>
          <w:color w:val="auto"/>
        </w:rPr>
      </w:pPr>
      <w:r>
        <w:rPr>
          <w:rFonts w:ascii="Arial" w:cs="Arial" w:eastAsia="Arial" w:hAnsi="Arial"/>
          <w:sz w:val="15"/>
          <w:szCs w:val="15"/>
          <w:i w:val="1"/>
          <w:iCs w:val="1"/>
          <w:color w:val="auto"/>
        </w:rPr>
        <w:t>Excludes $2.7 million of non-current unrecognized tax benefits due to uncertainty regarding the timing of future cash payments related to uncertain tax positions.</w:t>
      </w:r>
    </w:p>
    <w:p>
      <w:pPr>
        <w:spacing w:after="0" w:line="20" w:lineRule="exact"/>
        <w:rPr>
          <w:rFonts w:ascii="Arial" w:cs="Arial" w:eastAsia="Arial" w:hAnsi="Arial"/>
          <w:sz w:val="15"/>
          <w:szCs w:val="15"/>
          <w:i w:val="1"/>
          <w:iCs w:val="1"/>
          <w:color w:val="auto"/>
        </w:rPr>
      </w:pPr>
    </w:p>
    <w:p>
      <w:pPr>
        <w:jc w:val="both"/>
        <w:ind w:left="340" w:hanging="332"/>
        <w:spacing w:after="0" w:line="276" w:lineRule="auto"/>
        <w:tabs>
          <w:tab w:leader="none" w:pos="340" w:val="left"/>
        </w:tabs>
        <w:numPr>
          <w:ilvl w:val="0"/>
          <w:numId w:val="16"/>
        </w:numPr>
        <w:rPr>
          <w:rFonts w:ascii="Arial" w:cs="Arial" w:eastAsia="Arial" w:hAnsi="Arial"/>
          <w:sz w:val="15"/>
          <w:szCs w:val="15"/>
          <w:i w:val="1"/>
          <w:iCs w:val="1"/>
          <w:color w:val="auto"/>
        </w:rPr>
      </w:pPr>
      <w:r>
        <w:rPr>
          <w:rFonts w:ascii="Arial" w:cs="Arial" w:eastAsia="Arial" w:hAnsi="Arial"/>
          <w:sz w:val="15"/>
          <w:szCs w:val="15"/>
          <w:i w:val="1"/>
          <w:iCs w:val="1"/>
          <w:color w:val="auto"/>
        </w:rPr>
        <w:t>Excludes the agreement with Manitoba Hydro expiring in 2022, as this contract is for surplus energy only. Also excludes the agreement with Manitoba Hydro expiring in 2035, as our obligation under this contract is subject to the construction of a hydro generation facility by Manitoba Hydro and additional transmission capacity. Also, excludes Oliver I and II, as we only pay for energy as it is delivered to us. (See Item 1. Business – Regulated Operations – Power Supply.)</w:t>
      </w:r>
    </w:p>
    <w:p>
      <w:pPr>
        <w:spacing w:after="0" w:line="14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Long-Term Debt. </w:t>
      </w:r>
      <w:r>
        <w:rPr>
          <w:rFonts w:ascii="Arial" w:cs="Arial" w:eastAsia="Arial" w:hAnsi="Arial"/>
          <w:sz w:val="18"/>
          <w:szCs w:val="18"/>
          <w:color w:val="auto"/>
        </w:rPr>
        <w:t>Our long-term debt obligations, including long-term debt due within one year, represent the principal amount of bonds, notes and loans</w:t>
      </w:r>
      <w:r>
        <w:rPr>
          <w:rFonts w:ascii="Arial" w:cs="Arial" w:eastAsia="Arial" w:hAnsi="Arial"/>
          <w:sz w:val="18"/>
          <w:szCs w:val="18"/>
          <w:i w:val="1"/>
          <w:iCs w:val="1"/>
          <w:color w:val="auto"/>
        </w:rPr>
        <w:t xml:space="preserve"> </w:t>
      </w:r>
      <w:r>
        <w:rPr>
          <w:rFonts w:ascii="Arial" w:cs="Arial" w:eastAsia="Arial" w:hAnsi="Arial"/>
          <w:sz w:val="18"/>
          <w:szCs w:val="18"/>
          <w:color w:val="auto"/>
        </w:rPr>
        <w:t>which are recorded on our Consolidated Balance Sheet, plus interest. The table above assumes that the interest rates in effect at December 31, 2012, remain constant through the remaining term. (See Note 10. Short-Term and Long-Term Debt.)</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Pension and Other Postretirement Benefit Plans. </w:t>
      </w:r>
      <w:r>
        <w:rPr>
          <w:rFonts w:ascii="Arial" w:cs="Arial" w:eastAsia="Arial" w:hAnsi="Arial"/>
          <w:sz w:val="18"/>
          <w:szCs w:val="18"/>
          <w:color w:val="auto"/>
        </w:rPr>
        <w:t>Our pension and other postretirement benefit plan obligations represent our current estimate of employer</w:t>
      </w:r>
      <w:r>
        <w:rPr>
          <w:rFonts w:ascii="Arial" w:cs="Arial" w:eastAsia="Arial" w:hAnsi="Arial"/>
          <w:sz w:val="18"/>
          <w:szCs w:val="18"/>
          <w:i w:val="1"/>
          <w:iCs w:val="1"/>
          <w:color w:val="auto"/>
        </w:rPr>
        <w:t xml:space="preserve"> </w:t>
      </w:r>
      <w:r>
        <w:rPr>
          <w:rFonts w:ascii="Arial" w:cs="Arial" w:eastAsia="Arial" w:hAnsi="Arial"/>
          <w:sz w:val="18"/>
          <w:szCs w:val="18"/>
          <w:color w:val="auto"/>
        </w:rPr>
        <w:t>contributions. Pension contributions will be dependent on several factors including realized asset performance, future discount rate and other actuarial assumptions, IRS and other regulatory requirements, and contributions required to avoid benefit restrictions for the pension plans. Funding for the other postretirement benefit plans is impacted by realized asset performance, future discount rate and other actuarial assumptions, and utility regulatory requirements. These amounts are estimates and will change based on actual market performance, changes in interest rates and any changes in governmental regulations. (See Note 15. Pension and Other Postretirement Benefit Plans.)</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Unconditional Purchase Obligations. </w:t>
      </w:r>
      <w:r>
        <w:rPr>
          <w:rFonts w:ascii="Arial" w:cs="Arial" w:eastAsia="Arial" w:hAnsi="Arial"/>
          <w:sz w:val="18"/>
          <w:szCs w:val="18"/>
          <w:color w:val="auto"/>
        </w:rPr>
        <w:t>Unconditional purchase obligations represent our Square Butte, Manitoba Hydro and Minnkota Power, minimum</w:t>
      </w:r>
      <w:r>
        <w:rPr>
          <w:rFonts w:ascii="Arial" w:cs="Arial" w:eastAsia="Arial" w:hAnsi="Arial"/>
          <w:sz w:val="18"/>
          <w:szCs w:val="18"/>
          <w:i w:val="1"/>
          <w:iCs w:val="1"/>
          <w:color w:val="auto"/>
        </w:rPr>
        <w:t xml:space="preserve"> </w:t>
      </w:r>
      <w:r>
        <w:rPr>
          <w:rFonts w:ascii="Arial" w:cs="Arial" w:eastAsia="Arial" w:hAnsi="Arial"/>
          <w:sz w:val="18"/>
          <w:szCs w:val="18"/>
          <w:color w:val="auto"/>
        </w:rPr>
        <w:t>purchase commitments under coal and rail contracts, and purchase obligations for certain capital expenditure projects. (See Note 11. Commitments, Guarantees and Contingencies.)</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Under Minnesota Power’s PPA with Square Butte that extends through 2026, we are obligated to pay our pro rata share of Square Butte’s costs based on our entitlement to the output of Square Butte’s 455 MW coal-fired generating unit near Center, North Dakota. Minnesota Power’s payment obligation will be suspended if Square Butte fails to deliver any power, whether produced or purchased, for a period of one year. Square Butte’s fixed costs consist primarily of debt service. The table above reflects our share of future debt service based on our output entitlement of 50 percent. (See Note 11. Commitments, Guarantees and Contingencies.)</w:t>
      </w:r>
    </w:p>
    <w:p>
      <w:pPr>
        <w:spacing w:after="0" w:line="18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have a PPA with Manitoba Hydro that expires in April 2015. Under this agreement, Minnesota Power is purchasing 50 MW of capacity and the energy associated with that capacity. Both the capacity price and the energy price are adjusted annually by the change in a governmental inflationary index.</w:t>
      </w:r>
    </w:p>
    <w:p>
      <w:pPr>
        <w:spacing w:after="0" w:line="1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December 12, 2012, Minnesota Power entered into a long-term PPA with Minnkota Power. Under this agreement Minnesota Power will purchase 50 MW of capacity and the energy associated with that capacity over the term June 1, 2016 through May 31, 2020. The agreement includes a fixed capacity charge and energy pricing that escalates at a fixed rate annually over the term.</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2012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526" w:right="2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Liquidity and Capital Resources (Continued)</w:t>
      </w:r>
    </w:p>
    <w:p>
      <w:pPr>
        <w:spacing w:after="0" w:line="225"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Credit Ratings</w:t>
      </w:r>
      <w:r>
        <w:rPr>
          <w:rFonts w:ascii="Arial" w:cs="Arial" w:eastAsia="Arial" w:hAnsi="Arial"/>
          <w:sz w:val="17"/>
          <w:szCs w:val="17"/>
          <w:color w:val="auto"/>
        </w:rPr>
        <w:t>. Access to reasonably priced capital markets is dependent in part on credit and ratings. Our securities have been rated by Standard &amp; Poor’s</w:t>
      </w:r>
      <w:r>
        <w:rPr>
          <w:rFonts w:ascii="Arial" w:cs="Arial" w:eastAsia="Arial" w:hAnsi="Arial"/>
          <w:sz w:val="17"/>
          <w:szCs w:val="17"/>
          <w:b w:val="1"/>
          <w:bCs w:val="1"/>
          <w:color w:val="auto"/>
        </w:rPr>
        <w:t xml:space="preserve"> </w:t>
      </w:r>
      <w:r>
        <w:rPr>
          <w:rFonts w:ascii="Arial" w:cs="Arial" w:eastAsia="Arial" w:hAnsi="Arial"/>
          <w:sz w:val="17"/>
          <w:szCs w:val="17"/>
          <w:color w:val="auto"/>
        </w:rPr>
        <w:t>and by Moody’s. Rating agencies use both quantitative and qualitative measures in determining a company’s credit rating. These measures include business risk, liquidity risk, competitive position, capital mix, financial condition, predictability of cash flows, management strength and future direction. Some of the quantitative measures can be analyzed through a few key financial ratios, while the qualitative ones are more subjective. The disclosure of these credit ratings is not a recommendation to buy, sell or hold our securities. Ratings are subject to revision or withdrawal at any time by the assigning rating organization. Each rating should be evaluated independently of any other rating.</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00" w:type="dxa"/>
            <w:vAlign w:val="bottom"/>
          </w:tcPr>
          <w:p>
            <w:pPr>
              <w:ind w:left="40"/>
              <w:spacing w:after="0"/>
              <w:rPr>
                <w:sz w:val="20"/>
                <w:szCs w:val="20"/>
                <w:color w:val="auto"/>
              </w:rPr>
            </w:pPr>
            <w:r>
              <w:rPr>
                <w:rFonts w:ascii="Arial" w:cs="Arial" w:eastAsia="Arial" w:hAnsi="Arial"/>
                <w:sz w:val="18"/>
                <w:szCs w:val="18"/>
                <w:b w:val="1"/>
                <w:bCs w:val="1"/>
                <w:color w:val="auto"/>
              </w:rPr>
              <w:t>Credit Ratings</w:t>
            </w:r>
          </w:p>
        </w:tc>
        <w:tc>
          <w:tcPr>
            <w:tcW w:w="4880" w:type="dxa"/>
            <w:vAlign w:val="bottom"/>
          </w:tcPr>
          <w:p>
            <w:pPr>
              <w:jc w:val="center"/>
              <w:ind w:left="2690"/>
              <w:spacing w:after="0"/>
              <w:rPr>
                <w:sz w:val="20"/>
                <w:szCs w:val="20"/>
                <w:color w:val="auto"/>
              </w:rPr>
            </w:pPr>
            <w:r>
              <w:rPr>
                <w:rFonts w:ascii="Arial" w:cs="Arial" w:eastAsia="Arial" w:hAnsi="Arial"/>
                <w:sz w:val="18"/>
                <w:szCs w:val="18"/>
                <w:b w:val="1"/>
                <w:bCs w:val="1"/>
                <w:color w:val="auto"/>
                <w:w w:val="92"/>
              </w:rPr>
              <w:t>Standard &amp; Poor’s</w:t>
            </w: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0"/>
              </w:rPr>
              <w:t>Moody’s</w:t>
            </w:r>
          </w:p>
        </w:tc>
      </w:tr>
      <w:tr>
        <w:trPr>
          <w:trHeight w:val="27"/>
        </w:trPr>
        <w:tc>
          <w:tcPr>
            <w:tcW w:w="5200" w:type="dxa"/>
            <w:vAlign w:val="bottom"/>
            <w:tcBorders>
              <w:bottom w:val="single" w:sz="8" w:color="auto"/>
            </w:tcBorders>
          </w:tcPr>
          <w:p>
            <w:pPr>
              <w:spacing w:after="0"/>
              <w:rPr>
                <w:sz w:val="2"/>
                <w:szCs w:val="2"/>
                <w:color w:val="auto"/>
              </w:rPr>
            </w:pPr>
          </w:p>
        </w:tc>
        <w:tc>
          <w:tcPr>
            <w:tcW w:w="48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7"/>
        </w:trPr>
        <w:tc>
          <w:tcPr>
            <w:tcW w:w="5200" w:type="dxa"/>
            <w:vAlign w:val="bottom"/>
          </w:tcPr>
          <w:p>
            <w:pPr>
              <w:ind w:left="40"/>
              <w:spacing w:after="0"/>
              <w:rPr>
                <w:sz w:val="20"/>
                <w:szCs w:val="20"/>
                <w:color w:val="auto"/>
              </w:rPr>
            </w:pPr>
            <w:r>
              <w:rPr>
                <w:rFonts w:ascii="Arial" w:cs="Arial" w:eastAsia="Arial" w:hAnsi="Arial"/>
                <w:sz w:val="18"/>
                <w:szCs w:val="18"/>
                <w:color w:val="auto"/>
              </w:rPr>
              <w:t>Issuer Credit Rating</w:t>
            </w:r>
          </w:p>
        </w:tc>
        <w:tc>
          <w:tcPr>
            <w:tcW w:w="4880" w:type="dxa"/>
            <w:vAlign w:val="bottom"/>
          </w:tcPr>
          <w:p>
            <w:pPr>
              <w:jc w:val="center"/>
              <w:ind w:left="2690"/>
              <w:spacing w:after="0"/>
              <w:rPr>
                <w:sz w:val="20"/>
                <w:szCs w:val="20"/>
                <w:color w:val="auto"/>
              </w:rPr>
            </w:pPr>
            <w:r>
              <w:rPr>
                <w:rFonts w:ascii="Arial" w:cs="Arial" w:eastAsia="Arial" w:hAnsi="Arial"/>
                <w:sz w:val="18"/>
                <w:szCs w:val="18"/>
                <w:color w:val="auto"/>
                <w:w w:val="98"/>
              </w:rPr>
              <w:t>BBB+</w:t>
            </w:r>
          </w:p>
        </w:tc>
        <w:tc>
          <w:tcPr>
            <w:tcW w:w="1340" w:type="dxa"/>
            <w:vAlign w:val="bottom"/>
          </w:tcPr>
          <w:p>
            <w:pPr>
              <w:jc w:val="center"/>
              <w:spacing w:after="0"/>
              <w:rPr>
                <w:sz w:val="20"/>
                <w:szCs w:val="20"/>
                <w:color w:val="auto"/>
              </w:rPr>
            </w:pPr>
            <w:r>
              <w:rPr>
                <w:rFonts w:ascii="Arial" w:cs="Arial" w:eastAsia="Arial" w:hAnsi="Arial"/>
                <w:sz w:val="18"/>
                <w:szCs w:val="18"/>
                <w:color w:val="auto"/>
                <w:w w:val="85"/>
              </w:rPr>
              <w:t>Baa1</w:t>
            </w:r>
          </w:p>
        </w:tc>
      </w:tr>
      <w:tr>
        <w:trPr>
          <w:trHeight w:val="27"/>
        </w:trPr>
        <w:tc>
          <w:tcPr>
            <w:tcW w:w="5200" w:type="dxa"/>
            <w:vAlign w:val="bottom"/>
          </w:tcPr>
          <w:p>
            <w:pPr>
              <w:spacing w:after="0"/>
              <w:rPr>
                <w:sz w:val="2"/>
                <w:szCs w:val="2"/>
                <w:color w:val="auto"/>
              </w:rPr>
            </w:pPr>
          </w:p>
        </w:tc>
        <w:tc>
          <w:tcPr>
            <w:tcW w:w="48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Commercial Paper</w:t>
            </w:r>
          </w:p>
        </w:tc>
        <w:tc>
          <w:tcPr>
            <w:tcW w:w="4880" w:type="dxa"/>
            <w:vAlign w:val="bottom"/>
            <w:tcBorders>
              <w:bottom w:val="single" w:sz="8" w:color="CCEEFF"/>
            </w:tcBorders>
            <w:shd w:val="clear" w:color="auto" w:fill="CCEEFF"/>
          </w:tcPr>
          <w:p>
            <w:pPr>
              <w:jc w:val="center"/>
              <w:ind w:left="2670"/>
              <w:spacing w:after="0"/>
              <w:rPr>
                <w:sz w:val="20"/>
                <w:szCs w:val="20"/>
                <w:color w:val="auto"/>
              </w:rPr>
            </w:pPr>
            <w:r>
              <w:rPr>
                <w:rFonts w:ascii="Arial" w:cs="Arial" w:eastAsia="Arial" w:hAnsi="Arial"/>
                <w:sz w:val="18"/>
                <w:szCs w:val="18"/>
                <w:color w:val="auto"/>
                <w:w w:val="99"/>
              </w:rPr>
              <w:t>A-2</w:t>
            </w:r>
          </w:p>
        </w:tc>
        <w:tc>
          <w:tcPr>
            <w:tcW w:w="13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5"/>
              </w:rPr>
              <w:t>P-2</w:t>
            </w:r>
          </w:p>
        </w:tc>
      </w:tr>
      <w:tr>
        <w:trPr>
          <w:trHeight w:val="243"/>
        </w:trPr>
        <w:tc>
          <w:tcPr>
            <w:tcW w:w="5200" w:type="dxa"/>
            <w:vAlign w:val="bottom"/>
          </w:tcPr>
          <w:p>
            <w:pPr>
              <w:ind w:left="40"/>
              <w:spacing w:after="0"/>
              <w:rPr>
                <w:sz w:val="20"/>
                <w:szCs w:val="20"/>
                <w:color w:val="auto"/>
              </w:rPr>
            </w:pPr>
            <w:r>
              <w:rPr>
                <w:rFonts w:ascii="Arial" w:cs="Arial" w:eastAsia="Arial" w:hAnsi="Arial"/>
                <w:sz w:val="18"/>
                <w:szCs w:val="18"/>
                <w:color w:val="auto"/>
              </w:rPr>
              <w:t>Senior Secured</w:t>
            </w:r>
          </w:p>
        </w:tc>
        <w:tc>
          <w:tcPr>
            <w:tcW w:w="488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5200" w:type="dxa"/>
            <w:vAlign w:val="bottom"/>
          </w:tcPr>
          <w:p>
            <w:pPr>
              <w:spacing w:after="0"/>
              <w:rPr>
                <w:sz w:val="2"/>
                <w:szCs w:val="2"/>
                <w:color w:val="auto"/>
              </w:rPr>
            </w:pPr>
          </w:p>
        </w:tc>
        <w:tc>
          <w:tcPr>
            <w:tcW w:w="48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 xml:space="preserve">First Mortgage Bonds </w:t>
            </w:r>
            <w:r>
              <w:rPr>
                <w:rFonts w:ascii="Arial" w:cs="Arial" w:eastAsia="Arial" w:hAnsi="Arial"/>
                <w:sz w:val="18"/>
                <w:szCs w:val="18"/>
                <w:i w:val="1"/>
                <w:iCs w:val="1"/>
                <w:color w:val="auto"/>
              </w:rPr>
              <w:t>(a)</w:t>
            </w:r>
          </w:p>
        </w:tc>
        <w:tc>
          <w:tcPr>
            <w:tcW w:w="4880" w:type="dxa"/>
            <w:vAlign w:val="bottom"/>
            <w:tcBorders>
              <w:bottom w:val="single" w:sz="8" w:color="CCEEFF"/>
            </w:tcBorders>
            <w:shd w:val="clear" w:color="auto" w:fill="CCEEFF"/>
          </w:tcPr>
          <w:p>
            <w:pPr>
              <w:jc w:val="center"/>
              <w:ind w:left="2690"/>
              <w:spacing w:after="0"/>
              <w:rPr>
                <w:sz w:val="20"/>
                <w:szCs w:val="20"/>
                <w:color w:val="auto"/>
              </w:rPr>
            </w:pPr>
            <w:r>
              <w:rPr>
                <w:rFonts w:ascii="Arial" w:cs="Arial" w:eastAsia="Arial" w:hAnsi="Arial"/>
                <w:sz w:val="18"/>
                <w:szCs w:val="18"/>
                <w:color w:val="auto"/>
                <w:w w:val="99"/>
              </w:rPr>
              <w:t>A–</w:t>
            </w:r>
          </w:p>
        </w:tc>
        <w:tc>
          <w:tcPr>
            <w:tcW w:w="13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A2</w:t>
            </w:r>
          </w:p>
        </w:tc>
      </w:tr>
      <w:tr>
        <w:trPr>
          <w:trHeight w:val="20"/>
        </w:trPr>
        <w:tc>
          <w:tcPr>
            <w:tcW w:w="5200" w:type="dxa"/>
            <w:vAlign w:val="bottom"/>
            <w:shd w:val="clear" w:color="auto" w:fill="000000"/>
          </w:tcPr>
          <w:p>
            <w:pPr>
              <w:spacing w:after="0" w:line="20" w:lineRule="exact"/>
              <w:rPr>
                <w:sz w:val="1"/>
                <w:szCs w:val="1"/>
                <w:color w:val="auto"/>
              </w:rPr>
            </w:pPr>
          </w:p>
        </w:tc>
        <w:tc>
          <w:tcPr>
            <w:tcW w:w="48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r>
    </w:tbl>
    <w:p>
      <w:pPr>
        <w:spacing w:after="0"/>
        <w:tabs>
          <w:tab w:leader="none" w:pos="320" w:val="left"/>
        </w:tabs>
        <w:rPr>
          <w:sz w:val="20"/>
          <w:szCs w:val="20"/>
          <w:color w:val="auto"/>
        </w:rPr>
      </w:pPr>
      <w:r>
        <w:rPr>
          <w:rFonts w:ascii="Arial" w:cs="Arial" w:eastAsia="Arial" w:hAnsi="Arial"/>
          <w:sz w:val="16"/>
          <w:szCs w:val="16"/>
          <w:i w:val="1"/>
          <w:iCs w:val="1"/>
          <w:color w:val="auto"/>
        </w:rPr>
        <w:t>(a)</w:t>
      </w:r>
      <w:r>
        <w:rPr>
          <w:sz w:val="20"/>
          <w:szCs w:val="20"/>
          <w:color w:val="auto"/>
        </w:rPr>
        <w:tab/>
      </w:r>
      <w:r>
        <w:rPr>
          <w:rFonts w:ascii="Arial" w:cs="Arial" w:eastAsia="Arial" w:hAnsi="Arial"/>
          <w:sz w:val="14"/>
          <w:szCs w:val="14"/>
          <w:i w:val="1"/>
          <w:iCs w:val="1"/>
          <w:color w:val="auto"/>
        </w:rPr>
        <w:t>Includes collateralized pollution control bonds.</w:t>
      </w:r>
    </w:p>
    <w:p>
      <w:pPr>
        <w:spacing w:after="0" w:line="176"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Common Stock Dividends</w:t>
      </w:r>
      <w:r>
        <w:rPr>
          <w:rFonts w:ascii="Arial" w:cs="Arial" w:eastAsia="Arial" w:hAnsi="Arial"/>
          <w:sz w:val="17"/>
          <w:szCs w:val="17"/>
          <w:color w:val="auto"/>
        </w:rPr>
        <w:t>. ALLETE is committed to providing a competitive dividend to its shareholders while at the same time funding its growth.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Company’s long-term objective is to maintain a dividend payout ratio similar to our peers and provide for future dividend increases. In 2012, we paid out 71 percent (67 percent in 2011; 80 percent in 2010) of our per share earnings in dividends. On January 23, 2013, our Board of Directors declared a dividend of $0.475 per share, which is payable on March 1, 2013, to shareholders of record at the close of business on February 15, 2013.</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Requirements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ALLETE’s projected capital expenditures for the years 2013 through 2017 are presented in the table below. Actual capital expenditures may vary from the estimates due to changes in forecasted plant maintenance, regulatory decisions or approvals, future environmental requirements, base load growth, capital market conditions or executions of new business strategies.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0" w:type="dxa"/>
            <w:vAlign w:val="bottom"/>
          </w:tcPr>
          <w:p>
            <w:pPr>
              <w:ind w:left="40"/>
              <w:spacing w:after="0"/>
              <w:rPr>
                <w:sz w:val="20"/>
                <w:szCs w:val="20"/>
                <w:color w:val="auto"/>
              </w:rPr>
            </w:pPr>
            <w:r>
              <w:rPr>
                <w:rFonts w:ascii="Arial" w:cs="Arial" w:eastAsia="Arial" w:hAnsi="Arial"/>
                <w:sz w:val="18"/>
                <w:szCs w:val="18"/>
                <w:b w:val="1"/>
                <w:bCs w:val="1"/>
                <w:color w:val="auto"/>
              </w:rPr>
              <w:t>Capital Expenditures</w:t>
            </w:r>
          </w:p>
        </w:tc>
        <w:tc>
          <w:tcPr>
            <w:tcW w:w="1960" w:type="dxa"/>
            <w:vAlign w:val="bottom"/>
          </w:tcPr>
          <w:p>
            <w:pPr>
              <w:jc w:val="right"/>
              <w:ind w:right="370"/>
              <w:spacing w:after="0"/>
              <w:rPr>
                <w:sz w:val="20"/>
                <w:szCs w:val="20"/>
                <w:color w:val="auto"/>
              </w:rPr>
            </w:pPr>
            <w:r>
              <w:rPr>
                <w:rFonts w:ascii="Arial" w:cs="Arial" w:eastAsia="Arial" w:hAnsi="Arial"/>
                <w:sz w:val="18"/>
                <w:szCs w:val="18"/>
                <w:b w:val="1"/>
                <w:bCs w:val="1"/>
                <w:color w:val="auto"/>
              </w:rPr>
              <w:t>2013</w:t>
            </w:r>
          </w:p>
        </w:tc>
        <w:tc>
          <w:tcPr>
            <w:tcW w:w="12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2014</w:t>
            </w:r>
          </w:p>
        </w:tc>
        <w:tc>
          <w:tcPr>
            <w:tcW w:w="1200" w:type="dxa"/>
            <w:vAlign w:val="bottom"/>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1120" w:type="dxa"/>
            <w:vAlign w:val="bottom"/>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1000" w:type="dxa"/>
            <w:vAlign w:val="bottom"/>
          </w:tcPr>
          <w:p>
            <w:pPr>
              <w:jc w:val="right"/>
              <w:ind w:right="170"/>
              <w:spacing w:after="0"/>
              <w:rPr>
                <w:sz w:val="20"/>
                <w:szCs w:val="20"/>
                <w:color w:val="auto"/>
              </w:rPr>
            </w:pPr>
            <w:r>
              <w:rPr>
                <w:rFonts w:ascii="Arial" w:cs="Arial" w:eastAsia="Arial" w:hAnsi="Arial"/>
                <w:sz w:val="18"/>
                <w:szCs w:val="18"/>
                <w:b w:val="1"/>
                <w:bCs w:val="1"/>
                <w:color w:val="auto"/>
              </w:rPr>
              <w:t>2017</w:t>
            </w:r>
          </w:p>
        </w:tc>
        <w:tc>
          <w:tcPr>
            <w:tcW w:w="860" w:type="dxa"/>
            <w:vAlign w:val="bottom"/>
          </w:tcPr>
          <w:p>
            <w:pPr>
              <w:jc w:val="right"/>
              <w:ind w:right="10"/>
              <w:spacing w:after="0"/>
              <w:rPr>
                <w:sz w:val="20"/>
                <w:szCs w:val="20"/>
                <w:color w:val="auto"/>
              </w:rPr>
            </w:pPr>
            <w:r>
              <w:rPr>
                <w:rFonts w:ascii="Arial" w:cs="Arial" w:eastAsia="Arial" w:hAnsi="Arial"/>
                <w:sz w:val="18"/>
                <w:szCs w:val="18"/>
                <w:b w:val="1"/>
                <w:bCs w:val="1"/>
                <w:color w:val="auto"/>
              </w:rPr>
              <w:t>Total</w:t>
            </w:r>
          </w:p>
        </w:tc>
      </w:tr>
      <w:tr>
        <w:trPr>
          <w:trHeight w:val="27"/>
        </w:trPr>
        <w:tc>
          <w:tcPr>
            <w:tcW w:w="40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19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7"/>
        </w:trPr>
        <w:tc>
          <w:tcPr>
            <w:tcW w:w="40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Regulated Utility Operations</w:t>
            </w:r>
          </w:p>
        </w:tc>
        <w:tc>
          <w:tcPr>
            <w:tcW w:w="19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4000" w:type="dxa"/>
            <w:vAlign w:val="bottom"/>
          </w:tcPr>
          <w:p>
            <w:pPr>
              <w:ind w:left="960"/>
              <w:spacing w:after="0"/>
              <w:rPr>
                <w:sz w:val="20"/>
                <w:szCs w:val="20"/>
                <w:color w:val="auto"/>
              </w:rPr>
            </w:pPr>
            <w:r>
              <w:rPr>
                <w:rFonts w:ascii="Arial" w:cs="Arial" w:eastAsia="Arial" w:hAnsi="Arial"/>
                <w:sz w:val="18"/>
                <w:szCs w:val="18"/>
                <w:color w:val="auto"/>
              </w:rPr>
              <w:t>Base and Other</w:t>
            </w:r>
          </w:p>
        </w:tc>
        <w:tc>
          <w:tcPr>
            <w:tcW w:w="1960" w:type="dxa"/>
            <w:vAlign w:val="bottom"/>
          </w:tcPr>
          <w:p>
            <w:pPr>
              <w:jc w:val="right"/>
              <w:ind w:right="370"/>
              <w:spacing w:after="0"/>
              <w:rPr>
                <w:sz w:val="20"/>
                <w:szCs w:val="20"/>
                <w:color w:val="auto"/>
              </w:rPr>
            </w:pPr>
            <w:r>
              <w:rPr>
                <w:rFonts w:ascii="Arial" w:cs="Arial" w:eastAsia="Arial" w:hAnsi="Arial"/>
                <w:sz w:val="18"/>
                <w:szCs w:val="18"/>
                <w:color w:val="auto"/>
              </w:rPr>
              <w:t>$171</w:t>
            </w:r>
          </w:p>
        </w:tc>
        <w:tc>
          <w:tcPr>
            <w:tcW w:w="1280" w:type="dxa"/>
            <w:vAlign w:val="bottom"/>
          </w:tcPr>
          <w:p>
            <w:pPr>
              <w:jc w:val="right"/>
              <w:ind w:right="370"/>
              <w:spacing w:after="0"/>
              <w:rPr>
                <w:sz w:val="20"/>
                <w:szCs w:val="20"/>
                <w:color w:val="auto"/>
              </w:rPr>
            </w:pPr>
            <w:r>
              <w:rPr>
                <w:rFonts w:ascii="Arial" w:cs="Arial" w:eastAsia="Arial" w:hAnsi="Arial"/>
                <w:sz w:val="18"/>
                <w:szCs w:val="18"/>
                <w:color w:val="auto"/>
              </w:rPr>
              <w:t>$168</w:t>
            </w:r>
          </w:p>
        </w:tc>
        <w:tc>
          <w:tcPr>
            <w:tcW w:w="1200" w:type="dxa"/>
            <w:vAlign w:val="bottom"/>
          </w:tcPr>
          <w:p>
            <w:pPr>
              <w:jc w:val="right"/>
              <w:ind w:right="290"/>
              <w:spacing w:after="0"/>
              <w:rPr>
                <w:sz w:val="20"/>
                <w:szCs w:val="20"/>
                <w:color w:val="auto"/>
              </w:rPr>
            </w:pPr>
            <w:r>
              <w:rPr>
                <w:rFonts w:ascii="Arial" w:cs="Arial" w:eastAsia="Arial" w:hAnsi="Arial"/>
                <w:sz w:val="18"/>
                <w:szCs w:val="18"/>
                <w:color w:val="auto"/>
              </w:rPr>
              <w:t>$147</w:t>
            </w:r>
          </w:p>
        </w:tc>
        <w:tc>
          <w:tcPr>
            <w:tcW w:w="1120" w:type="dxa"/>
            <w:vAlign w:val="bottom"/>
          </w:tcPr>
          <w:p>
            <w:pPr>
              <w:jc w:val="right"/>
              <w:ind w:right="290"/>
              <w:spacing w:after="0"/>
              <w:rPr>
                <w:sz w:val="20"/>
                <w:szCs w:val="20"/>
                <w:color w:val="auto"/>
              </w:rPr>
            </w:pPr>
            <w:r>
              <w:rPr>
                <w:rFonts w:ascii="Arial" w:cs="Arial" w:eastAsia="Arial" w:hAnsi="Arial"/>
                <w:sz w:val="18"/>
                <w:szCs w:val="18"/>
                <w:color w:val="auto"/>
              </w:rPr>
              <w:t>$155</w:t>
            </w:r>
          </w:p>
        </w:tc>
        <w:tc>
          <w:tcPr>
            <w:tcW w:w="1000" w:type="dxa"/>
            <w:vAlign w:val="bottom"/>
          </w:tcPr>
          <w:p>
            <w:pPr>
              <w:jc w:val="right"/>
              <w:ind w:right="170"/>
              <w:spacing w:after="0"/>
              <w:rPr>
                <w:sz w:val="20"/>
                <w:szCs w:val="20"/>
                <w:color w:val="auto"/>
              </w:rPr>
            </w:pPr>
            <w:r>
              <w:rPr>
                <w:rFonts w:ascii="Arial" w:cs="Arial" w:eastAsia="Arial" w:hAnsi="Arial"/>
                <w:sz w:val="18"/>
                <w:szCs w:val="18"/>
                <w:color w:val="auto"/>
              </w:rPr>
              <w:t>$138</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$779</w:t>
            </w:r>
          </w:p>
        </w:tc>
      </w:tr>
      <w:tr>
        <w:trPr>
          <w:trHeight w:val="27"/>
        </w:trPr>
        <w:tc>
          <w:tcPr>
            <w:tcW w:w="40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8"/>
                <w:szCs w:val="18"/>
                <w:color w:val="auto"/>
              </w:rPr>
              <w:t xml:space="preserve">Cost Recovery </w:t>
            </w:r>
            <w:r>
              <w:rPr>
                <w:rFonts w:ascii="Arial" w:cs="Arial" w:eastAsia="Arial" w:hAnsi="Arial"/>
                <w:sz w:val="18"/>
                <w:szCs w:val="18"/>
                <w:i w:val="1"/>
                <w:iCs w:val="1"/>
                <w:color w:val="auto"/>
              </w:rPr>
              <w:t>(a)</w:t>
            </w:r>
          </w:p>
        </w:tc>
        <w:tc>
          <w:tcPr>
            <w:tcW w:w="19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4000" w:type="dxa"/>
            <w:vAlign w:val="bottom"/>
          </w:tcPr>
          <w:p>
            <w:pPr>
              <w:ind w:left="1420"/>
              <w:spacing w:after="0"/>
              <w:rPr>
                <w:sz w:val="20"/>
                <w:szCs w:val="20"/>
                <w:color w:val="auto"/>
              </w:rPr>
            </w:pPr>
            <w:r>
              <w:rPr>
                <w:rFonts w:ascii="Arial" w:cs="Arial" w:eastAsia="Arial" w:hAnsi="Arial"/>
                <w:sz w:val="18"/>
                <w:szCs w:val="18"/>
                <w:color w:val="auto"/>
              </w:rPr>
              <w:t xml:space="preserve">Environmental </w:t>
            </w:r>
            <w:r>
              <w:rPr>
                <w:rFonts w:ascii="Arial" w:cs="Arial" w:eastAsia="Arial" w:hAnsi="Arial"/>
                <w:sz w:val="18"/>
                <w:szCs w:val="18"/>
                <w:i w:val="1"/>
                <w:iCs w:val="1"/>
                <w:color w:val="auto"/>
              </w:rPr>
              <w:t>(b)</w:t>
            </w:r>
          </w:p>
        </w:tc>
        <w:tc>
          <w:tcPr>
            <w:tcW w:w="1960" w:type="dxa"/>
            <w:vAlign w:val="bottom"/>
          </w:tcPr>
          <w:p>
            <w:pPr>
              <w:jc w:val="right"/>
              <w:ind w:right="370"/>
              <w:spacing w:after="0"/>
              <w:rPr>
                <w:sz w:val="20"/>
                <w:szCs w:val="20"/>
                <w:color w:val="auto"/>
              </w:rPr>
            </w:pPr>
            <w:r>
              <w:rPr>
                <w:rFonts w:ascii="Arial" w:cs="Arial" w:eastAsia="Arial" w:hAnsi="Arial"/>
                <w:sz w:val="18"/>
                <w:szCs w:val="18"/>
                <w:color w:val="auto"/>
              </w:rPr>
              <w:t>93</w:t>
            </w:r>
          </w:p>
        </w:tc>
        <w:tc>
          <w:tcPr>
            <w:tcW w:w="1280" w:type="dxa"/>
            <w:vAlign w:val="bottom"/>
          </w:tcPr>
          <w:p>
            <w:pPr>
              <w:jc w:val="right"/>
              <w:ind w:right="370"/>
              <w:spacing w:after="0"/>
              <w:rPr>
                <w:sz w:val="20"/>
                <w:szCs w:val="20"/>
                <w:color w:val="auto"/>
              </w:rPr>
            </w:pPr>
            <w:r>
              <w:rPr>
                <w:rFonts w:ascii="Arial" w:cs="Arial" w:eastAsia="Arial" w:hAnsi="Arial"/>
                <w:sz w:val="18"/>
                <w:szCs w:val="18"/>
                <w:color w:val="auto"/>
              </w:rPr>
              <w:t>133</w:t>
            </w:r>
          </w:p>
        </w:tc>
        <w:tc>
          <w:tcPr>
            <w:tcW w:w="1200" w:type="dxa"/>
            <w:vAlign w:val="bottom"/>
          </w:tcPr>
          <w:p>
            <w:pPr>
              <w:jc w:val="right"/>
              <w:ind w:right="290"/>
              <w:spacing w:after="0"/>
              <w:rPr>
                <w:sz w:val="20"/>
                <w:szCs w:val="20"/>
                <w:color w:val="auto"/>
              </w:rPr>
            </w:pPr>
            <w:r>
              <w:rPr>
                <w:rFonts w:ascii="Arial" w:cs="Arial" w:eastAsia="Arial" w:hAnsi="Arial"/>
                <w:sz w:val="18"/>
                <w:szCs w:val="18"/>
                <w:color w:val="auto"/>
              </w:rPr>
              <w:t>87</w:t>
            </w:r>
          </w:p>
        </w:tc>
        <w:tc>
          <w:tcPr>
            <w:tcW w:w="1120" w:type="dxa"/>
            <w:vAlign w:val="bottom"/>
          </w:tcPr>
          <w:p>
            <w:pPr>
              <w:jc w:val="right"/>
              <w:ind w:right="290"/>
              <w:spacing w:after="0"/>
              <w:rPr>
                <w:sz w:val="20"/>
                <w:szCs w:val="20"/>
                <w:color w:val="auto"/>
              </w:rPr>
            </w:pPr>
            <w:r>
              <w:rPr>
                <w:rFonts w:ascii="Arial" w:cs="Arial" w:eastAsia="Arial" w:hAnsi="Arial"/>
                <w:sz w:val="18"/>
                <w:szCs w:val="18"/>
                <w:color w:val="auto"/>
              </w:rPr>
              <w:t>3</w:t>
            </w:r>
          </w:p>
        </w:tc>
        <w:tc>
          <w:tcPr>
            <w:tcW w:w="10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316</w:t>
            </w:r>
          </w:p>
        </w:tc>
      </w:tr>
      <w:tr>
        <w:trPr>
          <w:trHeight w:val="27"/>
        </w:trPr>
        <w:tc>
          <w:tcPr>
            <w:tcW w:w="40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1420"/>
              <w:spacing w:after="0"/>
              <w:rPr>
                <w:sz w:val="20"/>
                <w:szCs w:val="20"/>
                <w:color w:val="auto"/>
              </w:rPr>
            </w:pPr>
            <w:r>
              <w:rPr>
                <w:rFonts w:ascii="Arial" w:cs="Arial" w:eastAsia="Arial" w:hAnsi="Arial"/>
                <w:sz w:val="18"/>
                <w:szCs w:val="18"/>
                <w:color w:val="auto"/>
              </w:rPr>
              <w:t xml:space="preserve">Renewable </w:t>
            </w:r>
            <w:r>
              <w:rPr>
                <w:rFonts w:ascii="Arial" w:cs="Arial" w:eastAsia="Arial" w:hAnsi="Arial"/>
                <w:sz w:val="18"/>
                <w:szCs w:val="18"/>
                <w:i w:val="1"/>
                <w:iCs w:val="1"/>
                <w:color w:val="auto"/>
              </w:rPr>
              <w:t>(c)</w:t>
            </w:r>
          </w:p>
        </w:tc>
        <w:tc>
          <w:tcPr>
            <w:tcW w:w="19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2</w:t>
            </w:r>
          </w:p>
        </w:tc>
        <w:tc>
          <w:tcPr>
            <w:tcW w:w="12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8</w:t>
            </w:r>
          </w:p>
        </w:tc>
        <w:tc>
          <w:tcPr>
            <w:tcW w:w="12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68</w:t>
            </w:r>
          </w:p>
        </w:tc>
        <w:tc>
          <w:tcPr>
            <w:tcW w:w="10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158</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236</w:t>
            </w:r>
          </w:p>
        </w:tc>
      </w:tr>
      <w:tr>
        <w:trPr>
          <w:trHeight w:val="243"/>
        </w:trPr>
        <w:tc>
          <w:tcPr>
            <w:tcW w:w="4000" w:type="dxa"/>
            <w:vAlign w:val="bottom"/>
          </w:tcPr>
          <w:p>
            <w:pPr>
              <w:ind w:left="1420"/>
              <w:spacing w:after="0"/>
              <w:rPr>
                <w:sz w:val="20"/>
                <w:szCs w:val="20"/>
                <w:color w:val="auto"/>
              </w:rPr>
            </w:pPr>
            <w:r>
              <w:rPr>
                <w:rFonts w:ascii="Arial" w:cs="Arial" w:eastAsia="Arial" w:hAnsi="Arial"/>
                <w:sz w:val="18"/>
                <w:szCs w:val="18"/>
                <w:color w:val="auto"/>
              </w:rPr>
              <w:t xml:space="preserve">Transmission </w:t>
            </w:r>
            <w:r>
              <w:rPr>
                <w:rFonts w:ascii="Arial" w:cs="Arial" w:eastAsia="Arial" w:hAnsi="Arial"/>
                <w:sz w:val="18"/>
                <w:szCs w:val="18"/>
                <w:i w:val="1"/>
                <w:iCs w:val="1"/>
                <w:color w:val="auto"/>
              </w:rPr>
              <w:t>(d)</w:t>
            </w:r>
          </w:p>
        </w:tc>
        <w:tc>
          <w:tcPr>
            <w:tcW w:w="1960" w:type="dxa"/>
            <w:vAlign w:val="bottom"/>
          </w:tcPr>
          <w:p>
            <w:pPr>
              <w:jc w:val="right"/>
              <w:ind w:right="370"/>
              <w:spacing w:after="0"/>
              <w:rPr>
                <w:sz w:val="20"/>
                <w:szCs w:val="20"/>
                <w:color w:val="auto"/>
              </w:rPr>
            </w:pPr>
            <w:r>
              <w:rPr>
                <w:rFonts w:ascii="Arial" w:cs="Arial" w:eastAsia="Arial" w:hAnsi="Arial"/>
                <w:sz w:val="18"/>
                <w:szCs w:val="18"/>
                <w:color w:val="auto"/>
              </w:rPr>
              <w:t>30</w:t>
            </w:r>
          </w:p>
        </w:tc>
        <w:tc>
          <w:tcPr>
            <w:tcW w:w="1280" w:type="dxa"/>
            <w:vAlign w:val="bottom"/>
          </w:tcPr>
          <w:p>
            <w:pPr>
              <w:jc w:val="right"/>
              <w:ind w:right="370"/>
              <w:spacing w:after="0"/>
              <w:rPr>
                <w:sz w:val="20"/>
                <w:szCs w:val="20"/>
                <w:color w:val="auto"/>
              </w:rPr>
            </w:pPr>
            <w:r>
              <w:rPr>
                <w:rFonts w:ascii="Arial" w:cs="Arial" w:eastAsia="Arial" w:hAnsi="Arial"/>
                <w:sz w:val="18"/>
                <w:szCs w:val="18"/>
                <w:color w:val="auto"/>
              </w:rPr>
              <w:t>28</w:t>
            </w:r>
          </w:p>
        </w:tc>
        <w:tc>
          <w:tcPr>
            <w:tcW w:w="1200" w:type="dxa"/>
            <w:vAlign w:val="bottom"/>
          </w:tcPr>
          <w:p>
            <w:pPr>
              <w:jc w:val="right"/>
              <w:ind w:right="290"/>
              <w:spacing w:after="0"/>
              <w:rPr>
                <w:sz w:val="20"/>
                <w:szCs w:val="20"/>
                <w:color w:val="auto"/>
              </w:rPr>
            </w:pPr>
            <w:r>
              <w:rPr>
                <w:rFonts w:ascii="Arial" w:cs="Arial" w:eastAsia="Arial" w:hAnsi="Arial"/>
                <w:sz w:val="18"/>
                <w:szCs w:val="18"/>
                <w:color w:val="auto"/>
              </w:rPr>
              <w:t>11</w:t>
            </w:r>
          </w:p>
        </w:tc>
        <w:tc>
          <w:tcPr>
            <w:tcW w:w="1120" w:type="dxa"/>
            <w:vAlign w:val="bottom"/>
          </w:tcPr>
          <w:p>
            <w:pPr>
              <w:jc w:val="right"/>
              <w:ind w:right="290"/>
              <w:spacing w:after="0"/>
              <w:rPr>
                <w:sz w:val="20"/>
                <w:szCs w:val="20"/>
                <w:color w:val="auto"/>
              </w:rPr>
            </w:pPr>
            <w:r>
              <w:rPr>
                <w:rFonts w:ascii="Arial" w:cs="Arial" w:eastAsia="Arial" w:hAnsi="Arial"/>
                <w:sz w:val="18"/>
                <w:szCs w:val="18"/>
                <w:color w:val="auto"/>
              </w:rPr>
              <w:t>3</w:t>
            </w:r>
          </w:p>
        </w:tc>
        <w:tc>
          <w:tcPr>
            <w:tcW w:w="1000" w:type="dxa"/>
            <w:vAlign w:val="bottom"/>
          </w:tcPr>
          <w:p>
            <w:pPr>
              <w:jc w:val="right"/>
              <w:ind w:right="170"/>
              <w:spacing w:after="0"/>
              <w:rPr>
                <w:sz w:val="20"/>
                <w:szCs w:val="20"/>
                <w:color w:val="auto"/>
              </w:rPr>
            </w:pPr>
            <w:r>
              <w:rPr>
                <w:rFonts w:ascii="Arial" w:cs="Arial" w:eastAsia="Arial" w:hAnsi="Arial"/>
                <w:sz w:val="18"/>
                <w:szCs w:val="18"/>
                <w:color w:val="auto"/>
              </w:rPr>
              <w:t>40</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112</w:t>
            </w:r>
          </w:p>
        </w:tc>
      </w:tr>
      <w:tr>
        <w:trPr>
          <w:trHeight w:val="27"/>
        </w:trPr>
        <w:tc>
          <w:tcPr>
            <w:tcW w:w="40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9"/>
        </w:trPr>
        <w:tc>
          <w:tcPr>
            <w:tcW w:w="40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8"/>
                <w:szCs w:val="18"/>
                <w:color w:val="auto"/>
              </w:rPr>
              <w:t>Total Cost Recovery</w:t>
            </w:r>
          </w:p>
        </w:tc>
        <w:tc>
          <w:tcPr>
            <w:tcW w:w="19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125</w:t>
            </w:r>
          </w:p>
        </w:tc>
        <w:tc>
          <w:tcPr>
            <w:tcW w:w="12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169</w:t>
            </w:r>
          </w:p>
        </w:tc>
        <w:tc>
          <w:tcPr>
            <w:tcW w:w="12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98</w:t>
            </w:r>
          </w:p>
        </w:tc>
        <w:tc>
          <w:tcPr>
            <w:tcW w:w="11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74</w:t>
            </w:r>
          </w:p>
        </w:tc>
        <w:tc>
          <w:tcPr>
            <w:tcW w:w="10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198</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664</w:t>
            </w:r>
          </w:p>
        </w:tc>
      </w:tr>
      <w:tr>
        <w:trPr>
          <w:trHeight w:val="237"/>
        </w:trPr>
        <w:tc>
          <w:tcPr>
            <w:tcW w:w="40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Regulated Utility Capital Expenditures</w:t>
            </w:r>
          </w:p>
        </w:tc>
        <w:tc>
          <w:tcPr>
            <w:tcW w:w="196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rPr>
              <w:t>296</w:t>
            </w:r>
          </w:p>
        </w:tc>
        <w:tc>
          <w:tcPr>
            <w:tcW w:w="128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rPr>
              <w:t>337</w:t>
            </w:r>
          </w:p>
        </w:tc>
        <w:tc>
          <w:tcPr>
            <w:tcW w:w="12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245</w:t>
            </w:r>
          </w:p>
        </w:tc>
        <w:tc>
          <w:tcPr>
            <w:tcW w:w="112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229</w:t>
            </w:r>
          </w:p>
        </w:tc>
        <w:tc>
          <w:tcPr>
            <w:tcW w:w="100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336</w:t>
            </w: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1,443</w:t>
            </w:r>
          </w:p>
        </w:tc>
      </w:tr>
      <w:tr>
        <w:trPr>
          <w:trHeight w:val="27"/>
        </w:trPr>
        <w:tc>
          <w:tcPr>
            <w:tcW w:w="40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9"/>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9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14</w:t>
            </w:r>
          </w:p>
        </w:tc>
        <w:tc>
          <w:tcPr>
            <w:tcW w:w="12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25</w:t>
            </w:r>
          </w:p>
        </w:tc>
        <w:tc>
          <w:tcPr>
            <w:tcW w:w="12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11</w:t>
            </w:r>
          </w:p>
        </w:tc>
        <w:tc>
          <w:tcPr>
            <w:tcW w:w="11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9</w:t>
            </w:r>
          </w:p>
        </w:tc>
        <w:tc>
          <w:tcPr>
            <w:tcW w:w="10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w:t>
            </w:r>
          </w:p>
        </w:tc>
      </w:tr>
      <w:tr>
        <w:trPr>
          <w:trHeight w:val="237"/>
        </w:trPr>
        <w:tc>
          <w:tcPr>
            <w:tcW w:w="40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Capital Expenditures</w:t>
            </w:r>
          </w:p>
        </w:tc>
        <w:tc>
          <w:tcPr>
            <w:tcW w:w="196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rPr>
              <w:t>$310</w:t>
            </w:r>
          </w:p>
        </w:tc>
        <w:tc>
          <w:tcPr>
            <w:tcW w:w="128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rPr>
              <w:t>$362</w:t>
            </w:r>
          </w:p>
        </w:tc>
        <w:tc>
          <w:tcPr>
            <w:tcW w:w="12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$256</w:t>
            </w:r>
          </w:p>
        </w:tc>
        <w:tc>
          <w:tcPr>
            <w:tcW w:w="112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$238</w:t>
            </w:r>
          </w:p>
        </w:tc>
        <w:tc>
          <w:tcPr>
            <w:tcW w:w="100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$339</w:t>
            </w: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$1,505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0"/>
          <w:szCs w:val="20"/>
          <w:color w:val="auto"/>
        </w:rPr>
      </w:pPr>
    </w:p>
    <w:p>
      <w:pPr>
        <w:ind w:left="340" w:hanging="332"/>
        <w:spacing w:after="0"/>
        <w:tabs>
          <w:tab w:leader="none" w:pos="340" w:val="left"/>
        </w:tabs>
        <w:numPr>
          <w:ilvl w:val="0"/>
          <w:numId w:val="17"/>
        </w:numPr>
        <w:rPr>
          <w:rFonts w:ascii="Arial" w:cs="Arial" w:eastAsia="Arial" w:hAnsi="Arial"/>
          <w:sz w:val="16"/>
          <w:szCs w:val="16"/>
          <w:i w:val="1"/>
          <w:iCs w:val="1"/>
          <w:color w:val="auto"/>
        </w:rPr>
      </w:pPr>
      <w:r>
        <w:rPr>
          <w:rFonts w:ascii="Arial" w:cs="Arial" w:eastAsia="Arial" w:hAnsi="Arial"/>
          <w:sz w:val="16"/>
          <w:szCs w:val="16"/>
          <w:i w:val="1"/>
          <w:iCs w:val="1"/>
          <w:color w:val="auto"/>
        </w:rPr>
        <w:t>Estimated current capital expenditures recoverable outside of a rate case.</w:t>
      </w:r>
    </w:p>
    <w:p>
      <w:pPr>
        <w:spacing w:after="0" w:line="19" w:lineRule="exact"/>
        <w:rPr>
          <w:rFonts w:ascii="Arial" w:cs="Arial" w:eastAsia="Arial" w:hAnsi="Arial"/>
          <w:sz w:val="16"/>
          <w:szCs w:val="16"/>
          <w:i w:val="1"/>
          <w:iCs w:val="1"/>
          <w:color w:val="auto"/>
        </w:rPr>
      </w:pPr>
    </w:p>
    <w:p>
      <w:pPr>
        <w:jc w:val="both"/>
        <w:ind w:left="340" w:hanging="332"/>
        <w:spacing w:after="0" w:line="246" w:lineRule="auto"/>
        <w:tabs>
          <w:tab w:leader="none" w:pos="340" w:val="left"/>
        </w:tabs>
        <w:numPr>
          <w:ilvl w:val="0"/>
          <w:numId w:val="17"/>
        </w:numPr>
        <w:rPr>
          <w:rFonts w:ascii="Arial" w:cs="Arial" w:eastAsia="Arial" w:hAnsi="Arial"/>
          <w:sz w:val="16"/>
          <w:szCs w:val="16"/>
          <w:i w:val="1"/>
          <w:iCs w:val="1"/>
          <w:color w:val="auto"/>
        </w:rPr>
      </w:pPr>
      <w:r>
        <w:rPr>
          <w:rFonts w:ascii="Arial" w:cs="Arial" w:eastAsia="Arial" w:hAnsi="Arial"/>
          <w:sz w:val="16"/>
          <w:szCs w:val="16"/>
          <w:i w:val="1"/>
          <w:iCs w:val="1"/>
          <w:color w:val="auto"/>
        </w:rPr>
        <w:t>Environmental capital expenditures primarily relate to compliance with the MATS rule for Boswell Unit 4. (See Note 11. Commitments, Guarantees and Contingencies.) Boswell Unit 4 capital expenditures included above reflect Minnesota Power’s ownership percentage of 80 percent. WPPI Energy owns 20 percent of Boswell Unit 4. (See Note 4. Jointly-Owned Facilities.)</w:t>
      </w:r>
    </w:p>
    <w:p>
      <w:pPr>
        <w:spacing w:after="0" w:line="1" w:lineRule="exact"/>
        <w:rPr>
          <w:rFonts w:ascii="Arial" w:cs="Arial" w:eastAsia="Arial" w:hAnsi="Arial"/>
          <w:sz w:val="16"/>
          <w:szCs w:val="16"/>
          <w:i w:val="1"/>
          <w:iCs w:val="1"/>
          <w:color w:val="auto"/>
        </w:rPr>
      </w:pPr>
    </w:p>
    <w:p>
      <w:pPr>
        <w:jc w:val="both"/>
        <w:ind w:left="340" w:hanging="332"/>
        <w:spacing w:after="0" w:line="246" w:lineRule="auto"/>
        <w:tabs>
          <w:tab w:leader="none" w:pos="340" w:val="left"/>
        </w:tabs>
        <w:numPr>
          <w:ilvl w:val="0"/>
          <w:numId w:val="17"/>
        </w:numPr>
        <w:rPr>
          <w:rFonts w:ascii="Arial" w:cs="Arial" w:eastAsia="Arial" w:hAnsi="Arial"/>
          <w:sz w:val="16"/>
          <w:szCs w:val="16"/>
          <w:i w:val="1"/>
          <w:iCs w:val="1"/>
          <w:color w:val="auto"/>
        </w:rPr>
      </w:pPr>
      <w:r>
        <w:rPr>
          <w:rFonts w:ascii="Arial" w:cs="Arial" w:eastAsia="Arial" w:hAnsi="Arial"/>
          <w:sz w:val="16"/>
          <w:szCs w:val="16"/>
          <w:i w:val="1"/>
          <w:iCs w:val="1"/>
          <w:color w:val="auto"/>
        </w:rPr>
        <w:t>Includes a total of $226 million in 2016 and 2017 related to additional wind generation of 100 MW. On January 2, 2013, the American Taxpayer Relief Act of 2012 extended the availability of the production tax credit for renewable energy facilities that commence construction by December 31, 2013. As a result, we are evaluating the acceleration of these investments so that construction would commence in 2013.</w:t>
      </w:r>
    </w:p>
    <w:p>
      <w:pPr>
        <w:spacing w:after="0" w:line="1" w:lineRule="exact"/>
        <w:rPr>
          <w:rFonts w:ascii="Arial" w:cs="Arial" w:eastAsia="Arial" w:hAnsi="Arial"/>
          <w:sz w:val="16"/>
          <w:szCs w:val="16"/>
          <w:i w:val="1"/>
          <w:iCs w:val="1"/>
          <w:color w:val="auto"/>
        </w:rPr>
      </w:pPr>
    </w:p>
    <w:p>
      <w:pPr>
        <w:jc w:val="both"/>
        <w:ind w:left="340" w:hanging="332"/>
        <w:spacing w:after="0" w:line="252" w:lineRule="auto"/>
        <w:tabs>
          <w:tab w:leader="none" w:pos="340" w:val="left"/>
        </w:tabs>
        <w:numPr>
          <w:ilvl w:val="0"/>
          <w:numId w:val="17"/>
        </w:numPr>
        <w:rPr>
          <w:rFonts w:ascii="Arial" w:cs="Arial" w:eastAsia="Arial" w:hAnsi="Arial"/>
          <w:sz w:val="16"/>
          <w:szCs w:val="16"/>
          <w:i w:val="1"/>
          <w:iCs w:val="1"/>
          <w:color w:val="auto"/>
        </w:rPr>
      </w:pPr>
      <w:r>
        <w:rPr>
          <w:rFonts w:ascii="Arial" w:cs="Arial" w:eastAsia="Arial" w:hAnsi="Arial"/>
          <w:sz w:val="16"/>
          <w:szCs w:val="16"/>
          <w:i w:val="1"/>
          <w:iCs w:val="1"/>
          <w:color w:val="auto"/>
        </w:rPr>
        <w:t>Transmission capital expenditures related to CapX2020 are estimated at approximately $50 million over the 2013 to 2015 period. Capital expenditures of $38 million are included related to commencement of construction of the Great Northern Transmission Line. (See Item 1. Business – Regulated Operations – Transmission and Distribution.)</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2012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364" w:right="2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Liquidity and Capital Resources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Requirements (Continued)</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intend to finance capital expenditures from a combination of internally generated funds and incremental debt and equity proceeds. Based on our anticipated capital expenditures reflected above, we project our rate base to grow by approximately 35 percent through 2017. Other proposed environmental regulations could result in future capital expenditures that are not included in the table above. Currently, future CapX2020 projects are under discussion and Minnesota Power may elect to participate on a project by project basis.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and Other Matters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businesses are subject to regulation of environmental matters by various federal, state and local authorities. Due to future restrictive environmental requirements through legislation and/or rulemaking, we anticipate that potential expenditures for environmental matters will be material and will require significant capital investments. We are unable to predict the outcome of the issues discussed in Note 11. Commitments, Guarantees and Contingencies. (See Item 1. Business – Environmental Matters.)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Investments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Available-for-Sale Securities. </w:t>
      </w:r>
      <w:r>
        <w:rPr>
          <w:rFonts w:ascii="Arial" w:cs="Arial" w:eastAsia="Arial" w:hAnsi="Arial"/>
          <w:sz w:val="18"/>
          <w:szCs w:val="18"/>
          <w:color w:val="auto"/>
        </w:rPr>
        <w:t>At December 31, 2012, our available-for-sale securities portfolio consisted of securities established to fund certain employee</w:t>
      </w:r>
      <w:r>
        <w:rPr>
          <w:rFonts w:ascii="Arial" w:cs="Arial" w:eastAsia="Arial" w:hAnsi="Arial"/>
          <w:sz w:val="18"/>
          <w:szCs w:val="18"/>
          <w:i w:val="1"/>
          <w:iCs w:val="1"/>
          <w:color w:val="auto"/>
        </w:rPr>
        <w:t xml:space="preserve"> </w:t>
      </w:r>
      <w:r>
        <w:rPr>
          <w:rFonts w:ascii="Arial" w:cs="Arial" w:eastAsia="Arial" w:hAnsi="Arial"/>
          <w:sz w:val="18"/>
          <w:szCs w:val="18"/>
          <w:color w:val="auto"/>
        </w:rPr>
        <w:t>benefits. (See Note 7. Investments.)</w:t>
      </w:r>
    </w:p>
    <w:p>
      <w:pPr>
        <w:spacing w:after="0" w:line="166"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Interest Rate Risk</w:t>
      </w:r>
      <w:r>
        <w:rPr>
          <w:rFonts w:ascii="Arial" w:cs="Arial" w:eastAsia="Arial" w:hAnsi="Arial"/>
          <w:sz w:val="17"/>
          <w:szCs w:val="17"/>
          <w:color w:val="auto"/>
        </w:rPr>
        <w:t>. We are exposed to risks resulting from changes in interest rates as a result of our issuance of variable rate debt. We manage our interest</w:t>
      </w:r>
      <w:r>
        <w:rPr>
          <w:rFonts w:ascii="Arial" w:cs="Arial" w:eastAsia="Arial" w:hAnsi="Arial"/>
          <w:sz w:val="17"/>
          <w:szCs w:val="17"/>
          <w:b w:val="1"/>
          <w:bCs w:val="1"/>
          <w:color w:val="auto"/>
        </w:rPr>
        <w:t xml:space="preserve"> </w:t>
      </w:r>
      <w:r>
        <w:rPr>
          <w:rFonts w:ascii="Arial" w:cs="Arial" w:eastAsia="Arial" w:hAnsi="Arial"/>
          <w:sz w:val="17"/>
          <w:szCs w:val="17"/>
          <w:color w:val="auto"/>
        </w:rPr>
        <w:t>rate risk by varying the issuance and maturity dates of our fixed rate debt, limiting the amount of variable rate debt, and continually monitoring the effects of market changes in interest rates. We may also enter into derivative financial instruments, such as interest rate swaps, to mitigate interest rate exposure. The table below presents the long-term debt obligations and the corresponding weighted average interest rate at December 31, 2012.</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180" w:type="dxa"/>
            <w:vAlign w:val="bottom"/>
            <w:gridSpan w:val="3"/>
          </w:tcPr>
          <w:p>
            <w:pPr>
              <w:jc w:val="right"/>
              <w:ind w:right="1030"/>
              <w:spacing w:after="0"/>
              <w:rPr>
                <w:sz w:val="20"/>
                <w:szCs w:val="20"/>
                <w:color w:val="auto"/>
              </w:rPr>
            </w:pPr>
            <w:r>
              <w:rPr>
                <w:rFonts w:ascii="Arial" w:cs="Arial" w:eastAsia="Arial" w:hAnsi="Arial"/>
                <w:sz w:val="18"/>
                <w:szCs w:val="18"/>
                <w:b w:val="1"/>
                <w:bCs w:val="1"/>
                <w:color w:val="auto"/>
              </w:rPr>
              <w:t>Expected Maturity Date</w:t>
            </w:r>
          </w:p>
        </w:tc>
        <w:tc>
          <w:tcPr>
            <w:tcW w:w="10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4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Interest Rate Sensitive</w:t>
            </w:r>
          </w:p>
        </w:tc>
        <w:tc>
          <w:tcPr>
            <w:tcW w:w="10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440" w:type="dxa"/>
            <w:vAlign w:val="bottom"/>
            <w:vMerge w:val="continue"/>
          </w:tcPr>
          <w:p>
            <w:pPr>
              <w:spacing w:after="0"/>
              <w:rPr>
                <w:sz w:val="20"/>
                <w:szCs w:val="20"/>
                <w:color w:val="auto"/>
              </w:rPr>
            </w:pPr>
          </w:p>
        </w:tc>
        <w:tc>
          <w:tcPr>
            <w:tcW w:w="1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20" w:type="dxa"/>
            <w:vAlign w:val="bottom"/>
          </w:tcPr>
          <w:p>
            <w:pPr>
              <w:jc w:val="right"/>
              <w:ind w:right="250"/>
              <w:spacing w:after="0"/>
              <w:rPr>
                <w:sz w:val="20"/>
                <w:szCs w:val="20"/>
                <w:color w:val="auto"/>
              </w:rPr>
            </w:pPr>
            <w:r>
              <w:rPr>
                <w:rFonts w:ascii="Arial" w:cs="Arial" w:eastAsia="Arial" w:hAnsi="Arial"/>
                <w:sz w:val="18"/>
                <w:szCs w:val="18"/>
                <w:b w:val="1"/>
                <w:bCs w:val="1"/>
                <w:color w:val="auto"/>
              </w:rPr>
              <w:t>Fair</w:t>
            </w:r>
          </w:p>
        </w:tc>
        <w:tc>
          <w:tcPr>
            <w:tcW w:w="0" w:type="dxa"/>
            <w:vAlign w:val="bottom"/>
          </w:tcPr>
          <w:p>
            <w:pPr>
              <w:spacing w:after="0"/>
              <w:rPr>
                <w:sz w:val="1"/>
                <w:szCs w:val="1"/>
                <w:color w:val="auto"/>
              </w:rPr>
            </w:pPr>
          </w:p>
        </w:tc>
      </w:tr>
      <w:tr>
        <w:trPr>
          <w:trHeight w:val="270"/>
        </w:trPr>
        <w:tc>
          <w:tcPr>
            <w:tcW w:w="3440" w:type="dxa"/>
            <w:vAlign w:val="bottom"/>
          </w:tcPr>
          <w:p>
            <w:pPr>
              <w:ind w:left="40"/>
              <w:spacing w:after="0"/>
              <w:rPr>
                <w:sz w:val="20"/>
                <w:szCs w:val="20"/>
                <w:color w:val="auto"/>
              </w:rPr>
            </w:pPr>
            <w:r>
              <w:rPr>
                <w:rFonts w:ascii="Arial" w:cs="Arial" w:eastAsia="Arial" w:hAnsi="Arial"/>
                <w:sz w:val="18"/>
                <w:szCs w:val="18"/>
                <w:b w:val="1"/>
                <w:bCs w:val="1"/>
                <w:color w:val="auto"/>
              </w:rPr>
              <w:t>Financial Instruments</w:t>
            </w:r>
          </w:p>
        </w:tc>
        <w:tc>
          <w:tcPr>
            <w:tcW w:w="1080" w:type="dxa"/>
            <w:vAlign w:val="bottom"/>
          </w:tcPr>
          <w:p>
            <w:pPr>
              <w:jc w:val="right"/>
              <w:ind w:right="190"/>
              <w:spacing w:after="0"/>
              <w:rPr>
                <w:sz w:val="20"/>
                <w:szCs w:val="20"/>
                <w:color w:val="auto"/>
              </w:rPr>
            </w:pPr>
            <w:r>
              <w:rPr>
                <w:rFonts w:ascii="Arial" w:cs="Arial" w:eastAsia="Arial" w:hAnsi="Arial"/>
                <w:sz w:val="18"/>
                <w:szCs w:val="18"/>
                <w:b w:val="1"/>
                <w:bCs w:val="1"/>
                <w:color w:val="auto"/>
              </w:rPr>
              <w:t>2013</w:t>
            </w:r>
          </w:p>
        </w:tc>
        <w:tc>
          <w:tcPr>
            <w:tcW w:w="920" w:type="dxa"/>
            <w:vAlign w:val="bottom"/>
          </w:tcPr>
          <w:p>
            <w:pPr>
              <w:jc w:val="right"/>
              <w:ind w:right="170"/>
              <w:spacing w:after="0"/>
              <w:rPr>
                <w:sz w:val="20"/>
                <w:szCs w:val="20"/>
                <w:color w:val="auto"/>
              </w:rPr>
            </w:pPr>
            <w:r>
              <w:rPr>
                <w:rFonts w:ascii="Arial" w:cs="Arial" w:eastAsia="Arial" w:hAnsi="Arial"/>
                <w:sz w:val="18"/>
                <w:szCs w:val="18"/>
                <w:b w:val="1"/>
                <w:bCs w:val="1"/>
                <w:color w:val="auto"/>
              </w:rPr>
              <w:t>2014</w:t>
            </w:r>
          </w:p>
        </w:tc>
        <w:tc>
          <w:tcPr>
            <w:tcW w:w="880" w:type="dxa"/>
            <w:vAlign w:val="bottom"/>
          </w:tcPr>
          <w:p>
            <w:pPr>
              <w:jc w:val="right"/>
              <w:ind w:right="110"/>
              <w:spacing w:after="0"/>
              <w:rPr>
                <w:sz w:val="20"/>
                <w:szCs w:val="20"/>
                <w:color w:val="auto"/>
              </w:rPr>
            </w:pPr>
            <w:r>
              <w:rPr>
                <w:rFonts w:ascii="Arial" w:cs="Arial" w:eastAsia="Arial" w:hAnsi="Arial"/>
                <w:sz w:val="18"/>
                <w:szCs w:val="18"/>
                <w:b w:val="1"/>
                <w:bCs w:val="1"/>
                <w:color w:val="auto"/>
              </w:rPr>
              <w:t>2015</w:t>
            </w:r>
          </w:p>
        </w:tc>
        <w:tc>
          <w:tcPr>
            <w:tcW w:w="960" w:type="dxa"/>
            <w:vAlign w:val="bottom"/>
          </w:tcPr>
          <w:p>
            <w:pPr>
              <w:jc w:val="right"/>
              <w:ind w:right="150"/>
              <w:spacing w:after="0"/>
              <w:rPr>
                <w:sz w:val="20"/>
                <w:szCs w:val="20"/>
                <w:color w:val="auto"/>
              </w:rPr>
            </w:pPr>
            <w:r>
              <w:rPr>
                <w:rFonts w:ascii="Arial" w:cs="Arial" w:eastAsia="Arial" w:hAnsi="Arial"/>
                <w:sz w:val="18"/>
                <w:szCs w:val="18"/>
                <w:b w:val="1"/>
                <w:bCs w:val="1"/>
                <w:color w:val="auto"/>
              </w:rPr>
              <w:t>2016</w:t>
            </w:r>
          </w:p>
        </w:tc>
        <w:tc>
          <w:tcPr>
            <w:tcW w:w="860" w:type="dxa"/>
            <w:vAlign w:val="bottom"/>
          </w:tcPr>
          <w:p>
            <w:pPr>
              <w:jc w:val="right"/>
              <w:ind w:right="110"/>
              <w:spacing w:after="0"/>
              <w:rPr>
                <w:sz w:val="20"/>
                <w:szCs w:val="20"/>
                <w:color w:val="auto"/>
              </w:rPr>
            </w:pPr>
            <w:r>
              <w:rPr>
                <w:rFonts w:ascii="Arial" w:cs="Arial" w:eastAsia="Arial" w:hAnsi="Arial"/>
                <w:sz w:val="18"/>
                <w:szCs w:val="18"/>
                <w:b w:val="1"/>
                <w:bCs w:val="1"/>
                <w:color w:val="auto"/>
              </w:rPr>
              <w:t>2017</w:t>
            </w:r>
          </w:p>
        </w:tc>
        <w:tc>
          <w:tcPr>
            <w:tcW w:w="1360" w:type="dxa"/>
            <w:vAlign w:val="bottom"/>
          </w:tcPr>
          <w:p>
            <w:pPr>
              <w:jc w:val="right"/>
              <w:ind w:right="230"/>
              <w:spacing w:after="0"/>
              <w:rPr>
                <w:sz w:val="20"/>
                <w:szCs w:val="20"/>
                <w:color w:val="auto"/>
              </w:rPr>
            </w:pPr>
            <w:r>
              <w:rPr>
                <w:rFonts w:ascii="Arial" w:cs="Arial" w:eastAsia="Arial" w:hAnsi="Arial"/>
                <w:sz w:val="18"/>
                <w:szCs w:val="18"/>
                <w:b w:val="1"/>
                <w:bCs w:val="1"/>
                <w:color w:val="auto"/>
              </w:rPr>
              <w:t>Thereafter</w:t>
            </w:r>
          </w:p>
        </w:tc>
        <w:tc>
          <w:tcPr>
            <w:tcW w:w="1000" w:type="dxa"/>
            <w:vAlign w:val="bottom"/>
          </w:tcPr>
          <w:p>
            <w:pPr>
              <w:jc w:val="right"/>
              <w:ind w:right="110"/>
              <w:spacing w:after="0"/>
              <w:rPr>
                <w:sz w:val="20"/>
                <w:szCs w:val="20"/>
                <w:color w:val="auto"/>
              </w:rPr>
            </w:pPr>
            <w:r>
              <w:rPr>
                <w:rFonts w:ascii="Arial" w:cs="Arial" w:eastAsia="Arial" w:hAnsi="Arial"/>
                <w:sz w:val="18"/>
                <w:szCs w:val="18"/>
                <w:b w:val="1"/>
                <w:bCs w:val="1"/>
                <w:color w:val="auto"/>
              </w:rPr>
              <w:t>Total</w:t>
            </w:r>
          </w:p>
        </w:tc>
        <w:tc>
          <w:tcPr>
            <w:tcW w:w="920" w:type="dxa"/>
            <w:vAlign w:val="bottom"/>
          </w:tcPr>
          <w:p>
            <w:pPr>
              <w:jc w:val="right"/>
              <w:ind w:right="190"/>
              <w:spacing w:after="0"/>
              <w:rPr>
                <w:sz w:val="20"/>
                <w:szCs w:val="20"/>
                <w:color w:val="auto"/>
              </w:rPr>
            </w:pPr>
            <w:r>
              <w:rPr>
                <w:rFonts w:ascii="Arial" w:cs="Arial" w:eastAsia="Arial" w:hAnsi="Arial"/>
                <w:sz w:val="18"/>
                <w:szCs w:val="18"/>
                <w:b w:val="1"/>
                <w:bCs w:val="1"/>
                <w:color w:val="auto"/>
              </w:rPr>
              <w:t>Value</w:t>
            </w:r>
          </w:p>
        </w:tc>
        <w:tc>
          <w:tcPr>
            <w:tcW w:w="0" w:type="dxa"/>
            <w:vAlign w:val="bottom"/>
          </w:tcPr>
          <w:p>
            <w:pPr>
              <w:spacing w:after="0"/>
              <w:rPr>
                <w:sz w:val="1"/>
                <w:szCs w:val="1"/>
                <w:color w:val="auto"/>
              </w:rPr>
            </w:pPr>
          </w:p>
        </w:tc>
      </w:tr>
      <w:tr>
        <w:trPr>
          <w:trHeight w:val="27"/>
        </w:trPr>
        <w:tc>
          <w:tcPr>
            <w:tcW w:w="34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Dollars in Millions</w:t>
            </w:r>
          </w:p>
        </w:tc>
        <w:tc>
          <w:tcPr>
            <w:tcW w:w="10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4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10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Fixed Rate</w:t>
            </w:r>
          </w:p>
        </w:tc>
        <w:tc>
          <w:tcPr>
            <w:tcW w:w="10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$72.2</w:t>
            </w:r>
          </w:p>
        </w:tc>
        <w:tc>
          <w:tcPr>
            <w:tcW w:w="9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$19.8</w:t>
            </w:r>
          </w:p>
        </w:tc>
        <w:tc>
          <w:tcPr>
            <w:tcW w:w="8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$1.7</w:t>
            </w:r>
          </w:p>
        </w:tc>
        <w:tc>
          <w:tcPr>
            <w:tcW w:w="9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$21.7</w:t>
            </w:r>
          </w:p>
        </w:tc>
        <w:tc>
          <w:tcPr>
            <w:tcW w:w="8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$51.2</w:t>
            </w:r>
          </w:p>
        </w:tc>
        <w:tc>
          <w:tcPr>
            <w:tcW w:w="13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$707.2</w:t>
            </w:r>
          </w:p>
        </w:tc>
        <w:tc>
          <w:tcPr>
            <w:tcW w:w="10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$873.8</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$999.4</w:t>
            </w:r>
          </w:p>
        </w:tc>
        <w:tc>
          <w:tcPr>
            <w:tcW w:w="0" w:type="dxa"/>
            <w:vAlign w:val="bottom"/>
          </w:tcPr>
          <w:p>
            <w:pPr>
              <w:spacing w:after="0"/>
              <w:rPr>
                <w:sz w:val="1"/>
                <w:szCs w:val="1"/>
                <w:color w:val="auto"/>
              </w:rPr>
            </w:pPr>
          </w:p>
        </w:tc>
      </w:tr>
      <w:tr>
        <w:trPr>
          <w:trHeight w:val="243"/>
        </w:trPr>
        <w:tc>
          <w:tcPr>
            <w:tcW w:w="3440" w:type="dxa"/>
            <w:vAlign w:val="bottom"/>
          </w:tcPr>
          <w:p>
            <w:pPr>
              <w:ind w:left="280"/>
              <w:spacing w:after="0"/>
              <w:rPr>
                <w:sz w:val="20"/>
                <w:szCs w:val="20"/>
                <w:color w:val="auto"/>
              </w:rPr>
            </w:pPr>
            <w:r>
              <w:rPr>
                <w:rFonts w:ascii="Arial" w:cs="Arial" w:eastAsia="Arial" w:hAnsi="Arial"/>
                <w:sz w:val="18"/>
                <w:szCs w:val="18"/>
                <w:color w:val="auto"/>
              </w:rPr>
              <w:t>Average Interest Rate – %</w:t>
            </w:r>
          </w:p>
        </w:tc>
        <w:tc>
          <w:tcPr>
            <w:tcW w:w="1080" w:type="dxa"/>
            <w:vAlign w:val="bottom"/>
          </w:tcPr>
          <w:p>
            <w:pPr>
              <w:jc w:val="right"/>
              <w:ind w:right="190"/>
              <w:spacing w:after="0"/>
              <w:rPr>
                <w:sz w:val="20"/>
                <w:szCs w:val="20"/>
                <w:color w:val="auto"/>
              </w:rPr>
            </w:pPr>
            <w:r>
              <w:rPr>
                <w:rFonts w:ascii="Arial" w:cs="Arial" w:eastAsia="Arial" w:hAnsi="Arial"/>
                <w:sz w:val="18"/>
                <w:szCs w:val="18"/>
                <w:color w:val="auto"/>
              </w:rPr>
              <w:t>5.2</w:t>
            </w:r>
          </w:p>
        </w:tc>
        <w:tc>
          <w:tcPr>
            <w:tcW w:w="920" w:type="dxa"/>
            <w:vAlign w:val="bottom"/>
          </w:tcPr>
          <w:p>
            <w:pPr>
              <w:jc w:val="right"/>
              <w:ind w:right="170"/>
              <w:spacing w:after="0"/>
              <w:rPr>
                <w:sz w:val="20"/>
                <w:szCs w:val="20"/>
                <w:color w:val="auto"/>
              </w:rPr>
            </w:pPr>
            <w:r>
              <w:rPr>
                <w:rFonts w:ascii="Arial" w:cs="Arial" w:eastAsia="Arial" w:hAnsi="Arial"/>
                <w:sz w:val="18"/>
                <w:szCs w:val="18"/>
                <w:color w:val="auto"/>
              </w:rPr>
              <w:t>6.6</w:t>
            </w:r>
          </w:p>
        </w:tc>
        <w:tc>
          <w:tcPr>
            <w:tcW w:w="880" w:type="dxa"/>
            <w:vAlign w:val="bottom"/>
          </w:tcPr>
          <w:p>
            <w:pPr>
              <w:jc w:val="right"/>
              <w:ind w:right="110"/>
              <w:spacing w:after="0"/>
              <w:rPr>
                <w:sz w:val="20"/>
                <w:szCs w:val="20"/>
                <w:color w:val="auto"/>
              </w:rPr>
            </w:pPr>
            <w:r>
              <w:rPr>
                <w:rFonts w:ascii="Arial" w:cs="Arial" w:eastAsia="Arial" w:hAnsi="Arial"/>
                <w:sz w:val="18"/>
                <w:szCs w:val="18"/>
                <w:color w:val="auto"/>
              </w:rPr>
              <w:t>3.2</w:t>
            </w: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7.3</w:t>
            </w:r>
          </w:p>
        </w:tc>
        <w:tc>
          <w:tcPr>
            <w:tcW w:w="860" w:type="dxa"/>
            <w:vAlign w:val="bottom"/>
          </w:tcPr>
          <w:p>
            <w:pPr>
              <w:jc w:val="right"/>
              <w:ind w:right="110"/>
              <w:spacing w:after="0"/>
              <w:rPr>
                <w:sz w:val="20"/>
                <w:szCs w:val="20"/>
                <w:color w:val="auto"/>
              </w:rPr>
            </w:pPr>
            <w:r>
              <w:rPr>
                <w:rFonts w:ascii="Arial" w:cs="Arial" w:eastAsia="Arial" w:hAnsi="Arial"/>
                <w:sz w:val="18"/>
                <w:szCs w:val="18"/>
                <w:color w:val="auto"/>
              </w:rPr>
              <w:t>5.9</w:t>
            </w:r>
          </w:p>
        </w:tc>
        <w:tc>
          <w:tcPr>
            <w:tcW w:w="1360" w:type="dxa"/>
            <w:vAlign w:val="bottom"/>
          </w:tcPr>
          <w:p>
            <w:pPr>
              <w:jc w:val="right"/>
              <w:ind w:right="230"/>
              <w:spacing w:after="0"/>
              <w:rPr>
                <w:sz w:val="20"/>
                <w:szCs w:val="20"/>
                <w:color w:val="auto"/>
              </w:rPr>
            </w:pPr>
            <w:r>
              <w:rPr>
                <w:rFonts w:ascii="Arial" w:cs="Arial" w:eastAsia="Arial" w:hAnsi="Arial"/>
                <w:sz w:val="18"/>
                <w:szCs w:val="18"/>
                <w:color w:val="auto"/>
              </w:rPr>
              <w:t>5.2</w:t>
            </w:r>
          </w:p>
        </w:tc>
        <w:tc>
          <w:tcPr>
            <w:tcW w:w="1000" w:type="dxa"/>
            <w:vAlign w:val="bottom"/>
          </w:tcPr>
          <w:p>
            <w:pPr>
              <w:jc w:val="right"/>
              <w:ind w:right="110"/>
              <w:spacing w:after="0"/>
              <w:rPr>
                <w:sz w:val="20"/>
                <w:szCs w:val="20"/>
                <w:color w:val="auto"/>
              </w:rPr>
            </w:pPr>
            <w:r>
              <w:rPr>
                <w:rFonts w:ascii="Arial" w:cs="Arial" w:eastAsia="Arial" w:hAnsi="Arial"/>
                <w:sz w:val="18"/>
                <w:szCs w:val="18"/>
                <w:color w:val="auto"/>
              </w:rPr>
              <w:t>5.3</w:t>
            </w: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344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440" w:type="dxa"/>
            <w:vAlign w:val="bottom"/>
          </w:tcPr>
          <w:p>
            <w:pPr>
              <w:ind w:left="280"/>
              <w:spacing w:after="0"/>
              <w:rPr>
                <w:sz w:val="20"/>
                <w:szCs w:val="20"/>
                <w:color w:val="auto"/>
              </w:rPr>
            </w:pPr>
            <w:r>
              <w:rPr>
                <w:rFonts w:ascii="Arial" w:cs="Arial" w:eastAsia="Arial" w:hAnsi="Arial"/>
                <w:sz w:val="18"/>
                <w:szCs w:val="18"/>
                <w:color w:val="auto"/>
              </w:rPr>
              <w:t>Variable Rate</w:t>
            </w:r>
          </w:p>
        </w:tc>
        <w:tc>
          <w:tcPr>
            <w:tcW w:w="1080" w:type="dxa"/>
            <w:vAlign w:val="bottom"/>
          </w:tcPr>
          <w:p>
            <w:pPr>
              <w:jc w:val="right"/>
              <w:ind w:right="190"/>
              <w:spacing w:after="0"/>
              <w:rPr>
                <w:sz w:val="20"/>
                <w:szCs w:val="20"/>
                <w:color w:val="auto"/>
              </w:rPr>
            </w:pPr>
            <w:r>
              <w:rPr>
                <w:rFonts w:ascii="Arial" w:cs="Arial" w:eastAsia="Arial" w:hAnsi="Arial"/>
                <w:sz w:val="18"/>
                <w:szCs w:val="18"/>
                <w:color w:val="auto"/>
              </w:rPr>
              <w:t>$12.3</w:t>
            </w:r>
          </w:p>
        </w:tc>
        <w:tc>
          <w:tcPr>
            <w:tcW w:w="920" w:type="dxa"/>
            <w:vAlign w:val="bottom"/>
          </w:tcPr>
          <w:p>
            <w:pPr>
              <w:jc w:val="right"/>
              <w:ind w:right="170"/>
              <w:spacing w:after="0"/>
              <w:rPr>
                <w:sz w:val="20"/>
                <w:szCs w:val="20"/>
                <w:color w:val="auto"/>
              </w:rPr>
            </w:pPr>
            <w:r>
              <w:rPr>
                <w:rFonts w:ascii="Arial" w:cs="Arial" w:eastAsia="Arial" w:hAnsi="Arial"/>
                <w:sz w:val="18"/>
                <w:szCs w:val="18"/>
                <w:color w:val="auto"/>
              </w:rPr>
              <w:t>$75.0</w:t>
            </w:r>
          </w:p>
        </w:tc>
        <w:tc>
          <w:tcPr>
            <w:tcW w:w="880" w:type="dxa"/>
            <w:vAlign w:val="bottom"/>
          </w:tcPr>
          <w:p>
            <w:pPr>
              <w:jc w:val="right"/>
              <w:ind w:right="110"/>
              <w:spacing w:after="0"/>
              <w:rPr>
                <w:sz w:val="20"/>
                <w:szCs w:val="20"/>
                <w:color w:val="auto"/>
              </w:rPr>
            </w:pPr>
            <w:r>
              <w:rPr>
                <w:rFonts w:ascii="Arial" w:cs="Arial" w:eastAsia="Arial" w:hAnsi="Arial"/>
                <w:sz w:val="18"/>
                <w:szCs w:val="18"/>
                <w:color w:val="auto"/>
              </w:rPr>
              <w:t>$15.7</w:t>
            </w: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230"/>
              <w:spacing w:after="0"/>
              <w:rPr>
                <w:sz w:val="20"/>
                <w:szCs w:val="20"/>
                <w:color w:val="auto"/>
              </w:rPr>
            </w:pPr>
            <w:r>
              <w:rPr>
                <w:rFonts w:ascii="Arial" w:cs="Arial" w:eastAsia="Arial" w:hAnsi="Arial"/>
                <w:sz w:val="18"/>
                <w:szCs w:val="18"/>
                <w:color w:val="auto"/>
              </w:rPr>
              <w:t>$41.3</w:t>
            </w:r>
          </w:p>
        </w:tc>
        <w:tc>
          <w:tcPr>
            <w:tcW w:w="1000" w:type="dxa"/>
            <w:vAlign w:val="bottom"/>
          </w:tcPr>
          <w:p>
            <w:pPr>
              <w:jc w:val="right"/>
              <w:ind w:right="110"/>
              <w:spacing w:after="0"/>
              <w:rPr>
                <w:sz w:val="20"/>
                <w:szCs w:val="20"/>
                <w:color w:val="auto"/>
              </w:rPr>
            </w:pPr>
            <w:r>
              <w:rPr>
                <w:rFonts w:ascii="Arial" w:cs="Arial" w:eastAsia="Arial" w:hAnsi="Arial"/>
                <w:sz w:val="18"/>
                <w:szCs w:val="18"/>
                <w:color w:val="auto"/>
              </w:rPr>
              <w:t>$144.3</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$144.3</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 xml:space="preserve">Average Interest Rate – % </w:t>
            </w:r>
            <w:r>
              <w:rPr>
                <w:rFonts w:ascii="Arial" w:cs="Arial" w:eastAsia="Arial" w:hAnsi="Arial"/>
                <w:sz w:val="18"/>
                <w:szCs w:val="18"/>
                <w:i w:val="1"/>
                <w:iCs w:val="1"/>
                <w:color w:val="auto"/>
              </w:rPr>
              <w:t>(a)</w:t>
            </w:r>
          </w:p>
        </w:tc>
        <w:tc>
          <w:tcPr>
            <w:tcW w:w="10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3.6</w:t>
            </w:r>
          </w:p>
        </w:tc>
        <w:tc>
          <w:tcPr>
            <w:tcW w:w="9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1.2</w:t>
            </w:r>
          </w:p>
        </w:tc>
        <w:tc>
          <w:tcPr>
            <w:tcW w:w="8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0.2</w:t>
            </w:r>
          </w:p>
        </w:tc>
        <w:tc>
          <w:tcPr>
            <w:tcW w:w="9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0.2</w:t>
            </w:r>
          </w:p>
        </w:tc>
        <w:tc>
          <w:tcPr>
            <w:tcW w:w="10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1.0</w:t>
            </w: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4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340" w:right="20" w:hanging="332"/>
        <w:spacing w:after="0" w:line="263" w:lineRule="auto"/>
        <w:tabs>
          <w:tab w:leader="none" w:pos="340" w:val="left"/>
        </w:tabs>
        <w:numPr>
          <w:ilvl w:val="0"/>
          <w:numId w:val="18"/>
        </w:numPr>
        <w:rPr>
          <w:rFonts w:ascii="Arial" w:cs="Arial" w:eastAsia="Arial" w:hAnsi="Arial"/>
          <w:sz w:val="16"/>
          <w:szCs w:val="16"/>
          <w:i w:val="1"/>
          <w:iCs w:val="1"/>
          <w:color w:val="auto"/>
        </w:rPr>
      </w:pPr>
      <w:r>
        <w:rPr>
          <w:rFonts w:ascii="Arial" w:cs="Arial" w:eastAsia="Arial" w:hAnsi="Arial"/>
          <w:sz w:val="16"/>
          <w:szCs w:val="16"/>
          <w:i w:val="1"/>
          <w:iCs w:val="1"/>
          <w:color w:val="auto"/>
        </w:rPr>
        <w:t>Assumes rates in effect at December 31, 2012 remain constant through remaining term. The $75 million term loan maturing in 2014 has an effective fixed rate of 1.825% due to an interest rate swap.</w:t>
      </w:r>
    </w:p>
    <w:p>
      <w:pPr>
        <w:spacing w:after="0" w:line="1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Interest rates on variable rate long-term debt are reset on a periodic basis reflecting prevailing market conditions. Based on the variable rate debt outstanding at December 31, 2012, and assuming no other changes to our financial structure, an increase of 100 basis points in interest rates would impact the amount of pretax interest expense by $0.7 million. This amount was determined by considering the impact of a hypothetical 100 basis point increase to the average variable interest rate on the variable rate debt outstanding as of December 31, 2012.</w:t>
      </w:r>
    </w:p>
    <w:p>
      <w:pPr>
        <w:spacing w:after="0" w:line="18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Commodity Price Risk</w:t>
      </w:r>
      <w:r>
        <w:rPr>
          <w:rFonts w:ascii="Arial" w:cs="Arial" w:eastAsia="Arial" w:hAnsi="Arial"/>
          <w:sz w:val="18"/>
          <w:szCs w:val="18"/>
          <w:color w:val="auto"/>
        </w:rPr>
        <w:t>. Our regulated utility operations incur costs for power and fuel (primarily coal and related transportation) in Minnesota and power</w:t>
      </w:r>
      <w:r>
        <w:rPr>
          <w:rFonts w:ascii="Arial" w:cs="Arial" w:eastAsia="Arial" w:hAnsi="Arial"/>
          <w:sz w:val="18"/>
          <w:szCs w:val="18"/>
          <w:b w:val="1"/>
          <w:bCs w:val="1"/>
          <w:color w:val="auto"/>
        </w:rPr>
        <w:t xml:space="preserve"> </w:t>
      </w:r>
      <w:r>
        <w:rPr>
          <w:rFonts w:ascii="Arial" w:cs="Arial" w:eastAsia="Arial" w:hAnsi="Arial"/>
          <w:sz w:val="18"/>
          <w:szCs w:val="18"/>
          <w:color w:val="auto"/>
        </w:rPr>
        <w:t>and natural gas purchased for resale in our regulated service territory in Wisconsin. Our Minnesota regulated utility’s exposure to price risk for these commodities is significantly mitigated by the current ratemaking process and regulatory framework, which allows recovery of fuel costs in excess of those included in base rates. Conversely, costs below those in base rates result in a credit to our ratepayers. We seek to prudently manage our customers’ exposure to price risk by entering into contracts of various durations and terms for the purchase of power and coal and related transportation costs (Minnesota Power) and natural gas (SWL&amp;P).</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2012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364" w:right="2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Market Risk (Continued)</w:t>
      </w:r>
    </w:p>
    <w:p>
      <w:pPr>
        <w:spacing w:after="0" w:line="22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Power Marketing</w:t>
      </w:r>
      <w:r>
        <w:rPr>
          <w:rFonts w:ascii="Arial" w:cs="Arial" w:eastAsia="Arial" w:hAnsi="Arial"/>
          <w:sz w:val="18"/>
          <w:szCs w:val="18"/>
          <w:color w:val="auto"/>
        </w:rPr>
        <w:t>. Our power marketing activities consist of: (1) purchasing energy in the wholesale market to serve our regulated service territory when</w:t>
      </w:r>
      <w:r>
        <w:rPr>
          <w:rFonts w:ascii="Arial" w:cs="Arial" w:eastAsia="Arial" w:hAnsi="Arial"/>
          <w:sz w:val="18"/>
          <w:szCs w:val="18"/>
          <w:b w:val="1"/>
          <w:bCs w:val="1"/>
          <w:color w:val="auto"/>
        </w:rPr>
        <w:t xml:space="preserve"> </w:t>
      </w:r>
      <w:r>
        <w:rPr>
          <w:rFonts w:ascii="Arial" w:cs="Arial" w:eastAsia="Arial" w:hAnsi="Arial"/>
          <w:sz w:val="18"/>
          <w:szCs w:val="18"/>
          <w:color w:val="auto"/>
        </w:rPr>
        <w:t>retail energy requirements exceed generation output; and (2) selling excess available energy and purchased power. From time to time, our utility operations may have excess energy that is temporarily not required by retail and municipal customers in our regulated service territory. We actively sell any excess energy to the wholesale market to optimize the value of our generating facilities.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exposed to credit risk primarily through our power marketing activities. We use credit policies to manage credit risk, which includes utilizing an established credit approval process and monitoring counterparty limits.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Standards.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New accounting standards are discussed in Note 1. Operations and Significant Accounting Policies of this Form 10-K.</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See Item 7. Management’s Discussion and Analysis of Financial Condition and Results of Operations – Market Risk for information related to quantitative and qualitative disclosure about market risk.</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See our consolidated financial statements as of December 31, 2012 and 2011, and for each of the three years in the period ended December 31, 2012, and supplementary data, which are indexed in Item 15(a).</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Conclusion Regarding the Effectiveness of Disclosure Controls and Procedures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Under the supervision and with the participation of management, including our principal executive officer and principal financial officer, as of December 31, 2012, we conducted an evaluation of the effectiveness of the design and operation of ALLETE’s disclosure controls and procedures (as defined in Rules 13a-15(e) or 15d-15(e) of the Securities Exchange Act of 1934 (Exchange Act)). Based upon those evaluations, our principal executive officer and principal financial officer have concluded that, as of December 31, 2012, such disclosure controls and procedures are effective to provide assurance that information required to be disclosed in ALLETE’s reports filed or submitted under the Exchange Act is recorded, processed, summarized, and reported within the time periods specified in the SEC’s rules and forms and such information is accumulated and communicated to our management, including our principal executive officer and principal financial officer, to allow timely decisions regarding required disclosure.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as such term is defined in Exchange Act Rule 13a-15(f) or 15d-15(f). Under the supervision and with the participation of our management, including our principal executive officer and principal financial officer, we conducted an evaluation of the effectiveness of our internal control over financial reporting based on the framework in Internal Control – Integrated Framework issued by the Committee of Sponsoring Organizations of the Treadway Commission. Based on our evaluation under the framework in Internal Control – Integrated Framework, our management concluded that our internal control over financial reporting was effective as of December 31, 2012.</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effectiveness of the Company’s internal control over financial reporting as of December 31, 2012, has been audited by PricewaterhouseCoopers LLP, an independent registered public accounting firm, as stated in their report which is included herein.</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2012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364" w:right="2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Item 9A. Controls and Procedures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has been no change in our internal control over financial reporting that occurred during our most recent fiscal quarter that has materially affected, or is reasonably likely to materially affect, our internal control over financial reporting.</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ALLETE 2012 Form 10-K</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364" w:right="259" w:bottom="1440" w:gutter="0" w:footer="0" w:header="0"/>
        </w:sectPr>
      </w:pPr>
    </w:p>
    <w:bookmarkStart w:id="53" w:name="page54"/>
    <w:bookmarkEnd w:id="53"/>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Unless otherwise stated, the information required by this Item is incorporated by reference herein from our Proxy Statement for the 2013 Annual Meeting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Shareholders (2013 Proxy Statement) under the following headings:</w:t>
      </w:r>
    </w:p>
    <w:p>
      <w:pPr>
        <w:spacing w:after="0" w:line="207"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b w:val="1"/>
          <w:bCs w:val="1"/>
          <w:color w:val="auto"/>
        </w:rPr>
        <w:t xml:space="preserve">Directors. </w:t>
      </w:r>
      <w:r>
        <w:rPr>
          <w:rFonts w:ascii="Arial" w:cs="Arial" w:eastAsia="Arial" w:hAnsi="Arial"/>
          <w:sz w:val="18"/>
          <w:szCs w:val="18"/>
          <w:color w:val="auto"/>
        </w:rPr>
        <w:t>The information regarding directors will be included in the “Election of Directors” section;</w:t>
      </w:r>
    </w:p>
    <w:p>
      <w:pPr>
        <w:spacing w:after="0" w:line="225" w:lineRule="exact"/>
        <w:rPr>
          <w:rFonts w:ascii="Arial" w:cs="Arial" w:eastAsia="Arial" w:hAnsi="Arial"/>
          <w:sz w:val="18"/>
          <w:szCs w:val="18"/>
          <w:color w:val="auto"/>
        </w:rPr>
      </w:pPr>
    </w:p>
    <w:p>
      <w:pPr>
        <w:ind w:left="660" w:right="320" w:hanging="328"/>
        <w:spacing w:after="0" w:line="282"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b w:val="1"/>
          <w:bCs w:val="1"/>
          <w:color w:val="auto"/>
        </w:rPr>
        <w:t xml:space="preserve">Audit Committee Financial Expert. </w:t>
      </w:r>
      <w:r>
        <w:rPr>
          <w:rFonts w:ascii="Arial" w:cs="Arial" w:eastAsia="Arial" w:hAnsi="Arial"/>
          <w:sz w:val="18"/>
          <w:szCs w:val="18"/>
          <w:color w:val="auto"/>
        </w:rPr>
        <w:t>The information regarding the Audit Committee financial expert will be included in the “Audit Committee</w:t>
      </w:r>
      <w:r>
        <w:rPr>
          <w:rFonts w:ascii="Arial" w:cs="Arial" w:eastAsia="Arial" w:hAnsi="Arial"/>
          <w:sz w:val="18"/>
          <w:szCs w:val="18"/>
          <w:b w:val="1"/>
          <w:bCs w:val="1"/>
          <w:color w:val="auto"/>
        </w:rPr>
        <w:t xml:space="preserve"> </w:t>
      </w:r>
      <w:r>
        <w:rPr>
          <w:rFonts w:ascii="Arial" w:cs="Arial" w:eastAsia="Arial" w:hAnsi="Arial"/>
          <w:sz w:val="18"/>
          <w:szCs w:val="18"/>
          <w:color w:val="auto"/>
        </w:rPr>
        <w:t>Report” section;</w:t>
      </w:r>
    </w:p>
    <w:p>
      <w:pPr>
        <w:spacing w:after="0" w:line="161"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b w:val="1"/>
          <w:bCs w:val="1"/>
          <w:color w:val="auto"/>
        </w:rPr>
        <w:t xml:space="preserve">Audit Committee Members. </w:t>
      </w:r>
      <w:r>
        <w:rPr>
          <w:rFonts w:ascii="Arial" w:cs="Arial" w:eastAsia="Arial" w:hAnsi="Arial"/>
          <w:sz w:val="18"/>
          <w:szCs w:val="18"/>
          <w:color w:val="auto"/>
        </w:rPr>
        <w:t>The identity of the Audit Committee members will be included in the “Audit Committee Report” section;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b w:val="1"/>
          <w:bCs w:val="1"/>
          <w:color w:val="auto"/>
        </w:rPr>
        <w:t xml:space="preserve">Executive Officers. </w:t>
      </w:r>
      <w:r>
        <w:rPr>
          <w:rFonts w:ascii="Arial" w:cs="Arial" w:eastAsia="Arial" w:hAnsi="Arial"/>
          <w:sz w:val="18"/>
          <w:szCs w:val="18"/>
          <w:color w:val="auto"/>
        </w:rPr>
        <w:t>The information regarding executive officers is included in Part I of this Form 10-K; and</w:t>
      </w:r>
    </w:p>
    <w:p>
      <w:pPr>
        <w:spacing w:after="0" w:line="225" w:lineRule="exact"/>
        <w:rPr>
          <w:rFonts w:ascii="Arial" w:cs="Arial" w:eastAsia="Arial" w:hAnsi="Arial"/>
          <w:sz w:val="18"/>
          <w:szCs w:val="18"/>
          <w:color w:val="auto"/>
        </w:rPr>
      </w:pPr>
    </w:p>
    <w:p>
      <w:pPr>
        <w:ind w:left="660" w:right="120" w:hanging="328"/>
        <w:spacing w:after="0" w:line="282"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b w:val="1"/>
          <w:bCs w:val="1"/>
          <w:color w:val="auto"/>
        </w:rPr>
        <w:t xml:space="preserve">Section 16(a) Compliance. </w:t>
      </w:r>
      <w:r>
        <w:rPr>
          <w:rFonts w:ascii="Arial" w:cs="Arial" w:eastAsia="Arial" w:hAnsi="Arial"/>
          <w:sz w:val="18"/>
          <w:szCs w:val="18"/>
          <w:color w:val="auto"/>
        </w:rPr>
        <w:t>The information regarding Section 16(a) compliance will be included in the “Ownership of ALLETE Common Stock –</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16(a) Beneficial Ownership Reporting Compliance” section.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Our 2013 Proxy Statement will be filed with the SEC within 120 days after the end of our 2012 fiscal year.</w:t>
      </w:r>
    </w:p>
    <w:p>
      <w:pPr>
        <w:spacing w:after="0" w:line="221"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 xml:space="preserve">Code of Ethics. </w:t>
      </w:r>
      <w:r>
        <w:rPr>
          <w:rFonts w:ascii="Arial" w:cs="Arial" w:eastAsia="Arial" w:hAnsi="Arial"/>
          <w:sz w:val="17"/>
          <w:szCs w:val="17"/>
          <w:color w:val="auto"/>
        </w:rPr>
        <w:t>We have adopted a written Code of Ethics that applies to all of our employees, including our chief executive officer, chief financial officer</w:t>
      </w:r>
      <w:r>
        <w:rPr>
          <w:rFonts w:ascii="Arial" w:cs="Arial" w:eastAsia="Arial" w:hAnsi="Arial"/>
          <w:sz w:val="17"/>
          <w:szCs w:val="17"/>
          <w:b w:val="1"/>
          <w:bCs w:val="1"/>
          <w:color w:val="auto"/>
        </w:rPr>
        <w:t xml:space="preserve"> </w:t>
      </w:r>
      <w:r>
        <w:rPr>
          <w:rFonts w:ascii="Arial" w:cs="Arial" w:eastAsia="Arial" w:hAnsi="Arial"/>
          <w:sz w:val="17"/>
          <w:szCs w:val="17"/>
          <w:color w:val="auto"/>
        </w:rPr>
        <w:t>and controller. A copy of our Code of Ethics is available on our website at www.allete.com and print copies are available without charge upon request to ALLETE, Inc., Attention: Secretary, 30 West Superior St., Duluth, Minnesota 55802. Any amendment to the Code of Ethics or any waiver of the Code of Ethics will be disclosed on our website at www.allete.com promptly following the date of such amendment or waiver.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Corporate Governance. </w:t>
      </w:r>
      <w:r>
        <w:rPr>
          <w:rFonts w:ascii="Arial" w:cs="Arial" w:eastAsia="Arial" w:hAnsi="Arial"/>
          <w:sz w:val="18"/>
          <w:szCs w:val="18"/>
          <w:color w:val="auto"/>
        </w:rPr>
        <w:t>The following documents are available on our website at www.allete.com and print copies are available upon request:</w:t>
      </w:r>
    </w:p>
    <w:p>
      <w:pPr>
        <w:spacing w:after="0" w:line="229"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Corporate Governance Guidelines;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Audit Committee Charter;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Executive Compensation Committee Charter;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Corporate Governance and Nominating Committee Charter.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Any amendment to these documents will be disclosed on our website at www.allete.com promptly following the date of such amendment.</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information required for this Item is incorporated by reference herein from the “Compensation Discussion and Analysis,” the “Compensation of Directors and Executive Officers,” the “Executive Compensation Committee Report” and the “Director Compensation 2012” sections in our 2013 Proxy Statement.</w:t>
      </w: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information required for this Item is incorporated by reference herein from the “Ownership of ALLETE Common Stock – Securities Owned by Certain Beneficial Owners,” the “Ownership of ALLETE Common Stock – Securities Owned by Directors and Management” and the “Equity Compensation Plan Information” sections in our 2013 Proxy Statement.</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2012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364" w:right="2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information required for this Item is incorporated by reference herein from the “Corporate Governance” section in our 2013 Proxy Statement.</w:t>
      </w:r>
    </w:p>
    <w:p>
      <w:pPr>
        <w:spacing w:after="0" w:line="237"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We have adopted a Related Person Transaction Policy which is available on our website at www.allete.com. Print copies are available without charge, upon request. Any amendment to this policy will be disclosed on our website at www.allete.com promptly following the date of such amendment.</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information required for this Item is incorporated by reference herein from the “Audit Committee Report” section in our 2013 Proxy Statement.</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ALLETE 2012 Form 10-K</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364" w:right="239" w:bottom="1440" w:gutter="0" w:footer="0" w:header="0"/>
        </w:sectPr>
      </w:pPr>
    </w:p>
    <w:bookmarkStart w:id="55" w:name="page56"/>
    <w:bookmarkEnd w:id="55"/>
    <w:p>
      <w:pPr>
        <w:jc w:val="center"/>
        <w:spacing w:after="0"/>
        <w:rPr>
          <w:sz w:val="20"/>
          <w:szCs w:val="20"/>
          <w:color w:val="auto"/>
        </w:rPr>
      </w:pPr>
      <w:r>
        <w:rPr>
          <w:rFonts w:ascii="Arial" w:cs="Arial" w:eastAsia="Arial" w:hAnsi="Arial"/>
          <w:sz w:val="18"/>
          <w:szCs w:val="18"/>
          <w:b w:val="1"/>
          <w:bCs w:val="1"/>
          <w:color w:val="auto"/>
        </w:rPr>
        <w:t>Part IV</w:t>
      </w:r>
    </w:p>
    <w:p>
      <w:pPr>
        <w:spacing w:after="0" w:line="200" w:lineRule="exact"/>
        <w:rPr>
          <w:sz w:val="20"/>
          <w:szCs w:val="20"/>
          <w:color w:val="auto"/>
        </w:rPr>
      </w:pPr>
    </w:p>
    <w:p>
      <w:pPr>
        <w:spacing w:after="0" w:line="241"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and Financial Statement Schedules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55" w:lineRule="exact"/>
        <w:rPr>
          <w:sz w:val="20"/>
          <w:szCs w:val="20"/>
          <w:color w:val="auto"/>
        </w:rPr>
      </w:pPr>
    </w:p>
    <w:p>
      <w:pPr>
        <w:ind w:left="840" w:hanging="805"/>
        <w:spacing w:after="0"/>
        <w:tabs>
          <w:tab w:leader="none" w:pos="8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Certain Documents Filed as Part of this Form 10-K.</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0" w:type="dxa"/>
            <w:vAlign w:val="bottom"/>
          </w:tcPr>
          <w:p>
            <w:pPr>
              <w:jc w:val="right"/>
              <w:ind w:right="210"/>
              <w:spacing w:after="0"/>
              <w:rPr>
                <w:sz w:val="20"/>
                <w:szCs w:val="20"/>
                <w:color w:val="auto"/>
              </w:rPr>
            </w:pPr>
            <w:r>
              <w:rPr>
                <w:rFonts w:ascii="Arial" w:cs="Arial" w:eastAsia="Arial" w:hAnsi="Arial"/>
                <w:sz w:val="18"/>
                <w:szCs w:val="18"/>
                <w:color w:val="auto"/>
                <w:w w:val="99"/>
              </w:rPr>
              <w:t>(1)</w:t>
            </w:r>
          </w:p>
        </w:tc>
        <w:tc>
          <w:tcPr>
            <w:tcW w:w="10500" w:type="dxa"/>
            <w:vAlign w:val="bottom"/>
            <w:gridSpan w:val="11"/>
          </w:tcPr>
          <w:p>
            <w:pPr>
              <w:ind w:left="300"/>
              <w:spacing w:after="0"/>
              <w:rPr>
                <w:sz w:val="20"/>
                <w:szCs w:val="20"/>
                <w:color w:val="auto"/>
              </w:rPr>
            </w:pPr>
            <w:r>
              <w:rPr>
                <w:rFonts w:ascii="Arial" w:cs="Arial" w:eastAsia="Arial" w:hAnsi="Arial"/>
                <w:sz w:val="18"/>
                <w:szCs w:val="18"/>
                <w:color w:val="auto"/>
              </w:rPr>
              <w:t>Financial Statements</w:t>
            </w:r>
          </w:p>
        </w:tc>
        <w:tc>
          <w:tcPr>
            <w:tcW w:w="380" w:type="dxa"/>
            <w:vAlign w:val="bottom"/>
            <w:gridSpan w:val="4"/>
          </w:tcPr>
          <w:p>
            <w:pPr>
              <w:spacing w:after="0"/>
              <w:rPr>
                <w:sz w:val="20"/>
                <w:szCs w:val="20"/>
                <w:color w:val="auto"/>
              </w:rPr>
            </w:pPr>
            <w:r>
              <w:rPr>
                <w:rFonts w:ascii="Arial" w:cs="Arial" w:eastAsia="Arial" w:hAnsi="Arial"/>
                <w:sz w:val="18"/>
                <w:szCs w:val="18"/>
                <w:color w:val="auto"/>
                <w:w w:val="85"/>
              </w:rPr>
              <w:t>Page</w:t>
            </w:r>
          </w:p>
        </w:tc>
      </w:tr>
      <w:tr>
        <w:trPr>
          <w:trHeight w:val="27"/>
        </w:trPr>
        <w:tc>
          <w:tcPr>
            <w:tcW w:w="5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540" w:type="dxa"/>
            <w:vAlign w:val="bottom"/>
            <w:tcBorders>
              <w:bottom w:val="single" w:sz="8" w:color="CCEEFF"/>
            </w:tcBorders>
            <w:shd w:val="clear" w:color="auto" w:fill="CCEEFF"/>
          </w:tcPr>
          <w:p>
            <w:pPr>
              <w:spacing w:after="0"/>
              <w:rPr>
                <w:sz w:val="21"/>
                <w:szCs w:val="21"/>
                <w:color w:val="auto"/>
              </w:rPr>
            </w:pPr>
          </w:p>
        </w:tc>
        <w:tc>
          <w:tcPr>
            <w:tcW w:w="10500" w:type="dxa"/>
            <w:vAlign w:val="bottom"/>
            <w:tcBorders>
              <w:bottom w:val="single" w:sz="8" w:color="CCEEFF"/>
            </w:tcBorders>
            <w:gridSpan w:val="11"/>
            <w:shd w:val="clear" w:color="auto" w:fill="CCEEFF"/>
          </w:tcPr>
          <w:p>
            <w:pPr>
              <w:ind w:left="540"/>
              <w:spacing w:after="0"/>
              <w:rPr>
                <w:sz w:val="20"/>
                <w:szCs w:val="20"/>
                <w:color w:val="auto"/>
              </w:rPr>
            </w:pPr>
            <w:r>
              <w:rPr>
                <w:rFonts w:ascii="Arial" w:cs="Arial" w:eastAsia="Arial" w:hAnsi="Arial"/>
                <w:sz w:val="18"/>
                <w:szCs w:val="18"/>
                <w:color w:val="auto"/>
              </w:rPr>
              <w:t>ALLETE</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540" w:type="dxa"/>
            <w:vAlign w:val="bottom"/>
          </w:tcPr>
          <w:p>
            <w:pPr>
              <w:spacing w:after="0"/>
              <w:rPr>
                <w:sz w:val="17"/>
                <w:szCs w:val="17"/>
                <w:color w:val="auto"/>
              </w:rPr>
            </w:pPr>
          </w:p>
        </w:tc>
        <w:tc>
          <w:tcPr>
            <w:tcW w:w="10500" w:type="dxa"/>
            <w:vAlign w:val="bottom"/>
            <w:gridSpan w:val="11"/>
          </w:tcPr>
          <w:p>
            <w:pPr>
              <w:ind w:left="540"/>
              <w:spacing w:after="0" w:line="202" w:lineRule="exact"/>
              <w:rPr>
                <w:rFonts w:ascii="Arial" w:cs="Arial" w:eastAsia="Arial" w:hAnsi="Arial"/>
                <w:sz w:val="18"/>
                <w:szCs w:val="18"/>
                <w:color w:val="0000FF"/>
              </w:rPr>
            </w:pPr>
            <w:hyperlink w:anchor="page63">
              <w:r>
                <w:rPr>
                  <w:rFonts w:ascii="Arial" w:cs="Arial" w:eastAsia="Arial" w:hAnsi="Arial"/>
                  <w:sz w:val="18"/>
                  <w:szCs w:val="18"/>
                  <w:color w:val="0000FF"/>
                </w:rPr>
                <w:t>Report of Independent Registered Public Accounting Firm</w:t>
              </w:r>
            </w:hyperlink>
          </w:p>
        </w:tc>
        <w:tc>
          <w:tcPr>
            <w:tcW w:w="380" w:type="dxa"/>
            <w:vAlign w:val="bottom"/>
            <w:gridSpan w:val="4"/>
          </w:tcPr>
          <w:p>
            <w:pPr>
              <w:jc w:val="right"/>
              <w:ind w:right="20"/>
              <w:spacing w:after="0" w:line="202" w:lineRule="exact"/>
              <w:rPr>
                <w:rFonts w:ascii="Arial" w:cs="Arial" w:eastAsia="Arial" w:hAnsi="Arial"/>
                <w:sz w:val="18"/>
                <w:szCs w:val="18"/>
                <w:color w:val="0000FF"/>
              </w:rPr>
            </w:pPr>
            <w:hyperlink w:anchor="page63">
              <w:r>
                <w:rPr>
                  <w:rFonts w:ascii="Arial" w:cs="Arial" w:eastAsia="Arial" w:hAnsi="Arial"/>
                  <w:sz w:val="18"/>
                  <w:szCs w:val="18"/>
                  <w:color w:val="0000FF"/>
                </w:rPr>
                <w:t>64</w:t>
              </w:r>
            </w:hyperlink>
          </w:p>
        </w:tc>
      </w:tr>
      <w:tr>
        <w:trPr>
          <w:trHeight w:val="48"/>
        </w:trPr>
        <w:tc>
          <w:tcPr>
            <w:tcW w:w="5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250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54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140" w:type="dxa"/>
            <w:vAlign w:val="bottom"/>
          </w:tcPr>
          <w:p>
            <w:pPr>
              <w:spacing w:after="0"/>
              <w:rPr>
                <w:sz w:val="4"/>
                <w:szCs w:val="4"/>
                <w:color w:val="auto"/>
              </w:rPr>
            </w:pPr>
          </w:p>
        </w:tc>
        <w:tc>
          <w:tcPr>
            <w:tcW w:w="920" w:type="dxa"/>
            <w:vAlign w:val="bottom"/>
          </w:tcPr>
          <w:p>
            <w:pPr>
              <w:spacing w:after="0"/>
              <w:rPr>
                <w:sz w:val="4"/>
                <w:szCs w:val="4"/>
                <w:color w:val="auto"/>
              </w:rPr>
            </w:pPr>
          </w:p>
        </w:tc>
        <w:tc>
          <w:tcPr>
            <w:tcW w:w="46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54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9960" w:type="dxa"/>
            <w:vAlign w:val="bottom"/>
            <w:gridSpan w:val="10"/>
            <w:shd w:val="clear" w:color="auto" w:fill="CCEEFF"/>
          </w:tcPr>
          <w:p>
            <w:pPr>
              <w:spacing w:after="0" w:line="202" w:lineRule="exact"/>
              <w:rPr>
                <w:rFonts w:ascii="Arial" w:cs="Arial" w:eastAsia="Arial" w:hAnsi="Arial"/>
                <w:sz w:val="18"/>
                <w:szCs w:val="18"/>
                <w:color w:val="0000FF"/>
              </w:rPr>
            </w:pPr>
            <w:hyperlink w:anchor="page65">
              <w:r>
                <w:rPr>
                  <w:rFonts w:ascii="Arial" w:cs="Arial" w:eastAsia="Arial" w:hAnsi="Arial"/>
                  <w:sz w:val="18"/>
                  <w:szCs w:val="18"/>
                  <w:color w:val="0000FF"/>
                </w:rPr>
                <w:t>Consolidated Balance Sheet at December 31, 2012 and 2011</w:t>
              </w:r>
            </w:hyperlink>
          </w:p>
        </w:tc>
        <w:tc>
          <w:tcPr>
            <w:tcW w:w="380" w:type="dxa"/>
            <w:vAlign w:val="bottom"/>
            <w:gridSpan w:val="4"/>
            <w:shd w:val="clear" w:color="auto" w:fill="CCEEFF"/>
          </w:tcPr>
          <w:p>
            <w:pPr>
              <w:jc w:val="right"/>
              <w:ind w:right="20"/>
              <w:spacing w:after="0" w:line="202" w:lineRule="exact"/>
              <w:rPr>
                <w:rFonts w:ascii="Arial" w:cs="Arial" w:eastAsia="Arial" w:hAnsi="Arial"/>
                <w:sz w:val="18"/>
                <w:szCs w:val="18"/>
                <w:color w:val="0000FF"/>
              </w:rPr>
            </w:pPr>
            <w:hyperlink w:anchor="page65">
              <w:r>
                <w:rPr>
                  <w:rFonts w:ascii="Arial" w:cs="Arial" w:eastAsia="Arial" w:hAnsi="Arial"/>
                  <w:sz w:val="18"/>
                  <w:szCs w:val="18"/>
                  <w:color w:val="0000FF"/>
                </w:rPr>
                <w:t>65</w:t>
              </w:r>
            </w:hyperlink>
          </w:p>
        </w:tc>
      </w:tr>
      <w:tr>
        <w:trPr>
          <w:trHeight w:val="243"/>
        </w:trPr>
        <w:tc>
          <w:tcPr>
            <w:tcW w:w="540" w:type="dxa"/>
            <w:vAlign w:val="bottom"/>
            <w:tcBorders>
              <w:top w:val="single" w:sz="8" w:color="CCEEFF"/>
            </w:tcBorders>
          </w:tcPr>
          <w:p>
            <w:pPr>
              <w:spacing w:after="0"/>
              <w:rPr>
                <w:sz w:val="21"/>
                <w:szCs w:val="21"/>
                <w:color w:val="auto"/>
              </w:rPr>
            </w:pPr>
          </w:p>
        </w:tc>
        <w:tc>
          <w:tcPr>
            <w:tcW w:w="540" w:type="dxa"/>
            <w:vAlign w:val="bottom"/>
            <w:tcBorders>
              <w:top w:val="single" w:sz="8" w:color="CCEEFF"/>
            </w:tcBorders>
          </w:tcPr>
          <w:p>
            <w:pPr>
              <w:spacing w:after="0"/>
              <w:rPr>
                <w:sz w:val="21"/>
                <w:szCs w:val="21"/>
                <w:color w:val="auto"/>
              </w:rPr>
            </w:pPr>
          </w:p>
        </w:tc>
        <w:tc>
          <w:tcPr>
            <w:tcW w:w="4360" w:type="dxa"/>
            <w:vAlign w:val="bottom"/>
            <w:tcBorders>
              <w:top w:val="single" w:sz="8" w:color="0000FF"/>
            </w:tcBorders>
            <w:gridSpan w:val="8"/>
          </w:tcPr>
          <w:p>
            <w:pPr>
              <w:spacing w:after="0"/>
              <w:rPr>
                <w:sz w:val="20"/>
                <w:szCs w:val="20"/>
                <w:color w:val="auto"/>
              </w:rPr>
            </w:pPr>
            <w:r>
              <w:rPr>
                <w:rFonts w:ascii="Arial" w:cs="Arial" w:eastAsia="Arial" w:hAnsi="Arial"/>
                <w:sz w:val="18"/>
                <w:szCs w:val="18"/>
                <w:color w:val="auto"/>
              </w:rPr>
              <w:t>For the Three Years Ended December 31, 2012</w:t>
            </w:r>
          </w:p>
        </w:tc>
        <w:tc>
          <w:tcPr>
            <w:tcW w:w="5600" w:type="dxa"/>
            <w:vAlign w:val="bottom"/>
            <w:tcBorders>
              <w:top w:val="single" w:sz="8" w:color="CCEEFF"/>
            </w:tcBorders>
            <w:gridSpan w:val="2"/>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180" w:type="dxa"/>
            <w:vAlign w:val="bottom"/>
            <w:tcBorders>
              <w:top w:val="single" w:sz="8" w:color="0000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r>
      <w:tr>
        <w:trPr>
          <w:trHeight w:val="27"/>
        </w:trPr>
        <w:tc>
          <w:tcPr>
            <w:tcW w:w="5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03"/>
        </w:trPr>
        <w:tc>
          <w:tcPr>
            <w:tcW w:w="5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500" w:type="dxa"/>
            <w:vAlign w:val="bottom"/>
            <w:shd w:val="clear" w:color="auto" w:fill="CCEEFF"/>
          </w:tcPr>
          <w:p>
            <w:pPr>
              <w:spacing w:after="0" w:line="202" w:lineRule="exact"/>
              <w:rPr>
                <w:rFonts w:ascii="Arial" w:cs="Arial" w:eastAsia="Arial" w:hAnsi="Arial"/>
                <w:sz w:val="18"/>
                <w:szCs w:val="18"/>
                <w:color w:val="0000FF"/>
                <w:w w:val="89"/>
              </w:rPr>
            </w:pPr>
            <w:hyperlink w:anchor="page65">
              <w:r>
                <w:rPr>
                  <w:rFonts w:ascii="Arial" w:cs="Arial" w:eastAsia="Arial" w:hAnsi="Arial"/>
                  <w:sz w:val="18"/>
                  <w:szCs w:val="18"/>
                  <w:color w:val="0000FF"/>
                  <w:w w:val="89"/>
                </w:rPr>
                <w:t>Consolidated Statement of Income</w:t>
              </w:r>
            </w:hyperlink>
          </w:p>
        </w:tc>
        <w:tc>
          <w:tcPr>
            <w:tcW w:w="7240" w:type="dxa"/>
            <w:vAlign w:val="bottom"/>
            <w:gridSpan w:val="8"/>
            <w:shd w:val="clear" w:color="auto" w:fill="CCEEFF"/>
          </w:tcPr>
          <w:p>
            <w:pPr>
              <w:spacing w:after="0"/>
              <w:rPr>
                <w:sz w:val="17"/>
                <w:szCs w:val="17"/>
                <w:color w:val="auto"/>
              </w:rPr>
            </w:pPr>
          </w:p>
        </w:tc>
        <w:tc>
          <w:tcPr>
            <w:tcW w:w="380" w:type="dxa"/>
            <w:vAlign w:val="bottom"/>
            <w:gridSpan w:val="4"/>
            <w:shd w:val="clear" w:color="auto" w:fill="CCEEFF"/>
          </w:tcPr>
          <w:p>
            <w:pPr>
              <w:jc w:val="right"/>
              <w:ind w:right="20"/>
              <w:spacing w:after="0" w:line="202" w:lineRule="exact"/>
              <w:rPr>
                <w:rFonts w:ascii="Arial" w:cs="Arial" w:eastAsia="Arial" w:hAnsi="Arial"/>
                <w:sz w:val="18"/>
                <w:szCs w:val="18"/>
                <w:color w:val="0000FF"/>
              </w:rPr>
            </w:pPr>
            <w:hyperlink w:anchor="page65">
              <w:r>
                <w:rPr>
                  <w:rFonts w:ascii="Arial" w:cs="Arial" w:eastAsia="Arial" w:hAnsi="Arial"/>
                  <w:sz w:val="18"/>
                  <w:szCs w:val="18"/>
                  <w:color w:val="0000FF"/>
                </w:rPr>
                <w:t>66</w:t>
              </w:r>
            </w:hyperlink>
          </w:p>
        </w:tc>
      </w:tr>
      <w:tr>
        <w:trPr>
          <w:trHeight w:val="48"/>
        </w:trPr>
        <w:tc>
          <w:tcPr>
            <w:tcW w:w="54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50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46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5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740" w:type="dxa"/>
            <w:vAlign w:val="bottom"/>
            <w:gridSpan w:val="9"/>
          </w:tcPr>
          <w:p>
            <w:pPr>
              <w:spacing w:after="0" w:line="202" w:lineRule="exact"/>
              <w:rPr>
                <w:rFonts w:ascii="Arial" w:cs="Arial" w:eastAsia="Arial" w:hAnsi="Arial"/>
                <w:sz w:val="18"/>
                <w:szCs w:val="18"/>
                <w:color w:val="0000FF"/>
              </w:rPr>
            </w:pPr>
            <w:hyperlink w:anchor="page66">
              <w:r>
                <w:rPr>
                  <w:rFonts w:ascii="Arial" w:cs="Arial" w:eastAsia="Arial" w:hAnsi="Arial"/>
                  <w:sz w:val="18"/>
                  <w:szCs w:val="18"/>
                  <w:color w:val="0000FF"/>
                </w:rPr>
                <w:t>Consolidated Statement of Comprehensive Income</w:t>
              </w:r>
            </w:hyperlink>
          </w:p>
        </w:tc>
        <w:tc>
          <w:tcPr>
            <w:tcW w:w="380" w:type="dxa"/>
            <w:vAlign w:val="bottom"/>
            <w:gridSpan w:val="4"/>
          </w:tcPr>
          <w:p>
            <w:pPr>
              <w:jc w:val="right"/>
              <w:ind w:right="20"/>
              <w:spacing w:after="0" w:line="202" w:lineRule="exact"/>
              <w:rPr>
                <w:rFonts w:ascii="Arial" w:cs="Arial" w:eastAsia="Arial" w:hAnsi="Arial"/>
                <w:sz w:val="18"/>
                <w:szCs w:val="18"/>
                <w:color w:val="0000FF"/>
              </w:rPr>
            </w:pPr>
            <w:hyperlink w:anchor="page66">
              <w:r>
                <w:rPr>
                  <w:rFonts w:ascii="Arial" w:cs="Arial" w:eastAsia="Arial" w:hAnsi="Arial"/>
                  <w:sz w:val="18"/>
                  <w:szCs w:val="18"/>
                  <w:color w:val="0000FF"/>
                </w:rPr>
                <w:t>67</w:t>
              </w:r>
            </w:hyperlink>
          </w:p>
        </w:tc>
      </w:tr>
      <w:tr>
        <w:trPr>
          <w:trHeight w:val="48"/>
        </w:trPr>
        <w:tc>
          <w:tcPr>
            <w:tcW w:w="5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50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54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20" w:type="dxa"/>
            <w:vAlign w:val="bottom"/>
          </w:tcPr>
          <w:p>
            <w:pPr>
              <w:spacing w:after="0"/>
              <w:rPr>
                <w:sz w:val="4"/>
                <w:szCs w:val="4"/>
                <w:color w:val="auto"/>
              </w:rPr>
            </w:pPr>
          </w:p>
        </w:tc>
        <w:tc>
          <w:tcPr>
            <w:tcW w:w="46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5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740" w:type="dxa"/>
            <w:vAlign w:val="bottom"/>
            <w:gridSpan w:val="9"/>
            <w:shd w:val="clear" w:color="auto" w:fill="CCEEFF"/>
          </w:tcPr>
          <w:p>
            <w:pPr>
              <w:spacing w:after="0" w:line="202" w:lineRule="exact"/>
              <w:rPr>
                <w:rFonts w:ascii="Arial" w:cs="Arial" w:eastAsia="Arial" w:hAnsi="Arial"/>
                <w:sz w:val="18"/>
                <w:szCs w:val="18"/>
                <w:color w:val="0000FF"/>
              </w:rPr>
            </w:pPr>
            <w:hyperlink w:anchor="page67">
              <w:r>
                <w:rPr>
                  <w:rFonts w:ascii="Arial" w:cs="Arial" w:eastAsia="Arial" w:hAnsi="Arial"/>
                  <w:sz w:val="18"/>
                  <w:szCs w:val="18"/>
                  <w:color w:val="0000FF"/>
                </w:rPr>
                <w:t>Consolidated Statement of Cash Flows</w:t>
              </w:r>
            </w:hyperlink>
          </w:p>
        </w:tc>
        <w:tc>
          <w:tcPr>
            <w:tcW w:w="380" w:type="dxa"/>
            <w:vAlign w:val="bottom"/>
            <w:gridSpan w:val="4"/>
            <w:shd w:val="clear" w:color="auto" w:fill="CCEEFF"/>
          </w:tcPr>
          <w:p>
            <w:pPr>
              <w:jc w:val="right"/>
              <w:ind w:right="20"/>
              <w:spacing w:after="0" w:line="202" w:lineRule="exact"/>
              <w:rPr>
                <w:rFonts w:ascii="Arial" w:cs="Arial" w:eastAsia="Arial" w:hAnsi="Arial"/>
                <w:sz w:val="18"/>
                <w:szCs w:val="18"/>
                <w:color w:val="0000FF"/>
              </w:rPr>
            </w:pPr>
            <w:hyperlink w:anchor="page67">
              <w:r>
                <w:rPr>
                  <w:rFonts w:ascii="Arial" w:cs="Arial" w:eastAsia="Arial" w:hAnsi="Arial"/>
                  <w:sz w:val="18"/>
                  <w:szCs w:val="18"/>
                  <w:color w:val="0000FF"/>
                </w:rPr>
                <w:t>68</w:t>
              </w:r>
            </w:hyperlink>
          </w:p>
        </w:tc>
      </w:tr>
      <w:tr>
        <w:trPr>
          <w:trHeight w:val="48"/>
        </w:trPr>
        <w:tc>
          <w:tcPr>
            <w:tcW w:w="54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50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46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5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740" w:type="dxa"/>
            <w:vAlign w:val="bottom"/>
            <w:gridSpan w:val="9"/>
          </w:tcPr>
          <w:p>
            <w:pPr>
              <w:spacing w:after="0" w:line="202" w:lineRule="exact"/>
              <w:rPr>
                <w:rFonts w:ascii="Arial" w:cs="Arial" w:eastAsia="Arial" w:hAnsi="Arial"/>
                <w:sz w:val="18"/>
                <w:szCs w:val="18"/>
                <w:color w:val="0000FF"/>
              </w:rPr>
            </w:pPr>
            <w:hyperlink w:anchor="page68">
              <w:r>
                <w:rPr>
                  <w:rFonts w:ascii="Arial" w:cs="Arial" w:eastAsia="Arial" w:hAnsi="Arial"/>
                  <w:sz w:val="18"/>
                  <w:szCs w:val="18"/>
                  <w:color w:val="0000FF"/>
                </w:rPr>
                <w:t>Consolidated Statement of Shareholders’ Equity</w:t>
              </w:r>
            </w:hyperlink>
          </w:p>
        </w:tc>
        <w:tc>
          <w:tcPr>
            <w:tcW w:w="380" w:type="dxa"/>
            <w:vAlign w:val="bottom"/>
            <w:gridSpan w:val="4"/>
          </w:tcPr>
          <w:p>
            <w:pPr>
              <w:jc w:val="right"/>
              <w:ind w:right="20"/>
              <w:spacing w:after="0" w:line="202" w:lineRule="exact"/>
              <w:rPr>
                <w:rFonts w:ascii="Arial" w:cs="Arial" w:eastAsia="Arial" w:hAnsi="Arial"/>
                <w:sz w:val="18"/>
                <w:szCs w:val="18"/>
                <w:color w:val="0000FF"/>
              </w:rPr>
            </w:pPr>
            <w:hyperlink w:anchor="page68">
              <w:r>
                <w:rPr>
                  <w:rFonts w:ascii="Arial" w:cs="Arial" w:eastAsia="Arial" w:hAnsi="Arial"/>
                  <w:sz w:val="18"/>
                  <w:szCs w:val="18"/>
                  <w:color w:val="0000FF"/>
                </w:rPr>
                <w:t>69</w:t>
              </w:r>
            </w:hyperlink>
          </w:p>
        </w:tc>
      </w:tr>
      <w:tr>
        <w:trPr>
          <w:trHeight w:val="48"/>
        </w:trPr>
        <w:tc>
          <w:tcPr>
            <w:tcW w:w="5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50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540" w:type="dxa"/>
            <w:vAlign w:val="bottom"/>
            <w:tcBorders>
              <w:top w:val="single" w:sz="8" w:color="0000FF"/>
            </w:tcBorders>
          </w:tcPr>
          <w:p>
            <w:pPr>
              <w:spacing w:after="0"/>
              <w:rPr>
                <w:sz w:val="4"/>
                <w:szCs w:val="4"/>
                <w:color w:val="auto"/>
              </w:rPr>
            </w:pPr>
          </w:p>
        </w:tc>
        <w:tc>
          <w:tcPr>
            <w:tcW w:w="2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20" w:type="dxa"/>
            <w:vAlign w:val="bottom"/>
          </w:tcPr>
          <w:p>
            <w:pPr>
              <w:spacing w:after="0"/>
              <w:rPr>
                <w:sz w:val="4"/>
                <w:szCs w:val="4"/>
                <w:color w:val="auto"/>
              </w:rPr>
            </w:pPr>
          </w:p>
        </w:tc>
        <w:tc>
          <w:tcPr>
            <w:tcW w:w="46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5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160" w:type="dxa"/>
            <w:vAlign w:val="bottom"/>
            <w:gridSpan w:val="4"/>
            <w:shd w:val="clear" w:color="auto" w:fill="CCEEFF"/>
          </w:tcPr>
          <w:p>
            <w:pPr>
              <w:spacing w:after="0" w:line="202" w:lineRule="exact"/>
              <w:rPr>
                <w:rFonts w:ascii="Arial" w:cs="Arial" w:eastAsia="Arial" w:hAnsi="Arial"/>
                <w:sz w:val="18"/>
                <w:szCs w:val="18"/>
                <w:color w:val="0000FF"/>
                <w:w w:val="89"/>
              </w:rPr>
            </w:pPr>
            <w:hyperlink w:anchor="page69">
              <w:r>
                <w:rPr>
                  <w:rFonts w:ascii="Arial" w:cs="Arial" w:eastAsia="Arial" w:hAnsi="Arial"/>
                  <w:sz w:val="18"/>
                  <w:szCs w:val="18"/>
                  <w:color w:val="0000FF"/>
                  <w:w w:val="89"/>
                </w:rPr>
                <w:t>Notes to Consolidated Financial Statements</w:t>
              </w:r>
            </w:hyperlink>
          </w:p>
        </w:tc>
        <w:tc>
          <w:tcPr>
            <w:tcW w:w="6800" w:type="dxa"/>
            <w:vAlign w:val="bottom"/>
            <w:gridSpan w:val="6"/>
            <w:shd w:val="clear" w:color="auto" w:fill="CCEEFF"/>
          </w:tcPr>
          <w:p>
            <w:pPr>
              <w:spacing w:after="0"/>
              <w:rPr>
                <w:sz w:val="17"/>
                <w:szCs w:val="17"/>
                <w:color w:val="auto"/>
              </w:rPr>
            </w:pPr>
          </w:p>
        </w:tc>
        <w:tc>
          <w:tcPr>
            <w:tcW w:w="380" w:type="dxa"/>
            <w:vAlign w:val="bottom"/>
            <w:gridSpan w:val="4"/>
            <w:shd w:val="clear" w:color="auto" w:fill="CCEEFF"/>
          </w:tcPr>
          <w:p>
            <w:pPr>
              <w:jc w:val="right"/>
              <w:ind w:right="20"/>
              <w:spacing w:after="0" w:line="202" w:lineRule="exact"/>
              <w:rPr>
                <w:rFonts w:ascii="Arial" w:cs="Arial" w:eastAsia="Arial" w:hAnsi="Arial"/>
                <w:sz w:val="18"/>
                <w:szCs w:val="18"/>
                <w:color w:val="0000FF"/>
              </w:rPr>
            </w:pPr>
            <w:hyperlink w:anchor="page69">
              <w:r>
                <w:rPr>
                  <w:rFonts w:ascii="Arial" w:cs="Arial" w:eastAsia="Arial" w:hAnsi="Arial"/>
                  <w:sz w:val="18"/>
                  <w:szCs w:val="18"/>
                  <w:color w:val="0000FF"/>
                </w:rPr>
                <w:t>70</w:t>
              </w:r>
            </w:hyperlink>
          </w:p>
        </w:tc>
      </w:tr>
      <w:tr>
        <w:trPr>
          <w:trHeight w:val="48"/>
        </w:trPr>
        <w:tc>
          <w:tcPr>
            <w:tcW w:w="54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0000FF"/>
            </w:tcBorders>
            <w:shd w:val="clear" w:color="auto" w:fill="CCEEFF"/>
          </w:tcPr>
          <w:p>
            <w:pPr>
              <w:spacing w:after="0"/>
              <w:rPr>
                <w:sz w:val="4"/>
                <w:szCs w:val="4"/>
                <w:color w:val="auto"/>
              </w:rPr>
            </w:pPr>
          </w:p>
        </w:tc>
        <w:tc>
          <w:tcPr>
            <w:tcW w:w="250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46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43"/>
        </w:trPr>
        <w:tc>
          <w:tcPr>
            <w:tcW w:w="540" w:type="dxa"/>
            <w:vAlign w:val="bottom"/>
          </w:tcPr>
          <w:p>
            <w:pPr>
              <w:jc w:val="right"/>
              <w:ind w:right="210"/>
              <w:spacing w:after="0"/>
              <w:rPr>
                <w:sz w:val="20"/>
                <w:szCs w:val="20"/>
                <w:color w:val="auto"/>
              </w:rPr>
            </w:pPr>
            <w:r>
              <w:rPr>
                <w:rFonts w:ascii="Arial" w:cs="Arial" w:eastAsia="Arial" w:hAnsi="Arial"/>
                <w:sz w:val="18"/>
                <w:szCs w:val="18"/>
                <w:color w:val="auto"/>
                <w:w w:val="99"/>
              </w:rPr>
              <w:t>(2)</w:t>
            </w:r>
          </w:p>
        </w:tc>
        <w:tc>
          <w:tcPr>
            <w:tcW w:w="10500" w:type="dxa"/>
            <w:vAlign w:val="bottom"/>
            <w:gridSpan w:val="11"/>
          </w:tcPr>
          <w:p>
            <w:pPr>
              <w:ind w:left="300"/>
              <w:spacing w:after="0"/>
              <w:rPr>
                <w:sz w:val="20"/>
                <w:szCs w:val="20"/>
                <w:color w:val="auto"/>
              </w:rPr>
            </w:pPr>
            <w:r>
              <w:rPr>
                <w:rFonts w:ascii="Arial" w:cs="Arial" w:eastAsia="Arial" w:hAnsi="Arial"/>
                <w:sz w:val="18"/>
                <w:szCs w:val="18"/>
                <w:color w:val="auto"/>
              </w:rPr>
              <w:t>Financial Statement Schedules</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7"/>
        </w:trPr>
        <w:tc>
          <w:tcPr>
            <w:tcW w:w="5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03"/>
        </w:trPr>
        <w:tc>
          <w:tcPr>
            <w:tcW w:w="5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960" w:type="dxa"/>
            <w:vAlign w:val="bottom"/>
            <w:gridSpan w:val="10"/>
            <w:shd w:val="clear" w:color="auto" w:fill="CCEEFF"/>
          </w:tcPr>
          <w:p>
            <w:pPr>
              <w:spacing w:after="0" w:line="202" w:lineRule="exact"/>
              <w:rPr>
                <w:rFonts w:ascii="Arial" w:cs="Arial" w:eastAsia="Arial" w:hAnsi="Arial"/>
                <w:sz w:val="18"/>
                <w:szCs w:val="18"/>
                <w:color w:val="0000FF"/>
              </w:rPr>
            </w:pPr>
            <w:hyperlink w:anchor="page112">
              <w:r>
                <w:rPr>
                  <w:rFonts w:ascii="Arial" w:cs="Arial" w:eastAsia="Arial" w:hAnsi="Arial"/>
                  <w:sz w:val="18"/>
                  <w:szCs w:val="18"/>
                  <w:color w:val="0000FF"/>
                </w:rPr>
                <w:t>Schedule II – ALLETE Valuation and Qualifying Accounts and Reserves</w:t>
              </w:r>
            </w:hyperlink>
          </w:p>
        </w:tc>
        <w:tc>
          <w:tcPr>
            <w:tcW w:w="380" w:type="dxa"/>
            <w:vAlign w:val="bottom"/>
            <w:gridSpan w:val="4"/>
            <w:shd w:val="clear" w:color="auto" w:fill="CCEEFF"/>
          </w:tcPr>
          <w:p>
            <w:pPr>
              <w:jc w:val="right"/>
              <w:ind w:right="20"/>
              <w:spacing w:after="0" w:line="202" w:lineRule="exact"/>
              <w:rPr>
                <w:rFonts w:ascii="Arial" w:cs="Arial" w:eastAsia="Arial" w:hAnsi="Arial"/>
                <w:sz w:val="18"/>
                <w:szCs w:val="18"/>
                <w:color w:val="0000FF"/>
              </w:rPr>
            </w:pPr>
            <w:hyperlink w:anchor="page112">
              <w:r>
                <w:rPr>
                  <w:rFonts w:ascii="Arial" w:cs="Arial" w:eastAsia="Arial" w:hAnsi="Arial"/>
                  <w:sz w:val="18"/>
                  <w:szCs w:val="18"/>
                  <w:color w:val="0000FF"/>
                </w:rPr>
                <w:t>113</w:t>
              </w:r>
            </w:hyperlink>
          </w:p>
        </w:tc>
      </w:tr>
      <w:tr>
        <w:trPr>
          <w:trHeight w:val="48"/>
        </w:trPr>
        <w:tc>
          <w:tcPr>
            <w:tcW w:w="54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0000FF"/>
            </w:tcBorders>
            <w:shd w:val="clear" w:color="auto" w:fill="CCEEFF"/>
          </w:tcPr>
          <w:p>
            <w:pPr>
              <w:spacing w:after="0"/>
              <w:rPr>
                <w:sz w:val="4"/>
                <w:szCs w:val="4"/>
                <w:color w:val="auto"/>
              </w:rPr>
            </w:pPr>
          </w:p>
        </w:tc>
        <w:tc>
          <w:tcPr>
            <w:tcW w:w="250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540" w:type="dxa"/>
            <w:vAlign w:val="bottom"/>
            <w:tcBorders>
              <w:top w:val="single" w:sz="8" w:color="0000FF"/>
            </w:tcBorders>
            <w:shd w:val="clear" w:color="auto" w:fill="CCEEFF"/>
          </w:tcPr>
          <w:p>
            <w:pPr>
              <w:spacing w:after="0"/>
              <w:rPr>
                <w:sz w:val="4"/>
                <w:szCs w:val="4"/>
                <w:color w:val="auto"/>
              </w:rPr>
            </w:pPr>
          </w:p>
        </w:tc>
        <w:tc>
          <w:tcPr>
            <w:tcW w:w="200" w:type="dxa"/>
            <w:vAlign w:val="bottom"/>
            <w:tcBorders>
              <w:top w:val="single" w:sz="8" w:color="0000FF"/>
            </w:tcBorders>
            <w:shd w:val="clear" w:color="auto" w:fill="CCEEFF"/>
          </w:tcPr>
          <w:p>
            <w:pPr>
              <w:spacing w:after="0"/>
              <w:rPr>
                <w:sz w:val="4"/>
                <w:szCs w:val="4"/>
                <w:color w:val="auto"/>
              </w:rPr>
            </w:pPr>
          </w:p>
        </w:tc>
        <w:tc>
          <w:tcPr>
            <w:tcW w:w="32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920" w:type="dxa"/>
            <w:vAlign w:val="bottom"/>
            <w:tcBorders>
              <w:top w:val="single" w:sz="8" w:color="0000FF"/>
            </w:tcBorders>
            <w:shd w:val="clear" w:color="auto" w:fill="CCEEFF"/>
          </w:tcPr>
          <w:p>
            <w:pPr>
              <w:spacing w:after="0"/>
              <w:rPr>
                <w:sz w:val="4"/>
                <w:szCs w:val="4"/>
                <w:color w:val="auto"/>
              </w:rPr>
            </w:pPr>
          </w:p>
        </w:tc>
        <w:tc>
          <w:tcPr>
            <w:tcW w:w="46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29"/>
        </w:trPr>
        <w:tc>
          <w:tcPr>
            <w:tcW w:w="540" w:type="dxa"/>
            <w:vAlign w:val="bottom"/>
          </w:tcPr>
          <w:p>
            <w:pPr>
              <w:spacing w:after="0"/>
              <w:rPr>
                <w:sz w:val="19"/>
                <w:szCs w:val="19"/>
                <w:color w:val="auto"/>
              </w:rPr>
            </w:pPr>
          </w:p>
        </w:tc>
        <w:tc>
          <w:tcPr>
            <w:tcW w:w="10500" w:type="dxa"/>
            <w:vAlign w:val="bottom"/>
            <w:gridSpan w:val="11"/>
          </w:tcPr>
          <w:p>
            <w:pPr>
              <w:ind w:left="300"/>
              <w:spacing w:after="0"/>
              <w:rPr>
                <w:sz w:val="20"/>
                <w:szCs w:val="20"/>
                <w:color w:val="auto"/>
              </w:rPr>
            </w:pPr>
            <w:r>
              <w:rPr>
                <w:rFonts w:ascii="Arial" w:cs="Arial" w:eastAsia="Arial" w:hAnsi="Arial"/>
                <w:sz w:val="18"/>
                <w:szCs w:val="18"/>
                <w:color w:val="auto"/>
                <w:w w:val="90"/>
              </w:rPr>
              <w:t>All other schedules have been omitted either because the information is not required to be reported by ALLETE or because the information is</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40" w:type="dxa"/>
            <w:vAlign w:val="bottom"/>
          </w:tcPr>
          <w:p>
            <w:pPr>
              <w:spacing w:after="0"/>
              <w:rPr>
                <w:sz w:val="20"/>
                <w:szCs w:val="20"/>
                <w:color w:val="auto"/>
              </w:rPr>
            </w:pPr>
          </w:p>
        </w:tc>
        <w:tc>
          <w:tcPr>
            <w:tcW w:w="10500" w:type="dxa"/>
            <w:vAlign w:val="bottom"/>
            <w:gridSpan w:val="11"/>
          </w:tcPr>
          <w:p>
            <w:pPr>
              <w:ind w:left="300"/>
              <w:spacing w:after="0"/>
              <w:rPr>
                <w:sz w:val="20"/>
                <w:szCs w:val="20"/>
                <w:color w:val="auto"/>
              </w:rPr>
            </w:pPr>
            <w:r>
              <w:rPr>
                <w:rFonts w:ascii="Arial" w:cs="Arial" w:eastAsia="Arial" w:hAnsi="Arial"/>
                <w:sz w:val="18"/>
                <w:szCs w:val="18"/>
                <w:color w:val="auto"/>
              </w:rPr>
              <w:t>included in the consolidated financial statements or the notes.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 w:lineRule="exact"/>
        <w:rPr>
          <w:sz w:val="20"/>
          <w:szCs w:val="20"/>
          <w:color w:val="auto"/>
        </w:rPr>
      </w:pPr>
    </w:p>
    <w:p>
      <w:pPr>
        <w:ind w:left="840" w:hanging="805"/>
        <w:spacing w:after="0"/>
        <w:tabs>
          <w:tab w:leader="none" w:pos="8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Exhibits including those incorporated by reference.</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2012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364" w:right="2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u w:val="single" w:color="auto"/>
          <w:color w:val="auto"/>
        </w:rPr>
        <w:t>Exhibit Number</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820" w:type="dxa"/>
            <w:vAlign w:val="bottom"/>
            <w:shd w:val="clear" w:color="auto" w:fill="CCEEFF"/>
          </w:tcPr>
          <w:p>
            <w:pPr>
              <w:ind w:left="40"/>
              <w:spacing w:after="0"/>
              <w:rPr>
                <w:sz w:val="20"/>
                <w:szCs w:val="20"/>
                <w:color w:val="auto"/>
              </w:rPr>
            </w:pPr>
            <w:r>
              <w:rPr>
                <w:rFonts w:ascii="Arial" w:cs="Arial" w:eastAsia="Arial" w:hAnsi="Arial"/>
                <w:sz w:val="16"/>
                <w:szCs w:val="16"/>
                <w:color w:val="auto"/>
              </w:rPr>
              <w:t>*3(a)1</w:t>
            </w:r>
          </w:p>
        </w:tc>
        <w:tc>
          <w:tcPr>
            <w:tcW w:w="6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w:t>
            </w:r>
          </w:p>
        </w:tc>
        <w:tc>
          <w:tcPr>
            <w:tcW w:w="7860" w:type="dxa"/>
            <w:vAlign w:val="bottom"/>
            <w:gridSpan w:val="3"/>
            <w:shd w:val="clear" w:color="auto" w:fill="CCEEFF"/>
          </w:tcPr>
          <w:p>
            <w:pPr>
              <w:ind w:left="160"/>
              <w:spacing w:after="0"/>
              <w:rPr>
                <w:sz w:val="20"/>
                <w:szCs w:val="20"/>
                <w:color w:val="auto"/>
              </w:rPr>
            </w:pPr>
            <w:r>
              <w:rPr>
                <w:rFonts w:ascii="Arial" w:cs="Arial" w:eastAsia="Arial" w:hAnsi="Arial"/>
                <w:sz w:val="16"/>
                <w:szCs w:val="16"/>
                <w:color w:val="auto"/>
                <w:w w:val="99"/>
              </w:rPr>
              <w:t>Articles of Incorporation amended and restated as of May 8, 2001 (filed as Exhibit 3(b) to the March 31, 2001,</w:t>
            </w:r>
          </w:p>
        </w:tc>
        <w:tc>
          <w:tcPr>
            <w:tcW w:w="2060" w:type="dxa"/>
            <w:vAlign w:val="bottom"/>
            <w:shd w:val="clear" w:color="auto" w:fill="CCEEFF"/>
          </w:tcPr>
          <w:p>
            <w:pPr>
              <w:spacing w:after="0"/>
              <w:rPr>
                <w:sz w:val="17"/>
                <w:szCs w:val="17"/>
                <w:color w:val="auto"/>
              </w:rPr>
            </w:pPr>
          </w:p>
        </w:tc>
      </w:tr>
      <w:tr>
        <w:trPr>
          <w:trHeight w:val="219"/>
        </w:trPr>
        <w:tc>
          <w:tcPr>
            <w:tcW w:w="82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35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rPr>
              <w:t>Form 10-Q, File No. 1-3548).</w:t>
            </w:r>
          </w:p>
        </w:tc>
        <w:tc>
          <w:tcPr>
            <w:tcW w:w="4360" w:type="dxa"/>
            <w:vAlign w:val="bottom"/>
            <w:tcBorders>
              <w:bottom w:val="single" w:sz="8" w:color="CCEEFF"/>
            </w:tcBorders>
            <w:shd w:val="clear" w:color="auto" w:fill="CCEEFF"/>
          </w:tcPr>
          <w:p>
            <w:pPr>
              <w:spacing w:after="0"/>
              <w:rPr>
                <w:sz w:val="19"/>
                <w:szCs w:val="19"/>
                <w:color w:val="auto"/>
              </w:rPr>
            </w:pPr>
          </w:p>
        </w:tc>
        <w:tc>
          <w:tcPr>
            <w:tcW w:w="2060" w:type="dxa"/>
            <w:vAlign w:val="bottom"/>
            <w:tcBorders>
              <w:bottom w:val="single" w:sz="8" w:color="CCEEFF"/>
            </w:tcBorders>
            <w:shd w:val="clear" w:color="auto" w:fill="CCEEFF"/>
          </w:tcPr>
          <w:p>
            <w:pPr>
              <w:spacing w:after="0"/>
              <w:rPr>
                <w:sz w:val="19"/>
                <w:szCs w:val="19"/>
                <w:color w:val="auto"/>
              </w:rPr>
            </w:pPr>
          </w:p>
        </w:tc>
      </w:tr>
      <w:tr>
        <w:trPr>
          <w:trHeight w:val="224"/>
        </w:trPr>
        <w:tc>
          <w:tcPr>
            <w:tcW w:w="820" w:type="dxa"/>
            <w:vAlign w:val="bottom"/>
          </w:tcPr>
          <w:p>
            <w:pPr>
              <w:ind w:left="40"/>
              <w:spacing w:after="0"/>
              <w:rPr>
                <w:sz w:val="20"/>
                <w:szCs w:val="20"/>
                <w:color w:val="auto"/>
              </w:rPr>
            </w:pPr>
            <w:r>
              <w:rPr>
                <w:rFonts w:ascii="Arial" w:cs="Arial" w:eastAsia="Arial" w:hAnsi="Arial"/>
                <w:sz w:val="16"/>
                <w:szCs w:val="16"/>
                <w:color w:val="auto"/>
              </w:rPr>
              <w:t>*3(a)2</w:t>
            </w:r>
          </w:p>
        </w:tc>
        <w:tc>
          <w:tcPr>
            <w:tcW w:w="680" w:type="dxa"/>
            <w:vAlign w:val="bottom"/>
          </w:tcPr>
          <w:p>
            <w:pPr>
              <w:ind w:left="360"/>
              <w:spacing w:after="0"/>
              <w:rPr>
                <w:sz w:val="20"/>
                <w:szCs w:val="20"/>
                <w:color w:val="auto"/>
              </w:rPr>
            </w:pPr>
            <w:r>
              <w:rPr>
                <w:rFonts w:ascii="Arial" w:cs="Arial" w:eastAsia="Arial" w:hAnsi="Arial"/>
                <w:sz w:val="16"/>
                <w:szCs w:val="16"/>
                <w:color w:val="auto"/>
              </w:rPr>
              <w:t>—</w:t>
            </w:r>
          </w:p>
        </w:tc>
        <w:tc>
          <w:tcPr>
            <w:tcW w:w="9920" w:type="dxa"/>
            <w:vAlign w:val="bottom"/>
            <w:gridSpan w:val="4"/>
          </w:tcPr>
          <w:p>
            <w:pPr>
              <w:ind w:left="160"/>
              <w:spacing w:after="0"/>
              <w:rPr>
                <w:sz w:val="20"/>
                <w:szCs w:val="20"/>
                <w:color w:val="auto"/>
              </w:rPr>
            </w:pPr>
            <w:r>
              <w:rPr>
                <w:rFonts w:ascii="Arial" w:cs="Arial" w:eastAsia="Arial" w:hAnsi="Arial"/>
                <w:sz w:val="16"/>
                <w:szCs w:val="16"/>
                <w:color w:val="auto"/>
              </w:rPr>
              <w:t>Amendment to Articles of Incorporation, dated as of May 12, 2009 (filed as Exhibit 3 to the June 30, 2009, Form 10-Q, File No. 1-3548).</w:t>
            </w:r>
          </w:p>
        </w:tc>
      </w:tr>
      <w:tr>
        <w:trPr>
          <w:trHeight w:val="33"/>
        </w:trPr>
        <w:tc>
          <w:tcPr>
            <w:tcW w:w="820" w:type="dxa"/>
            <w:vAlign w:val="bottom"/>
          </w:tcPr>
          <w:p>
            <w:pPr>
              <w:spacing w:after="0"/>
              <w:rPr>
                <w:sz w:val="2"/>
                <w:szCs w:val="2"/>
                <w:color w:val="auto"/>
              </w:rPr>
            </w:pPr>
          </w:p>
        </w:tc>
        <w:tc>
          <w:tcPr>
            <w:tcW w:w="680" w:type="dxa"/>
            <w:vAlign w:val="bottom"/>
          </w:tcPr>
          <w:p>
            <w:pPr>
              <w:spacing w:after="0"/>
              <w:rPr>
                <w:sz w:val="2"/>
                <w:szCs w:val="2"/>
                <w:color w:val="auto"/>
              </w:rPr>
            </w:pPr>
          </w:p>
        </w:tc>
        <w:tc>
          <w:tcPr>
            <w:tcW w:w="9920" w:type="dxa"/>
            <w:vAlign w:val="bottom"/>
            <w:gridSpan w:val="4"/>
          </w:tcPr>
          <w:p>
            <w:pPr>
              <w:spacing w:after="0"/>
              <w:rPr>
                <w:sz w:val="2"/>
                <w:szCs w:val="2"/>
                <w:color w:val="auto"/>
              </w:rPr>
            </w:pPr>
          </w:p>
        </w:tc>
      </w:tr>
      <w:tr>
        <w:trPr>
          <w:trHeight w:val="237"/>
        </w:trPr>
        <w:tc>
          <w:tcPr>
            <w:tcW w:w="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*3(a)3</w:t>
            </w:r>
          </w:p>
        </w:tc>
        <w:tc>
          <w:tcPr>
            <w:tcW w:w="6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w:t>
            </w:r>
          </w:p>
        </w:tc>
        <w:tc>
          <w:tcPr>
            <w:tcW w:w="9920" w:type="dxa"/>
            <w:vAlign w:val="bottom"/>
            <w:tcBorders>
              <w:bottom w:val="single" w:sz="8" w:color="CCEEFF"/>
            </w:tcBorders>
            <w:gridSpan w:val="4"/>
            <w:shd w:val="clear" w:color="auto" w:fill="CCEEFF"/>
          </w:tcPr>
          <w:p>
            <w:pPr>
              <w:ind w:left="160"/>
              <w:spacing w:after="0"/>
              <w:rPr>
                <w:sz w:val="20"/>
                <w:szCs w:val="20"/>
                <w:color w:val="auto"/>
              </w:rPr>
            </w:pPr>
            <w:r>
              <w:rPr>
                <w:rFonts w:ascii="Arial" w:cs="Arial" w:eastAsia="Arial" w:hAnsi="Arial"/>
                <w:sz w:val="16"/>
                <w:szCs w:val="16"/>
                <w:color w:val="auto"/>
              </w:rPr>
              <w:t>Amendment to Articles of Incorporation, dated as of May 19, 2010 (filed as Exhibit 3(a) to the May 14, 2010, Form 8-K, File No. 1-3548).</w:t>
            </w:r>
          </w:p>
        </w:tc>
      </w:tr>
      <w:tr>
        <w:trPr>
          <w:trHeight w:val="220"/>
        </w:trPr>
        <w:tc>
          <w:tcPr>
            <w:tcW w:w="820" w:type="dxa"/>
            <w:vAlign w:val="bottom"/>
          </w:tcPr>
          <w:p>
            <w:pPr>
              <w:ind w:left="40"/>
              <w:spacing w:after="0"/>
              <w:rPr>
                <w:sz w:val="20"/>
                <w:szCs w:val="20"/>
                <w:color w:val="auto"/>
              </w:rPr>
            </w:pPr>
            <w:r>
              <w:rPr>
                <w:rFonts w:ascii="Arial" w:cs="Arial" w:eastAsia="Arial" w:hAnsi="Arial"/>
                <w:sz w:val="16"/>
                <w:szCs w:val="16"/>
                <w:color w:val="auto"/>
              </w:rPr>
              <w:t>*3(a)4</w:t>
            </w:r>
          </w:p>
        </w:tc>
        <w:tc>
          <w:tcPr>
            <w:tcW w:w="680" w:type="dxa"/>
            <w:vAlign w:val="bottom"/>
          </w:tcPr>
          <w:p>
            <w:pPr>
              <w:ind w:left="360"/>
              <w:spacing w:after="0"/>
              <w:rPr>
                <w:sz w:val="20"/>
                <w:szCs w:val="20"/>
                <w:color w:val="auto"/>
              </w:rPr>
            </w:pPr>
            <w:r>
              <w:rPr>
                <w:rFonts w:ascii="Arial" w:cs="Arial" w:eastAsia="Arial" w:hAnsi="Arial"/>
                <w:sz w:val="16"/>
                <w:szCs w:val="16"/>
                <w:color w:val="auto"/>
              </w:rPr>
              <w:t>—</w:t>
            </w:r>
          </w:p>
        </w:tc>
        <w:tc>
          <w:tcPr>
            <w:tcW w:w="7860" w:type="dxa"/>
            <w:vAlign w:val="bottom"/>
            <w:gridSpan w:val="3"/>
          </w:tcPr>
          <w:p>
            <w:pPr>
              <w:ind w:left="160"/>
              <w:spacing w:after="0"/>
              <w:rPr>
                <w:sz w:val="20"/>
                <w:szCs w:val="20"/>
                <w:color w:val="auto"/>
              </w:rPr>
            </w:pPr>
            <w:r>
              <w:rPr>
                <w:rFonts w:ascii="Arial" w:cs="Arial" w:eastAsia="Arial" w:hAnsi="Arial"/>
                <w:sz w:val="16"/>
                <w:szCs w:val="16"/>
                <w:color w:val="auto"/>
                <w:w w:val="95"/>
              </w:rPr>
              <w:t>Amendment to Certificate of Assumed Name, filed with the Minnesota Secretary of State on May 8, 2001 (filed as</w:t>
            </w:r>
          </w:p>
        </w:tc>
        <w:tc>
          <w:tcPr>
            <w:tcW w:w="2060" w:type="dxa"/>
            <w:vAlign w:val="bottom"/>
          </w:tcPr>
          <w:p>
            <w:pPr>
              <w:spacing w:after="0"/>
              <w:rPr>
                <w:sz w:val="19"/>
                <w:szCs w:val="19"/>
                <w:color w:val="auto"/>
              </w:rPr>
            </w:pPr>
          </w:p>
        </w:tc>
      </w:tr>
      <w:tr>
        <w:trPr>
          <w:trHeight w:val="206"/>
        </w:trPr>
        <w:tc>
          <w:tcPr>
            <w:tcW w:w="8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860" w:type="dxa"/>
            <w:vAlign w:val="bottom"/>
            <w:gridSpan w:val="3"/>
          </w:tcPr>
          <w:p>
            <w:pPr>
              <w:ind w:left="160"/>
              <w:spacing w:after="0"/>
              <w:rPr>
                <w:sz w:val="20"/>
                <w:szCs w:val="20"/>
                <w:color w:val="auto"/>
              </w:rPr>
            </w:pPr>
            <w:r>
              <w:rPr>
                <w:rFonts w:ascii="Arial" w:cs="Arial" w:eastAsia="Arial" w:hAnsi="Arial"/>
                <w:sz w:val="16"/>
                <w:szCs w:val="16"/>
                <w:color w:val="auto"/>
              </w:rPr>
              <w:t>Exhibit 3(a) to the March 31, 2001, Form 10-Q, File No. 1-3548).</w:t>
            </w:r>
          </w:p>
        </w:tc>
        <w:tc>
          <w:tcPr>
            <w:tcW w:w="2060" w:type="dxa"/>
            <w:vAlign w:val="bottom"/>
          </w:tcPr>
          <w:p>
            <w:pPr>
              <w:spacing w:after="0"/>
              <w:rPr>
                <w:sz w:val="17"/>
                <w:szCs w:val="17"/>
                <w:color w:val="auto"/>
              </w:rPr>
            </w:pPr>
          </w:p>
        </w:tc>
      </w:tr>
      <w:tr>
        <w:trPr>
          <w:trHeight w:val="33"/>
        </w:trPr>
        <w:tc>
          <w:tcPr>
            <w:tcW w:w="820" w:type="dxa"/>
            <w:vAlign w:val="bottom"/>
          </w:tcPr>
          <w:p>
            <w:pPr>
              <w:spacing w:after="0"/>
              <w:rPr>
                <w:sz w:val="2"/>
                <w:szCs w:val="2"/>
                <w:color w:val="auto"/>
              </w:rPr>
            </w:pPr>
          </w:p>
        </w:tc>
        <w:tc>
          <w:tcPr>
            <w:tcW w:w="680" w:type="dxa"/>
            <w:vAlign w:val="bottom"/>
          </w:tcPr>
          <w:p>
            <w:pPr>
              <w:spacing w:after="0"/>
              <w:rPr>
                <w:sz w:val="2"/>
                <w:szCs w:val="2"/>
                <w:color w:val="auto"/>
              </w:rPr>
            </w:pPr>
          </w:p>
        </w:tc>
        <w:tc>
          <w:tcPr>
            <w:tcW w:w="7860" w:type="dxa"/>
            <w:vAlign w:val="bottom"/>
            <w:gridSpan w:val="3"/>
          </w:tcPr>
          <w:p>
            <w:pPr>
              <w:spacing w:after="0"/>
              <w:rPr>
                <w:sz w:val="2"/>
                <w:szCs w:val="2"/>
                <w:color w:val="auto"/>
              </w:rPr>
            </w:pPr>
          </w:p>
        </w:tc>
        <w:tc>
          <w:tcPr>
            <w:tcW w:w="2060" w:type="dxa"/>
            <w:vAlign w:val="bottom"/>
          </w:tcPr>
          <w:p>
            <w:pPr>
              <w:spacing w:after="0"/>
              <w:rPr>
                <w:sz w:val="2"/>
                <w:szCs w:val="2"/>
                <w:color w:val="auto"/>
              </w:rPr>
            </w:pPr>
          </w:p>
        </w:tc>
      </w:tr>
      <w:tr>
        <w:trPr>
          <w:trHeight w:val="237"/>
        </w:trPr>
        <w:tc>
          <w:tcPr>
            <w:tcW w:w="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*3(b)</w:t>
            </w:r>
          </w:p>
        </w:tc>
        <w:tc>
          <w:tcPr>
            <w:tcW w:w="6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w:t>
            </w:r>
          </w:p>
        </w:tc>
        <w:tc>
          <w:tcPr>
            <w:tcW w:w="786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6"/>
                <w:szCs w:val="16"/>
                <w:color w:val="auto"/>
                <w:w w:val="95"/>
              </w:rPr>
              <w:t>Bylaws, as amended effective May 11, 2010 (filed as Exhibit 3(b) to the May 14, 2010, Form 8-K, File No. 1-3548).</w:t>
            </w:r>
          </w:p>
        </w:tc>
        <w:tc>
          <w:tcPr>
            <w:tcW w:w="2060" w:type="dxa"/>
            <w:vAlign w:val="bottom"/>
            <w:tcBorders>
              <w:bottom w:val="single" w:sz="8" w:color="CCEEFF"/>
            </w:tcBorders>
            <w:shd w:val="clear" w:color="auto" w:fill="CCEEFF"/>
          </w:tcPr>
          <w:p>
            <w:pPr>
              <w:spacing w:after="0"/>
              <w:rPr>
                <w:sz w:val="20"/>
                <w:szCs w:val="20"/>
                <w:color w:val="auto"/>
              </w:rPr>
            </w:pPr>
          </w:p>
        </w:tc>
      </w:tr>
      <w:tr>
        <w:trPr>
          <w:trHeight w:val="220"/>
        </w:trPr>
        <w:tc>
          <w:tcPr>
            <w:tcW w:w="820" w:type="dxa"/>
            <w:vAlign w:val="bottom"/>
          </w:tcPr>
          <w:p>
            <w:pPr>
              <w:ind w:left="40"/>
              <w:spacing w:after="0"/>
              <w:rPr>
                <w:sz w:val="20"/>
                <w:szCs w:val="20"/>
                <w:color w:val="auto"/>
              </w:rPr>
            </w:pPr>
            <w:r>
              <w:rPr>
                <w:rFonts w:ascii="Arial" w:cs="Arial" w:eastAsia="Arial" w:hAnsi="Arial"/>
                <w:sz w:val="16"/>
                <w:szCs w:val="16"/>
                <w:color w:val="auto"/>
              </w:rPr>
              <w:t>*4(a)1</w:t>
            </w:r>
          </w:p>
        </w:tc>
        <w:tc>
          <w:tcPr>
            <w:tcW w:w="680" w:type="dxa"/>
            <w:vAlign w:val="bottom"/>
          </w:tcPr>
          <w:p>
            <w:pPr>
              <w:ind w:left="360"/>
              <w:spacing w:after="0"/>
              <w:rPr>
                <w:sz w:val="20"/>
                <w:szCs w:val="20"/>
                <w:color w:val="auto"/>
              </w:rPr>
            </w:pPr>
            <w:r>
              <w:rPr>
                <w:rFonts w:ascii="Arial" w:cs="Arial" w:eastAsia="Arial" w:hAnsi="Arial"/>
                <w:sz w:val="16"/>
                <w:szCs w:val="16"/>
                <w:color w:val="auto"/>
              </w:rPr>
              <w:t>—</w:t>
            </w:r>
          </w:p>
        </w:tc>
        <w:tc>
          <w:tcPr>
            <w:tcW w:w="9920" w:type="dxa"/>
            <w:vAlign w:val="bottom"/>
            <w:gridSpan w:val="4"/>
          </w:tcPr>
          <w:p>
            <w:pPr>
              <w:ind w:left="160"/>
              <w:spacing w:after="0"/>
              <w:rPr>
                <w:sz w:val="20"/>
                <w:szCs w:val="20"/>
                <w:color w:val="auto"/>
              </w:rPr>
            </w:pPr>
            <w:r>
              <w:rPr>
                <w:rFonts w:ascii="Arial" w:cs="Arial" w:eastAsia="Arial" w:hAnsi="Arial"/>
                <w:sz w:val="16"/>
                <w:szCs w:val="16"/>
                <w:color w:val="auto"/>
                <w:w w:val="95"/>
              </w:rPr>
              <w:t>Mortgage and Deed of Trust, dated as of September 1, 1945, between Minnesota Power &amp; Light Company (now ALLETE) and The Bank of New</w:t>
            </w:r>
          </w:p>
        </w:tc>
      </w:tr>
      <w:tr>
        <w:trPr>
          <w:trHeight w:val="206"/>
        </w:trPr>
        <w:tc>
          <w:tcPr>
            <w:tcW w:w="8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920" w:type="dxa"/>
            <w:vAlign w:val="bottom"/>
            <w:gridSpan w:val="4"/>
          </w:tcPr>
          <w:p>
            <w:pPr>
              <w:ind w:left="160"/>
              <w:spacing w:after="0"/>
              <w:rPr>
                <w:sz w:val="20"/>
                <w:szCs w:val="20"/>
                <w:color w:val="auto"/>
              </w:rPr>
            </w:pPr>
            <w:r>
              <w:rPr>
                <w:rFonts w:ascii="Arial" w:cs="Arial" w:eastAsia="Arial" w:hAnsi="Arial"/>
                <w:sz w:val="16"/>
                <w:szCs w:val="16"/>
                <w:color w:val="auto"/>
                <w:w w:val="94"/>
              </w:rPr>
              <w:t>York Mellon (formerly Irving Trust Company) and Philip L. Watson (successor to Richard H. West), Trustees (filed as Exhibit 7(c), File No. 2-5865).</w:t>
            </w:r>
          </w:p>
        </w:tc>
      </w:tr>
      <w:tr>
        <w:trPr>
          <w:trHeight w:val="33"/>
        </w:trPr>
        <w:tc>
          <w:tcPr>
            <w:tcW w:w="820" w:type="dxa"/>
            <w:vAlign w:val="bottom"/>
          </w:tcPr>
          <w:p>
            <w:pPr>
              <w:spacing w:after="0"/>
              <w:rPr>
                <w:sz w:val="2"/>
                <w:szCs w:val="2"/>
                <w:color w:val="auto"/>
              </w:rPr>
            </w:pPr>
          </w:p>
        </w:tc>
        <w:tc>
          <w:tcPr>
            <w:tcW w:w="680" w:type="dxa"/>
            <w:vAlign w:val="bottom"/>
          </w:tcPr>
          <w:p>
            <w:pPr>
              <w:spacing w:after="0"/>
              <w:rPr>
                <w:sz w:val="2"/>
                <w:szCs w:val="2"/>
                <w:color w:val="auto"/>
              </w:rPr>
            </w:pPr>
          </w:p>
        </w:tc>
        <w:tc>
          <w:tcPr>
            <w:tcW w:w="7860" w:type="dxa"/>
            <w:vAlign w:val="bottom"/>
            <w:gridSpan w:val="3"/>
          </w:tcPr>
          <w:p>
            <w:pPr>
              <w:spacing w:after="0"/>
              <w:rPr>
                <w:sz w:val="2"/>
                <w:szCs w:val="2"/>
                <w:color w:val="auto"/>
              </w:rPr>
            </w:pPr>
          </w:p>
        </w:tc>
        <w:tc>
          <w:tcPr>
            <w:tcW w:w="2060" w:type="dxa"/>
            <w:vAlign w:val="bottom"/>
          </w:tcPr>
          <w:p>
            <w:pPr>
              <w:spacing w:after="0"/>
              <w:rPr>
                <w:sz w:val="2"/>
                <w:szCs w:val="2"/>
                <w:color w:val="auto"/>
              </w:rPr>
            </w:pPr>
          </w:p>
        </w:tc>
      </w:tr>
      <w:tr>
        <w:trPr>
          <w:trHeight w:val="237"/>
        </w:trPr>
        <w:tc>
          <w:tcPr>
            <w:tcW w:w="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*4(a)2</w:t>
            </w:r>
          </w:p>
        </w:tc>
        <w:tc>
          <w:tcPr>
            <w:tcW w:w="6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w:t>
            </w:r>
          </w:p>
        </w:tc>
        <w:tc>
          <w:tcPr>
            <w:tcW w:w="786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6"/>
                <w:szCs w:val="16"/>
                <w:color w:val="auto"/>
              </w:rPr>
              <w:t>Supplemental Indentures to ALLETE’s Mortgage and Deed of Trust:</w:t>
            </w:r>
          </w:p>
        </w:tc>
        <w:tc>
          <w:tcPr>
            <w:tcW w:w="2060" w:type="dxa"/>
            <w:vAlign w:val="bottom"/>
            <w:tcBorders>
              <w:bottom w:val="single" w:sz="8" w:color="CCEEFF"/>
            </w:tcBorders>
            <w:shd w:val="clear" w:color="auto" w:fill="CCEEFF"/>
          </w:tcPr>
          <w:p>
            <w:pPr>
              <w:spacing w:after="0"/>
              <w:rPr>
                <w:sz w:val="20"/>
                <w:szCs w:val="20"/>
                <w:color w:val="auto"/>
              </w:rPr>
            </w:pPr>
          </w:p>
        </w:tc>
      </w:tr>
      <w:tr>
        <w:trPr>
          <w:trHeight w:val="224"/>
        </w:trPr>
        <w:tc>
          <w:tcPr>
            <w:tcW w:w="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580" w:type="dxa"/>
            <w:vAlign w:val="bottom"/>
          </w:tcPr>
          <w:p>
            <w:pPr>
              <w:ind w:left="160"/>
              <w:spacing w:after="0"/>
              <w:rPr>
                <w:sz w:val="20"/>
                <w:szCs w:val="20"/>
                <w:color w:val="auto"/>
              </w:rPr>
            </w:pPr>
            <w:r>
              <w:rPr>
                <w:rFonts w:ascii="Arial" w:cs="Arial" w:eastAsia="Arial" w:hAnsi="Arial"/>
                <w:sz w:val="16"/>
                <w:szCs w:val="16"/>
                <w:b w:val="1"/>
                <w:bCs w:val="1"/>
                <w:color w:val="auto"/>
              </w:rPr>
              <w:t>Number</w:t>
            </w:r>
          </w:p>
        </w:tc>
        <w:tc>
          <w:tcPr>
            <w:tcW w:w="1920" w:type="dxa"/>
            <w:vAlign w:val="bottom"/>
          </w:tcPr>
          <w:p>
            <w:pPr>
              <w:ind w:left="400"/>
              <w:spacing w:after="0"/>
              <w:rPr>
                <w:sz w:val="20"/>
                <w:szCs w:val="20"/>
                <w:color w:val="auto"/>
              </w:rPr>
            </w:pPr>
            <w:r>
              <w:rPr>
                <w:rFonts w:ascii="Arial" w:cs="Arial" w:eastAsia="Arial" w:hAnsi="Arial"/>
                <w:sz w:val="16"/>
                <w:szCs w:val="16"/>
                <w:b w:val="1"/>
                <w:bCs w:val="1"/>
                <w:color w:val="auto"/>
              </w:rPr>
              <w:t>Dated as of</w:t>
            </w:r>
          </w:p>
        </w:tc>
        <w:tc>
          <w:tcPr>
            <w:tcW w:w="4360" w:type="dxa"/>
            <w:vAlign w:val="bottom"/>
          </w:tcPr>
          <w:p>
            <w:pPr>
              <w:ind w:left="300"/>
              <w:spacing w:after="0"/>
              <w:rPr>
                <w:sz w:val="20"/>
                <w:szCs w:val="20"/>
                <w:color w:val="auto"/>
              </w:rPr>
            </w:pPr>
            <w:r>
              <w:rPr>
                <w:rFonts w:ascii="Arial" w:cs="Arial" w:eastAsia="Arial" w:hAnsi="Arial"/>
                <w:sz w:val="16"/>
                <w:szCs w:val="16"/>
                <w:b w:val="1"/>
                <w:bCs w:val="1"/>
                <w:color w:val="auto"/>
              </w:rPr>
              <w:t>Reference File</w:t>
            </w:r>
          </w:p>
        </w:tc>
        <w:tc>
          <w:tcPr>
            <w:tcW w:w="2060" w:type="dxa"/>
            <w:vAlign w:val="bottom"/>
          </w:tcPr>
          <w:p>
            <w:pPr>
              <w:ind w:left="160"/>
              <w:spacing w:after="0"/>
              <w:rPr>
                <w:sz w:val="20"/>
                <w:szCs w:val="20"/>
                <w:color w:val="auto"/>
              </w:rPr>
            </w:pPr>
            <w:r>
              <w:rPr>
                <w:rFonts w:ascii="Arial" w:cs="Arial" w:eastAsia="Arial" w:hAnsi="Arial"/>
                <w:sz w:val="16"/>
                <w:szCs w:val="16"/>
                <w:b w:val="1"/>
                <w:bCs w:val="1"/>
                <w:color w:val="auto"/>
              </w:rPr>
              <w:t>Exhibit</w:t>
            </w:r>
          </w:p>
        </w:tc>
      </w:tr>
      <w:tr>
        <w:trPr>
          <w:trHeight w:val="33"/>
        </w:trPr>
        <w:tc>
          <w:tcPr>
            <w:tcW w:w="8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436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37"/>
        </w:trPr>
        <w:tc>
          <w:tcPr>
            <w:tcW w:w="8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First</w:t>
            </w:r>
          </w:p>
        </w:tc>
        <w:tc>
          <w:tcPr>
            <w:tcW w:w="192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6"/>
                <w:szCs w:val="16"/>
                <w:color w:val="auto"/>
              </w:rPr>
              <w:t>March 1, 1949</w:t>
            </w:r>
          </w:p>
        </w:tc>
        <w:tc>
          <w:tcPr>
            <w:tcW w:w="43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6"/>
                <w:szCs w:val="16"/>
                <w:color w:val="auto"/>
              </w:rPr>
              <w:t>2-7826</w:t>
            </w:r>
          </w:p>
        </w:tc>
        <w:tc>
          <w:tcPr>
            <w:tcW w:w="20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7(b)</w:t>
            </w:r>
          </w:p>
        </w:tc>
      </w:tr>
      <w:tr>
        <w:trPr>
          <w:trHeight w:val="224"/>
        </w:trPr>
        <w:tc>
          <w:tcPr>
            <w:tcW w:w="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580" w:type="dxa"/>
            <w:vAlign w:val="bottom"/>
          </w:tcPr>
          <w:p>
            <w:pPr>
              <w:ind w:left="160"/>
              <w:spacing w:after="0"/>
              <w:rPr>
                <w:sz w:val="20"/>
                <w:szCs w:val="20"/>
                <w:color w:val="auto"/>
              </w:rPr>
            </w:pPr>
            <w:r>
              <w:rPr>
                <w:rFonts w:ascii="Arial" w:cs="Arial" w:eastAsia="Arial" w:hAnsi="Arial"/>
                <w:sz w:val="16"/>
                <w:szCs w:val="16"/>
                <w:color w:val="auto"/>
              </w:rPr>
              <w:t>Second</w:t>
            </w:r>
          </w:p>
        </w:tc>
        <w:tc>
          <w:tcPr>
            <w:tcW w:w="1920" w:type="dxa"/>
            <w:vAlign w:val="bottom"/>
          </w:tcPr>
          <w:p>
            <w:pPr>
              <w:ind w:left="400"/>
              <w:spacing w:after="0"/>
              <w:rPr>
                <w:sz w:val="20"/>
                <w:szCs w:val="20"/>
                <w:color w:val="auto"/>
              </w:rPr>
            </w:pPr>
            <w:r>
              <w:rPr>
                <w:rFonts w:ascii="Arial" w:cs="Arial" w:eastAsia="Arial" w:hAnsi="Arial"/>
                <w:sz w:val="16"/>
                <w:szCs w:val="16"/>
                <w:color w:val="auto"/>
              </w:rPr>
              <w:t>July 1, 1951</w:t>
            </w:r>
          </w:p>
        </w:tc>
        <w:tc>
          <w:tcPr>
            <w:tcW w:w="4360" w:type="dxa"/>
            <w:vAlign w:val="bottom"/>
          </w:tcPr>
          <w:p>
            <w:pPr>
              <w:ind w:left="300"/>
              <w:spacing w:after="0"/>
              <w:rPr>
                <w:sz w:val="20"/>
                <w:szCs w:val="20"/>
                <w:color w:val="auto"/>
              </w:rPr>
            </w:pPr>
            <w:r>
              <w:rPr>
                <w:rFonts w:ascii="Arial" w:cs="Arial" w:eastAsia="Arial" w:hAnsi="Arial"/>
                <w:sz w:val="16"/>
                <w:szCs w:val="16"/>
                <w:color w:val="auto"/>
              </w:rPr>
              <w:t>2-9036</w:t>
            </w:r>
          </w:p>
        </w:tc>
        <w:tc>
          <w:tcPr>
            <w:tcW w:w="2060" w:type="dxa"/>
            <w:vAlign w:val="bottom"/>
          </w:tcPr>
          <w:p>
            <w:pPr>
              <w:ind w:left="160"/>
              <w:spacing w:after="0"/>
              <w:rPr>
                <w:sz w:val="20"/>
                <w:szCs w:val="20"/>
                <w:color w:val="auto"/>
              </w:rPr>
            </w:pPr>
            <w:r>
              <w:rPr>
                <w:rFonts w:ascii="Arial" w:cs="Arial" w:eastAsia="Arial" w:hAnsi="Arial"/>
                <w:sz w:val="16"/>
                <w:szCs w:val="16"/>
                <w:color w:val="auto"/>
              </w:rPr>
              <w:t>7(c)</w:t>
            </w:r>
          </w:p>
        </w:tc>
      </w:tr>
      <w:tr>
        <w:trPr>
          <w:trHeight w:val="33"/>
        </w:trPr>
        <w:tc>
          <w:tcPr>
            <w:tcW w:w="8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436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37"/>
        </w:trPr>
        <w:tc>
          <w:tcPr>
            <w:tcW w:w="8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Third</w:t>
            </w:r>
          </w:p>
        </w:tc>
        <w:tc>
          <w:tcPr>
            <w:tcW w:w="192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6"/>
                <w:szCs w:val="16"/>
                <w:color w:val="auto"/>
              </w:rPr>
              <w:t>March 1, 1957</w:t>
            </w:r>
          </w:p>
        </w:tc>
        <w:tc>
          <w:tcPr>
            <w:tcW w:w="43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6"/>
                <w:szCs w:val="16"/>
                <w:color w:val="auto"/>
              </w:rPr>
              <w:t>2-13075</w:t>
            </w:r>
          </w:p>
        </w:tc>
        <w:tc>
          <w:tcPr>
            <w:tcW w:w="20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2(c)</w:t>
            </w:r>
          </w:p>
        </w:tc>
      </w:tr>
      <w:tr>
        <w:trPr>
          <w:trHeight w:val="224"/>
        </w:trPr>
        <w:tc>
          <w:tcPr>
            <w:tcW w:w="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580" w:type="dxa"/>
            <w:vAlign w:val="bottom"/>
          </w:tcPr>
          <w:p>
            <w:pPr>
              <w:ind w:left="160"/>
              <w:spacing w:after="0"/>
              <w:rPr>
                <w:sz w:val="20"/>
                <w:szCs w:val="20"/>
                <w:color w:val="auto"/>
              </w:rPr>
            </w:pPr>
            <w:r>
              <w:rPr>
                <w:rFonts w:ascii="Arial" w:cs="Arial" w:eastAsia="Arial" w:hAnsi="Arial"/>
                <w:sz w:val="16"/>
                <w:szCs w:val="16"/>
                <w:color w:val="auto"/>
              </w:rPr>
              <w:t>Fourth</w:t>
            </w:r>
          </w:p>
        </w:tc>
        <w:tc>
          <w:tcPr>
            <w:tcW w:w="1920" w:type="dxa"/>
            <w:vAlign w:val="bottom"/>
          </w:tcPr>
          <w:p>
            <w:pPr>
              <w:ind w:left="400"/>
              <w:spacing w:after="0"/>
              <w:rPr>
                <w:sz w:val="20"/>
                <w:szCs w:val="20"/>
                <w:color w:val="auto"/>
              </w:rPr>
            </w:pPr>
            <w:r>
              <w:rPr>
                <w:rFonts w:ascii="Arial" w:cs="Arial" w:eastAsia="Arial" w:hAnsi="Arial"/>
                <w:sz w:val="16"/>
                <w:szCs w:val="16"/>
                <w:color w:val="auto"/>
              </w:rPr>
              <w:t>January 1, 1968</w:t>
            </w:r>
          </w:p>
        </w:tc>
        <w:tc>
          <w:tcPr>
            <w:tcW w:w="4360" w:type="dxa"/>
            <w:vAlign w:val="bottom"/>
          </w:tcPr>
          <w:p>
            <w:pPr>
              <w:ind w:left="300"/>
              <w:spacing w:after="0"/>
              <w:rPr>
                <w:sz w:val="20"/>
                <w:szCs w:val="20"/>
                <w:color w:val="auto"/>
              </w:rPr>
            </w:pPr>
            <w:r>
              <w:rPr>
                <w:rFonts w:ascii="Arial" w:cs="Arial" w:eastAsia="Arial" w:hAnsi="Arial"/>
                <w:sz w:val="16"/>
                <w:szCs w:val="16"/>
                <w:color w:val="auto"/>
              </w:rPr>
              <w:t>2-27794</w:t>
            </w:r>
          </w:p>
        </w:tc>
        <w:tc>
          <w:tcPr>
            <w:tcW w:w="2060" w:type="dxa"/>
            <w:vAlign w:val="bottom"/>
          </w:tcPr>
          <w:p>
            <w:pPr>
              <w:ind w:left="160"/>
              <w:spacing w:after="0"/>
              <w:rPr>
                <w:sz w:val="20"/>
                <w:szCs w:val="20"/>
                <w:color w:val="auto"/>
              </w:rPr>
            </w:pPr>
            <w:r>
              <w:rPr>
                <w:rFonts w:ascii="Arial" w:cs="Arial" w:eastAsia="Arial" w:hAnsi="Arial"/>
                <w:sz w:val="16"/>
                <w:szCs w:val="16"/>
                <w:color w:val="auto"/>
              </w:rPr>
              <w:t>2(c)</w:t>
            </w:r>
          </w:p>
        </w:tc>
      </w:tr>
      <w:tr>
        <w:trPr>
          <w:trHeight w:val="33"/>
        </w:trPr>
        <w:tc>
          <w:tcPr>
            <w:tcW w:w="8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436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37"/>
        </w:trPr>
        <w:tc>
          <w:tcPr>
            <w:tcW w:w="8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Fifth</w:t>
            </w:r>
          </w:p>
        </w:tc>
        <w:tc>
          <w:tcPr>
            <w:tcW w:w="192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6"/>
                <w:szCs w:val="16"/>
                <w:color w:val="auto"/>
              </w:rPr>
              <w:t>April 1, 1971</w:t>
            </w:r>
          </w:p>
        </w:tc>
        <w:tc>
          <w:tcPr>
            <w:tcW w:w="43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6"/>
                <w:szCs w:val="16"/>
                <w:color w:val="auto"/>
              </w:rPr>
              <w:t>2-39537</w:t>
            </w:r>
          </w:p>
        </w:tc>
        <w:tc>
          <w:tcPr>
            <w:tcW w:w="20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2(c)</w:t>
            </w:r>
          </w:p>
        </w:tc>
      </w:tr>
      <w:tr>
        <w:trPr>
          <w:trHeight w:val="224"/>
        </w:trPr>
        <w:tc>
          <w:tcPr>
            <w:tcW w:w="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580" w:type="dxa"/>
            <w:vAlign w:val="bottom"/>
          </w:tcPr>
          <w:p>
            <w:pPr>
              <w:ind w:left="160"/>
              <w:spacing w:after="0"/>
              <w:rPr>
                <w:sz w:val="20"/>
                <w:szCs w:val="20"/>
                <w:color w:val="auto"/>
              </w:rPr>
            </w:pPr>
            <w:r>
              <w:rPr>
                <w:rFonts w:ascii="Arial" w:cs="Arial" w:eastAsia="Arial" w:hAnsi="Arial"/>
                <w:sz w:val="16"/>
                <w:szCs w:val="16"/>
                <w:color w:val="auto"/>
              </w:rPr>
              <w:t>Sixth</w:t>
            </w:r>
          </w:p>
        </w:tc>
        <w:tc>
          <w:tcPr>
            <w:tcW w:w="1920" w:type="dxa"/>
            <w:vAlign w:val="bottom"/>
          </w:tcPr>
          <w:p>
            <w:pPr>
              <w:ind w:left="400"/>
              <w:spacing w:after="0"/>
              <w:rPr>
                <w:sz w:val="20"/>
                <w:szCs w:val="20"/>
                <w:color w:val="auto"/>
              </w:rPr>
            </w:pPr>
            <w:r>
              <w:rPr>
                <w:rFonts w:ascii="Arial" w:cs="Arial" w:eastAsia="Arial" w:hAnsi="Arial"/>
                <w:sz w:val="16"/>
                <w:szCs w:val="16"/>
                <w:color w:val="auto"/>
              </w:rPr>
              <w:t>August 1, 1975</w:t>
            </w:r>
          </w:p>
        </w:tc>
        <w:tc>
          <w:tcPr>
            <w:tcW w:w="4360" w:type="dxa"/>
            <w:vAlign w:val="bottom"/>
          </w:tcPr>
          <w:p>
            <w:pPr>
              <w:ind w:left="300"/>
              <w:spacing w:after="0"/>
              <w:rPr>
                <w:sz w:val="20"/>
                <w:szCs w:val="20"/>
                <w:color w:val="auto"/>
              </w:rPr>
            </w:pPr>
            <w:r>
              <w:rPr>
                <w:rFonts w:ascii="Arial" w:cs="Arial" w:eastAsia="Arial" w:hAnsi="Arial"/>
                <w:sz w:val="16"/>
                <w:szCs w:val="16"/>
                <w:color w:val="auto"/>
              </w:rPr>
              <w:t>2-54116</w:t>
            </w:r>
          </w:p>
        </w:tc>
        <w:tc>
          <w:tcPr>
            <w:tcW w:w="2060" w:type="dxa"/>
            <w:vAlign w:val="bottom"/>
          </w:tcPr>
          <w:p>
            <w:pPr>
              <w:ind w:left="160"/>
              <w:spacing w:after="0"/>
              <w:rPr>
                <w:sz w:val="20"/>
                <w:szCs w:val="20"/>
                <w:color w:val="auto"/>
              </w:rPr>
            </w:pPr>
            <w:r>
              <w:rPr>
                <w:rFonts w:ascii="Arial" w:cs="Arial" w:eastAsia="Arial" w:hAnsi="Arial"/>
                <w:sz w:val="16"/>
                <w:szCs w:val="16"/>
                <w:color w:val="auto"/>
              </w:rPr>
              <w:t>2(c)</w:t>
            </w:r>
          </w:p>
        </w:tc>
      </w:tr>
      <w:tr>
        <w:trPr>
          <w:trHeight w:val="33"/>
        </w:trPr>
        <w:tc>
          <w:tcPr>
            <w:tcW w:w="8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436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37"/>
        </w:trPr>
        <w:tc>
          <w:tcPr>
            <w:tcW w:w="8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Seventh</w:t>
            </w:r>
          </w:p>
        </w:tc>
        <w:tc>
          <w:tcPr>
            <w:tcW w:w="192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6"/>
                <w:szCs w:val="16"/>
                <w:color w:val="auto"/>
              </w:rPr>
              <w:t>September 1, 1976</w:t>
            </w:r>
          </w:p>
        </w:tc>
        <w:tc>
          <w:tcPr>
            <w:tcW w:w="43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6"/>
                <w:szCs w:val="16"/>
                <w:color w:val="auto"/>
              </w:rPr>
              <w:t>2-57014</w:t>
            </w:r>
          </w:p>
        </w:tc>
        <w:tc>
          <w:tcPr>
            <w:tcW w:w="20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2(c)</w:t>
            </w:r>
          </w:p>
        </w:tc>
      </w:tr>
      <w:tr>
        <w:trPr>
          <w:trHeight w:val="224"/>
        </w:trPr>
        <w:tc>
          <w:tcPr>
            <w:tcW w:w="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580" w:type="dxa"/>
            <w:vAlign w:val="bottom"/>
          </w:tcPr>
          <w:p>
            <w:pPr>
              <w:ind w:left="160"/>
              <w:spacing w:after="0"/>
              <w:rPr>
                <w:sz w:val="20"/>
                <w:szCs w:val="20"/>
                <w:color w:val="auto"/>
              </w:rPr>
            </w:pPr>
            <w:r>
              <w:rPr>
                <w:rFonts w:ascii="Arial" w:cs="Arial" w:eastAsia="Arial" w:hAnsi="Arial"/>
                <w:sz w:val="16"/>
                <w:szCs w:val="16"/>
                <w:color w:val="auto"/>
              </w:rPr>
              <w:t>Eighth</w:t>
            </w:r>
          </w:p>
        </w:tc>
        <w:tc>
          <w:tcPr>
            <w:tcW w:w="1920" w:type="dxa"/>
            <w:vAlign w:val="bottom"/>
          </w:tcPr>
          <w:p>
            <w:pPr>
              <w:ind w:left="400"/>
              <w:spacing w:after="0"/>
              <w:rPr>
                <w:sz w:val="20"/>
                <w:szCs w:val="20"/>
                <w:color w:val="auto"/>
              </w:rPr>
            </w:pPr>
            <w:r>
              <w:rPr>
                <w:rFonts w:ascii="Arial" w:cs="Arial" w:eastAsia="Arial" w:hAnsi="Arial"/>
                <w:sz w:val="16"/>
                <w:szCs w:val="16"/>
                <w:color w:val="auto"/>
              </w:rPr>
              <w:t>September 1, 1977</w:t>
            </w:r>
          </w:p>
        </w:tc>
        <w:tc>
          <w:tcPr>
            <w:tcW w:w="4360" w:type="dxa"/>
            <w:vAlign w:val="bottom"/>
          </w:tcPr>
          <w:p>
            <w:pPr>
              <w:ind w:left="300"/>
              <w:spacing w:after="0"/>
              <w:rPr>
                <w:sz w:val="20"/>
                <w:szCs w:val="20"/>
                <w:color w:val="auto"/>
              </w:rPr>
            </w:pPr>
            <w:r>
              <w:rPr>
                <w:rFonts w:ascii="Arial" w:cs="Arial" w:eastAsia="Arial" w:hAnsi="Arial"/>
                <w:sz w:val="16"/>
                <w:szCs w:val="16"/>
                <w:color w:val="auto"/>
              </w:rPr>
              <w:t>2-59690</w:t>
            </w:r>
          </w:p>
        </w:tc>
        <w:tc>
          <w:tcPr>
            <w:tcW w:w="2060" w:type="dxa"/>
            <w:vAlign w:val="bottom"/>
          </w:tcPr>
          <w:p>
            <w:pPr>
              <w:ind w:left="160"/>
              <w:spacing w:after="0"/>
              <w:rPr>
                <w:sz w:val="20"/>
                <w:szCs w:val="20"/>
                <w:color w:val="auto"/>
              </w:rPr>
            </w:pPr>
            <w:r>
              <w:rPr>
                <w:rFonts w:ascii="Arial" w:cs="Arial" w:eastAsia="Arial" w:hAnsi="Arial"/>
                <w:sz w:val="16"/>
                <w:szCs w:val="16"/>
                <w:color w:val="auto"/>
              </w:rPr>
              <w:t>2(c)</w:t>
            </w:r>
          </w:p>
        </w:tc>
      </w:tr>
      <w:tr>
        <w:trPr>
          <w:trHeight w:val="33"/>
        </w:trPr>
        <w:tc>
          <w:tcPr>
            <w:tcW w:w="8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436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37"/>
        </w:trPr>
        <w:tc>
          <w:tcPr>
            <w:tcW w:w="8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Ninth</w:t>
            </w:r>
          </w:p>
        </w:tc>
        <w:tc>
          <w:tcPr>
            <w:tcW w:w="192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6"/>
                <w:szCs w:val="16"/>
                <w:color w:val="auto"/>
              </w:rPr>
              <w:t>April 1, 1978</w:t>
            </w:r>
          </w:p>
        </w:tc>
        <w:tc>
          <w:tcPr>
            <w:tcW w:w="43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6"/>
                <w:szCs w:val="16"/>
                <w:color w:val="auto"/>
              </w:rPr>
              <w:t>2-60866</w:t>
            </w:r>
          </w:p>
        </w:tc>
        <w:tc>
          <w:tcPr>
            <w:tcW w:w="20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2(c)</w:t>
            </w:r>
          </w:p>
        </w:tc>
      </w:tr>
      <w:tr>
        <w:trPr>
          <w:trHeight w:val="224"/>
        </w:trPr>
        <w:tc>
          <w:tcPr>
            <w:tcW w:w="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580" w:type="dxa"/>
            <w:vAlign w:val="bottom"/>
          </w:tcPr>
          <w:p>
            <w:pPr>
              <w:ind w:left="160"/>
              <w:spacing w:after="0"/>
              <w:rPr>
                <w:sz w:val="20"/>
                <w:szCs w:val="20"/>
                <w:color w:val="auto"/>
              </w:rPr>
            </w:pPr>
            <w:r>
              <w:rPr>
                <w:rFonts w:ascii="Arial" w:cs="Arial" w:eastAsia="Arial" w:hAnsi="Arial"/>
                <w:sz w:val="16"/>
                <w:szCs w:val="16"/>
                <w:color w:val="auto"/>
              </w:rPr>
              <w:t>Tenth</w:t>
            </w:r>
          </w:p>
        </w:tc>
        <w:tc>
          <w:tcPr>
            <w:tcW w:w="1920" w:type="dxa"/>
            <w:vAlign w:val="bottom"/>
          </w:tcPr>
          <w:p>
            <w:pPr>
              <w:ind w:left="400"/>
              <w:spacing w:after="0"/>
              <w:rPr>
                <w:sz w:val="20"/>
                <w:szCs w:val="20"/>
                <w:color w:val="auto"/>
              </w:rPr>
            </w:pPr>
            <w:r>
              <w:rPr>
                <w:rFonts w:ascii="Arial" w:cs="Arial" w:eastAsia="Arial" w:hAnsi="Arial"/>
                <w:sz w:val="16"/>
                <w:szCs w:val="16"/>
                <w:color w:val="auto"/>
              </w:rPr>
              <w:t>August 1, 1978</w:t>
            </w:r>
          </w:p>
        </w:tc>
        <w:tc>
          <w:tcPr>
            <w:tcW w:w="4360" w:type="dxa"/>
            <w:vAlign w:val="bottom"/>
          </w:tcPr>
          <w:p>
            <w:pPr>
              <w:ind w:left="300"/>
              <w:spacing w:after="0"/>
              <w:rPr>
                <w:sz w:val="20"/>
                <w:szCs w:val="20"/>
                <w:color w:val="auto"/>
              </w:rPr>
            </w:pPr>
            <w:r>
              <w:rPr>
                <w:rFonts w:ascii="Arial" w:cs="Arial" w:eastAsia="Arial" w:hAnsi="Arial"/>
                <w:sz w:val="16"/>
                <w:szCs w:val="16"/>
                <w:color w:val="auto"/>
              </w:rPr>
              <w:t>2-62852</w:t>
            </w:r>
          </w:p>
        </w:tc>
        <w:tc>
          <w:tcPr>
            <w:tcW w:w="2060" w:type="dxa"/>
            <w:vAlign w:val="bottom"/>
          </w:tcPr>
          <w:p>
            <w:pPr>
              <w:ind w:left="160"/>
              <w:spacing w:after="0"/>
              <w:rPr>
                <w:sz w:val="20"/>
                <w:szCs w:val="20"/>
                <w:color w:val="auto"/>
              </w:rPr>
            </w:pPr>
            <w:r>
              <w:rPr>
                <w:rFonts w:ascii="Arial" w:cs="Arial" w:eastAsia="Arial" w:hAnsi="Arial"/>
                <w:sz w:val="16"/>
                <w:szCs w:val="16"/>
                <w:color w:val="auto"/>
              </w:rPr>
              <w:t>2(d)2</w:t>
            </w:r>
          </w:p>
        </w:tc>
      </w:tr>
      <w:tr>
        <w:trPr>
          <w:trHeight w:val="33"/>
        </w:trPr>
        <w:tc>
          <w:tcPr>
            <w:tcW w:w="8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436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37"/>
        </w:trPr>
        <w:tc>
          <w:tcPr>
            <w:tcW w:w="8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Eleventh</w:t>
            </w:r>
          </w:p>
        </w:tc>
        <w:tc>
          <w:tcPr>
            <w:tcW w:w="192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6"/>
                <w:szCs w:val="16"/>
                <w:color w:val="auto"/>
              </w:rPr>
              <w:t>December 1, 1982</w:t>
            </w:r>
          </w:p>
        </w:tc>
        <w:tc>
          <w:tcPr>
            <w:tcW w:w="43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6"/>
                <w:szCs w:val="16"/>
                <w:color w:val="auto"/>
              </w:rPr>
              <w:t>2-56649</w:t>
            </w:r>
          </w:p>
        </w:tc>
        <w:tc>
          <w:tcPr>
            <w:tcW w:w="20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4(a)3</w:t>
            </w:r>
          </w:p>
        </w:tc>
      </w:tr>
      <w:tr>
        <w:trPr>
          <w:trHeight w:val="224"/>
        </w:trPr>
        <w:tc>
          <w:tcPr>
            <w:tcW w:w="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580" w:type="dxa"/>
            <w:vAlign w:val="bottom"/>
          </w:tcPr>
          <w:p>
            <w:pPr>
              <w:ind w:left="160"/>
              <w:spacing w:after="0"/>
              <w:rPr>
                <w:sz w:val="20"/>
                <w:szCs w:val="20"/>
                <w:color w:val="auto"/>
              </w:rPr>
            </w:pPr>
            <w:r>
              <w:rPr>
                <w:rFonts w:ascii="Arial" w:cs="Arial" w:eastAsia="Arial" w:hAnsi="Arial"/>
                <w:sz w:val="16"/>
                <w:szCs w:val="16"/>
                <w:color w:val="auto"/>
              </w:rPr>
              <w:t>Twelfth</w:t>
            </w:r>
          </w:p>
        </w:tc>
        <w:tc>
          <w:tcPr>
            <w:tcW w:w="1920" w:type="dxa"/>
            <w:vAlign w:val="bottom"/>
          </w:tcPr>
          <w:p>
            <w:pPr>
              <w:ind w:left="400"/>
              <w:spacing w:after="0"/>
              <w:rPr>
                <w:sz w:val="20"/>
                <w:szCs w:val="20"/>
                <w:color w:val="auto"/>
              </w:rPr>
            </w:pPr>
            <w:r>
              <w:rPr>
                <w:rFonts w:ascii="Arial" w:cs="Arial" w:eastAsia="Arial" w:hAnsi="Arial"/>
                <w:sz w:val="16"/>
                <w:szCs w:val="16"/>
                <w:color w:val="auto"/>
              </w:rPr>
              <w:t>April 1, 1987</w:t>
            </w:r>
          </w:p>
        </w:tc>
        <w:tc>
          <w:tcPr>
            <w:tcW w:w="4360" w:type="dxa"/>
            <w:vAlign w:val="bottom"/>
          </w:tcPr>
          <w:p>
            <w:pPr>
              <w:ind w:left="300"/>
              <w:spacing w:after="0"/>
              <w:rPr>
                <w:sz w:val="20"/>
                <w:szCs w:val="20"/>
                <w:color w:val="auto"/>
              </w:rPr>
            </w:pPr>
            <w:r>
              <w:rPr>
                <w:rFonts w:ascii="Arial" w:cs="Arial" w:eastAsia="Arial" w:hAnsi="Arial"/>
                <w:sz w:val="16"/>
                <w:szCs w:val="16"/>
                <w:color w:val="auto"/>
              </w:rPr>
              <w:t>33-30224</w:t>
            </w:r>
          </w:p>
        </w:tc>
        <w:tc>
          <w:tcPr>
            <w:tcW w:w="2060" w:type="dxa"/>
            <w:vAlign w:val="bottom"/>
          </w:tcPr>
          <w:p>
            <w:pPr>
              <w:ind w:left="160"/>
              <w:spacing w:after="0"/>
              <w:rPr>
                <w:sz w:val="20"/>
                <w:szCs w:val="20"/>
                <w:color w:val="auto"/>
              </w:rPr>
            </w:pPr>
            <w:r>
              <w:rPr>
                <w:rFonts w:ascii="Arial" w:cs="Arial" w:eastAsia="Arial" w:hAnsi="Arial"/>
                <w:sz w:val="16"/>
                <w:szCs w:val="16"/>
                <w:color w:val="auto"/>
              </w:rPr>
              <w:t>4(a)3</w:t>
            </w:r>
          </w:p>
        </w:tc>
      </w:tr>
      <w:tr>
        <w:trPr>
          <w:trHeight w:val="33"/>
        </w:trPr>
        <w:tc>
          <w:tcPr>
            <w:tcW w:w="8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436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37"/>
        </w:trPr>
        <w:tc>
          <w:tcPr>
            <w:tcW w:w="8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Thirteenth</w:t>
            </w:r>
          </w:p>
        </w:tc>
        <w:tc>
          <w:tcPr>
            <w:tcW w:w="192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6"/>
                <w:szCs w:val="16"/>
                <w:color w:val="auto"/>
              </w:rPr>
              <w:t>March 1, 1992</w:t>
            </w:r>
          </w:p>
        </w:tc>
        <w:tc>
          <w:tcPr>
            <w:tcW w:w="43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6"/>
                <w:szCs w:val="16"/>
                <w:color w:val="auto"/>
              </w:rPr>
              <w:t>33-47438</w:t>
            </w:r>
          </w:p>
        </w:tc>
        <w:tc>
          <w:tcPr>
            <w:tcW w:w="20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4(b)</w:t>
            </w:r>
          </w:p>
        </w:tc>
      </w:tr>
      <w:tr>
        <w:trPr>
          <w:trHeight w:val="224"/>
        </w:trPr>
        <w:tc>
          <w:tcPr>
            <w:tcW w:w="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580" w:type="dxa"/>
            <w:vAlign w:val="bottom"/>
          </w:tcPr>
          <w:p>
            <w:pPr>
              <w:ind w:left="160"/>
              <w:spacing w:after="0"/>
              <w:rPr>
                <w:sz w:val="20"/>
                <w:szCs w:val="20"/>
                <w:color w:val="auto"/>
              </w:rPr>
            </w:pPr>
            <w:r>
              <w:rPr>
                <w:rFonts w:ascii="Arial" w:cs="Arial" w:eastAsia="Arial" w:hAnsi="Arial"/>
                <w:sz w:val="16"/>
                <w:szCs w:val="16"/>
                <w:color w:val="auto"/>
              </w:rPr>
              <w:t>Fourteenth</w:t>
            </w:r>
          </w:p>
        </w:tc>
        <w:tc>
          <w:tcPr>
            <w:tcW w:w="1920" w:type="dxa"/>
            <w:vAlign w:val="bottom"/>
          </w:tcPr>
          <w:p>
            <w:pPr>
              <w:ind w:left="400"/>
              <w:spacing w:after="0"/>
              <w:rPr>
                <w:sz w:val="20"/>
                <w:szCs w:val="20"/>
                <w:color w:val="auto"/>
              </w:rPr>
            </w:pPr>
            <w:r>
              <w:rPr>
                <w:rFonts w:ascii="Arial" w:cs="Arial" w:eastAsia="Arial" w:hAnsi="Arial"/>
                <w:sz w:val="16"/>
                <w:szCs w:val="16"/>
                <w:color w:val="auto"/>
              </w:rPr>
              <w:t>June 1, 1992</w:t>
            </w:r>
          </w:p>
        </w:tc>
        <w:tc>
          <w:tcPr>
            <w:tcW w:w="4360" w:type="dxa"/>
            <w:vAlign w:val="bottom"/>
          </w:tcPr>
          <w:p>
            <w:pPr>
              <w:ind w:left="300"/>
              <w:spacing w:after="0"/>
              <w:rPr>
                <w:sz w:val="20"/>
                <w:szCs w:val="20"/>
                <w:color w:val="auto"/>
              </w:rPr>
            </w:pPr>
            <w:r>
              <w:rPr>
                <w:rFonts w:ascii="Arial" w:cs="Arial" w:eastAsia="Arial" w:hAnsi="Arial"/>
                <w:sz w:val="16"/>
                <w:szCs w:val="16"/>
                <w:color w:val="auto"/>
              </w:rPr>
              <w:t>33-55240</w:t>
            </w:r>
          </w:p>
        </w:tc>
        <w:tc>
          <w:tcPr>
            <w:tcW w:w="2060" w:type="dxa"/>
            <w:vAlign w:val="bottom"/>
          </w:tcPr>
          <w:p>
            <w:pPr>
              <w:ind w:left="160"/>
              <w:spacing w:after="0"/>
              <w:rPr>
                <w:sz w:val="20"/>
                <w:szCs w:val="20"/>
                <w:color w:val="auto"/>
              </w:rPr>
            </w:pPr>
            <w:r>
              <w:rPr>
                <w:rFonts w:ascii="Arial" w:cs="Arial" w:eastAsia="Arial" w:hAnsi="Arial"/>
                <w:sz w:val="16"/>
                <w:szCs w:val="16"/>
                <w:color w:val="auto"/>
              </w:rPr>
              <w:t>4(b)</w:t>
            </w:r>
          </w:p>
        </w:tc>
      </w:tr>
      <w:tr>
        <w:trPr>
          <w:trHeight w:val="33"/>
        </w:trPr>
        <w:tc>
          <w:tcPr>
            <w:tcW w:w="8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436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37"/>
        </w:trPr>
        <w:tc>
          <w:tcPr>
            <w:tcW w:w="8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Fifteenth</w:t>
            </w:r>
          </w:p>
        </w:tc>
        <w:tc>
          <w:tcPr>
            <w:tcW w:w="192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6"/>
                <w:szCs w:val="16"/>
                <w:color w:val="auto"/>
              </w:rPr>
              <w:t>July 1, 1992</w:t>
            </w:r>
          </w:p>
        </w:tc>
        <w:tc>
          <w:tcPr>
            <w:tcW w:w="43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6"/>
                <w:szCs w:val="16"/>
                <w:color w:val="auto"/>
              </w:rPr>
              <w:t>33-55240</w:t>
            </w:r>
          </w:p>
        </w:tc>
        <w:tc>
          <w:tcPr>
            <w:tcW w:w="20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4(c)</w:t>
            </w:r>
          </w:p>
        </w:tc>
      </w:tr>
      <w:tr>
        <w:trPr>
          <w:trHeight w:val="224"/>
        </w:trPr>
        <w:tc>
          <w:tcPr>
            <w:tcW w:w="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580" w:type="dxa"/>
            <w:vAlign w:val="bottom"/>
          </w:tcPr>
          <w:p>
            <w:pPr>
              <w:ind w:left="160"/>
              <w:spacing w:after="0"/>
              <w:rPr>
                <w:sz w:val="20"/>
                <w:szCs w:val="20"/>
                <w:color w:val="auto"/>
              </w:rPr>
            </w:pPr>
            <w:r>
              <w:rPr>
                <w:rFonts w:ascii="Arial" w:cs="Arial" w:eastAsia="Arial" w:hAnsi="Arial"/>
                <w:sz w:val="16"/>
                <w:szCs w:val="16"/>
                <w:color w:val="auto"/>
              </w:rPr>
              <w:t>Sixteenth</w:t>
            </w:r>
          </w:p>
        </w:tc>
        <w:tc>
          <w:tcPr>
            <w:tcW w:w="1920" w:type="dxa"/>
            <w:vAlign w:val="bottom"/>
          </w:tcPr>
          <w:p>
            <w:pPr>
              <w:ind w:left="400"/>
              <w:spacing w:after="0"/>
              <w:rPr>
                <w:sz w:val="20"/>
                <w:szCs w:val="20"/>
                <w:color w:val="auto"/>
              </w:rPr>
            </w:pPr>
            <w:r>
              <w:rPr>
                <w:rFonts w:ascii="Arial" w:cs="Arial" w:eastAsia="Arial" w:hAnsi="Arial"/>
                <w:sz w:val="16"/>
                <w:szCs w:val="16"/>
                <w:color w:val="auto"/>
              </w:rPr>
              <w:t>July 1, 1992</w:t>
            </w:r>
          </w:p>
        </w:tc>
        <w:tc>
          <w:tcPr>
            <w:tcW w:w="4360" w:type="dxa"/>
            <w:vAlign w:val="bottom"/>
          </w:tcPr>
          <w:p>
            <w:pPr>
              <w:ind w:left="300"/>
              <w:spacing w:after="0"/>
              <w:rPr>
                <w:sz w:val="20"/>
                <w:szCs w:val="20"/>
                <w:color w:val="auto"/>
              </w:rPr>
            </w:pPr>
            <w:r>
              <w:rPr>
                <w:rFonts w:ascii="Arial" w:cs="Arial" w:eastAsia="Arial" w:hAnsi="Arial"/>
                <w:sz w:val="16"/>
                <w:szCs w:val="16"/>
                <w:color w:val="auto"/>
              </w:rPr>
              <w:t>33-55240</w:t>
            </w:r>
          </w:p>
        </w:tc>
        <w:tc>
          <w:tcPr>
            <w:tcW w:w="2060" w:type="dxa"/>
            <w:vAlign w:val="bottom"/>
          </w:tcPr>
          <w:p>
            <w:pPr>
              <w:ind w:left="160"/>
              <w:spacing w:after="0"/>
              <w:rPr>
                <w:sz w:val="20"/>
                <w:szCs w:val="20"/>
                <w:color w:val="auto"/>
              </w:rPr>
            </w:pPr>
            <w:r>
              <w:rPr>
                <w:rFonts w:ascii="Arial" w:cs="Arial" w:eastAsia="Arial" w:hAnsi="Arial"/>
                <w:sz w:val="16"/>
                <w:szCs w:val="16"/>
                <w:color w:val="auto"/>
              </w:rPr>
              <w:t>4(d)</w:t>
            </w:r>
          </w:p>
        </w:tc>
      </w:tr>
      <w:tr>
        <w:trPr>
          <w:trHeight w:val="33"/>
        </w:trPr>
        <w:tc>
          <w:tcPr>
            <w:tcW w:w="8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436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37"/>
        </w:trPr>
        <w:tc>
          <w:tcPr>
            <w:tcW w:w="8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Seventeenth</w:t>
            </w:r>
          </w:p>
        </w:tc>
        <w:tc>
          <w:tcPr>
            <w:tcW w:w="192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6"/>
                <w:szCs w:val="16"/>
                <w:color w:val="auto"/>
              </w:rPr>
              <w:t>February 1, 1993</w:t>
            </w:r>
          </w:p>
        </w:tc>
        <w:tc>
          <w:tcPr>
            <w:tcW w:w="43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6"/>
                <w:szCs w:val="16"/>
                <w:color w:val="auto"/>
              </w:rPr>
              <w:t>33-50143</w:t>
            </w:r>
          </w:p>
        </w:tc>
        <w:tc>
          <w:tcPr>
            <w:tcW w:w="20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4(b)</w:t>
            </w:r>
          </w:p>
        </w:tc>
      </w:tr>
      <w:tr>
        <w:trPr>
          <w:trHeight w:val="224"/>
        </w:trPr>
        <w:tc>
          <w:tcPr>
            <w:tcW w:w="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580" w:type="dxa"/>
            <w:vAlign w:val="bottom"/>
          </w:tcPr>
          <w:p>
            <w:pPr>
              <w:ind w:left="160"/>
              <w:spacing w:after="0"/>
              <w:rPr>
                <w:sz w:val="20"/>
                <w:szCs w:val="20"/>
                <w:color w:val="auto"/>
              </w:rPr>
            </w:pPr>
            <w:r>
              <w:rPr>
                <w:rFonts w:ascii="Arial" w:cs="Arial" w:eastAsia="Arial" w:hAnsi="Arial"/>
                <w:sz w:val="16"/>
                <w:szCs w:val="16"/>
                <w:color w:val="auto"/>
              </w:rPr>
              <w:t>Eighteenth</w:t>
            </w:r>
          </w:p>
        </w:tc>
        <w:tc>
          <w:tcPr>
            <w:tcW w:w="1920" w:type="dxa"/>
            <w:vAlign w:val="bottom"/>
          </w:tcPr>
          <w:p>
            <w:pPr>
              <w:ind w:left="400"/>
              <w:spacing w:after="0"/>
              <w:rPr>
                <w:sz w:val="20"/>
                <w:szCs w:val="20"/>
                <w:color w:val="auto"/>
              </w:rPr>
            </w:pPr>
            <w:r>
              <w:rPr>
                <w:rFonts w:ascii="Arial" w:cs="Arial" w:eastAsia="Arial" w:hAnsi="Arial"/>
                <w:sz w:val="16"/>
                <w:szCs w:val="16"/>
                <w:color w:val="auto"/>
              </w:rPr>
              <w:t>July 1, 1993</w:t>
            </w:r>
          </w:p>
        </w:tc>
        <w:tc>
          <w:tcPr>
            <w:tcW w:w="4360" w:type="dxa"/>
            <w:vAlign w:val="bottom"/>
          </w:tcPr>
          <w:p>
            <w:pPr>
              <w:ind w:left="300"/>
              <w:spacing w:after="0"/>
              <w:rPr>
                <w:sz w:val="20"/>
                <w:szCs w:val="20"/>
                <w:color w:val="auto"/>
              </w:rPr>
            </w:pPr>
            <w:r>
              <w:rPr>
                <w:rFonts w:ascii="Arial" w:cs="Arial" w:eastAsia="Arial" w:hAnsi="Arial"/>
                <w:sz w:val="16"/>
                <w:szCs w:val="16"/>
                <w:color w:val="auto"/>
              </w:rPr>
              <w:t>33-50143</w:t>
            </w:r>
          </w:p>
        </w:tc>
        <w:tc>
          <w:tcPr>
            <w:tcW w:w="2060" w:type="dxa"/>
            <w:vAlign w:val="bottom"/>
          </w:tcPr>
          <w:p>
            <w:pPr>
              <w:ind w:left="160"/>
              <w:spacing w:after="0"/>
              <w:rPr>
                <w:sz w:val="20"/>
                <w:szCs w:val="20"/>
                <w:color w:val="auto"/>
              </w:rPr>
            </w:pPr>
            <w:r>
              <w:rPr>
                <w:rFonts w:ascii="Arial" w:cs="Arial" w:eastAsia="Arial" w:hAnsi="Arial"/>
                <w:sz w:val="16"/>
                <w:szCs w:val="16"/>
                <w:color w:val="auto"/>
              </w:rPr>
              <w:t>4(c)</w:t>
            </w:r>
          </w:p>
        </w:tc>
      </w:tr>
      <w:tr>
        <w:trPr>
          <w:trHeight w:val="33"/>
        </w:trPr>
        <w:tc>
          <w:tcPr>
            <w:tcW w:w="8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436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37"/>
        </w:trPr>
        <w:tc>
          <w:tcPr>
            <w:tcW w:w="8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Nineteenth</w:t>
            </w:r>
          </w:p>
        </w:tc>
        <w:tc>
          <w:tcPr>
            <w:tcW w:w="192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6"/>
                <w:szCs w:val="16"/>
                <w:color w:val="auto"/>
              </w:rPr>
              <w:t>February 1, 1997</w:t>
            </w:r>
          </w:p>
        </w:tc>
        <w:tc>
          <w:tcPr>
            <w:tcW w:w="43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6"/>
                <w:szCs w:val="16"/>
                <w:color w:val="auto"/>
              </w:rPr>
              <w:t>1-3548 (1996 Form 10-K)</w:t>
            </w:r>
          </w:p>
        </w:tc>
        <w:tc>
          <w:tcPr>
            <w:tcW w:w="20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4(a)3</w:t>
            </w:r>
          </w:p>
        </w:tc>
      </w:tr>
      <w:tr>
        <w:trPr>
          <w:trHeight w:val="224"/>
        </w:trPr>
        <w:tc>
          <w:tcPr>
            <w:tcW w:w="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580" w:type="dxa"/>
            <w:vAlign w:val="bottom"/>
          </w:tcPr>
          <w:p>
            <w:pPr>
              <w:ind w:left="160"/>
              <w:spacing w:after="0"/>
              <w:rPr>
                <w:sz w:val="20"/>
                <w:szCs w:val="20"/>
                <w:color w:val="auto"/>
              </w:rPr>
            </w:pPr>
            <w:r>
              <w:rPr>
                <w:rFonts w:ascii="Arial" w:cs="Arial" w:eastAsia="Arial" w:hAnsi="Arial"/>
                <w:sz w:val="16"/>
                <w:szCs w:val="16"/>
                <w:color w:val="auto"/>
              </w:rPr>
              <w:t>Twentieth</w:t>
            </w:r>
          </w:p>
        </w:tc>
        <w:tc>
          <w:tcPr>
            <w:tcW w:w="1920" w:type="dxa"/>
            <w:vAlign w:val="bottom"/>
          </w:tcPr>
          <w:p>
            <w:pPr>
              <w:ind w:left="400"/>
              <w:spacing w:after="0"/>
              <w:rPr>
                <w:sz w:val="20"/>
                <w:szCs w:val="20"/>
                <w:color w:val="auto"/>
              </w:rPr>
            </w:pPr>
            <w:r>
              <w:rPr>
                <w:rFonts w:ascii="Arial" w:cs="Arial" w:eastAsia="Arial" w:hAnsi="Arial"/>
                <w:sz w:val="16"/>
                <w:szCs w:val="16"/>
                <w:color w:val="auto"/>
              </w:rPr>
              <w:t>November 1, 1997</w:t>
            </w:r>
          </w:p>
        </w:tc>
        <w:tc>
          <w:tcPr>
            <w:tcW w:w="4360" w:type="dxa"/>
            <w:vAlign w:val="bottom"/>
          </w:tcPr>
          <w:p>
            <w:pPr>
              <w:ind w:left="300"/>
              <w:spacing w:after="0"/>
              <w:rPr>
                <w:sz w:val="20"/>
                <w:szCs w:val="20"/>
                <w:color w:val="auto"/>
              </w:rPr>
            </w:pPr>
            <w:r>
              <w:rPr>
                <w:rFonts w:ascii="Arial" w:cs="Arial" w:eastAsia="Arial" w:hAnsi="Arial"/>
                <w:sz w:val="16"/>
                <w:szCs w:val="16"/>
                <w:color w:val="auto"/>
              </w:rPr>
              <w:t>1-3548 (1997 Form 10-K)</w:t>
            </w:r>
          </w:p>
        </w:tc>
        <w:tc>
          <w:tcPr>
            <w:tcW w:w="2060" w:type="dxa"/>
            <w:vAlign w:val="bottom"/>
          </w:tcPr>
          <w:p>
            <w:pPr>
              <w:ind w:left="160"/>
              <w:spacing w:after="0"/>
              <w:rPr>
                <w:sz w:val="20"/>
                <w:szCs w:val="20"/>
                <w:color w:val="auto"/>
              </w:rPr>
            </w:pPr>
            <w:r>
              <w:rPr>
                <w:rFonts w:ascii="Arial" w:cs="Arial" w:eastAsia="Arial" w:hAnsi="Arial"/>
                <w:sz w:val="16"/>
                <w:szCs w:val="16"/>
                <w:color w:val="auto"/>
              </w:rPr>
              <w:t>4(a)3</w:t>
            </w:r>
          </w:p>
        </w:tc>
      </w:tr>
      <w:tr>
        <w:trPr>
          <w:trHeight w:val="33"/>
        </w:trPr>
        <w:tc>
          <w:tcPr>
            <w:tcW w:w="8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436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37"/>
        </w:trPr>
        <w:tc>
          <w:tcPr>
            <w:tcW w:w="8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Twenty-first</w:t>
            </w:r>
          </w:p>
        </w:tc>
        <w:tc>
          <w:tcPr>
            <w:tcW w:w="192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6"/>
                <w:szCs w:val="16"/>
                <w:color w:val="auto"/>
              </w:rPr>
              <w:t>October 1, 2000</w:t>
            </w:r>
          </w:p>
        </w:tc>
        <w:tc>
          <w:tcPr>
            <w:tcW w:w="43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6"/>
                <w:szCs w:val="16"/>
                <w:color w:val="auto"/>
              </w:rPr>
              <w:t>333-54330</w:t>
            </w:r>
          </w:p>
        </w:tc>
        <w:tc>
          <w:tcPr>
            <w:tcW w:w="20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4(c)3</w:t>
            </w:r>
          </w:p>
        </w:tc>
      </w:tr>
      <w:tr>
        <w:trPr>
          <w:trHeight w:val="224"/>
        </w:trPr>
        <w:tc>
          <w:tcPr>
            <w:tcW w:w="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580" w:type="dxa"/>
            <w:vAlign w:val="bottom"/>
          </w:tcPr>
          <w:p>
            <w:pPr>
              <w:ind w:left="160"/>
              <w:spacing w:after="0"/>
              <w:rPr>
                <w:sz w:val="20"/>
                <w:szCs w:val="20"/>
                <w:color w:val="auto"/>
              </w:rPr>
            </w:pPr>
            <w:r>
              <w:rPr>
                <w:rFonts w:ascii="Arial" w:cs="Arial" w:eastAsia="Arial" w:hAnsi="Arial"/>
                <w:sz w:val="16"/>
                <w:szCs w:val="16"/>
                <w:color w:val="auto"/>
              </w:rPr>
              <w:t>Twenty-second</w:t>
            </w:r>
          </w:p>
        </w:tc>
        <w:tc>
          <w:tcPr>
            <w:tcW w:w="1920" w:type="dxa"/>
            <w:vAlign w:val="bottom"/>
          </w:tcPr>
          <w:p>
            <w:pPr>
              <w:ind w:left="400"/>
              <w:spacing w:after="0"/>
              <w:rPr>
                <w:sz w:val="20"/>
                <w:szCs w:val="20"/>
                <w:color w:val="auto"/>
              </w:rPr>
            </w:pPr>
            <w:r>
              <w:rPr>
                <w:rFonts w:ascii="Arial" w:cs="Arial" w:eastAsia="Arial" w:hAnsi="Arial"/>
                <w:sz w:val="16"/>
                <w:szCs w:val="16"/>
                <w:color w:val="auto"/>
              </w:rPr>
              <w:t>July 1, 2003</w:t>
            </w:r>
          </w:p>
        </w:tc>
        <w:tc>
          <w:tcPr>
            <w:tcW w:w="4360" w:type="dxa"/>
            <w:vAlign w:val="bottom"/>
          </w:tcPr>
          <w:p>
            <w:pPr>
              <w:ind w:left="300"/>
              <w:spacing w:after="0"/>
              <w:rPr>
                <w:sz w:val="20"/>
                <w:szCs w:val="20"/>
                <w:color w:val="auto"/>
              </w:rPr>
            </w:pPr>
            <w:r>
              <w:rPr>
                <w:rFonts w:ascii="Arial" w:cs="Arial" w:eastAsia="Arial" w:hAnsi="Arial"/>
                <w:sz w:val="16"/>
                <w:szCs w:val="16"/>
                <w:color w:val="auto"/>
              </w:rPr>
              <w:t>1-3548 (June 30, 2003 Form 10-Q)</w:t>
            </w:r>
          </w:p>
        </w:tc>
        <w:tc>
          <w:tcPr>
            <w:tcW w:w="2060" w:type="dxa"/>
            <w:vAlign w:val="bottom"/>
          </w:tcPr>
          <w:p>
            <w:pPr>
              <w:ind w:left="160"/>
              <w:spacing w:after="0"/>
              <w:rPr>
                <w:sz w:val="20"/>
                <w:szCs w:val="20"/>
                <w:color w:val="auto"/>
              </w:rPr>
            </w:pPr>
            <w:r>
              <w:rPr>
                <w:rFonts w:ascii="Arial" w:cs="Arial" w:eastAsia="Arial" w:hAnsi="Arial"/>
                <w:sz w:val="16"/>
                <w:szCs w:val="16"/>
                <w:color w:val="auto"/>
              </w:rPr>
              <w:t>4</w:t>
            </w:r>
          </w:p>
        </w:tc>
      </w:tr>
      <w:tr>
        <w:trPr>
          <w:trHeight w:val="33"/>
        </w:trPr>
        <w:tc>
          <w:tcPr>
            <w:tcW w:w="8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436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37"/>
        </w:trPr>
        <w:tc>
          <w:tcPr>
            <w:tcW w:w="8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Twenty-third</w:t>
            </w:r>
          </w:p>
        </w:tc>
        <w:tc>
          <w:tcPr>
            <w:tcW w:w="192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6"/>
                <w:szCs w:val="16"/>
                <w:color w:val="auto"/>
              </w:rPr>
              <w:t>August 1, 2004</w:t>
            </w:r>
          </w:p>
        </w:tc>
        <w:tc>
          <w:tcPr>
            <w:tcW w:w="43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6"/>
                <w:szCs w:val="16"/>
                <w:color w:val="auto"/>
              </w:rPr>
              <w:t>1-3548 (Sept. 30, 2004 Form 10-Q)</w:t>
            </w:r>
          </w:p>
        </w:tc>
        <w:tc>
          <w:tcPr>
            <w:tcW w:w="20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4(a)</w:t>
            </w:r>
          </w:p>
        </w:tc>
      </w:tr>
      <w:tr>
        <w:trPr>
          <w:trHeight w:val="224"/>
        </w:trPr>
        <w:tc>
          <w:tcPr>
            <w:tcW w:w="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580" w:type="dxa"/>
            <w:vAlign w:val="bottom"/>
          </w:tcPr>
          <w:p>
            <w:pPr>
              <w:ind w:left="160"/>
              <w:spacing w:after="0"/>
              <w:rPr>
                <w:sz w:val="20"/>
                <w:szCs w:val="20"/>
                <w:color w:val="auto"/>
              </w:rPr>
            </w:pPr>
            <w:r>
              <w:rPr>
                <w:rFonts w:ascii="Arial" w:cs="Arial" w:eastAsia="Arial" w:hAnsi="Arial"/>
                <w:sz w:val="16"/>
                <w:szCs w:val="16"/>
                <w:color w:val="auto"/>
              </w:rPr>
              <w:t>Twenty-fourth</w:t>
            </w:r>
          </w:p>
        </w:tc>
        <w:tc>
          <w:tcPr>
            <w:tcW w:w="1920" w:type="dxa"/>
            <w:vAlign w:val="bottom"/>
          </w:tcPr>
          <w:p>
            <w:pPr>
              <w:ind w:left="400"/>
              <w:spacing w:after="0"/>
              <w:rPr>
                <w:sz w:val="20"/>
                <w:szCs w:val="20"/>
                <w:color w:val="auto"/>
              </w:rPr>
            </w:pPr>
            <w:r>
              <w:rPr>
                <w:rFonts w:ascii="Arial" w:cs="Arial" w:eastAsia="Arial" w:hAnsi="Arial"/>
                <w:sz w:val="16"/>
                <w:szCs w:val="16"/>
                <w:color w:val="auto"/>
              </w:rPr>
              <w:t>March 1, 2005</w:t>
            </w:r>
          </w:p>
        </w:tc>
        <w:tc>
          <w:tcPr>
            <w:tcW w:w="4360" w:type="dxa"/>
            <w:vAlign w:val="bottom"/>
          </w:tcPr>
          <w:p>
            <w:pPr>
              <w:ind w:left="300"/>
              <w:spacing w:after="0"/>
              <w:rPr>
                <w:sz w:val="20"/>
                <w:szCs w:val="20"/>
                <w:color w:val="auto"/>
              </w:rPr>
            </w:pPr>
            <w:r>
              <w:rPr>
                <w:rFonts w:ascii="Arial" w:cs="Arial" w:eastAsia="Arial" w:hAnsi="Arial"/>
                <w:sz w:val="16"/>
                <w:szCs w:val="16"/>
                <w:color w:val="auto"/>
              </w:rPr>
              <w:t>1-3548 (March 31, 2005 Form 10-Q)</w:t>
            </w:r>
          </w:p>
        </w:tc>
        <w:tc>
          <w:tcPr>
            <w:tcW w:w="2060" w:type="dxa"/>
            <w:vAlign w:val="bottom"/>
          </w:tcPr>
          <w:p>
            <w:pPr>
              <w:ind w:left="160"/>
              <w:spacing w:after="0"/>
              <w:rPr>
                <w:sz w:val="20"/>
                <w:szCs w:val="20"/>
                <w:color w:val="auto"/>
              </w:rPr>
            </w:pPr>
            <w:r>
              <w:rPr>
                <w:rFonts w:ascii="Arial" w:cs="Arial" w:eastAsia="Arial" w:hAnsi="Arial"/>
                <w:sz w:val="16"/>
                <w:szCs w:val="16"/>
                <w:color w:val="auto"/>
              </w:rPr>
              <w:t>4</w:t>
            </w:r>
          </w:p>
        </w:tc>
      </w:tr>
      <w:tr>
        <w:trPr>
          <w:trHeight w:val="33"/>
        </w:trPr>
        <w:tc>
          <w:tcPr>
            <w:tcW w:w="8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436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37"/>
        </w:trPr>
        <w:tc>
          <w:tcPr>
            <w:tcW w:w="8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Twenty-fifth</w:t>
            </w:r>
          </w:p>
        </w:tc>
        <w:tc>
          <w:tcPr>
            <w:tcW w:w="192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6"/>
                <w:szCs w:val="16"/>
                <w:color w:val="auto"/>
              </w:rPr>
              <w:t>December 1, 2005</w:t>
            </w:r>
          </w:p>
        </w:tc>
        <w:tc>
          <w:tcPr>
            <w:tcW w:w="43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6"/>
                <w:szCs w:val="16"/>
                <w:color w:val="auto"/>
              </w:rPr>
              <w:t>1-3548 (March 31, 2006 Form 10-Q)</w:t>
            </w:r>
          </w:p>
        </w:tc>
        <w:tc>
          <w:tcPr>
            <w:tcW w:w="20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4</w:t>
            </w:r>
          </w:p>
        </w:tc>
      </w:tr>
      <w:tr>
        <w:trPr>
          <w:trHeight w:val="224"/>
        </w:trPr>
        <w:tc>
          <w:tcPr>
            <w:tcW w:w="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580" w:type="dxa"/>
            <w:vAlign w:val="bottom"/>
          </w:tcPr>
          <w:p>
            <w:pPr>
              <w:ind w:left="160"/>
              <w:spacing w:after="0"/>
              <w:rPr>
                <w:sz w:val="20"/>
                <w:szCs w:val="20"/>
                <w:color w:val="auto"/>
              </w:rPr>
            </w:pPr>
            <w:r>
              <w:rPr>
                <w:rFonts w:ascii="Arial" w:cs="Arial" w:eastAsia="Arial" w:hAnsi="Arial"/>
                <w:sz w:val="16"/>
                <w:szCs w:val="16"/>
                <w:color w:val="auto"/>
              </w:rPr>
              <w:t>Twenty-sixth</w:t>
            </w:r>
          </w:p>
        </w:tc>
        <w:tc>
          <w:tcPr>
            <w:tcW w:w="1920" w:type="dxa"/>
            <w:vAlign w:val="bottom"/>
          </w:tcPr>
          <w:p>
            <w:pPr>
              <w:ind w:left="400"/>
              <w:spacing w:after="0"/>
              <w:rPr>
                <w:sz w:val="20"/>
                <w:szCs w:val="20"/>
                <w:color w:val="auto"/>
              </w:rPr>
            </w:pPr>
            <w:r>
              <w:rPr>
                <w:rFonts w:ascii="Arial" w:cs="Arial" w:eastAsia="Arial" w:hAnsi="Arial"/>
                <w:sz w:val="16"/>
                <w:szCs w:val="16"/>
                <w:color w:val="auto"/>
              </w:rPr>
              <w:t>October 1, 2006</w:t>
            </w:r>
          </w:p>
        </w:tc>
        <w:tc>
          <w:tcPr>
            <w:tcW w:w="4360" w:type="dxa"/>
            <w:vAlign w:val="bottom"/>
          </w:tcPr>
          <w:p>
            <w:pPr>
              <w:ind w:left="300"/>
              <w:spacing w:after="0"/>
              <w:rPr>
                <w:sz w:val="20"/>
                <w:szCs w:val="20"/>
                <w:color w:val="auto"/>
              </w:rPr>
            </w:pPr>
            <w:r>
              <w:rPr>
                <w:rFonts w:ascii="Arial" w:cs="Arial" w:eastAsia="Arial" w:hAnsi="Arial"/>
                <w:sz w:val="16"/>
                <w:szCs w:val="16"/>
                <w:color w:val="auto"/>
              </w:rPr>
              <w:t>1-3548 (2006 Form 10-K)</w:t>
            </w:r>
          </w:p>
        </w:tc>
        <w:tc>
          <w:tcPr>
            <w:tcW w:w="2060" w:type="dxa"/>
            <w:vAlign w:val="bottom"/>
          </w:tcPr>
          <w:p>
            <w:pPr>
              <w:ind w:left="160"/>
              <w:spacing w:after="0"/>
              <w:rPr>
                <w:sz w:val="20"/>
                <w:szCs w:val="20"/>
                <w:color w:val="auto"/>
              </w:rPr>
            </w:pPr>
            <w:r>
              <w:rPr>
                <w:rFonts w:ascii="Arial" w:cs="Arial" w:eastAsia="Arial" w:hAnsi="Arial"/>
                <w:sz w:val="16"/>
                <w:szCs w:val="16"/>
                <w:color w:val="auto"/>
              </w:rPr>
              <w:t>4</w:t>
            </w:r>
          </w:p>
        </w:tc>
      </w:tr>
      <w:tr>
        <w:trPr>
          <w:trHeight w:val="33"/>
        </w:trPr>
        <w:tc>
          <w:tcPr>
            <w:tcW w:w="8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436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37"/>
        </w:trPr>
        <w:tc>
          <w:tcPr>
            <w:tcW w:w="8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Twenty-seventh</w:t>
            </w:r>
          </w:p>
        </w:tc>
        <w:tc>
          <w:tcPr>
            <w:tcW w:w="192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6"/>
                <w:szCs w:val="16"/>
                <w:color w:val="auto"/>
              </w:rPr>
              <w:t>February 1, 2008</w:t>
            </w:r>
          </w:p>
        </w:tc>
        <w:tc>
          <w:tcPr>
            <w:tcW w:w="43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6"/>
                <w:szCs w:val="16"/>
                <w:color w:val="auto"/>
              </w:rPr>
              <w:t>1-3548 (2007 Form 10-K)</w:t>
            </w:r>
          </w:p>
        </w:tc>
        <w:tc>
          <w:tcPr>
            <w:tcW w:w="20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4(a)3</w:t>
            </w:r>
          </w:p>
        </w:tc>
      </w:tr>
      <w:tr>
        <w:trPr>
          <w:trHeight w:val="224"/>
        </w:trPr>
        <w:tc>
          <w:tcPr>
            <w:tcW w:w="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580" w:type="dxa"/>
            <w:vAlign w:val="bottom"/>
          </w:tcPr>
          <w:p>
            <w:pPr>
              <w:ind w:left="160"/>
              <w:spacing w:after="0"/>
              <w:rPr>
                <w:sz w:val="20"/>
                <w:szCs w:val="20"/>
                <w:color w:val="auto"/>
              </w:rPr>
            </w:pPr>
            <w:r>
              <w:rPr>
                <w:rFonts w:ascii="Arial" w:cs="Arial" w:eastAsia="Arial" w:hAnsi="Arial"/>
                <w:sz w:val="16"/>
                <w:szCs w:val="16"/>
                <w:color w:val="auto"/>
              </w:rPr>
              <w:t>Twenty-eighth</w:t>
            </w:r>
          </w:p>
        </w:tc>
        <w:tc>
          <w:tcPr>
            <w:tcW w:w="1920" w:type="dxa"/>
            <w:vAlign w:val="bottom"/>
          </w:tcPr>
          <w:p>
            <w:pPr>
              <w:ind w:left="400"/>
              <w:spacing w:after="0"/>
              <w:rPr>
                <w:sz w:val="20"/>
                <w:szCs w:val="20"/>
                <w:color w:val="auto"/>
              </w:rPr>
            </w:pPr>
            <w:r>
              <w:rPr>
                <w:rFonts w:ascii="Arial" w:cs="Arial" w:eastAsia="Arial" w:hAnsi="Arial"/>
                <w:sz w:val="16"/>
                <w:szCs w:val="16"/>
                <w:color w:val="auto"/>
              </w:rPr>
              <w:t>May 1, 2008</w:t>
            </w:r>
          </w:p>
        </w:tc>
        <w:tc>
          <w:tcPr>
            <w:tcW w:w="4360" w:type="dxa"/>
            <w:vAlign w:val="bottom"/>
          </w:tcPr>
          <w:p>
            <w:pPr>
              <w:ind w:left="300"/>
              <w:spacing w:after="0"/>
              <w:rPr>
                <w:sz w:val="20"/>
                <w:szCs w:val="20"/>
                <w:color w:val="auto"/>
              </w:rPr>
            </w:pPr>
            <w:r>
              <w:rPr>
                <w:rFonts w:ascii="Arial" w:cs="Arial" w:eastAsia="Arial" w:hAnsi="Arial"/>
                <w:sz w:val="16"/>
                <w:szCs w:val="16"/>
                <w:color w:val="auto"/>
              </w:rPr>
              <w:t>1-3548 (June 30, 2008 Form 10-Q)</w:t>
            </w:r>
          </w:p>
        </w:tc>
        <w:tc>
          <w:tcPr>
            <w:tcW w:w="2060" w:type="dxa"/>
            <w:vAlign w:val="bottom"/>
          </w:tcPr>
          <w:p>
            <w:pPr>
              <w:ind w:left="160"/>
              <w:spacing w:after="0"/>
              <w:rPr>
                <w:sz w:val="20"/>
                <w:szCs w:val="20"/>
                <w:color w:val="auto"/>
              </w:rPr>
            </w:pPr>
            <w:r>
              <w:rPr>
                <w:rFonts w:ascii="Arial" w:cs="Arial" w:eastAsia="Arial" w:hAnsi="Arial"/>
                <w:sz w:val="16"/>
                <w:szCs w:val="16"/>
                <w:color w:val="auto"/>
              </w:rPr>
              <w:t>4</w:t>
            </w:r>
          </w:p>
        </w:tc>
      </w:tr>
      <w:tr>
        <w:trPr>
          <w:trHeight w:val="33"/>
        </w:trPr>
        <w:tc>
          <w:tcPr>
            <w:tcW w:w="8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436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37"/>
        </w:trPr>
        <w:tc>
          <w:tcPr>
            <w:tcW w:w="8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Twenty-ninth</w:t>
            </w:r>
          </w:p>
        </w:tc>
        <w:tc>
          <w:tcPr>
            <w:tcW w:w="192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6"/>
                <w:szCs w:val="16"/>
                <w:color w:val="auto"/>
              </w:rPr>
              <w:t>November 1, 2008</w:t>
            </w:r>
          </w:p>
        </w:tc>
        <w:tc>
          <w:tcPr>
            <w:tcW w:w="43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6"/>
                <w:szCs w:val="16"/>
                <w:color w:val="auto"/>
              </w:rPr>
              <w:t>1-3548 (2008 Form 10-K)</w:t>
            </w:r>
          </w:p>
        </w:tc>
        <w:tc>
          <w:tcPr>
            <w:tcW w:w="20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4(a)3</w:t>
            </w:r>
          </w:p>
        </w:tc>
      </w:tr>
      <w:tr>
        <w:trPr>
          <w:trHeight w:val="224"/>
        </w:trPr>
        <w:tc>
          <w:tcPr>
            <w:tcW w:w="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580" w:type="dxa"/>
            <w:vAlign w:val="bottom"/>
          </w:tcPr>
          <w:p>
            <w:pPr>
              <w:ind w:left="160"/>
              <w:spacing w:after="0"/>
              <w:rPr>
                <w:sz w:val="20"/>
                <w:szCs w:val="20"/>
                <w:color w:val="auto"/>
              </w:rPr>
            </w:pPr>
            <w:r>
              <w:rPr>
                <w:rFonts w:ascii="Arial" w:cs="Arial" w:eastAsia="Arial" w:hAnsi="Arial"/>
                <w:sz w:val="16"/>
                <w:szCs w:val="16"/>
                <w:color w:val="auto"/>
              </w:rPr>
              <w:t>Thirtieth</w:t>
            </w:r>
          </w:p>
        </w:tc>
        <w:tc>
          <w:tcPr>
            <w:tcW w:w="1920" w:type="dxa"/>
            <w:vAlign w:val="bottom"/>
          </w:tcPr>
          <w:p>
            <w:pPr>
              <w:ind w:left="400"/>
              <w:spacing w:after="0"/>
              <w:rPr>
                <w:sz w:val="20"/>
                <w:szCs w:val="20"/>
                <w:color w:val="auto"/>
              </w:rPr>
            </w:pPr>
            <w:r>
              <w:rPr>
                <w:rFonts w:ascii="Arial" w:cs="Arial" w:eastAsia="Arial" w:hAnsi="Arial"/>
                <w:sz w:val="16"/>
                <w:szCs w:val="16"/>
                <w:color w:val="auto"/>
              </w:rPr>
              <w:t>January 1, 2009</w:t>
            </w:r>
          </w:p>
        </w:tc>
        <w:tc>
          <w:tcPr>
            <w:tcW w:w="4360" w:type="dxa"/>
            <w:vAlign w:val="bottom"/>
          </w:tcPr>
          <w:p>
            <w:pPr>
              <w:ind w:left="300"/>
              <w:spacing w:after="0"/>
              <w:rPr>
                <w:sz w:val="20"/>
                <w:szCs w:val="20"/>
                <w:color w:val="auto"/>
              </w:rPr>
            </w:pPr>
            <w:r>
              <w:rPr>
                <w:rFonts w:ascii="Arial" w:cs="Arial" w:eastAsia="Arial" w:hAnsi="Arial"/>
                <w:sz w:val="16"/>
                <w:szCs w:val="16"/>
                <w:color w:val="auto"/>
              </w:rPr>
              <w:t>1-3548 (2008 Form 10-K)</w:t>
            </w:r>
          </w:p>
        </w:tc>
        <w:tc>
          <w:tcPr>
            <w:tcW w:w="2060" w:type="dxa"/>
            <w:vAlign w:val="bottom"/>
          </w:tcPr>
          <w:p>
            <w:pPr>
              <w:ind w:left="160"/>
              <w:spacing w:after="0"/>
              <w:rPr>
                <w:sz w:val="20"/>
                <w:szCs w:val="20"/>
                <w:color w:val="auto"/>
              </w:rPr>
            </w:pPr>
            <w:r>
              <w:rPr>
                <w:rFonts w:ascii="Arial" w:cs="Arial" w:eastAsia="Arial" w:hAnsi="Arial"/>
                <w:sz w:val="16"/>
                <w:szCs w:val="16"/>
                <w:color w:val="auto"/>
              </w:rPr>
              <w:t>4(a)4</w:t>
            </w:r>
          </w:p>
        </w:tc>
      </w:tr>
      <w:tr>
        <w:trPr>
          <w:trHeight w:val="33"/>
        </w:trPr>
        <w:tc>
          <w:tcPr>
            <w:tcW w:w="8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436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37"/>
        </w:trPr>
        <w:tc>
          <w:tcPr>
            <w:tcW w:w="8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Thirty-first</w:t>
            </w:r>
          </w:p>
        </w:tc>
        <w:tc>
          <w:tcPr>
            <w:tcW w:w="192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6"/>
                <w:szCs w:val="16"/>
                <w:color w:val="auto"/>
              </w:rPr>
              <w:t>February 1, 2010</w:t>
            </w:r>
          </w:p>
        </w:tc>
        <w:tc>
          <w:tcPr>
            <w:tcW w:w="43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6"/>
                <w:szCs w:val="16"/>
                <w:color w:val="auto"/>
              </w:rPr>
              <w:t>1-3548 (March 31, 2010 Form 10-Q)</w:t>
            </w:r>
          </w:p>
        </w:tc>
        <w:tc>
          <w:tcPr>
            <w:tcW w:w="20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4</w:t>
            </w:r>
          </w:p>
        </w:tc>
      </w:tr>
      <w:tr>
        <w:trPr>
          <w:trHeight w:val="224"/>
        </w:trPr>
        <w:tc>
          <w:tcPr>
            <w:tcW w:w="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580" w:type="dxa"/>
            <w:vAlign w:val="bottom"/>
          </w:tcPr>
          <w:p>
            <w:pPr>
              <w:ind w:left="160"/>
              <w:spacing w:after="0"/>
              <w:rPr>
                <w:sz w:val="20"/>
                <w:szCs w:val="20"/>
                <w:color w:val="auto"/>
              </w:rPr>
            </w:pPr>
            <w:r>
              <w:rPr>
                <w:rFonts w:ascii="Arial" w:cs="Arial" w:eastAsia="Arial" w:hAnsi="Arial"/>
                <w:sz w:val="16"/>
                <w:szCs w:val="16"/>
                <w:color w:val="auto"/>
              </w:rPr>
              <w:t>Thirty-second</w:t>
            </w:r>
          </w:p>
        </w:tc>
        <w:tc>
          <w:tcPr>
            <w:tcW w:w="1920" w:type="dxa"/>
            <w:vAlign w:val="bottom"/>
          </w:tcPr>
          <w:p>
            <w:pPr>
              <w:ind w:left="400"/>
              <w:spacing w:after="0"/>
              <w:rPr>
                <w:sz w:val="20"/>
                <w:szCs w:val="20"/>
                <w:color w:val="auto"/>
              </w:rPr>
            </w:pPr>
            <w:r>
              <w:rPr>
                <w:rFonts w:ascii="Arial" w:cs="Arial" w:eastAsia="Arial" w:hAnsi="Arial"/>
                <w:sz w:val="16"/>
                <w:szCs w:val="16"/>
                <w:color w:val="auto"/>
              </w:rPr>
              <w:t>August 1, 2010</w:t>
            </w:r>
          </w:p>
        </w:tc>
        <w:tc>
          <w:tcPr>
            <w:tcW w:w="4360" w:type="dxa"/>
            <w:vAlign w:val="bottom"/>
          </w:tcPr>
          <w:p>
            <w:pPr>
              <w:ind w:left="300"/>
              <w:spacing w:after="0"/>
              <w:rPr>
                <w:sz w:val="20"/>
                <w:szCs w:val="20"/>
                <w:color w:val="auto"/>
              </w:rPr>
            </w:pPr>
            <w:r>
              <w:rPr>
                <w:rFonts w:ascii="Arial" w:cs="Arial" w:eastAsia="Arial" w:hAnsi="Arial"/>
                <w:sz w:val="16"/>
                <w:szCs w:val="16"/>
                <w:color w:val="auto"/>
              </w:rPr>
              <w:t>1-3548 (Sept. 30, 2010 Form 10-Q)</w:t>
            </w:r>
          </w:p>
        </w:tc>
        <w:tc>
          <w:tcPr>
            <w:tcW w:w="2060" w:type="dxa"/>
            <w:vAlign w:val="bottom"/>
          </w:tcPr>
          <w:p>
            <w:pPr>
              <w:ind w:left="160"/>
              <w:spacing w:after="0"/>
              <w:rPr>
                <w:sz w:val="20"/>
                <w:szCs w:val="20"/>
                <w:color w:val="auto"/>
              </w:rPr>
            </w:pPr>
            <w:r>
              <w:rPr>
                <w:rFonts w:ascii="Arial" w:cs="Arial" w:eastAsia="Arial" w:hAnsi="Arial"/>
                <w:sz w:val="16"/>
                <w:szCs w:val="16"/>
                <w:color w:val="auto"/>
              </w:rPr>
              <w:t>4</w:t>
            </w:r>
          </w:p>
        </w:tc>
      </w:tr>
      <w:tr>
        <w:trPr>
          <w:trHeight w:val="47"/>
        </w:trPr>
        <w:tc>
          <w:tcPr>
            <w:tcW w:w="8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920" w:type="dxa"/>
            <w:vAlign w:val="bottom"/>
          </w:tcPr>
          <w:p>
            <w:pPr>
              <w:spacing w:after="0"/>
              <w:rPr>
                <w:sz w:val="4"/>
                <w:szCs w:val="4"/>
                <w:color w:val="auto"/>
              </w:rPr>
            </w:pPr>
          </w:p>
        </w:tc>
        <w:tc>
          <w:tcPr>
            <w:tcW w:w="4360" w:type="dxa"/>
            <w:vAlign w:val="bottom"/>
          </w:tcPr>
          <w:p>
            <w:pPr>
              <w:spacing w:after="0"/>
              <w:rPr>
                <w:sz w:val="4"/>
                <w:szCs w:val="4"/>
                <w:color w:val="auto"/>
              </w:rPr>
            </w:pPr>
          </w:p>
        </w:tc>
        <w:tc>
          <w:tcPr>
            <w:tcW w:w="2060" w:type="dxa"/>
            <w:vAlign w:val="bottom"/>
          </w:tcPr>
          <w:p>
            <w:pPr>
              <w:spacing w:after="0"/>
              <w:rPr>
                <w:sz w:val="4"/>
                <w:szCs w:val="4"/>
                <w:color w:val="auto"/>
              </w:rPr>
            </w:pPr>
          </w:p>
        </w:tc>
      </w:tr>
      <w:tr>
        <w:trPr>
          <w:trHeight w:val="224"/>
        </w:trPr>
        <w:tc>
          <w:tcPr>
            <w:tcW w:w="8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5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Thirty-third</w:t>
            </w:r>
          </w:p>
        </w:tc>
        <w:tc>
          <w:tcPr>
            <w:tcW w:w="1920" w:type="dxa"/>
            <w:vAlign w:val="bottom"/>
            <w:shd w:val="clear" w:color="auto" w:fill="CCEEFF"/>
          </w:tcPr>
          <w:p>
            <w:pPr>
              <w:ind w:left="400"/>
              <w:spacing w:after="0"/>
              <w:rPr>
                <w:sz w:val="20"/>
                <w:szCs w:val="20"/>
                <w:color w:val="auto"/>
              </w:rPr>
            </w:pPr>
            <w:r>
              <w:rPr>
                <w:rFonts w:ascii="Arial" w:cs="Arial" w:eastAsia="Arial" w:hAnsi="Arial"/>
                <w:sz w:val="16"/>
                <w:szCs w:val="16"/>
                <w:color w:val="auto"/>
              </w:rPr>
              <w:t>July 1, 2012</w:t>
            </w:r>
          </w:p>
        </w:tc>
        <w:tc>
          <w:tcPr>
            <w:tcW w:w="43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1-3548 (July 2, 2012 Form 8-K)</w:t>
            </w:r>
          </w:p>
        </w:tc>
        <w:tc>
          <w:tcPr>
            <w:tcW w:w="20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4</w:t>
            </w:r>
          </w:p>
        </w:tc>
      </w:tr>
      <w:tr>
        <w:trPr>
          <w:trHeight w:val="47"/>
        </w:trPr>
        <w:tc>
          <w:tcPr>
            <w:tcW w:w="820" w:type="dxa"/>
            <w:vAlign w:val="bottom"/>
            <w:shd w:val="clear" w:color="auto" w:fill="CCEEFF"/>
          </w:tcPr>
          <w:p>
            <w:pPr>
              <w:spacing w:after="0"/>
              <w:rPr>
                <w:sz w:val="4"/>
                <w:szCs w:val="4"/>
                <w:color w:val="auto"/>
              </w:rPr>
            </w:pPr>
          </w:p>
        </w:tc>
        <w:tc>
          <w:tcPr>
            <w:tcW w:w="680" w:type="dxa"/>
            <w:vAlign w:val="bottom"/>
            <w:shd w:val="clear" w:color="auto" w:fill="CCEEFF"/>
          </w:tcPr>
          <w:p>
            <w:pPr>
              <w:spacing w:after="0"/>
              <w:rPr>
                <w:sz w:val="4"/>
                <w:szCs w:val="4"/>
                <w:color w:val="auto"/>
              </w:rPr>
            </w:pPr>
          </w:p>
        </w:tc>
        <w:tc>
          <w:tcPr>
            <w:tcW w:w="1580" w:type="dxa"/>
            <w:vAlign w:val="bottom"/>
            <w:shd w:val="clear" w:color="auto" w:fill="CCEEFF"/>
          </w:tcPr>
          <w:p>
            <w:pPr>
              <w:spacing w:after="0"/>
              <w:rPr>
                <w:sz w:val="4"/>
                <w:szCs w:val="4"/>
                <w:color w:val="auto"/>
              </w:rPr>
            </w:pPr>
          </w:p>
        </w:tc>
        <w:tc>
          <w:tcPr>
            <w:tcW w:w="1920" w:type="dxa"/>
            <w:vAlign w:val="bottom"/>
            <w:shd w:val="clear" w:color="auto" w:fill="CCEEFF"/>
          </w:tcPr>
          <w:p>
            <w:pPr>
              <w:spacing w:after="0"/>
              <w:rPr>
                <w:sz w:val="4"/>
                <w:szCs w:val="4"/>
                <w:color w:val="auto"/>
              </w:rPr>
            </w:pPr>
          </w:p>
        </w:tc>
        <w:tc>
          <w:tcPr>
            <w:tcW w:w="4360" w:type="dxa"/>
            <w:vAlign w:val="bottom"/>
            <w:shd w:val="clear" w:color="auto" w:fill="CCEEFF"/>
          </w:tcPr>
          <w:p>
            <w:pPr>
              <w:spacing w:after="0"/>
              <w:rPr>
                <w:sz w:val="4"/>
                <w:szCs w:val="4"/>
                <w:color w:val="auto"/>
              </w:rPr>
            </w:pPr>
          </w:p>
        </w:tc>
        <w:tc>
          <w:tcPr>
            <w:tcW w:w="2060" w:type="dxa"/>
            <w:vAlign w:val="bottom"/>
            <w:shd w:val="clear" w:color="auto" w:fill="CCEEFF"/>
          </w:tcPr>
          <w:p>
            <w:pPr>
              <w:spacing w:after="0"/>
              <w:rPr>
                <w:sz w:val="4"/>
                <w:szCs w:val="4"/>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2012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499" w:right="2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u w:val="single" w:color="auto"/>
          <w:color w:val="auto"/>
        </w:rPr>
        <w:t>Exhibit Number</w:t>
      </w:r>
    </w:p>
    <w:p>
      <w:pPr>
        <w:spacing w:after="0" w:line="45" w:lineRule="exact"/>
        <w:rPr>
          <w:sz w:val="20"/>
          <w:szCs w:val="20"/>
          <w:color w:val="auto"/>
        </w:rPr>
      </w:pPr>
    </w:p>
    <w:p>
      <w:pPr>
        <w:ind w:left="1340" w:right="200" w:hanging="1620"/>
        <w:spacing w:after="0" w:line="278" w:lineRule="auto"/>
        <w:tabs>
          <w:tab w:leader="none" w:pos="1320" w:val="left"/>
        </w:tabs>
        <w:rPr>
          <w:sz w:val="20"/>
          <w:szCs w:val="20"/>
          <w:color w:val="auto"/>
        </w:rPr>
      </w:pPr>
      <w:r>
        <w:rPr>
          <w:rFonts w:ascii="Arial" w:cs="Arial" w:eastAsia="Arial" w:hAnsi="Arial"/>
          <w:sz w:val="16"/>
          <w:szCs w:val="16"/>
          <w:color w:val="auto"/>
        </w:rPr>
        <w:t>*4(b)1</w:t>
      </w:r>
      <w:r>
        <w:rPr>
          <w:sz w:val="20"/>
          <w:szCs w:val="20"/>
          <w:color w:val="auto"/>
        </w:rPr>
        <w:tab/>
      </w:r>
      <w:r>
        <w:rPr>
          <w:rFonts w:ascii="Arial" w:cs="Arial" w:eastAsia="Arial" w:hAnsi="Arial"/>
          <w:sz w:val="16"/>
          <w:szCs w:val="16"/>
          <w:color w:val="auto"/>
        </w:rPr>
        <w:t>— Indenture of Trust, dated as of August 1, 2004, between the City of Cohasset, Minnesota and U.S. Bank National Association, as Trustee relating to $111 Million Collateralized Pollution Control Refunding Revenue Bonds (filed as Exhibit 4(b) to the September 30, 2004, Form 10-Q, File No. 1-3548).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246620" cy="2914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2" w:lineRule="exact"/>
        <w:rPr>
          <w:sz w:val="20"/>
          <w:szCs w:val="20"/>
          <w:color w:val="auto"/>
        </w:rPr>
      </w:pPr>
    </w:p>
    <w:p>
      <w:pPr>
        <w:ind w:left="1340" w:right="640" w:hanging="1620"/>
        <w:spacing w:after="0" w:line="319" w:lineRule="auto"/>
        <w:tabs>
          <w:tab w:leader="none" w:pos="1320" w:val="left"/>
        </w:tabs>
        <w:rPr>
          <w:sz w:val="20"/>
          <w:szCs w:val="20"/>
          <w:color w:val="auto"/>
        </w:rPr>
      </w:pPr>
      <w:r>
        <w:rPr>
          <w:rFonts w:ascii="Arial" w:cs="Arial" w:eastAsia="Arial" w:hAnsi="Arial"/>
          <w:sz w:val="16"/>
          <w:szCs w:val="16"/>
          <w:color w:val="auto"/>
        </w:rPr>
        <w:t>*4(b)2</w:t>
      </w:r>
      <w:r>
        <w:rPr>
          <w:sz w:val="20"/>
          <w:szCs w:val="20"/>
          <w:color w:val="auto"/>
        </w:rPr>
        <w:tab/>
      </w:r>
      <w:r>
        <w:rPr>
          <w:rFonts w:ascii="Arial" w:cs="Arial" w:eastAsia="Arial" w:hAnsi="Arial"/>
          <w:sz w:val="15"/>
          <w:szCs w:val="15"/>
          <w:color w:val="auto"/>
        </w:rPr>
        <w:t>— Loan Agreement, dated as of August 1, 2004, between the City of Cohasset, Minnesota and ALLETE relating to $111 Million Collateralized Pollution Control Refunding Revenue Bonds (filed as Exhibit 4(c) to the September 30, 2004, Form 10-Q, File No. 1-3548).</w:t>
      </w:r>
    </w:p>
    <w:p>
      <w:pPr>
        <w:spacing w:after="0" w:line="1" w:lineRule="exact"/>
        <w:rPr>
          <w:sz w:val="20"/>
          <w:szCs w:val="20"/>
          <w:color w:val="auto"/>
        </w:rPr>
      </w:pPr>
    </w:p>
    <w:p>
      <w:pPr>
        <w:ind w:left="1340" w:right="160" w:hanging="1620"/>
        <w:spacing w:after="0" w:line="319" w:lineRule="auto"/>
        <w:tabs>
          <w:tab w:leader="none" w:pos="1320" w:val="left"/>
        </w:tabs>
        <w:rPr>
          <w:sz w:val="20"/>
          <w:szCs w:val="20"/>
          <w:color w:val="auto"/>
        </w:rPr>
      </w:pPr>
      <w:r>
        <w:rPr>
          <w:rFonts w:ascii="Arial" w:cs="Arial" w:eastAsia="Arial" w:hAnsi="Arial"/>
          <w:sz w:val="16"/>
          <w:szCs w:val="16"/>
          <w:color w:val="auto"/>
        </w:rPr>
        <w:t>*4(c)1</w:t>
      </w:r>
      <w:r>
        <w:rPr>
          <w:sz w:val="20"/>
          <w:szCs w:val="20"/>
          <w:color w:val="auto"/>
        </w:rPr>
        <w:tab/>
      </w:r>
      <w:r>
        <w:rPr>
          <w:rFonts w:ascii="Arial" w:cs="Arial" w:eastAsia="Arial" w:hAnsi="Arial"/>
          <w:sz w:val="15"/>
          <w:szCs w:val="15"/>
          <w:color w:val="auto"/>
        </w:rPr>
        <w:t>— Mortgage and Deed of Trust, dated as of March 1, 1943, between Superior Water, Light and Power Company and Chemical Bank &amp; Trust Company and Howard B. Smith, as Trustees, both succeeded by U.S. Bank National Association, as Trustee (filed as Exhibit 7(c), File No. 2-8668).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246620" cy="1631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ind w:left="40"/>
        <w:spacing w:after="0"/>
        <w:tabs>
          <w:tab w:leader="none" w:pos="1320" w:val="left"/>
          <w:tab w:leader="none" w:pos="1640" w:val="left"/>
        </w:tabs>
        <w:rPr>
          <w:sz w:val="20"/>
          <w:szCs w:val="20"/>
          <w:color w:val="auto"/>
        </w:rPr>
      </w:pPr>
      <w:r>
        <w:rPr>
          <w:rFonts w:ascii="Arial" w:cs="Arial" w:eastAsia="Arial" w:hAnsi="Arial"/>
          <w:sz w:val="16"/>
          <w:szCs w:val="16"/>
          <w:color w:val="auto"/>
        </w:rPr>
        <w:t>*4(c)2</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4"/>
          <w:szCs w:val="14"/>
          <w:color w:val="auto"/>
        </w:rPr>
        <w:t>Supplemental Indentures to Superior Water, Light and Power Company’s Mortgage and Deed of Trust:</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860" w:type="dxa"/>
            <w:vAlign w:val="bottom"/>
          </w:tcPr>
          <w:p>
            <w:pPr>
              <w:ind w:left="1660"/>
              <w:spacing w:after="0"/>
              <w:rPr>
                <w:sz w:val="20"/>
                <w:szCs w:val="20"/>
                <w:color w:val="auto"/>
              </w:rPr>
            </w:pPr>
            <w:r>
              <w:rPr>
                <w:rFonts w:ascii="Arial" w:cs="Arial" w:eastAsia="Arial" w:hAnsi="Arial"/>
                <w:sz w:val="16"/>
                <w:szCs w:val="16"/>
                <w:color w:val="auto"/>
              </w:rPr>
              <w:t>Number</w:t>
            </w:r>
          </w:p>
        </w:tc>
        <w:tc>
          <w:tcPr>
            <w:tcW w:w="2140" w:type="dxa"/>
            <w:vAlign w:val="bottom"/>
          </w:tcPr>
          <w:p>
            <w:pPr>
              <w:ind w:left="620"/>
              <w:spacing w:after="0"/>
              <w:rPr>
                <w:sz w:val="20"/>
                <w:szCs w:val="20"/>
                <w:color w:val="auto"/>
              </w:rPr>
            </w:pPr>
            <w:r>
              <w:rPr>
                <w:rFonts w:ascii="Arial" w:cs="Arial" w:eastAsia="Arial" w:hAnsi="Arial"/>
                <w:sz w:val="16"/>
                <w:szCs w:val="16"/>
                <w:color w:val="auto"/>
              </w:rPr>
              <w:t>Dated as of</w:t>
            </w:r>
          </w:p>
        </w:tc>
        <w:tc>
          <w:tcPr>
            <w:tcW w:w="3260" w:type="dxa"/>
            <w:vAlign w:val="bottom"/>
          </w:tcPr>
          <w:p>
            <w:pPr>
              <w:ind w:left="300"/>
              <w:spacing w:after="0"/>
              <w:rPr>
                <w:sz w:val="20"/>
                <w:szCs w:val="20"/>
                <w:color w:val="auto"/>
              </w:rPr>
            </w:pPr>
            <w:r>
              <w:rPr>
                <w:rFonts w:ascii="Arial" w:cs="Arial" w:eastAsia="Arial" w:hAnsi="Arial"/>
                <w:sz w:val="16"/>
                <w:szCs w:val="16"/>
                <w:color w:val="auto"/>
              </w:rPr>
              <w:t>Reference File</w:t>
            </w:r>
          </w:p>
        </w:tc>
        <w:tc>
          <w:tcPr>
            <w:tcW w:w="3160" w:type="dxa"/>
            <w:vAlign w:val="bottom"/>
          </w:tcPr>
          <w:p>
            <w:pPr>
              <w:ind w:left="1260"/>
              <w:spacing w:after="0"/>
              <w:rPr>
                <w:sz w:val="20"/>
                <w:szCs w:val="20"/>
                <w:color w:val="auto"/>
              </w:rPr>
            </w:pPr>
            <w:r>
              <w:rPr>
                <w:rFonts w:ascii="Arial" w:cs="Arial" w:eastAsia="Arial" w:hAnsi="Arial"/>
                <w:sz w:val="16"/>
                <w:szCs w:val="16"/>
                <w:color w:val="auto"/>
              </w:rPr>
              <w:t>Exhibit</w:t>
            </w:r>
          </w:p>
        </w:tc>
      </w:tr>
      <w:tr>
        <w:trPr>
          <w:trHeight w:val="33"/>
        </w:trPr>
        <w:tc>
          <w:tcPr>
            <w:tcW w:w="2860" w:type="dxa"/>
            <w:vAlign w:val="bottom"/>
          </w:tcPr>
          <w:p>
            <w:pPr>
              <w:spacing w:after="0"/>
              <w:rPr>
                <w:sz w:val="2"/>
                <w:szCs w:val="2"/>
                <w:color w:val="auto"/>
              </w:rPr>
            </w:pPr>
          </w:p>
        </w:tc>
        <w:tc>
          <w:tcPr>
            <w:tcW w:w="2140" w:type="dxa"/>
            <w:vAlign w:val="bottom"/>
          </w:tcPr>
          <w:p>
            <w:pPr>
              <w:spacing w:after="0"/>
              <w:rPr>
                <w:sz w:val="2"/>
                <w:szCs w:val="2"/>
                <w:color w:val="auto"/>
              </w:rPr>
            </w:pPr>
          </w:p>
        </w:tc>
        <w:tc>
          <w:tcPr>
            <w:tcW w:w="3260" w:type="dxa"/>
            <w:vAlign w:val="bottom"/>
          </w:tcPr>
          <w:p>
            <w:pPr>
              <w:spacing w:after="0"/>
              <w:rPr>
                <w:sz w:val="2"/>
                <w:szCs w:val="2"/>
                <w:color w:val="auto"/>
              </w:rPr>
            </w:pPr>
          </w:p>
        </w:tc>
        <w:tc>
          <w:tcPr>
            <w:tcW w:w="3160" w:type="dxa"/>
            <w:vAlign w:val="bottom"/>
          </w:tcPr>
          <w:p>
            <w:pPr>
              <w:spacing w:after="0"/>
              <w:rPr>
                <w:sz w:val="2"/>
                <w:szCs w:val="2"/>
                <w:color w:val="auto"/>
              </w:rPr>
            </w:pPr>
          </w:p>
        </w:tc>
      </w:tr>
      <w:tr>
        <w:trPr>
          <w:trHeight w:val="237"/>
        </w:trPr>
        <w:tc>
          <w:tcPr>
            <w:tcW w:w="2860" w:type="dxa"/>
            <w:vAlign w:val="bottom"/>
            <w:tcBorders>
              <w:bottom w:val="single" w:sz="8" w:color="CCEEFF"/>
            </w:tcBorders>
            <w:shd w:val="clear" w:color="auto" w:fill="CCEEFF"/>
          </w:tcPr>
          <w:p>
            <w:pPr>
              <w:ind w:left="1660"/>
              <w:spacing w:after="0"/>
              <w:rPr>
                <w:sz w:val="20"/>
                <w:szCs w:val="20"/>
                <w:color w:val="auto"/>
              </w:rPr>
            </w:pPr>
            <w:r>
              <w:rPr>
                <w:rFonts w:ascii="Arial" w:cs="Arial" w:eastAsia="Arial" w:hAnsi="Arial"/>
                <w:sz w:val="16"/>
                <w:szCs w:val="16"/>
                <w:color w:val="auto"/>
              </w:rPr>
              <w:t>First</w:t>
            </w:r>
          </w:p>
        </w:tc>
        <w:tc>
          <w:tcPr>
            <w:tcW w:w="214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color w:val="auto"/>
              </w:rPr>
              <w:t>March 1, 1951</w:t>
            </w:r>
          </w:p>
        </w:tc>
        <w:tc>
          <w:tcPr>
            <w:tcW w:w="32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6"/>
                <w:szCs w:val="16"/>
                <w:color w:val="auto"/>
              </w:rPr>
              <w:t>2-59690</w:t>
            </w:r>
          </w:p>
        </w:tc>
        <w:tc>
          <w:tcPr>
            <w:tcW w:w="3160" w:type="dxa"/>
            <w:vAlign w:val="bottom"/>
            <w:tcBorders>
              <w:bottom w:val="single" w:sz="8" w:color="CCEEFF"/>
            </w:tcBorders>
            <w:shd w:val="clear" w:color="auto" w:fill="CCEEFF"/>
          </w:tcPr>
          <w:p>
            <w:pPr>
              <w:ind w:left="1260"/>
              <w:spacing w:after="0"/>
              <w:rPr>
                <w:sz w:val="20"/>
                <w:szCs w:val="20"/>
                <w:color w:val="auto"/>
              </w:rPr>
            </w:pPr>
            <w:r>
              <w:rPr>
                <w:rFonts w:ascii="Arial" w:cs="Arial" w:eastAsia="Arial" w:hAnsi="Arial"/>
                <w:sz w:val="16"/>
                <w:szCs w:val="16"/>
                <w:color w:val="auto"/>
              </w:rPr>
              <w:t>2(d)(1)</w:t>
            </w:r>
          </w:p>
        </w:tc>
      </w:tr>
      <w:tr>
        <w:trPr>
          <w:trHeight w:val="224"/>
        </w:trPr>
        <w:tc>
          <w:tcPr>
            <w:tcW w:w="2860" w:type="dxa"/>
            <w:vAlign w:val="bottom"/>
          </w:tcPr>
          <w:p>
            <w:pPr>
              <w:ind w:left="1660"/>
              <w:spacing w:after="0"/>
              <w:rPr>
                <w:sz w:val="20"/>
                <w:szCs w:val="20"/>
                <w:color w:val="auto"/>
              </w:rPr>
            </w:pPr>
            <w:r>
              <w:rPr>
                <w:rFonts w:ascii="Arial" w:cs="Arial" w:eastAsia="Arial" w:hAnsi="Arial"/>
                <w:sz w:val="16"/>
                <w:szCs w:val="16"/>
                <w:color w:val="auto"/>
              </w:rPr>
              <w:t>Second</w:t>
            </w:r>
          </w:p>
        </w:tc>
        <w:tc>
          <w:tcPr>
            <w:tcW w:w="2140" w:type="dxa"/>
            <w:vAlign w:val="bottom"/>
          </w:tcPr>
          <w:p>
            <w:pPr>
              <w:ind w:left="620"/>
              <w:spacing w:after="0"/>
              <w:rPr>
                <w:sz w:val="20"/>
                <w:szCs w:val="20"/>
                <w:color w:val="auto"/>
              </w:rPr>
            </w:pPr>
            <w:r>
              <w:rPr>
                <w:rFonts w:ascii="Arial" w:cs="Arial" w:eastAsia="Arial" w:hAnsi="Arial"/>
                <w:sz w:val="16"/>
                <w:szCs w:val="16"/>
                <w:color w:val="auto"/>
              </w:rPr>
              <w:t>March 1, 1962</w:t>
            </w:r>
          </w:p>
        </w:tc>
        <w:tc>
          <w:tcPr>
            <w:tcW w:w="3260" w:type="dxa"/>
            <w:vAlign w:val="bottom"/>
          </w:tcPr>
          <w:p>
            <w:pPr>
              <w:ind w:left="300"/>
              <w:spacing w:after="0"/>
              <w:rPr>
                <w:sz w:val="20"/>
                <w:szCs w:val="20"/>
                <w:color w:val="auto"/>
              </w:rPr>
            </w:pPr>
            <w:r>
              <w:rPr>
                <w:rFonts w:ascii="Arial" w:cs="Arial" w:eastAsia="Arial" w:hAnsi="Arial"/>
                <w:sz w:val="16"/>
                <w:szCs w:val="16"/>
                <w:color w:val="auto"/>
              </w:rPr>
              <w:t>2-27794</w:t>
            </w:r>
          </w:p>
        </w:tc>
        <w:tc>
          <w:tcPr>
            <w:tcW w:w="3160" w:type="dxa"/>
            <w:vAlign w:val="bottom"/>
          </w:tcPr>
          <w:p>
            <w:pPr>
              <w:ind w:left="1260"/>
              <w:spacing w:after="0"/>
              <w:rPr>
                <w:sz w:val="20"/>
                <w:szCs w:val="20"/>
                <w:color w:val="auto"/>
              </w:rPr>
            </w:pPr>
            <w:r>
              <w:rPr>
                <w:rFonts w:ascii="Arial" w:cs="Arial" w:eastAsia="Arial" w:hAnsi="Arial"/>
                <w:sz w:val="16"/>
                <w:szCs w:val="16"/>
                <w:color w:val="auto"/>
              </w:rPr>
              <w:t>2(d)1</w:t>
            </w:r>
          </w:p>
        </w:tc>
      </w:tr>
      <w:tr>
        <w:trPr>
          <w:trHeight w:val="33"/>
        </w:trPr>
        <w:tc>
          <w:tcPr>
            <w:tcW w:w="2860" w:type="dxa"/>
            <w:vAlign w:val="bottom"/>
          </w:tcPr>
          <w:p>
            <w:pPr>
              <w:spacing w:after="0"/>
              <w:rPr>
                <w:sz w:val="2"/>
                <w:szCs w:val="2"/>
                <w:color w:val="auto"/>
              </w:rPr>
            </w:pPr>
          </w:p>
        </w:tc>
        <w:tc>
          <w:tcPr>
            <w:tcW w:w="2140" w:type="dxa"/>
            <w:vAlign w:val="bottom"/>
          </w:tcPr>
          <w:p>
            <w:pPr>
              <w:spacing w:after="0"/>
              <w:rPr>
                <w:sz w:val="2"/>
                <w:szCs w:val="2"/>
                <w:color w:val="auto"/>
              </w:rPr>
            </w:pPr>
          </w:p>
        </w:tc>
        <w:tc>
          <w:tcPr>
            <w:tcW w:w="3260" w:type="dxa"/>
            <w:vAlign w:val="bottom"/>
          </w:tcPr>
          <w:p>
            <w:pPr>
              <w:spacing w:after="0"/>
              <w:rPr>
                <w:sz w:val="2"/>
                <w:szCs w:val="2"/>
                <w:color w:val="auto"/>
              </w:rPr>
            </w:pPr>
          </w:p>
        </w:tc>
        <w:tc>
          <w:tcPr>
            <w:tcW w:w="3160" w:type="dxa"/>
            <w:vAlign w:val="bottom"/>
          </w:tcPr>
          <w:p>
            <w:pPr>
              <w:spacing w:after="0"/>
              <w:rPr>
                <w:sz w:val="2"/>
                <w:szCs w:val="2"/>
                <w:color w:val="auto"/>
              </w:rPr>
            </w:pPr>
          </w:p>
        </w:tc>
      </w:tr>
      <w:tr>
        <w:trPr>
          <w:trHeight w:val="237"/>
        </w:trPr>
        <w:tc>
          <w:tcPr>
            <w:tcW w:w="2860" w:type="dxa"/>
            <w:vAlign w:val="bottom"/>
            <w:tcBorders>
              <w:bottom w:val="single" w:sz="8" w:color="CCEEFF"/>
            </w:tcBorders>
            <w:shd w:val="clear" w:color="auto" w:fill="CCEEFF"/>
          </w:tcPr>
          <w:p>
            <w:pPr>
              <w:ind w:left="1660"/>
              <w:spacing w:after="0"/>
              <w:rPr>
                <w:sz w:val="20"/>
                <w:szCs w:val="20"/>
                <w:color w:val="auto"/>
              </w:rPr>
            </w:pPr>
            <w:r>
              <w:rPr>
                <w:rFonts w:ascii="Arial" w:cs="Arial" w:eastAsia="Arial" w:hAnsi="Arial"/>
                <w:sz w:val="16"/>
                <w:szCs w:val="16"/>
                <w:color w:val="auto"/>
              </w:rPr>
              <w:t>Third</w:t>
            </w:r>
          </w:p>
        </w:tc>
        <w:tc>
          <w:tcPr>
            <w:tcW w:w="214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color w:val="auto"/>
              </w:rPr>
              <w:t>July 1, 1976</w:t>
            </w:r>
          </w:p>
        </w:tc>
        <w:tc>
          <w:tcPr>
            <w:tcW w:w="32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6"/>
                <w:szCs w:val="16"/>
                <w:color w:val="auto"/>
              </w:rPr>
              <w:t>2-57478</w:t>
            </w:r>
          </w:p>
        </w:tc>
        <w:tc>
          <w:tcPr>
            <w:tcW w:w="3160" w:type="dxa"/>
            <w:vAlign w:val="bottom"/>
            <w:tcBorders>
              <w:bottom w:val="single" w:sz="8" w:color="CCEEFF"/>
            </w:tcBorders>
            <w:shd w:val="clear" w:color="auto" w:fill="CCEEFF"/>
          </w:tcPr>
          <w:p>
            <w:pPr>
              <w:ind w:left="1260"/>
              <w:spacing w:after="0"/>
              <w:rPr>
                <w:sz w:val="20"/>
                <w:szCs w:val="20"/>
                <w:color w:val="auto"/>
              </w:rPr>
            </w:pPr>
            <w:r>
              <w:rPr>
                <w:rFonts w:ascii="Arial" w:cs="Arial" w:eastAsia="Arial" w:hAnsi="Arial"/>
                <w:sz w:val="16"/>
                <w:szCs w:val="16"/>
                <w:color w:val="auto"/>
              </w:rPr>
              <w:t>2(e)1</w:t>
            </w:r>
          </w:p>
        </w:tc>
      </w:tr>
      <w:tr>
        <w:trPr>
          <w:trHeight w:val="224"/>
        </w:trPr>
        <w:tc>
          <w:tcPr>
            <w:tcW w:w="2860" w:type="dxa"/>
            <w:vAlign w:val="bottom"/>
          </w:tcPr>
          <w:p>
            <w:pPr>
              <w:ind w:left="1660"/>
              <w:spacing w:after="0"/>
              <w:rPr>
                <w:sz w:val="20"/>
                <w:szCs w:val="20"/>
                <w:color w:val="auto"/>
              </w:rPr>
            </w:pPr>
            <w:r>
              <w:rPr>
                <w:rFonts w:ascii="Arial" w:cs="Arial" w:eastAsia="Arial" w:hAnsi="Arial"/>
                <w:sz w:val="16"/>
                <w:szCs w:val="16"/>
                <w:color w:val="auto"/>
              </w:rPr>
              <w:t>Fourth</w:t>
            </w:r>
          </w:p>
        </w:tc>
        <w:tc>
          <w:tcPr>
            <w:tcW w:w="2140" w:type="dxa"/>
            <w:vAlign w:val="bottom"/>
          </w:tcPr>
          <w:p>
            <w:pPr>
              <w:ind w:left="620"/>
              <w:spacing w:after="0"/>
              <w:rPr>
                <w:sz w:val="20"/>
                <w:szCs w:val="20"/>
                <w:color w:val="auto"/>
              </w:rPr>
            </w:pPr>
            <w:r>
              <w:rPr>
                <w:rFonts w:ascii="Arial" w:cs="Arial" w:eastAsia="Arial" w:hAnsi="Arial"/>
                <w:sz w:val="16"/>
                <w:szCs w:val="16"/>
                <w:color w:val="auto"/>
              </w:rPr>
              <w:t>March 1, 1985</w:t>
            </w:r>
          </w:p>
        </w:tc>
        <w:tc>
          <w:tcPr>
            <w:tcW w:w="3260" w:type="dxa"/>
            <w:vAlign w:val="bottom"/>
          </w:tcPr>
          <w:p>
            <w:pPr>
              <w:ind w:left="300"/>
              <w:spacing w:after="0"/>
              <w:rPr>
                <w:sz w:val="20"/>
                <w:szCs w:val="20"/>
                <w:color w:val="auto"/>
              </w:rPr>
            </w:pPr>
            <w:r>
              <w:rPr>
                <w:rFonts w:ascii="Arial" w:cs="Arial" w:eastAsia="Arial" w:hAnsi="Arial"/>
                <w:sz w:val="16"/>
                <w:szCs w:val="16"/>
                <w:color w:val="auto"/>
              </w:rPr>
              <w:t>2-78641</w:t>
            </w:r>
          </w:p>
        </w:tc>
        <w:tc>
          <w:tcPr>
            <w:tcW w:w="3160" w:type="dxa"/>
            <w:vAlign w:val="bottom"/>
          </w:tcPr>
          <w:p>
            <w:pPr>
              <w:ind w:left="1260"/>
              <w:spacing w:after="0"/>
              <w:rPr>
                <w:sz w:val="20"/>
                <w:szCs w:val="20"/>
                <w:color w:val="auto"/>
              </w:rPr>
            </w:pPr>
            <w:r>
              <w:rPr>
                <w:rFonts w:ascii="Arial" w:cs="Arial" w:eastAsia="Arial" w:hAnsi="Arial"/>
                <w:sz w:val="16"/>
                <w:szCs w:val="16"/>
                <w:color w:val="auto"/>
              </w:rPr>
              <w:t>4(b)</w:t>
            </w:r>
          </w:p>
        </w:tc>
      </w:tr>
      <w:tr>
        <w:trPr>
          <w:trHeight w:val="33"/>
        </w:trPr>
        <w:tc>
          <w:tcPr>
            <w:tcW w:w="2860" w:type="dxa"/>
            <w:vAlign w:val="bottom"/>
          </w:tcPr>
          <w:p>
            <w:pPr>
              <w:spacing w:after="0"/>
              <w:rPr>
                <w:sz w:val="2"/>
                <w:szCs w:val="2"/>
                <w:color w:val="auto"/>
              </w:rPr>
            </w:pPr>
          </w:p>
        </w:tc>
        <w:tc>
          <w:tcPr>
            <w:tcW w:w="2140" w:type="dxa"/>
            <w:vAlign w:val="bottom"/>
          </w:tcPr>
          <w:p>
            <w:pPr>
              <w:spacing w:after="0"/>
              <w:rPr>
                <w:sz w:val="2"/>
                <w:szCs w:val="2"/>
                <w:color w:val="auto"/>
              </w:rPr>
            </w:pPr>
          </w:p>
        </w:tc>
        <w:tc>
          <w:tcPr>
            <w:tcW w:w="3260" w:type="dxa"/>
            <w:vAlign w:val="bottom"/>
          </w:tcPr>
          <w:p>
            <w:pPr>
              <w:spacing w:after="0"/>
              <w:rPr>
                <w:sz w:val="2"/>
                <w:szCs w:val="2"/>
                <w:color w:val="auto"/>
              </w:rPr>
            </w:pPr>
          </w:p>
        </w:tc>
        <w:tc>
          <w:tcPr>
            <w:tcW w:w="3160" w:type="dxa"/>
            <w:vAlign w:val="bottom"/>
          </w:tcPr>
          <w:p>
            <w:pPr>
              <w:spacing w:after="0"/>
              <w:rPr>
                <w:sz w:val="2"/>
                <w:szCs w:val="2"/>
                <w:color w:val="auto"/>
              </w:rPr>
            </w:pPr>
          </w:p>
        </w:tc>
      </w:tr>
      <w:tr>
        <w:trPr>
          <w:trHeight w:val="237"/>
        </w:trPr>
        <w:tc>
          <w:tcPr>
            <w:tcW w:w="2860" w:type="dxa"/>
            <w:vAlign w:val="bottom"/>
            <w:tcBorders>
              <w:bottom w:val="single" w:sz="8" w:color="CCEEFF"/>
            </w:tcBorders>
            <w:shd w:val="clear" w:color="auto" w:fill="CCEEFF"/>
          </w:tcPr>
          <w:p>
            <w:pPr>
              <w:ind w:left="1660"/>
              <w:spacing w:after="0"/>
              <w:rPr>
                <w:sz w:val="20"/>
                <w:szCs w:val="20"/>
                <w:color w:val="auto"/>
              </w:rPr>
            </w:pPr>
            <w:r>
              <w:rPr>
                <w:rFonts w:ascii="Arial" w:cs="Arial" w:eastAsia="Arial" w:hAnsi="Arial"/>
                <w:sz w:val="16"/>
                <w:szCs w:val="16"/>
                <w:color w:val="auto"/>
              </w:rPr>
              <w:t>Fifth</w:t>
            </w:r>
          </w:p>
        </w:tc>
        <w:tc>
          <w:tcPr>
            <w:tcW w:w="214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color w:val="auto"/>
              </w:rPr>
              <w:t>December 1, 1992</w:t>
            </w:r>
          </w:p>
        </w:tc>
        <w:tc>
          <w:tcPr>
            <w:tcW w:w="32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6"/>
                <w:szCs w:val="16"/>
                <w:color w:val="auto"/>
              </w:rPr>
              <w:t>1-3548 (1992 Form 10-K)</w:t>
            </w:r>
          </w:p>
        </w:tc>
        <w:tc>
          <w:tcPr>
            <w:tcW w:w="3160" w:type="dxa"/>
            <w:vAlign w:val="bottom"/>
            <w:tcBorders>
              <w:bottom w:val="single" w:sz="8" w:color="CCEEFF"/>
            </w:tcBorders>
            <w:shd w:val="clear" w:color="auto" w:fill="CCEEFF"/>
          </w:tcPr>
          <w:p>
            <w:pPr>
              <w:ind w:left="1260"/>
              <w:spacing w:after="0"/>
              <w:rPr>
                <w:sz w:val="20"/>
                <w:szCs w:val="20"/>
                <w:color w:val="auto"/>
              </w:rPr>
            </w:pPr>
            <w:r>
              <w:rPr>
                <w:rFonts w:ascii="Arial" w:cs="Arial" w:eastAsia="Arial" w:hAnsi="Arial"/>
                <w:sz w:val="16"/>
                <w:szCs w:val="16"/>
                <w:color w:val="auto"/>
              </w:rPr>
              <w:t>4(b)1</w:t>
            </w:r>
          </w:p>
        </w:tc>
      </w:tr>
      <w:tr>
        <w:trPr>
          <w:trHeight w:val="224"/>
        </w:trPr>
        <w:tc>
          <w:tcPr>
            <w:tcW w:w="2860" w:type="dxa"/>
            <w:vAlign w:val="bottom"/>
          </w:tcPr>
          <w:p>
            <w:pPr>
              <w:ind w:left="1660"/>
              <w:spacing w:after="0"/>
              <w:rPr>
                <w:sz w:val="20"/>
                <w:szCs w:val="20"/>
                <w:color w:val="auto"/>
              </w:rPr>
            </w:pPr>
            <w:r>
              <w:rPr>
                <w:rFonts w:ascii="Arial" w:cs="Arial" w:eastAsia="Arial" w:hAnsi="Arial"/>
                <w:sz w:val="16"/>
                <w:szCs w:val="16"/>
                <w:color w:val="auto"/>
              </w:rPr>
              <w:t>Sixth</w:t>
            </w:r>
          </w:p>
        </w:tc>
        <w:tc>
          <w:tcPr>
            <w:tcW w:w="2140" w:type="dxa"/>
            <w:vAlign w:val="bottom"/>
          </w:tcPr>
          <w:p>
            <w:pPr>
              <w:ind w:left="620"/>
              <w:spacing w:after="0"/>
              <w:rPr>
                <w:sz w:val="20"/>
                <w:szCs w:val="20"/>
                <w:color w:val="auto"/>
              </w:rPr>
            </w:pPr>
            <w:r>
              <w:rPr>
                <w:rFonts w:ascii="Arial" w:cs="Arial" w:eastAsia="Arial" w:hAnsi="Arial"/>
                <w:sz w:val="16"/>
                <w:szCs w:val="16"/>
                <w:color w:val="auto"/>
              </w:rPr>
              <w:t>March 24, 1994</w:t>
            </w:r>
          </w:p>
        </w:tc>
        <w:tc>
          <w:tcPr>
            <w:tcW w:w="3260" w:type="dxa"/>
            <w:vAlign w:val="bottom"/>
          </w:tcPr>
          <w:p>
            <w:pPr>
              <w:ind w:left="300"/>
              <w:spacing w:after="0"/>
              <w:rPr>
                <w:sz w:val="20"/>
                <w:szCs w:val="20"/>
                <w:color w:val="auto"/>
              </w:rPr>
            </w:pPr>
            <w:r>
              <w:rPr>
                <w:rFonts w:ascii="Arial" w:cs="Arial" w:eastAsia="Arial" w:hAnsi="Arial"/>
                <w:sz w:val="16"/>
                <w:szCs w:val="16"/>
                <w:color w:val="auto"/>
              </w:rPr>
              <w:t>1-3548 (1996 Form 10-K)</w:t>
            </w:r>
          </w:p>
        </w:tc>
        <w:tc>
          <w:tcPr>
            <w:tcW w:w="3160" w:type="dxa"/>
            <w:vAlign w:val="bottom"/>
          </w:tcPr>
          <w:p>
            <w:pPr>
              <w:ind w:left="1260"/>
              <w:spacing w:after="0"/>
              <w:rPr>
                <w:sz w:val="20"/>
                <w:szCs w:val="20"/>
                <w:color w:val="auto"/>
              </w:rPr>
            </w:pPr>
            <w:r>
              <w:rPr>
                <w:rFonts w:ascii="Arial" w:cs="Arial" w:eastAsia="Arial" w:hAnsi="Arial"/>
                <w:sz w:val="16"/>
                <w:szCs w:val="16"/>
                <w:color w:val="auto"/>
              </w:rPr>
              <w:t>4(b)1</w:t>
            </w:r>
          </w:p>
        </w:tc>
      </w:tr>
      <w:tr>
        <w:trPr>
          <w:trHeight w:val="33"/>
        </w:trPr>
        <w:tc>
          <w:tcPr>
            <w:tcW w:w="2860" w:type="dxa"/>
            <w:vAlign w:val="bottom"/>
          </w:tcPr>
          <w:p>
            <w:pPr>
              <w:spacing w:after="0"/>
              <w:rPr>
                <w:sz w:val="2"/>
                <w:szCs w:val="2"/>
                <w:color w:val="auto"/>
              </w:rPr>
            </w:pPr>
          </w:p>
        </w:tc>
        <w:tc>
          <w:tcPr>
            <w:tcW w:w="2140" w:type="dxa"/>
            <w:vAlign w:val="bottom"/>
          </w:tcPr>
          <w:p>
            <w:pPr>
              <w:spacing w:after="0"/>
              <w:rPr>
                <w:sz w:val="2"/>
                <w:szCs w:val="2"/>
                <w:color w:val="auto"/>
              </w:rPr>
            </w:pPr>
          </w:p>
        </w:tc>
        <w:tc>
          <w:tcPr>
            <w:tcW w:w="3260" w:type="dxa"/>
            <w:vAlign w:val="bottom"/>
          </w:tcPr>
          <w:p>
            <w:pPr>
              <w:spacing w:after="0"/>
              <w:rPr>
                <w:sz w:val="2"/>
                <w:szCs w:val="2"/>
                <w:color w:val="auto"/>
              </w:rPr>
            </w:pPr>
          </w:p>
        </w:tc>
        <w:tc>
          <w:tcPr>
            <w:tcW w:w="3160" w:type="dxa"/>
            <w:vAlign w:val="bottom"/>
          </w:tcPr>
          <w:p>
            <w:pPr>
              <w:spacing w:after="0"/>
              <w:rPr>
                <w:sz w:val="2"/>
                <w:szCs w:val="2"/>
                <w:color w:val="auto"/>
              </w:rPr>
            </w:pPr>
          </w:p>
        </w:tc>
      </w:tr>
      <w:tr>
        <w:trPr>
          <w:trHeight w:val="237"/>
        </w:trPr>
        <w:tc>
          <w:tcPr>
            <w:tcW w:w="2860" w:type="dxa"/>
            <w:vAlign w:val="bottom"/>
            <w:tcBorders>
              <w:bottom w:val="single" w:sz="8" w:color="CCEEFF"/>
            </w:tcBorders>
            <w:shd w:val="clear" w:color="auto" w:fill="CCEEFF"/>
          </w:tcPr>
          <w:p>
            <w:pPr>
              <w:ind w:left="1660"/>
              <w:spacing w:after="0"/>
              <w:rPr>
                <w:sz w:val="20"/>
                <w:szCs w:val="20"/>
                <w:color w:val="auto"/>
              </w:rPr>
            </w:pPr>
            <w:r>
              <w:rPr>
                <w:rFonts w:ascii="Arial" w:cs="Arial" w:eastAsia="Arial" w:hAnsi="Arial"/>
                <w:sz w:val="16"/>
                <w:szCs w:val="16"/>
                <w:color w:val="auto"/>
              </w:rPr>
              <w:t>Seventh</w:t>
            </w:r>
          </w:p>
        </w:tc>
        <w:tc>
          <w:tcPr>
            <w:tcW w:w="214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color w:val="auto"/>
              </w:rPr>
              <w:t>November 1, 1994</w:t>
            </w:r>
          </w:p>
        </w:tc>
        <w:tc>
          <w:tcPr>
            <w:tcW w:w="32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6"/>
                <w:szCs w:val="16"/>
                <w:color w:val="auto"/>
              </w:rPr>
              <w:t>1-3548 (1996 Form 10-K)</w:t>
            </w:r>
          </w:p>
        </w:tc>
        <w:tc>
          <w:tcPr>
            <w:tcW w:w="3160" w:type="dxa"/>
            <w:vAlign w:val="bottom"/>
            <w:tcBorders>
              <w:bottom w:val="single" w:sz="8" w:color="CCEEFF"/>
            </w:tcBorders>
            <w:shd w:val="clear" w:color="auto" w:fill="CCEEFF"/>
          </w:tcPr>
          <w:p>
            <w:pPr>
              <w:ind w:left="1260"/>
              <w:spacing w:after="0"/>
              <w:rPr>
                <w:sz w:val="20"/>
                <w:szCs w:val="20"/>
                <w:color w:val="auto"/>
              </w:rPr>
            </w:pPr>
            <w:r>
              <w:rPr>
                <w:rFonts w:ascii="Arial" w:cs="Arial" w:eastAsia="Arial" w:hAnsi="Arial"/>
                <w:sz w:val="16"/>
                <w:szCs w:val="16"/>
                <w:color w:val="auto"/>
              </w:rPr>
              <w:t>4(b)2</w:t>
            </w:r>
          </w:p>
        </w:tc>
      </w:tr>
      <w:tr>
        <w:trPr>
          <w:trHeight w:val="224"/>
        </w:trPr>
        <w:tc>
          <w:tcPr>
            <w:tcW w:w="2860" w:type="dxa"/>
            <w:vAlign w:val="bottom"/>
          </w:tcPr>
          <w:p>
            <w:pPr>
              <w:ind w:left="1660"/>
              <w:spacing w:after="0"/>
              <w:rPr>
                <w:sz w:val="20"/>
                <w:szCs w:val="20"/>
                <w:color w:val="auto"/>
              </w:rPr>
            </w:pPr>
            <w:r>
              <w:rPr>
                <w:rFonts w:ascii="Arial" w:cs="Arial" w:eastAsia="Arial" w:hAnsi="Arial"/>
                <w:sz w:val="16"/>
                <w:szCs w:val="16"/>
                <w:color w:val="auto"/>
              </w:rPr>
              <w:t>Eighth</w:t>
            </w:r>
          </w:p>
        </w:tc>
        <w:tc>
          <w:tcPr>
            <w:tcW w:w="2140" w:type="dxa"/>
            <w:vAlign w:val="bottom"/>
          </w:tcPr>
          <w:p>
            <w:pPr>
              <w:ind w:left="620"/>
              <w:spacing w:after="0"/>
              <w:rPr>
                <w:sz w:val="20"/>
                <w:szCs w:val="20"/>
                <w:color w:val="auto"/>
              </w:rPr>
            </w:pPr>
            <w:r>
              <w:rPr>
                <w:rFonts w:ascii="Arial" w:cs="Arial" w:eastAsia="Arial" w:hAnsi="Arial"/>
                <w:sz w:val="16"/>
                <w:szCs w:val="16"/>
                <w:color w:val="auto"/>
              </w:rPr>
              <w:t>January 1, 1997</w:t>
            </w:r>
          </w:p>
        </w:tc>
        <w:tc>
          <w:tcPr>
            <w:tcW w:w="3260" w:type="dxa"/>
            <w:vAlign w:val="bottom"/>
          </w:tcPr>
          <w:p>
            <w:pPr>
              <w:ind w:left="300"/>
              <w:spacing w:after="0"/>
              <w:rPr>
                <w:sz w:val="20"/>
                <w:szCs w:val="20"/>
                <w:color w:val="auto"/>
              </w:rPr>
            </w:pPr>
            <w:r>
              <w:rPr>
                <w:rFonts w:ascii="Arial" w:cs="Arial" w:eastAsia="Arial" w:hAnsi="Arial"/>
                <w:sz w:val="16"/>
                <w:szCs w:val="16"/>
                <w:color w:val="auto"/>
              </w:rPr>
              <w:t>1-3548 (1996 Form 10-K)</w:t>
            </w:r>
          </w:p>
        </w:tc>
        <w:tc>
          <w:tcPr>
            <w:tcW w:w="3160" w:type="dxa"/>
            <w:vAlign w:val="bottom"/>
          </w:tcPr>
          <w:p>
            <w:pPr>
              <w:ind w:left="1260"/>
              <w:spacing w:after="0"/>
              <w:rPr>
                <w:sz w:val="20"/>
                <w:szCs w:val="20"/>
                <w:color w:val="auto"/>
              </w:rPr>
            </w:pPr>
            <w:r>
              <w:rPr>
                <w:rFonts w:ascii="Arial" w:cs="Arial" w:eastAsia="Arial" w:hAnsi="Arial"/>
                <w:sz w:val="16"/>
                <w:szCs w:val="16"/>
                <w:color w:val="auto"/>
              </w:rPr>
              <w:t>4(b)3</w:t>
            </w:r>
          </w:p>
        </w:tc>
      </w:tr>
      <w:tr>
        <w:trPr>
          <w:trHeight w:val="33"/>
        </w:trPr>
        <w:tc>
          <w:tcPr>
            <w:tcW w:w="2860" w:type="dxa"/>
            <w:vAlign w:val="bottom"/>
          </w:tcPr>
          <w:p>
            <w:pPr>
              <w:spacing w:after="0"/>
              <w:rPr>
                <w:sz w:val="2"/>
                <w:szCs w:val="2"/>
                <w:color w:val="auto"/>
              </w:rPr>
            </w:pPr>
          </w:p>
        </w:tc>
        <w:tc>
          <w:tcPr>
            <w:tcW w:w="2140" w:type="dxa"/>
            <w:vAlign w:val="bottom"/>
          </w:tcPr>
          <w:p>
            <w:pPr>
              <w:spacing w:after="0"/>
              <w:rPr>
                <w:sz w:val="2"/>
                <w:szCs w:val="2"/>
                <w:color w:val="auto"/>
              </w:rPr>
            </w:pPr>
          </w:p>
        </w:tc>
        <w:tc>
          <w:tcPr>
            <w:tcW w:w="3260" w:type="dxa"/>
            <w:vAlign w:val="bottom"/>
          </w:tcPr>
          <w:p>
            <w:pPr>
              <w:spacing w:after="0"/>
              <w:rPr>
                <w:sz w:val="2"/>
                <w:szCs w:val="2"/>
                <w:color w:val="auto"/>
              </w:rPr>
            </w:pPr>
          </w:p>
        </w:tc>
        <w:tc>
          <w:tcPr>
            <w:tcW w:w="3160" w:type="dxa"/>
            <w:vAlign w:val="bottom"/>
          </w:tcPr>
          <w:p>
            <w:pPr>
              <w:spacing w:after="0"/>
              <w:rPr>
                <w:sz w:val="2"/>
                <w:szCs w:val="2"/>
                <w:color w:val="auto"/>
              </w:rPr>
            </w:pPr>
          </w:p>
        </w:tc>
      </w:tr>
      <w:tr>
        <w:trPr>
          <w:trHeight w:val="237"/>
        </w:trPr>
        <w:tc>
          <w:tcPr>
            <w:tcW w:w="2860" w:type="dxa"/>
            <w:vAlign w:val="bottom"/>
            <w:tcBorders>
              <w:bottom w:val="single" w:sz="8" w:color="CCEEFF"/>
            </w:tcBorders>
            <w:shd w:val="clear" w:color="auto" w:fill="CCEEFF"/>
          </w:tcPr>
          <w:p>
            <w:pPr>
              <w:ind w:left="1660"/>
              <w:spacing w:after="0"/>
              <w:rPr>
                <w:sz w:val="20"/>
                <w:szCs w:val="20"/>
                <w:color w:val="auto"/>
              </w:rPr>
            </w:pPr>
            <w:r>
              <w:rPr>
                <w:rFonts w:ascii="Arial" w:cs="Arial" w:eastAsia="Arial" w:hAnsi="Arial"/>
                <w:sz w:val="16"/>
                <w:szCs w:val="16"/>
                <w:color w:val="auto"/>
              </w:rPr>
              <w:t>Ninth</w:t>
            </w:r>
          </w:p>
        </w:tc>
        <w:tc>
          <w:tcPr>
            <w:tcW w:w="214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color w:val="auto"/>
              </w:rPr>
              <w:t>October 1, 2007</w:t>
            </w:r>
          </w:p>
        </w:tc>
        <w:tc>
          <w:tcPr>
            <w:tcW w:w="32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6"/>
                <w:szCs w:val="16"/>
                <w:color w:val="auto"/>
              </w:rPr>
              <w:t>1-3548 (2007 Form 10-K)</w:t>
            </w:r>
          </w:p>
        </w:tc>
        <w:tc>
          <w:tcPr>
            <w:tcW w:w="3160" w:type="dxa"/>
            <w:vAlign w:val="bottom"/>
            <w:tcBorders>
              <w:bottom w:val="single" w:sz="8" w:color="CCEEFF"/>
            </w:tcBorders>
            <w:shd w:val="clear" w:color="auto" w:fill="CCEEFF"/>
          </w:tcPr>
          <w:p>
            <w:pPr>
              <w:ind w:left="1260"/>
              <w:spacing w:after="0"/>
              <w:rPr>
                <w:sz w:val="20"/>
                <w:szCs w:val="20"/>
                <w:color w:val="auto"/>
              </w:rPr>
            </w:pPr>
            <w:r>
              <w:rPr>
                <w:rFonts w:ascii="Arial" w:cs="Arial" w:eastAsia="Arial" w:hAnsi="Arial"/>
                <w:sz w:val="16"/>
                <w:szCs w:val="16"/>
                <w:color w:val="auto"/>
              </w:rPr>
              <w:t>4(c)3</w:t>
            </w:r>
          </w:p>
        </w:tc>
      </w:tr>
      <w:tr>
        <w:trPr>
          <w:trHeight w:val="224"/>
        </w:trPr>
        <w:tc>
          <w:tcPr>
            <w:tcW w:w="2860" w:type="dxa"/>
            <w:vAlign w:val="bottom"/>
          </w:tcPr>
          <w:p>
            <w:pPr>
              <w:ind w:left="1660"/>
              <w:spacing w:after="0"/>
              <w:rPr>
                <w:sz w:val="20"/>
                <w:szCs w:val="20"/>
                <w:color w:val="auto"/>
              </w:rPr>
            </w:pPr>
            <w:r>
              <w:rPr>
                <w:rFonts w:ascii="Arial" w:cs="Arial" w:eastAsia="Arial" w:hAnsi="Arial"/>
                <w:sz w:val="16"/>
                <w:szCs w:val="16"/>
                <w:color w:val="auto"/>
              </w:rPr>
              <w:t>Tenth</w:t>
            </w:r>
          </w:p>
        </w:tc>
        <w:tc>
          <w:tcPr>
            <w:tcW w:w="2140" w:type="dxa"/>
            <w:vAlign w:val="bottom"/>
          </w:tcPr>
          <w:p>
            <w:pPr>
              <w:ind w:left="620"/>
              <w:spacing w:after="0"/>
              <w:rPr>
                <w:sz w:val="20"/>
                <w:szCs w:val="20"/>
                <w:color w:val="auto"/>
              </w:rPr>
            </w:pPr>
            <w:r>
              <w:rPr>
                <w:rFonts w:ascii="Arial" w:cs="Arial" w:eastAsia="Arial" w:hAnsi="Arial"/>
                <w:sz w:val="16"/>
                <w:szCs w:val="16"/>
                <w:color w:val="auto"/>
              </w:rPr>
              <w:t>October 1, 2007</w:t>
            </w:r>
          </w:p>
        </w:tc>
        <w:tc>
          <w:tcPr>
            <w:tcW w:w="3260" w:type="dxa"/>
            <w:vAlign w:val="bottom"/>
          </w:tcPr>
          <w:p>
            <w:pPr>
              <w:ind w:left="300"/>
              <w:spacing w:after="0"/>
              <w:rPr>
                <w:sz w:val="20"/>
                <w:szCs w:val="20"/>
                <w:color w:val="auto"/>
              </w:rPr>
            </w:pPr>
            <w:r>
              <w:rPr>
                <w:rFonts w:ascii="Arial" w:cs="Arial" w:eastAsia="Arial" w:hAnsi="Arial"/>
                <w:sz w:val="16"/>
                <w:szCs w:val="16"/>
                <w:color w:val="auto"/>
              </w:rPr>
              <w:t>1-3548 (2007 Form 10-K)</w:t>
            </w:r>
          </w:p>
        </w:tc>
        <w:tc>
          <w:tcPr>
            <w:tcW w:w="3160" w:type="dxa"/>
            <w:vAlign w:val="bottom"/>
          </w:tcPr>
          <w:p>
            <w:pPr>
              <w:ind w:left="1260"/>
              <w:spacing w:after="0"/>
              <w:rPr>
                <w:sz w:val="20"/>
                <w:szCs w:val="20"/>
                <w:color w:val="auto"/>
              </w:rPr>
            </w:pPr>
            <w:r>
              <w:rPr>
                <w:rFonts w:ascii="Arial" w:cs="Arial" w:eastAsia="Arial" w:hAnsi="Arial"/>
                <w:sz w:val="16"/>
                <w:szCs w:val="16"/>
                <w:color w:val="auto"/>
              </w:rPr>
              <w:t>4(c)4</w:t>
            </w:r>
          </w:p>
        </w:tc>
      </w:tr>
      <w:tr>
        <w:trPr>
          <w:trHeight w:val="33"/>
        </w:trPr>
        <w:tc>
          <w:tcPr>
            <w:tcW w:w="2860" w:type="dxa"/>
            <w:vAlign w:val="bottom"/>
          </w:tcPr>
          <w:p>
            <w:pPr>
              <w:spacing w:after="0"/>
              <w:rPr>
                <w:sz w:val="2"/>
                <w:szCs w:val="2"/>
                <w:color w:val="auto"/>
              </w:rPr>
            </w:pPr>
          </w:p>
        </w:tc>
        <w:tc>
          <w:tcPr>
            <w:tcW w:w="2140" w:type="dxa"/>
            <w:vAlign w:val="bottom"/>
          </w:tcPr>
          <w:p>
            <w:pPr>
              <w:spacing w:after="0"/>
              <w:rPr>
                <w:sz w:val="2"/>
                <w:szCs w:val="2"/>
                <w:color w:val="auto"/>
              </w:rPr>
            </w:pPr>
          </w:p>
        </w:tc>
        <w:tc>
          <w:tcPr>
            <w:tcW w:w="3260" w:type="dxa"/>
            <w:vAlign w:val="bottom"/>
          </w:tcPr>
          <w:p>
            <w:pPr>
              <w:spacing w:after="0"/>
              <w:rPr>
                <w:sz w:val="2"/>
                <w:szCs w:val="2"/>
                <w:color w:val="auto"/>
              </w:rPr>
            </w:pPr>
          </w:p>
        </w:tc>
        <w:tc>
          <w:tcPr>
            <w:tcW w:w="3160" w:type="dxa"/>
            <w:vAlign w:val="bottom"/>
          </w:tcPr>
          <w:p>
            <w:pPr>
              <w:spacing w:after="0"/>
              <w:rPr>
                <w:sz w:val="2"/>
                <w:szCs w:val="2"/>
                <w:color w:val="auto"/>
              </w:rPr>
            </w:pPr>
          </w:p>
        </w:tc>
      </w:tr>
      <w:tr>
        <w:trPr>
          <w:trHeight w:val="224"/>
        </w:trPr>
        <w:tc>
          <w:tcPr>
            <w:tcW w:w="2860" w:type="dxa"/>
            <w:vAlign w:val="bottom"/>
            <w:shd w:val="clear" w:color="auto" w:fill="CCEEFF"/>
          </w:tcPr>
          <w:p>
            <w:pPr>
              <w:ind w:left="1660"/>
              <w:spacing w:after="0"/>
              <w:rPr>
                <w:sz w:val="20"/>
                <w:szCs w:val="20"/>
                <w:color w:val="auto"/>
              </w:rPr>
            </w:pPr>
            <w:r>
              <w:rPr>
                <w:rFonts w:ascii="Arial" w:cs="Arial" w:eastAsia="Arial" w:hAnsi="Arial"/>
                <w:sz w:val="16"/>
                <w:szCs w:val="16"/>
                <w:color w:val="auto"/>
              </w:rPr>
              <w:t>Eleventh</w:t>
            </w:r>
          </w:p>
        </w:tc>
        <w:tc>
          <w:tcPr>
            <w:tcW w:w="2140" w:type="dxa"/>
            <w:vAlign w:val="bottom"/>
            <w:shd w:val="clear" w:color="auto" w:fill="CCEEFF"/>
          </w:tcPr>
          <w:p>
            <w:pPr>
              <w:ind w:left="620"/>
              <w:spacing w:after="0"/>
              <w:rPr>
                <w:sz w:val="20"/>
                <w:szCs w:val="20"/>
                <w:color w:val="auto"/>
              </w:rPr>
            </w:pPr>
            <w:r>
              <w:rPr>
                <w:rFonts w:ascii="Arial" w:cs="Arial" w:eastAsia="Arial" w:hAnsi="Arial"/>
                <w:sz w:val="16"/>
                <w:szCs w:val="16"/>
                <w:color w:val="auto"/>
              </w:rPr>
              <w:t>December 1, 2008</w:t>
            </w:r>
          </w:p>
        </w:tc>
        <w:tc>
          <w:tcPr>
            <w:tcW w:w="32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1-3548 (2008 Form 10-K)</w:t>
            </w:r>
          </w:p>
        </w:tc>
        <w:tc>
          <w:tcPr>
            <w:tcW w:w="3160" w:type="dxa"/>
            <w:vAlign w:val="bottom"/>
            <w:shd w:val="clear" w:color="auto" w:fill="CCEEFF"/>
          </w:tcPr>
          <w:p>
            <w:pPr>
              <w:ind w:left="1260"/>
              <w:spacing w:after="0"/>
              <w:rPr>
                <w:sz w:val="20"/>
                <w:szCs w:val="20"/>
                <w:color w:val="auto"/>
              </w:rPr>
            </w:pPr>
            <w:r>
              <w:rPr>
                <w:rFonts w:ascii="Arial" w:cs="Arial" w:eastAsia="Arial" w:hAnsi="Arial"/>
                <w:sz w:val="16"/>
                <w:szCs w:val="16"/>
                <w:color w:val="auto"/>
              </w:rPr>
              <w:t>4(c)3</w:t>
            </w:r>
          </w:p>
        </w:tc>
      </w:tr>
      <w:tr>
        <w:trPr>
          <w:trHeight w:val="33"/>
        </w:trPr>
        <w:tc>
          <w:tcPr>
            <w:tcW w:w="2860" w:type="dxa"/>
            <w:vAlign w:val="bottom"/>
            <w:shd w:val="clear" w:color="auto" w:fill="CCEEFF"/>
          </w:tcPr>
          <w:p>
            <w:pPr>
              <w:spacing w:after="0"/>
              <w:rPr>
                <w:sz w:val="2"/>
                <w:szCs w:val="2"/>
                <w:color w:val="auto"/>
              </w:rPr>
            </w:pPr>
          </w:p>
        </w:tc>
        <w:tc>
          <w:tcPr>
            <w:tcW w:w="2140" w:type="dxa"/>
            <w:vAlign w:val="bottom"/>
            <w:shd w:val="clear" w:color="auto" w:fill="CCEEFF"/>
          </w:tcPr>
          <w:p>
            <w:pPr>
              <w:spacing w:after="0"/>
              <w:rPr>
                <w:sz w:val="2"/>
                <w:szCs w:val="2"/>
                <w:color w:val="auto"/>
              </w:rPr>
            </w:pPr>
          </w:p>
        </w:tc>
        <w:tc>
          <w:tcPr>
            <w:tcW w:w="3260" w:type="dxa"/>
            <w:vAlign w:val="bottom"/>
            <w:shd w:val="clear" w:color="auto" w:fill="CCEEFF"/>
          </w:tcPr>
          <w:p>
            <w:pPr>
              <w:spacing w:after="0"/>
              <w:rPr>
                <w:sz w:val="2"/>
                <w:szCs w:val="2"/>
                <w:color w:val="auto"/>
              </w:rPr>
            </w:pPr>
          </w:p>
        </w:tc>
        <w:tc>
          <w:tcPr>
            <w:tcW w:w="3160" w:type="dxa"/>
            <w:vAlign w:val="bottom"/>
            <w:shd w:val="clear" w:color="auto" w:fill="CCEEFF"/>
          </w:tcPr>
          <w:p>
            <w:pPr>
              <w:spacing w:after="0"/>
              <w:rPr>
                <w:sz w:val="2"/>
                <w:szCs w:val="2"/>
                <w:color w:val="auto"/>
              </w:rPr>
            </w:pPr>
          </w:p>
        </w:tc>
      </w:tr>
    </w:tbl>
    <w:p>
      <w:pPr>
        <w:spacing w:after="0" w:line="17" w:lineRule="exact"/>
        <w:rPr>
          <w:sz w:val="20"/>
          <w:szCs w:val="20"/>
          <w:color w:val="auto"/>
        </w:rPr>
      </w:pPr>
    </w:p>
    <w:p>
      <w:pPr>
        <w:sectPr>
          <w:pgSz w:w="11900" w:h="16838" w:orient="portrait"/>
          <w:cols w:equalWidth="0" w:num="1">
            <w:col w:w="11420"/>
          </w:cols>
          <w:pgMar w:left="240" w:top="499" w:right="239" w:bottom="1440" w:gutter="0" w:footer="0" w:header="0"/>
        </w:sectPr>
      </w:pPr>
    </w:p>
    <w:p>
      <w:pPr>
        <w:ind w:left="40"/>
        <w:spacing w:after="0"/>
        <w:rPr>
          <w:sz w:val="20"/>
          <w:szCs w:val="20"/>
          <w:color w:val="auto"/>
        </w:rPr>
      </w:pPr>
      <w:r>
        <w:rPr>
          <w:rFonts w:ascii="Arial" w:cs="Arial" w:eastAsia="Arial" w:hAnsi="Arial"/>
          <w:sz w:val="15"/>
          <w:szCs w:val="15"/>
          <w:color w:val="auto"/>
        </w:rPr>
        <w:t>*4(d)</w:t>
      </w:r>
    </w:p>
    <w:p>
      <w:pPr>
        <w:spacing w:after="0" w:line="200" w:lineRule="exact"/>
        <w:rPr>
          <w:sz w:val="20"/>
          <w:szCs w:val="20"/>
          <w:color w:val="auto"/>
        </w:rPr>
      </w:pPr>
    </w:p>
    <w:p>
      <w:pPr>
        <w:spacing w:after="0" w:line="249" w:lineRule="exact"/>
        <w:rPr>
          <w:sz w:val="20"/>
          <w:szCs w:val="20"/>
          <w:color w:val="auto"/>
        </w:rPr>
      </w:pPr>
    </w:p>
    <w:p>
      <w:pPr>
        <w:ind w:left="40"/>
        <w:spacing w:after="0"/>
        <w:rPr>
          <w:sz w:val="20"/>
          <w:szCs w:val="20"/>
          <w:color w:val="auto"/>
        </w:rPr>
      </w:pPr>
      <w:r>
        <w:rPr>
          <w:rFonts w:ascii="Arial" w:cs="Arial" w:eastAsia="Arial" w:hAnsi="Arial"/>
          <w:sz w:val="15"/>
          <w:szCs w:val="15"/>
          <w:color w:val="auto"/>
        </w:rPr>
        <w:t>*4(e)</w:t>
      </w:r>
    </w:p>
    <w:p>
      <w:pPr>
        <w:spacing w:after="0" w:line="20" w:lineRule="exact"/>
        <w:rPr>
          <w:sz w:val="20"/>
          <w:szCs w:val="20"/>
          <w:color w:val="auto"/>
        </w:rPr>
      </w:pPr>
      <w:r>
        <w:rPr>
          <w:sz w:val="20"/>
          <w:szCs w:val="20"/>
          <w:color w:val="auto"/>
        </w:rPr>
        <w:br w:type="column"/>
      </w:r>
    </w:p>
    <w:p>
      <w:pPr>
        <w:ind w:right="400" w:hanging="311"/>
        <w:spacing w:after="0" w:line="213" w:lineRule="auto"/>
        <w:rPr>
          <w:sz w:val="20"/>
          <w:szCs w:val="20"/>
          <w:color w:val="auto"/>
        </w:rPr>
      </w:pPr>
      <w:r>
        <w:rPr>
          <w:rFonts w:ascii="Arial" w:cs="Arial" w:eastAsia="Arial" w:hAnsi="Arial"/>
          <w:sz w:val="32"/>
          <w:szCs w:val="32"/>
          <w:color w:val="auto"/>
          <w:vertAlign w:val="superscript"/>
        </w:rPr>
        <w:t>—</w:t>
      </w:r>
      <w:r>
        <w:rPr>
          <w:rFonts w:ascii="Arial" w:cs="Arial" w:eastAsia="Arial" w:hAnsi="Arial"/>
          <w:sz w:val="16"/>
          <w:szCs w:val="16"/>
          <w:color w:val="auto"/>
        </w:rPr>
        <w:t xml:space="preserve"> Note Purchase Agreement, dated as of June 8, 2007, between ALLETE and Thrivent Financial for Lutherans and The Northwestern Mutual Life Insurance Company (filed as Exhibit 10(a) to the June 30, 2007, Form 10-Q, File No. 1-3548).</w:t>
      </w:r>
    </w:p>
    <w:p>
      <w:pPr>
        <w:spacing w:after="0" w:line="131" w:lineRule="exact"/>
        <w:rPr>
          <w:sz w:val="20"/>
          <w:szCs w:val="20"/>
          <w:color w:val="auto"/>
        </w:rPr>
      </w:pPr>
    </w:p>
    <w:p>
      <w:pPr>
        <w:ind w:right="360" w:hanging="311"/>
        <w:spacing w:after="0" w:line="293" w:lineRule="auto"/>
        <w:rPr>
          <w:sz w:val="20"/>
          <w:szCs w:val="20"/>
          <w:color w:val="auto"/>
        </w:rPr>
      </w:pPr>
      <w:r>
        <w:rPr>
          <w:rFonts w:ascii="Arial" w:cs="Arial" w:eastAsia="Arial" w:hAnsi="Arial"/>
          <w:sz w:val="16"/>
          <w:szCs w:val="16"/>
          <w:color w:val="auto"/>
        </w:rPr>
        <w:t>— Term Loan Agreement, dated as of August 25, 2011, between ALLETE, Inc. and JPMorgan Chase Bank, N.A., as Administrative Agent (filed as Exhibit 4 to the August 31, 2011, Form 8-K, File No. 1-3548).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-1048385</wp:posOffset>
            </wp:positionH>
            <wp:positionV relativeFrom="paragraph">
              <wp:posOffset>-295275</wp:posOffset>
            </wp:positionV>
            <wp:extent cx="7246620" cy="2914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10" w:lineRule="exact"/>
        <w:rPr>
          <w:sz w:val="20"/>
          <w:szCs w:val="20"/>
          <w:color w:val="auto"/>
        </w:rPr>
      </w:pPr>
    </w:p>
    <w:p>
      <w:pPr>
        <w:sectPr>
          <w:pgSz w:w="11900" w:h="16838" w:orient="portrait"/>
          <w:cols w:equalWidth="0" w:num="2">
            <w:col w:w="940" w:space="720"/>
            <w:col w:w="9760"/>
          </w:cols>
          <w:pgMar w:left="240" w:top="499" w:right="239" w:bottom="1440" w:gutter="0" w:footer="0" w:header="0"/>
          <w:type w:val="continuous"/>
        </w:sectPr>
      </w:pPr>
    </w:p>
    <w:p>
      <w:pPr>
        <w:ind w:left="1340" w:right="740" w:hanging="1620"/>
        <w:spacing w:after="0" w:line="293" w:lineRule="auto"/>
        <w:tabs>
          <w:tab w:leader="none" w:pos="1320" w:val="left"/>
        </w:tabs>
        <w:rPr>
          <w:sz w:val="20"/>
          <w:szCs w:val="20"/>
          <w:color w:val="auto"/>
        </w:rPr>
      </w:pPr>
      <w:r>
        <w:rPr>
          <w:rFonts w:ascii="Arial" w:cs="Arial" w:eastAsia="Arial" w:hAnsi="Arial"/>
          <w:sz w:val="16"/>
          <w:szCs w:val="16"/>
          <w:color w:val="auto"/>
        </w:rPr>
        <w:t>*10(a)</w:t>
      </w:r>
      <w:r>
        <w:rPr>
          <w:sz w:val="20"/>
          <w:szCs w:val="20"/>
          <w:color w:val="auto"/>
        </w:rPr>
        <w:tab/>
      </w:r>
      <w:r>
        <w:rPr>
          <w:rFonts w:ascii="Arial" w:cs="Arial" w:eastAsia="Arial" w:hAnsi="Arial"/>
          <w:sz w:val="16"/>
          <w:szCs w:val="16"/>
          <w:color w:val="auto"/>
        </w:rPr>
        <w:t>— Power Purchase and Sale Agreement, dated as of May 29, 1998, between Minnesota Power, Inc. (now ALLETE) and Square Butte Electric Cooperative (filed as Exhibit 10 to the June 30, 1998, Form 10-Q, File No. 1-3548).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46620" cy="4203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420370"/>
                    </a:xfrm>
                    <a:prstGeom prst="rect">
                      <a:avLst/>
                    </a:prstGeom>
                    <a:noFill/>
                  </pic:spPr>
                </pic:pic>
              </a:graphicData>
            </a:graphic>
          </wp:anchor>
        </w:drawing>
      </w:r>
    </w:p>
    <w:p>
      <w:pPr>
        <w:ind w:left="1340" w:right="200" w:hanging="1620"/>
        <w:spacing w:after="0" w:line="278" w:lineRule="auto"/>
        <w:tabs>
          <w:tab w:leader="none" w:pos="1320" w:val="left"/>
        </w:tabs>
        <w:rPr>
          <w:sz w:val="20"/>
          <w:szCs w:val="20"/>
          <w:color w:val="auto"/>
        </w:rPr>
      </w:pPr>
      <w:r>
        <w:rPr>
          <w:rFonts w:ascii="Arial" w:cs="Arial" w:eastAsia="Arial" w:hAnsi="Arial"/>
          <w:sz w:val="16"/>
          <w:szCs w:val="16"/>
          <w:color w:val="auto"/>
        </w:rPr>
        <w:t>*10(b)</w:t>
      </w:r>
      <w:r>
        <w:rPr>
          <w:sz w:val="20"/>
          <w:szCs w:val="20"/>
          <w:color w:val="auto"/>
        </w:rPr>
        <w:tab/>
      </w:r>
      <w:r>
        <w:rPr>
          <w:rFonts w:ascii="Arial" w:cs="Arial" w:eastAsia="Arial" w:hAnsi="Arial"/>
          <w:sz w:val="16"/>
          <w:szCs w:val="16"/>
          <w:color w:val="auto"/>
        </w:rPr>
        <w:t>— Credit Agreement, dated as of May 25, 2011, among ALLETE, Inc., as Borrower, the lenders party thereto, JPMorgan Chase Bank, N.A., as Administrative Agent, and JPMorgan Securities LLC, as Sole Lead Arranger and Sole Book Runner (filed as Exhibit 99 to the May 27, 2011, Form 8-K, File No. 1-3548).</w:t>
      </w:r>
    </w:p>
    <w:p>
      <w:pPr>
        <w:spacing w:after="0" w:line="22" w:lineRule="exact"/>
        <w:rPr>
          <w:sz w:val="20"/>
          <w:szCs w:val="20"/>
          <w:color w:val="auto"/>
        </w:rPr>
      </w:pPr>
    </w:p>
    <w:p>
      <w:pPr>
        <w:ind w:left="1340" w:right="380" w:hanging="1620"/>
        <w:spacing w:after="0" w:line="278" w:lineRule="auto"/>
        <w:tabs>
          <w:tab w:leader="none" w:pos="1320" w:val="left"/>
        </w:tabs>
        <w:rPr>
          <w:sz w:val="20"/>
          <w:szCs w:val="20"/>
          <w:color w:val="auto"/>
        </w:rPr>
      </w:pPr>
      <w:r>
        <w:rPr>
          <w:rFonts w:ascii="Arial" w:cs="Arial" w:eastAsia="Arial" w:hAnsi="Arial"/>
          <w:sz w:val="16"/>
          <w:szCs w:val="16"/>
          <w:color w:val="auto"/>
        </w:rPr>
        <w:t>*10(c)</w:t>
      </w:r>
      <w:r>
        <w:rPr>
          <w:sz w:val="20"/>
          <w:szCs w:val="20"/>
          <w:color w:val="auto"/>
        </w:rPr>
        <w:tab/>
      </w:r>
      <w:r>
        <w:rPr>
          <w:rFonts w:ascii="Arial" w:cs="Arial" w:eastAsia="Arial" w:hAnsi="Arial"/>
          <w:sz w:val="16"/>
          <w:szCs w:val="16"/>
          <w:color w:val="auto"/>
        </w:rPr>
        <w:t>— Credit Agreement, dated as of February 1, 2012, among ALLETE, Inc., as Borrower, the lenders party thereto, JPMorgan Chase Bank, N.A., as Administrative Agent, and JPMorgan Securities LLC, as Sole Lead Arranger and Sole Book Runner (filed as Exhibit 10 to the February 6, 2012, Form 8-K, File No. 1-3548).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246620" cy="2914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2" w:lineRule="exact"/>
        <w:rPr>
          <w:sz w:val="20"/>
          <w:szCs w:val="20"/>
          <w:color w:val="auto"/>
        </w:rPr>
      </w:pPr>
    </w:p>
    <w:p>
      <w:pPr>
        <w:ind w:left="1340" w:right="2860" w:hanging="1620"/>
        <w:spacing w:after="0" w:line="293" w:lineRule="auto"/>
        <w:tabs>
          <w:tab w:leader="none" w:pos="1320" w:val="left"/>
        </w:tabs>
        <w:rPr>
          <w:sz w:val="20"/>
          <w:szCs w:val="20"/>
          <w:color w:val="auto"/>
        </w:rPr>
      </w:pPr>
      <w:r>
        <w:rPr>
          <w:rFonts w:ascii="Arial" w:cs="Arial" w:eastAsia="Arial" w:hAnsi="Arial"/>
          <w:sz w:val="16"/>
          <w:szCs w:val="16"/>
          <w:color w:val="auto"/>
        </w:rPr>
        <w:t>*10(d)1</w:t>
      </w:r>
      <w:r>
        <w:rPr>
          <w:sz w:val="20"/>
          <w:szCs w:val="20"/>
          <w:color w:val="auto"/>
        </w:rPr>
        <w:tab/>
      </w:r>
      <w:r>
        <w:rPr>
          <w:rFonts w:ascii="Arial" w:cs="Arial" w:eastAsia="Arial" w:hAnsi="Arial"/>
          <w:sz w:val="16"/>
          <w:szCs w:val="16"/>
          <w:color w:val="auto"/>
        </w:rPr>
        <w:t>— Financing Agreement between Collier County Industrial Development Authority and ALLETE dated as of July 1, 2006 (filed as Exhibit 10(b)1 to the June 30, 2006, Form 10-Q, File No. 1-3548).</w:t>
      </w:r>
    </w:p>
    <w:p>
      <w:pPr>
        <w:spacing w:after="0" w:line="10" w:lineRule="exact"/>
        <w:rPr>
          <w:sz w:val="20"/>
          <w:szCs w:val="20"/>
          <w:color w:val="auto"/>
        </w:rPr>
      </w:pPr>
    </w:p>
    <w:p>
      <w:pPr>
        <w:ind w:left="1340" w:right="560" w:hanging="1620"/>
        <w:spacing w:after="0" w:line="319" w:lineRule="auto"/>
        <w:tabs>
          <w:tab w:leader="none" w:pos="1320" w:val="left"/>
        </w:tabs>
        <w:rPr>
          <w:sz w:val="20"/>
          <w:szCs w:val="20"/>
          <w:color w:val="auto"/>
        </w:rPr>
      </w:pPr>
      <w:r>
        <w:rPr>
          <w:rFonts w:ascii="Arial" w:cs="Arial" w:eastAsia="Arial" w:hAnsi="Arial"/>
          <w:sz w:val="16"/>
          <w:szCs w:val="16"/>
          <w:color w:val="auto"/>
        </w:rPr>
        <w:t>*10(d)2</w:t>
      </w:r>
      <w:r>
        <w:rPr>
          <w:sz w:val="20"/>
          <w:szCs w:val="20"/>
          <w:color w:val="auto"/>
        </w:rPr>
        <w:tab/>
      </w:r>
      <w:r>
        <w:rPr>
          <w:rFonts w:ascii="Arial" w:cs="Arial" w:eastAsia="Arial" w:hAnsi="Arial"/>
          <w:sz w:val="15"/>
          <w:szCs w:val="15"/>
          <w:color w:val="auto"/>
        </w:rPr>
        <w:t>— Amended and Restated Letter of Credit Agreement, dated as of June 3, 2011, among ALLETE, the participating banks and Wells Fargo Bank, National Association, as Administrative Agent and Issuing Bank (filed as Exhibit 10(b) to the June 30, 2011, Form 10-Q, File No. 1-3548).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246620" cy="2914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ind w:left="1340" w:right="100" w:hanging="1620"/>
        <w:spacing w:after="0" w:line="293" w:lineRule="auto"/>
        <w:tabs>
          <w:tab w:leader="none" w:pos="1320" w:val="left"/>
        </w:tabs>
        <w:rPr>
          <w:sz w:val="20"/>
          <w:szCs w:val="20"/>
          <w:color w:val="auto"/>
        </w:rPr>
      </w:pPr>
      <w:r>
        <w:rPr>
          <w:rFonts w:ascii="Arial" w:cs="Arial" w:eastAsia="Arial" w:hAnsi="Arial"/>
          <w:sz w:val="16"/>
          <w:szCs w:val="16"/>
          <w:color w:val="auto"/>
        </w:rPr>
        <w:t>*10(e)</w:t>
      </w:r>
      <w:r>
        <w:rPr>
          <w:sz w:val="20"/>
          <w:szCs w:val="20"/>
          <w:color w:val="auto"/>
        </w:rPr>
        <w:tab/>
      </w:r>
      <w:r>
        <w:rPr>
          <w:rFonts w:ascii="Arial" w:cs="Arial" w:eastAsia="Arial" w:hAnsi="Arial"/>
          <w:sz w:val="16"/>
          <w:szCs w:val="16"/>
          <w:color w:val="auto"/>
        </w:rPr>
        <w:t>— Agreement dated December 16, 2005, among ALLETE, Wisconsin Public Service Corporation and WPS Investments, LLC (filed as Exhibit 10(g) to the 2009 Form 10-K, File No. 1-3548).</w:t>
      </w:r>
    </w:p>
    <w:p>
      <w:pPr>
        <w:spacing w:after="0" w:line="10" w:lineRule="exact"/>
        <w:rPr>
          <w:sz w:val="20"/>
          <w:szCs w:val="20"/>
          <w:color w:val="auto"/>
        </w:rPr>
      </w:pPr>
    </w:p>
    <w:p>
      <w:pPr>
        <w:ind w:left="1340" w:right="180" w:hanging="1620"/>
        <w:spacing w:after="0" w:line="293" w:lineRule="auto"/>
        <w:tabs>
          <w:tab w:leader="none" w:pos="1320" w:val="left"/>
        </w:tabs>
        <w:rPr>
          <w:sz w:val="20"/>
          <w:szCs w:val="20"/>
          <w:color w:val="auto"/>
        </w:rPr>
      </w:pPr>
      <w:r>
        <w:rPr>
          <w:rFonts w:ascii="Arial" w:cs="Arial" w:eastAsia="Arial" w:hAnsi="Arial"/>
          <w:sz w:val="16"/>
          <w:szCs w:val="16"/>
          <w:color w:val="auto"/>
        </w:rPr>
        <w:t>+*10(f)1</w:t>
      </w:r>
      <w:r>
        <w:rPr>
          <w:sz w:val="20"/>
          <w:szCs w:val="20"/>
          <w:color w:val="auto"/>
        </w:rPr>
        <w:tab/>
      </w:r>
      <w:r>
        <w:rPr>
          <w:rFonts w:ascii="Arial" w:cs="Arial" w:eastAsia="Arial" w:hAnsi="Arial"/>
          <w:sz w:val="16"/>
          <w:szCs w:val="16"/>
          <w:color w:val="auto"/>
        </w:rPr>
        <w:t>— ALLETE Executive Annual Incentive Plan, as amended and restated, effective January 1, 2011 (filed as Exhibit 10(h)1 to the 2010 Form 10-K, File No. 1-3548).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46620" cy="2914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ind w:left="1340" w:right="2560" w:hanging="1620"/>
        <w:spacing w:after="0" w:line="293" w:lineRule="auto"/>
        <w:tabs>
          <w:tab w:leader="none" w:pos="1320" w:val="left"/>
        </w:tabs>
        <w:rPr>
          <w:sz w:val="20"/>
          <w:szCs w:val="20"/>
          <w:color w:val="auto"/>
        </w:rPr>
      </w:pPr>
      <w:r>
        <w:rPr>
          <w:rFonts w:ascii="Arial" w:cs="Arial" w:eastAsia="Arial" w:hAnsi="Arial"/>
          <w:sz w:val="16"/>
          <w:szCs w:val="16"/>
          <w:color w:val="auto"/>
        </w:rPr>
        <w:t>+*10(f)2</w:t>
      </w:r>
      <w:r>
        <w:rPr>
          <w:sz w:val="20"/>
          <w:szCs w:val="20"/>
          <w:color w:val="auto"/>
        </w:rPr>
        <w:tab/>
      </w:r>
      <w:r>
        <w:rPr>
          <w:rFonts w:ascii="Arial" w:cs="Arial" w:eastAsia="Arial" w:hAnsi="Arial"/>
          <w:sz w:val="16"/>
          <w:szCs w:val="16"/>
          <w:color w:val="auto"/>
        </w:rPr>
        <w:t>— ALLETE Executive Annual Incentive Plan Form of Awards Effective 2010 (filed as Exhibit 10(h)3 to the 2009 Form 10-K, File No. 1-3548).</w:t>
      </w:r>
    </w:p>
    <w:p>
      <w:pPr>
        <w:spacing w:after="0" w:line="10" w:lineRule="exact"/>
        <w:rPr>
          <w:sz w:val="20"/>
          <w:szCs w:val="20"/>
          <w:color w:val="auto"/>
        </w:rPr>
      </w:pPr>
    </w:p>
    <w:p>
      <w:pPr>
        <w:ind w:left="40"/>
        <w:spacing w:after="0"/>
        <w:tabs>
          <w:tab w:leader="none" w:pos="1320" w:val="left"/>
          <w:tab w:leader="none" w:pos="1640" w:val="left"/>
        </w:tabs>
        <w:rPr>
          <w:sz w:val="20"/>
          <w:szCs w:val="20"/>
          <w:color w:val="auto"/>
        </w:rPr>
      </w:pPr>
      <w:r>
        <w:rPr>
          <w:rFonts w:ascii="Arial" w:cs="Arial" w:eastAsia="Arial" w:hAnsi="Arial"/>
          <w:sz w:val="16"/>
          <w:szCs w:val="16"/>
          <w:color w:val="auto"/>
        </w:rPr>
        <w:t>+*10(f)3</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5"/>
          <w:szCs w:val="15"/>
          <w:color w:val="auto"/>
        </w:rPr>
        <w:t>ALLETE Executive Annual Incentive Plan Form of Awards Effective 2011 (filed as Exhibit 10(h)4 to the 2010 Form 10-K, File No. 1-3548).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246620" cy="1631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53" w:lineRule="exact"/>
        <w:rPr>
          <w:sz w:val="20"/>
          <w:szCs w:val="20"/>
          <w:color w:val="auto"/>
        </w:rPr>
      </w:pPr>
    </w:p>
    <w:p>
      <w:pPr>
        <w:ind w:left="40"/>
        <w:spacing w:after="0"/>
        <w:tabs>
          <w:tab w:leader="none" w:pos="1320" w:val="left"/>
          <w:tab w:leader="none" w:pos="1640" w:val="left"/>
        </w:tabs>
        <w:rPr>
          <w:sz w:val="20"/>
          <w:szCs w:val="20"/>
          <w:color w:val="auto"/>
        </w:rPr>
      </w:pPr>
      <w:r>
        <w:rPr>
          <w:rFonts w:ascii="Arial" w:cs="Arial" w:eastAsia="Arial" w:hAnsi="Arial"/>
          <w:sz w:val="16"/>
          <w:szCs w:val="16"/>
          <w:color w:val="auto"/>
        </w:rPr>
        <w:t>+*10(f)4</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5"/>
          <w:szCs w:val="15"/>
          <w:color w:val="auto"/>
        </w:rPr>
        <w:t>ALLETE Executive Annual Incentive Plan Form of Awards Effective 2012 (filed as Exhibit 10(h)4 to the 2011 Form 10-K, File No. 1-3548).</w:t>
      </w:r>
    </w:p>
    <w:p>
      <w:pPr>
        <w:spacing w:after="0" w:line="73" w:lineRule="exact"/>
        <w:rPr>
          <w:sz w:val="20"/>
          <w:szCs w:val="20"/>
          <w:color w:val="auto"/>
        </w:rPr>
      </w:pPr>
    </w:p>
    <w:p>
      <w:pPr>
        <w:ind w:left="40"/>
        <w:spacing w:after="0"/>
        <w:tabs>
          <w:tab w:leader="none" w:pos="1320" w:val="left"/>
          <w:tab w:leader="none" w:pos="1640" w:val="left"/>
        </w:tabs>
        <w:rPr>
          <w:sz w:val="20"/>
          <w:szCs w:val="20"/>
          <w:color w:val="auto"/>
        </w:rPr>
      </w:pPr>
      <w:r>
        <w:rPr>
          <w:rFonts w:ascii="Arial" w:cs="Arial" w:eastAsia="Arial" w:hAnsi="Arial"/>
          <w:sz w:val="16"/>
          <w:szCs w:val="16"/>
          <w:color w:val="auto"/>
        </w:rPr>
        <w:t>+10(f)5</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5"/>
          <w:szCs w:val="15"/>
          <w:color w:val="auto"/>
        </w:rPr>
        <w:t>ALLETE Executive Annual Incentive Plan Form of Awards Effective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246620" cy="2914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53" w:lineRule="exact"/>
        <w:rPr>
          <w:sz w:val="20"/>
          <w:szCs w:val="20"/>
          <w:color w:val="auto"/>
        </w:rPr>
      </w:pPr>
    </w:p>
    <w:p>
      <w:pPr>
        <w:ind w:left="1340" w:right="160" w:hanging="1620"/>
        <w:spacing w:after="0" w:line="293" w:lineRule="auto"/>
        <w:tabs>
          <w:tab w:leader="none" w:pos="1320" w:val="left"/>
        </w:tabs>
        <w:rPr>
          <w:sz w:val="20"/>
          <w:szCs w:val="20"/>
          <w:color w:val="auto"/>
        </w:rPr>
      </w:pPr>
      <w:r>
        <w:rPr>
          <w:rFonts w:ascii="Arial" w:cs="Arial" w:eastAsia="Arial" w:hAnsi="Arial"/>
          <w:sz w:val="16"/>
          <w:szCs w:val="16"/>
          <w:color w:val="auto"/>
        </w:rPr>
        <w:t>+*10(g)1</w:t>
      </w:r>
      <w:r>
        <w:rPr>
          <w:sz w:val="20"/>
          <w:szCs w:val="20"/>
          <w:color w:val="auto"/>
        </w:rPr>
        <w:tab/>
      </w:r>
      <w:r>
        <w:rPr>
          <w:rFonts w:ascii="Arial" w:cs="Arial" w:eastAsia="Arial" w:hAnsi="Arial"/>
          <w:sz w:val="16"/>
          <w:szCs w:val="16"/>
          <w:color w:val="auto"/>
        </w:rPr>
        <w:t>— ALLETE and Affiliated Companies Supplemental Executive Retirement Plan (SERP I), as amended and restated, effective January 1, 2009 (filed as Exhibit 10(i)4 to the 2008 Form 10-K, File No. 1-3548).</w:t>
      </w:r>
    </w:p>
    <w:p>
      <w:pPr>
        <w:spacing w:after="0" w:line="10" w:lineRule="exact"/>
        <w:rPr>
          <w:sz w:val="20"/>
          <w:szCs w:val="20"/>
          <w:color w:val="auto"/>
        </w:rPr>
      </w:pPr>
    </w:p>
    <w:p>
      <w:pPr>
        <w:ind w:left="1340" w:right="60" w:hanging="1620"/>
        <w:spacing w:after="0" w:line="293" w:lineRule="auto"/>
        <w:tabs>
          <w:tab w:leader="none" w:pos="1320" w:val="left"/>
        </w:tabs>
        <w:rPr>
          <w:sz w:val="20"/>
          <w:szCs w:val="20"/>
          <w:color w:val="auto"/>
        </w:rPr>
      </w:pPr>
      <w:r>
        <w:rPr>
          <w:rFonts w:ascii="Arial" w:cs="Arial" w:eastAsia="Arial" w:hAnsi="Arial"/>
          <w:sz w:val="16"/>
          <w:szCs w:val="16"/>
          <w:color w:val="auto"/>
        </w:rPr>
        <w:t>+*10(g)2</w:t>
      </w:r>
      <w:r>
        <w:rPr>
          <w:sz w:val="20"/>
          <w:szCs w:val="20"/>
          <w:color w:val="auto"/>
        </w:rPr>
        <w:tab/>
      </w:r>
      <w:r>
        <w:rPr>
          <w:rFonts w:ascii="Arial" w:cs="Arial" w:eastAsia="Arial" w:hAnsi="Arial"/>
          <w:sz w:val="16"/>
          <w:szCs w:val="16"/>
          <w:color w:val="auto"/>
        </w:rPr>
        <w:t>— Amendment to the ALLETE and Affiliated Companies Supplemental Executive Retirement Plan (SERP I), effective January 1, 2011 (filed as Exhibit 10(i)2 to the 2010 Form 10-K, File No. 1-3548).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46620" cy="2914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ind w:left="1340" w:right="140" w:hanging="1620"/>
        <w:spacing w:after="0" w:line="293" w:lineRule="auto"/>
        <w:tabs>
          <w:tab w:leader="none" w:pos="1320" w:val="left"/>
        </w:tabs>
        <w:rPr>
          <w:sz w:val="20"/>
          <w:szCs w:val="20"/>
          <w:color w:val="auto"/>
        </w:rPr>
      </w:pPr>
      <w:r>
        <w:rPr>
          <w:rFonts w:ascii="Arial" w:cs="Arial" w:eastAsia="Arial" w:hAnsi="Arial"/>
          <w:sz w:val="16"/>
          <w:szCs w:val="16"/>
          <w:color w:val="auto"/>
        </w:rPr>
        <w:t>+*10(g)3</w:t>
      </w:r>
      <w:r>
        <w:rPr>
          <w:sz w:val="20"/>
          <w:szCs w:val="20"/>
          <w:color w:val="auto"/>
        </w:rPr>
        <w:tab/>
      </w:r>
      <w:r>
        <w:rPr>
          <w:rFonts w:ascii="Arial" w:cs="Arial" w:eastAsia="Arial" w:hAnsi="Arial"/>
          <w:sz w:val="16"/>
          <w:szCs w:val="16"/>
          <w:color w:val="auto"/>
        </w:rPr>
        <w:t>— ALLETE and Affiliated Companies Supplemental Executive Retirement Plan II (SERP II), as amended and restated, effective January 1, 2011 (filed as Exhibit 10(i)3 to the 2010 Form 10-K, File No. 1-3548).</w:t>
      </w:r>
    </w:p>
    <w:p>
      <w:pPr>
        <w:sectPr>
          <w:pgSz w:w="11900" w:h="16838" w:orient="portrait"/>
          <w:cols w:equalWidth="0" w:num="1">
            <w:col w:w="11420"/>
          </w:cols>
          <w:pgMar w:left="240" w:top="499" w:right="239" w:bottom="1440" w:gutter="0" w:footer="0" w:header="0"/>
          <w:type w:val="continuous"/>
        </w:sect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ALLETE 2012 Form 10-K</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99" w:right="239" w:bottom="1440" w:gutter="0" w:footer="0" w:header="0"/>
          <w:type w:val="continuous"/>
        </w:sectPr>
      </w:pPr>
    </w:p>
    <w:bookmarkStart w:id="58" w:name="page59"/>
    <w:bookmarkEnd w:id="58"/>
    <w:p>
      <w:pPr>
        <w:spacing w:after="0"/>
        <w:rPr>
          <w:sz w:val="20"/>
          <w:szCs w:val="20"/>
          <w:color w:val="auto"/>
        </w:rPr>
      </w:pPr>
      <w:r>
        <w:rPr>
          <w:rFonts w:ascii="Arial" w:cs="Arial" w:eastAsia="Arial" w:hAnsi="Arial"/>
          <w:sz w:val="18"/>
          <w:szCs w:val="18"/>
          <w:b w:val="1"/>
          <w:bCs w:val="1"/>
          <w:u w:val="single" w:color="auto"/>
          <w:color w:val="auto"/>
        </w:rPr>
        <w:t>Exhibit Number</w:t>
      </w:r>
    </w:p>
    <w:p>
      <w:pPr>
        <w:spacing w:after="0" w:line="45" w:lineRule="exact"/>
        <w:rPr>
          <w:sz w:val="20"/>
          <w:szCs w:val="20"/>
          <w:color w:val="auto"/>
        </w:rPr>
      </w:pPr>
    </w:p>
    <w:p>
      <w:pPr>
        <w:ind w:left="40"/>
        <w:spacing w:after="0"/>
        <w:tabs>
          <w:tab w:leader="none" w:pos="1320" w:val="left"/>
          <w:tab w:leader="none" w:pos="1640" w:val="left"/>
        </w:tabs>
        <w:rPr>
          <w:sz w:val="20"/>
          <w:szCs w:val="20"/>
          <w:color w:val="auto"/>
        </w:rPr>
      </w:pPr>
      <w:r>
        <w:rPr>
          <w:rFonts w:ascii="Arial" w:cs="Arial" w:eastAsia="Arial" w:hAnsi="Arial"/>
          <w:sz w:val="16"/>
          <w:szCs w:val="16"/>
          <w:color w:val="auto"/>
        </w:rPr>
        <w:t>+*10(h)1</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4"/>
          <w:szCs w:val="14"/>
          <w:color w:val="auto"/>
        </w:rPr>
        <w:t>Minnesota Power and Affiliated Companies Executive Investment Plan I, as amended and restated, effective</w:t>
      </w:r>
    </w:p>
    <w:p>
      <w:pPr>
        <w:spacing w:after="0" w:line="22" w:lineRule="exact"/>
        <w:rPr>
          <w:sz w:val="20"/>
          <w:szCs w:val="20"/>
          <w:color w:val="auto"/>
        </w:rPr>
      </w:pPr>
    </w:p>
    <w:p>
      <w:pPr>
        <w:ind w:left="1660"/>
        <w:spacing w:after="0"/>
        <w:rPr>
          <w:sz w:val="20"/>
          <w:szCs w:val="20"/>
          <w:color w:val="auto"/>
        </w:rPr>
      </w:pPr>
      <w:r>
        <w:rPr>
          <w:rFonts w:ascii="Arial" w:cs="Arial" w:eastAsia="Arial" w:hAnsi="Arial"/>
          <w:sz w:val="16"/>
          <w:szCs w:val="16"/>
          <w:color w:val="auto"/>
        </w:rPr>
        <w:t>November 1, 1988 (filed as Exhibit 10(c) to the 1988 Form 10-K, File No. 1-3548).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246620" cy="2914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49" w:lineRule="exact"/>
        <w:rPr>
          <w:sz w:val="20"/>
          <w:szCs w:val="20"/>
          <w:color w:val="auto"/>
        </w:rPr>
      </w:pPr>
    </w:p>
    <w:p>
      <w:pPr>
        <w:ind w:left="1340" w:right="2500" w:hanging="1620"/>
        <w:spacing w:after="0" w:line="293" w:lineRule="auto"/>
        <w:tabs>
          <w:tab w:leader="none" w:pos="1320" w:val="left"/>
        </w:tabs>
        <w:rPr>
          <w:sz w:val="20"/>
          <w:szCs w:val="20"/>
          <w:color w:val="auto"/>
        </w:rPr>
      </w:pPr>
      <w:r>
        <w:rPr>
          <w:rFonts w:ascii="Arial" w:cs="Arial" w:eastAsia="Arial" w:hAnsi="Arial"/>
          <w:sz w:val="16"/>
          <w:szCs w:val="16"/>
          <w:color w:val="auto"/>
        </w:rPr>
        <w:t>+*10(h)2</w:t>
      </w:r>
      <w:r>
        <w:rPr>
          <w:sz w:val="20"/>
          <w:szCs w:val="20"/>
          <w:color w:val="auto"/>
        </w:rPr>
        <w:tab/>
      </w:r>
      <w:r>
        <w:rPr>
          <w:rFonts w:ascii="Arial" w:cs="Arial" w:eastAsia="Arial" w:hAnsi="Arial"/>
          <w:sz w:val="16"/>
          <w:szCs w:val="16"/>
          <w:color w:val="auto"/>
        </w:rPr>
        <w:t>— Amendments through December 2003 to the Minnesota Power and Affiliated Companies Executive Investment Plan I (filed as Exhibit 10(v)2 to the 2003 Form 10-K, File No. 1-3548).</w:t>
      </w:r>
    </w:p>
    <w:p>
      <w:pPr>
        <w:spacing w:after="0" w:line="10" w:lineRule="exact"/>
        <w:rPr>
          <w:sz w:val="20"/>
          <w:szCs w:val="20"/>
          <w:color w:val="auto"/>
        </w:rPr>
      </w:pPr>
    </w:p>
    <w:p>
      <w:pPr>
        <w:ind w:left="1340" w:right="220" w:hanging="1620"/>
        <w:spacing w:after="0" w:line="293" w:lineRule="auto"/>
        <w:tabs>
          <w:tab w:leader="none" w:pos="1320" w:val="left"/>
        </w:tabs>
        <w:rPr>
          <w:sz w:val="20"/>
          <w:szCs w:val="20"/>
          <w:color w:val="auto"/>
        </w:rPr>
      </w:pPr>
      <w:r>
        <w:rPr>
          <w:rFonts w:ascii="Arial" w:cs="Arial" w:eastAsia="Arial" w:hAnsi="Arial"/>
          <w:sz w:val="16"/>
          <w:szCs w:val="16"/>
          <w:color w:val="auto"/>
        </w:rPr>
        <w:t>+*10(h)3</w:t>
      </w:r>
      <w:r>
        <w:rPr>
          <w:sz w:val="20"/>
          <w:szCs w:val="20"/>
          <w:color w:val="auto"/>
        </w:rPr>
        <w:tab/>
      </w:r>
      <w:r>
        <w:rPr>
          <w:rFonts w:ascii="Arial" w:cs="Arial" w:eastAsia="Arial" w:hAnsi="Arial"/>
          <w:sz w:val="16"/>
          <w:szCs w:val="16"/>
          <w:color w:val="auto"/>
        </w:rPr>
        <w:t>— July 2004 Amendment to the Minnesota Power and Affiliated Companies Executive Investment Plan I (filed as Exhibit 10(b) to the June 30, 2004, Form 10-Q, File No. 1-3548).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46620" cy="2914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ind w:left="1340" w:right="20" w:hanging="1620"/>
        <w:spacing w:after="0" w:line="293" w:lineRule="auto"/>
        <w:tabs>
          <w:tab w:leader="none" w:pos="1320" w:val="left"/>
        </w:tabs>
        <w:rPr>
          <w:sz w:val="20"/>
          <w:szCs w:val="20"/>
          <w:color w:val="auto"/>
        </w:rPr>
      </w:pPr>
      <w:r>
        <w:rPr>
          <w:rFonts w:ascii="Arial" w:cs="Arial" w:eastAsia="Arial" w:hAnsi="Arial"/>
          <w:sz w:val="16"/>
          <w:szCs w:val="16"/>
          <w:color w:val="auto"/>
        </w:rPr>
        <w:t>+*10(h)4</w:t>
      </w:r>
      <w:r>
        <w:rPr>
          <w:sz w:val="20"/>
          <w:szCs w:val="20"/>
          <w:color w:val="auto"/>
        </w:rPr>
        <w:tab/>
      </w:r>
      <w:r>
        <w:rPr>
          <w:rFonts w:ascii="Arial" w:cs="Arial" w:eastAsia="Arial" w:hAnsi="Arial"/>
          <w:sz w:val="16"/>
          <w:szCs w:val="16"/>
          <w:color w:val="auto"/>
        </w:rPr>
        <w:t>— August 2006 Amendment to the Minnesota Power and Affiliated Companies Executive Investment Plan I (filed as Exhibit 10(b) to the September 30, 2006, Form 10-Q, File No. 1-3548).</w:t>
      </w:r>
    </w:p>
    <w:p>
      <w:pPr>
        <w:spacing w:after="0" w:line="10" w:lineRule="exact"/>
        <w:rPr>
          <w:sz w:val="20"/>
          <w:szCs w:val="20"/>
          <w:color w:val="auto"/>
        </w:rPr>
      </w:pPr>
    </w:p>
    <w:p>
      <w:pPr>
        <w:ind w:left="1340" w:right="300" w:hanging="1620"/>
        <w:spacing w:after="0" w:line="293" w:lineRule="auto"/>
        <w:tabs>
          <w:tab w:leader="none" w:pos="1320" w:val="left"/>
        </w:tabs>
        <w:rPr>
          <w:sz w:val="20"/>
          <w:szCs w:val="20"/>
          <w:color w:val="auto"/>
        </w:rPr>
      </w:pPr>
      <w:r>
        <w:rPr>
          <w:rFonts w:ascii="Arial" w:cs="Arial" w:eastAsia="Arial" w:hAnsi="Arial"/>
          <w:sz w:val="16"/>
          <w:szCs w:val="16"/>
          <w:color w:val="auto"/>
        </w:rPr>
        <w:t>+*10(i)1</w:t>
      </w:r>
      <w:r>
        <w:rPr>
          <w:sz w:val="20"/>
          <w:szCs w:val="20"/>
          <w:color w:val="auto"/>
        </w:rPr>
        <w:tab/>
      </w:r>
      <w:r>
        <w:rPr>
          <w:rFonts w:ascii="Arial" w:cs="Arial" w:eastAsia="Arial" w:hAnsi="Arial"/>
          <w:sz w:val="16"/>
          <w:szCs w:val="16"/>
          <w:color w:val="auto"/>
        </w:rPr>
        <w:t>— Minnesota Power and Affiliated Companies Executive Investment Plan II, as amended and restated, effective November 1, 1988 (filed as Exhibit 10(d) to the 1988 Form 10-K, File No. 1-3548).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46620" cy="2914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ind w:left="1340" w:right="2500" w:hanging="1620"/>
        <w:spacing w:after="0" w:line="293" w:lineRule="auto"/>
        <w:tabs>
          <w:tab w:leader="none" w:pos="1320" w:val="left"/>
        </w:tabs>
        <w:rPr>
          <w:sz w:val="20"/>
          <w:szCs w:val="20"/>
          <w:color w:val="auto"/>
        </w:rPr>
      </w:pPr>
      <w:r>
        <w:rPr>
          <w:rFonts w:ascii="Arial" w:cs="Arial" w:eastAsia="Arial" w:hAnsi="Arial"/>
          <w:sz w:val="16"/>
          <w:szCs w:val="16"/>
          <w:color w:val="auto"/>
        </w:rPr>
        <w:t>+*10(i)2</w:t>
      </w:r>
      <w:r>
        <w:rPr>
          <w:sz w:val="20"/>
          <w:szCs w:val="20"/>
          <w:color w:val="auto"/>
        </w:rPr>
        <w:tab/>
      </w:r>
      <w:r>
        <w:rPr>
          <w:rFonts w:ascii="Arial" w:cs="Arial" w:eastAsia="Arial" w:hAnsi="Arial"/>
          <w:sz w:val="16"/>
          <w:szCs w:val="16"/>
          <w:color w:val="auto"/>
        </w:rPr>
        <w:t>— Amendments through December 2003 to the Minnesota Power and Affiliated Companies Executive Investment Plan II (filed as Exhibit 10(w)2 to the 2003 Form 10-K, File No. 1-3548).</w:t>
      </w:r>
    </w:p>
    <w:p>
      <w:pPr>
        <w:spacing w:after="0" w:line="10" w:lineRule="exact"/>
        <w:rPr>
          <w:sz w:val="20"/>
          <w:szCs w:val="20"/>
          <w:color w:val="auto"/>
        </w:rPr>
      </w:pPr>
    </w:p>
    <w:p>
      <w:pPr>
        <w:ind w:left="1340" w:right="160" w:hanging="1620"/>
        <w:spacing w:after="0" w:line="293" w:lineRule="auto"/>
        <w:tabs>
          <w:tab w:leader="none" w:pos="1320" w:val="left"/>
        </w:tabs>
        <w:rPr>
          <w:sz w:val="20"/>
          <w:szCs w:val="20"/>
          <w:color w:val="auto"/>
        </w:rPr>
      </w:pPr>
      <w:r>
        <w:rPr>
          <w:rFonts w:ascii="Arial" w:cs="Arial" w:eastAsia="Arial" w:hAnsi="Arial"/>
          <w:sz w:val="16"/>
          <w:szCs w:val="16"/>
          <w:color w:val="auto"/>
        </w:rPr>
        <w:t>+*10(i)3</w:t>
      </w:r>
      <w:r>
        <w:rPr>
          <w:sz w:val="20"/>
          <w:szCs w:val="20"/>
          <w:color w:val="auto"/>
        </w:rPr>
        <w:tab/>
      </w:r>
      <w:r>
        <w:rPr>
          <w:rFonts w:ascii="Arial" w:cs="Arial" w:eastAsia="Arial" w:hAnsi="Arial"/>
          <w:sz w:val="16"/>
          <w:szCs w:val="16"/>
          <w:color w:val="auto"/>
        </w:rPr>
        <w:t>— July 2004 Amendment to the Minnesota Power and Affiliated Companies Executive Investment Plan II (filed as Exhibit 10(c) to the June 30, 2004, Form 10-Q, File No. 1-3548).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46620" cy="2914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ind w:left="1340" w:right="220" w:hanging="1620"/>
        <w:spacing w:after="0" w:line="293" w:lineRule="auto"/>
        <w:tabs>
          <w:tab w:leader="none" w:pos="1320" w:val="left"/>
        </w:tabs>
        <w:rPr>
          <w:sz w:val="20"/>
          <w:szCs w:val="20"/>
          <w:color w:val="auto"/>
        </w:rPr>
      </w:pPr>
      <w:r>
        <w:rPr>
          <w:rFonts w:ascii="Arial" w:cs="Arial" w:eastAsia="Arial" w:hAnsi="Arial"/>
          <w:sz w:val="16"/>
          <w:szCs w:val="16"/>
          <w:color w:val="auto"/>
        </w:rPr>
        <w:t>+*10(i)4</w:t>
      </w:r>
      <w:r>
        <w:rPr>
          <w:sz w:val="20"/>
          <w:szCs w:val="20"/>
          <w:color w:val="auto"/>
        </w:rPr>
        <w:tab/>
      </w:r>
      <w:r>
        <w:rPr>
          <w:rFonts w:ascii="Arial" w:cs="Arial" w:eastAsia="Arial" w:hAnsi="Arial"/>
          <w:sz w:val="16"/>
          <w:szCs w:val="16"/>
          <w:color w:val="auto"/>
        </w:rPr>
        <w:t>— August 2006 Amendment to the Minnesota Power and Affiliated Companies Executive Investment Plan II (filed as Exhibit 10(c) to the September 30, 2006, Form 10-Q, File No. 1-3548).</w:t>
      </w:r>
    </w:p>
    <w:p>
      <w:pPr>
        <w:spacing w:after="0" w:line="10" w:lineRule="exact"/>
        <w:rPr>
          <w:sz w:val="20"/>
          <w:szCs w:val="20"/>
          <w:color w:val="auto"/>
        </w:rPr>
      </w:pPr>
    </w:p>
    <w:p>
      <w:pPr>
        <w:ind w:left="40"/>
        <w:spacing w:after="0"/>
        <w:tabs>
          <w:tab w:leader="none" w:pos="1320" w:val="left"/>
          <w:tab w:leader="none" w:pos="1640" w:val="left"/>
        </w:tabs>
        <w:rPr>
          <w:sz w:val="20"/>
          <w:szCs w:val="20"/>
          <w:color w:val="auto"/>
        </w:rPr>
      </w:pPr>
      <w:r>
        <w:rPr>
          <w:rFonts w:ascii="Arial" w:cs="Arial" w:eastAsia="Arial" w:hAnsi="Arial"/>
          <w:sz w:val="16"/>
          <w:szCs w:val="16"/>
          <w:color w:val="auto"/>
        </w:rPr>
        <w:t>+10(j)</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4"/>
          <w:szCs w:val="14"/>
          <w:color w:val="auto"/>
        </w:rPr>
        <w:t>ALLETE Deferred Compensation Trust Agreement, as amended and restated, effective December 15,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246620" cy="2914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53" w:lineRule="exact"/>
        <w:rPr>
          <w:sz w:val="20"/>
          <w:szCs w:val="20"/>
          <w:color w:val="auto"/>
        </w:rPr>
      </w:pPr>
    </w:p>
    <w:p>
      <w:pPr>
        <w:ind w:left="1340" w:right="120" w:hanging="1620"/>
        <w:spacing w:after="0" w:line="293" w:lineRule="auto"/>
        <w:tabs>
          <w:tab w:leader="none" w:pos="1320" w:val="left"/>
        </w:tabs>
        <w:rPr>
          <w:sz w:val="20"/>
          <w:szCs w:val="20"/>
          <w:color w:val="auto"/>
        </w:rPr>
      </w:pPr>
      <w:r>
        <w:rPr>
          <w:rFonts w:ascii="Arial" w:cs="Arial" w:eastAsia="Arial" w:hAnsi="Arial"/>
          <w:sz w:val="16"/>
          <w:szCs w:val="16"/>
          <w:color w:val="auto"/>
        </w:rPr>
        <w:t>+*10(k)1</w:t>
      </w:r>
      <w:r>
        <w:rPr>
          <w:sz w:val="20"/>
          <w:szCs w:val="20"/>
          <w:color w:val="auto"/>
        </w:rPr>
        <w:tab/>
      </w:r>
      <w:r>
        <w:rPr>
          <w:rFonts w:ascii="Arial" w:cs="Arial" w:eastAsia="Arial" w:hAnsi="Arial"/>
          <w:sz w:val="16"/>
          <w:szCs w:val="16"/>
          <w:color w:val="auto"/>
        </w:rPr>
        <w:t>— ALLETE Executive Long-Term Incentive Compensation Plan as amended and restated effective January 1, 2006 (filed as Exhibit 10 to the May 16, 2005, Form 8-K, File No. 1-3548).</w:t>
      </w:r>
    </w:p>
    <w:p>
      <w:pPr>
        <w:spacing w:after="0" w:line="10" w:lineRule="exact"/>
        <w:rPr>
          <w:sz w:val="20"/>
          <w:szCs w:val="20"/>
          <w:color w:val="auto"/>
        </w:rPr>
      </w:pPr>
    </w:p>
    <w:p>
      <w:pPr>
        <w:ind w:left="1340" w:right="360" w:hanging="1620"/>
        <w:spacing w:after="0" w:line="293" w:lineRule="auto"/>
        <w:tabs>
          <w:tab w:leader="none" w:pos="1320" w:val="left"/>
        </w:tabs>
        <w:rPr>
          <w:sz w:val="20"/>
          <w:szCs w:val="20"/>
          <w:color w:val="auto"/>
        </w:rPr>
      </w:pPr>
      <w:r>
        <w:rPr>
          <w:rFonts w:ascii="Arial" w:cs="Arial" w:eastAsia="Arial" w:hAnsi="Arial"/>
          <w:sz w:val="16"/>
          <w:szCs w:val="16"/>
          <w:color w:val="auto"/>
        </w:rPr>
        <w:t>+*10(k)2</w:t>
      </w:r>
      <w:r>
        <w:rPr>
          <w:sz w:val="20"/>
          <w:szCs w:val="20"/>
          <w:color w:val="auto"/>
        </w:rPr>
        <w:tab/>
      </w:r>
      <w:r>
        <w:rPr>
          <w:rFonts w:ascii="Arial" w:cs="Arial" w:eastAsia="Arial" w:hAnsi="Arial"/>
          <w:sz w:val="16"/>
          <w:szCs w:val="16"/>
          <w:color w:val="auto"/>
        </w:rPr>
        <w:t>— Amendment to the ALLETE Executive Long-Term Incentive Compensation Plan, effective January 1, 2011 (filed as Exhibit 10(m)2 to the 2010 Form 10-K, File No. 1-3548).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46620" cy="2914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ind w:left="1340" w:right="160" w:hanging="1620"/>
        <w:spacing w:after="0" w:line="293" w:lineRule="auto"/>
        <w:tabs>
          <w:tab w:leader="none" w:pos="1320" w:val="left"/>
        </w:tabs>
        <w:rPr>
          <w:sz w:val="20"/>
          <w:szCs w:val="20"/>
          <w:color w:val="auto"/>
        </w:rPr>
      </w:pPr>
      <w:r>
        <w:rPr>
          <w:rFonts w:ascii="Arial" w:cs="Arial" w:eastAsia="Arial" w:hAnsi="Arial"/>
          <w:sz w:val="16"/>
          <w:szCs w:val="16"/>
          <w:color w:val="auto"/>
        </w:rPr>
        <w:t>+*10(k)3</w:t>
      </w:r>
      <w:r>
        <w:rPr>
          <w:sz w:val="20"/>
          <w:szCs w:val="20"/>
          <w:color w:val="auto"/>
        </w:rPr>
        <w:tab/>
      </w:r>
      <w:r>
        <w:rPr>
          <w:rFonts w:ascii="Arial" w:cs="Arial" w:eastAsia="Arial" w:hAnsi="Arial"/>
          <w:sz w:val="16"/>
          <w:szCs w:val="16"/>
          <w:color w:val="auto"/>
        </w:rPr>
        <w:t>— Form of ALLETE Executive Long-Term Incentive Compensation Plan Nonqualified Stock Option Grant Effective 2007 (filed as Exhibit 10(m)6 to the 2006 Form 10-K, File No. 1-3548).</w:t>
      </w:r>
    </w:p>
    <w:p>
      <w:pPr>
        <w:spacing w:after="0" w:line="10" w:lineRule="exact"/>
        <w:rPr>
          <w:sz w:val="20"/>
          <w:szCs w:val="20"/>
          <w:color w:val="auto"/>
        </w:rPr>
      </w:pPr>
    </w:p>
    <w:p>
      <w:pPr>
        <w:ind w:left="1340" w:right="80" w:hanging="1620"/>
        <w:spacing w:after="0" w:line="293" w:lineRule="auto"/>
        <w:tabs>
          <w:tab w:leader="none" w:pos="1320" w:val="left"/>
        </w:tabs>
        <w:rPr>
          <w:sz w:val="20"/>
          <w:szCs w:val="20"/>
          <w:color w:val="auto"/>
        </w:rPr>
      </w:pPr>
      <w:r>
        <w:rPr>
          <w:rFonts w:ascii="Arial" w:cs="Arial" w:eastAsia="Arial" w:hAnsi="Arial"/>
          <w:sz w:val="16"/>
          <w:szCs w:val="16"/>
          <w:color w:val="auto"/>
        </w:rPr>
        <w:t>+*10(k)4</w:t>
      </w:r>
      <w:r>
        <w:rPr>
          <w:sz w:val="20"/>
          <w:szCs w:val="20"/>
          <w:color w:val="auto"/>
        </w:rPr>
        <w:tab/>
      </w:r>
      <w:r>
        <w:rPr>
          <w:rFonts w:ascii="Arial" w:cs="Arial" w:eastAsia="Arial" w:hAnsi="Arial"/>
          <w:sz w:val="16"/>
          <w:szCs w:val="16"/>
          <w:color w:val="auto"/>
        </w:rPr>
        <w:t>— Form of ALLETE Executive Long-Term Incentive Compensation Plan Performance Share Grant Effective 2007 (filed as Exhibit 10(m)7 to the 2006 Form 10-K, File No. 1-3548).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46620" cy="2914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ind w:left="1340" w:hanging="1620"/>
        <w:spacing w:after="0" w:line="293" w:lineRule="auto"/>
        <w:tabs>
          <w:tab w:leader="none" w:pos="1320" w:val="left"/>
        </w:tabs>
        <w:rPr>
          <w:sz w:val="20"/>
          <w:szCs w:val="20"/>
          <w:color w:val="auto"/>
        </w:rPr>
      </w:pPr>
      <w:r>
        <w:rPr>
          <w:rFonts w:ascii="Arial" w:cs="Arial" w:eastAsia="Arial" w:hAnsi="Arial"/>
          <w:sz w:val="16"/>
          <w:szCs w:val="16"/>
          <w:color w:val="auto"/>
        </w:rPr>
        <w:t>+*10(k)5</w:t>
      </w:r>
      <w:r>
        <w:rPr>
          <w:sz w:val="20"/>
          <w:szCs w:val="20"/>
          <w:color w:val="auto"/>
        </w:rPr>
        <w:tab/>
      </w:r>
      <w:r>
        <w:rPr>
          <w:rFonts w:ascii="Arial" w:cs="Arial" w:eastAsia="Arial" w:hAnsi="Arial"/>
          <w:sz w:val="16"/>
          <w:szCs w:val="16"/>
          <w:color w:val="auto"/>
        </w:rPr>
        <w:t>— Form of ALLETE Executive Long-Term Incentive Compensation Plan Performance Share Grant Effective 2008 (filed as Exhibit 10(m)10 to the 2007 Form 10-K, File No. 1-3548).</w:t>
      </w:r>
    </w:p>
    <w:p>
      <w:pPr>
        <w:spacing w:after="0" w:line="10" w:lineRule="exact"/>
        <w:rPr>
          <w:sz w:val="20"/>
          <w:szCs w:val="20"/>
          <w:color w:val="auto"/>
        </w:rPr>
      </w:pPr>
    </w:p>
    <w:p>
      <w:pPr>
        <w:ind w:left="1340" w:hanging="1620"/>
        <w:spacing w:after="0" w:line="293" w:lineRule="auto"/>
        <w:tabs>
          <w:tab w:leader="none" w:pos="1320" w:val="left"/>
        </w:tabs>
        <w:rPr>
          <w:sz w:val="20"/>
          <w:szCs w:val="20"/>
          <w:color w:val="auto"/>
        </w:rPr>
      </w:pPr>
      <w:r>
        <w:rPr>
          <w:rFonts w:ascii="Arial" w:cs="Arial" w:eastAsia="Arial" w:hAnsi="Arial"/>
          <w:sz w:val="16"/>
          <w:szCs w:val="16"/>
          <w:color w:val="auto"/>
        </w:rPr>
        <w:t>+*10(k)6</w:t>
      </w:r>
      <w:r>
        <w:rPr>
          <w:sz w:val="20"/>
          <w:szCs w:val="20"/>
          <w:color w:val="auto"/>
        </w:rPr>
        <w:tab/>
      </w:r>
      <w:r>
        <w:rPr>
          <w:rFonts w:ascii="Arial" w:cs="Arial" w:eastAsia="Arial" w:hAnsi="Arial"/>
          <w:sz w:val="16"/>
          <w:szCs w:val="16"/>
          <w:color w:val="auto"/>
        </w:rPr>
        <w:t>— Form of ALLETE Executive Long-Term Incentive Compensation Plan Performance Share Grant Effective 2009 (filed as Exhibit 10(m)11 to the 2008 Form 10-K, File No. 1-3548).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46620" cy="2914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ind w:left="1340" w:right="200" w:hanging="1620"/>
        <w:spacing w:after="0" w:line="293" w:lineRule="auto"/>
        <w:tabs>
          <w:tab w:leader="none" w:pos="1320" w:val="left"/>
        </w:tabs>
        <w:rPr>
          <w:sz w:val="20"/>
          <w:szCs w:val="20"/>
          <w:color w:val="auto"/>
        </w:rPr>
      </w:pPr>
      <w:r>
        <w:rPr>
          <w:rFonts w:ascii="Arial" w:cs="Arial" w:eastAsia="Arial" w:hAnsi="Arial"/>
          <w:sz w:val="16"/>
          <w:szCs w:val="16"/>
          <w:color w:val="auto"/>
        </w:rPr>
        <w:t>+*10(k)7</w:t>
      </w:r>
      <w:r>
        <w:rPr>
          <w:sz w:val="20"/>
          <w:szCs w:val="20"/>
          <w:color w:val="auto"/>
        </w:rPr>
        <w:tab/>
      </w:r>
      <w:r>
        <w:rPr>
          <w:rFonts w:ascii="Arial" w:cs="Arial" w:eastAsia="Arial" w:hAnsi="Arial"/>
          <w:sz w:val="16"/>
          <w:szCs w:val="16"/>
          <w:color w:val="auto"/>
        </w:rPr>
        <w:t>— Form of ALLETE Executive Long-Term Incentive Compensation Plan Restricted Stock Unit Grant Effective 2009 (filed as Exhibit 10(m)12 to the 2008 Form 10-K, File No. 1-3548).</w:t>
      </w:r>
    </w:p>
    <w:p>
      <w:pPr>
        <w:spacing w:after="0" w:line="10" w:lineRule="exact"/>
        <w:rPr>
          <w:sz w:val="20"/>
          <w:szCs w:val="20"/>
          <w:color w:val="auto"/>
        </w:rPr>
      </w:pPr>
    </w:p>
    <w:p>
      <w:pPr>
        <w:ind w:left="1340" w:right="80" w:hanging="1620"/>
        <w:spacing w:after="0" w:line="293" w:lineRule="auto"/>
        <w:tabs>
          <w:tab w:leader="none" w:pos="1320" w:val="left"/>
        </w:tabs>
        <w:rPr>
          <w:sz w:val="20"/>
          <w:szCs w:val="20"/>
          <w:color w:val="auto"/>
        </w:rPr>
      </w:pPr>
      <w:r>
        <w:rPr>
          <w:rFonts w:ascii="Arial" w:cs="Arial" w:eastAsia="Arial" w:hAnsi="Arial"/>
          <w:sz w:val="16"/>
          <w:szCs w:val="16"/>
          <w:color w:val="auto"/>
        </w:rPr>
        <w:t>+*10(k)8</w:t>
      </w:r>
      <w:r>
        <w:rPr>
          <w:sz w:val="20"/>
          <w:szCs w:val="20"/>
          <w:color w:val="auto"/>
        </w:rPr>
        <w:tab/>
      </w:r>
      <w:r>
        <w:rPr>
          <w:rFonts w:ascii="Arial" w:cs="Arial" w:eastAsia="Arial" w:hAnsi="Arial"/>
          <w:sz w:val="16"/>
          <w:szCs w:val="16"/>
          <w:color w:val="auto"/>
        </w:rPr>
        <w:t>— Form of ALLETE Executive Long-Term Incentive Compensation Plan Performance Share Grant Effective 2010 (filed as Exhibit 10(m)8 to the 2009 Form 10-K, File No. 1-3548).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46620" cy="2914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ind w:left="1340" w:right="280" w:hanging="1620"/>
        <w:spacing w:after="0" w:line="293" w:lineRule="auto"/>
        <w:tabs>
          <w:tab w:leader="none" w:pos="1320" w:val="left"/>
        </w:tabs>
        <w:rPr>
          <w:sz w:val="20"/>
          <w:szCs w:val="20"/>
          <w:color w:val="auto"/>
        </w:rPr>
      </w:pPr>
      <w:r>
        <w:rPr>
          <w:rFonts w:ascii="Arial" w:cs="Arial" w:eastAsia="Arial" w:hAnsi="Arial"/>
          <w:sz w:val="16"/>
          <w:szCs w:val="16"/>
          <w:color w:val="auto"/>
        </w:rPr>
        <w:t>+*10(k)9</w:t>
      </w:r>
      <w:r>
        <w:rPr>
          <w:sz w:val="20"/>
          <w:szCs w:val="20"/>
          <w:color w:val="auto"/>
        </w:rPr>
        <w:tab/>
      </w:r>
      <w:r>
        <w:rPr>
          <w:rFonts w:ascii="Arial" w:cs="Arial" w:eastAsia="Arial" w:hAnsi="Arial"/>
          <w:sz w:val="16"/>
          <w:szCs w:val="16"/>
          <w:color w:val="auto"/>
        </w:rPr>
        <w:t>— Form of ALLETE Executive Long-Term Incentive Compensation Plan Restricted Stock Unit Grant Effective 2010 (filed as Exhibit 10(m)9 to the 2009 Form 10-K, File No. 1-3548).</w:t>
      </w:r>
    </w:p>
    <w:p>
      <w:pPr>
        <w:spacing w:after="0" w:line="10" w:lineRule="exact"/>
        <w:rPr>
          <w:sz w:val="20"/>
          <w:szCs w:val="20"/>
          <w:color w:val="auto"/>
        </w:rPr>
      </w:pPr>
    </w:p>
    <w:p>
      <w:pPr>
        <w:ind w:left="1340" w:hanging="1620"/>
        <w:spacing w:after="0" w:line="293" w:lineRule="auto"/>
        <w:tabs>
          <w:tab w:leader="none" w:pos="1320" w:val="left"/>
        </w:tabs>
        <w:rPr>
          <w:sz w:val="20"/>
          <w:szCs w:val="20"/>
          <w:color w:val="auto"/>
        </w:rPr>
      </w:pPr>
      <w:r>
        <w:rPr>
          <w:rFonts w:ascii="Arial" w:cs="Arial" w:eastAsia="Arial" w:hAnsi="Arial"/>
          <w:sz w:val="16"/>
          <w:szCs w:val="16"/>
          <w:color w:val="auto"/>
        </w:rPr>
        <w:t>+*10(k)10</w:t>
      </w:r>
      <w:r>
        <w:rPr>
          <w:sz w:val="20"/>
          <w:szCs w:val="20"/>
          <w:color w:val="auto"/>
        </w:rPr>
        <w:tab/>
      </w:r>
      <w:r>
        <w:rPr>
          <w:rFonts w:ascii="Arial" w:cs="Arial" w:eastAsia="Arial" w:hAnsi="Arial"/>
          <w:sz w:val="16"/>
          <w:szCs w:val="16"/>
          <w:color w:val="auto"/>
        </w:rPr>
        <w:t>— Form of ALLETE Executive Long-Term Incentive Compensation Plan Performance Share Grant Effective 2011 (filed as Exhibit 10(m)11 to the 2010 Form 10-K, File No. 1-3548).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46620" cy="2914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ind w:left="1340" w:right="200" w:hanging="1620"/>
        <w:spacing w:after="0" w:line="293" w:lineRule="auto"/>
        <w:tabs>
          <w:tab w:leader="none" w:pos="1320" w:val="left"/>
        </w:tabs>
        <w:rPr>
          <w:sz w:val="20"/>
          <w:szCs w:val="20"/>
          <w:color w:val="auto"/>
        </w:rPr>
      </w:pPr>
      <w:r>
        <w:rPr>
          <w:rFonts w:ascii="Arial" w:cs="Arial" w:eastAsia="Arial" w:hAnsi="Arial"/>
          <w:sz w:val="16"/>
          <w:szCs w:val="16"/>
          <w:color w:val="auto"/>
        </w:rPr>
        <w:t>+*10(k)11</w:t>
      </w:r>
      <w:r>
        <w:rPr>
          <w:sz w:val="20"/>
          <w:szCs w:val="20"/>
          <w:color w:val="auto"/>
        </w:rPr>
        <w:tab/>
      </w:r>
      <w:r>
        <w:rPr>
          <w:rFonts w:ascii="Arial" w:cs="Arial" w:eastAsia="Arial" w:hAnsi="Arial"/>
          <w:sz w:val="16"/>
          <w:szCs w:val="16"/>
          <w:color w:val="auto"/>
        </w:rPr>
        <w:t>— Form of ALLETE Executive Long-Term Incentive Compensation Plan Restricted Stock Unit Grant Effective 2011 (filed as Exhibit 10(m)12 to the 2010 Form 10-K, File No. 1-3548).</w:t>
      </w:r>
    </w:p>
    <w:p>
      <w:pPr>
        <w:spacing w:after="0" w:line="10" w:lineRule="exact"/>
        <w:rPr>
          <w:sz w:val="20"/>
          <w:szCs w:val="20"/>
          <w:color w:val="auto"/>
        </w:rPr>
      </w:pPr>
    </w:p>
    <w:p>
      <w:pPr>
        <w:ind w:left="1340" w:hanging="1620"/>
        <w:spacing w:after="0" w:line="293" w:lineRule="auto"/>
        <w:tabs>
          <w:tab w:leader="none" w:pos="1320" w:val="left"/>
        </w:tabs>
        <w:rPr>
          <w:sz w:val="20"/>
          <w:szCs w:val="20"/>
          <w:color w:val="auto"/>
        </w:rPr>
      </w:pPr>
      <w:r>
        <w:rPr>
          <w:rFonts w:ascii="Arial" w:cs="Arial" w:eastAsia="Arial" w:hAnsi="Arial"/>
          <w:sz w:val="16"/>
          <w:szCs w:val="16"/>
          <w:color w:val="auto"/>
        </w:rPr>
        <w:t>+*10(k)12</w:t>
      </w:r>
      <w:r>
        <w:rPr>
          <w:sz w:val="20"/>
          <w:szCs w:val="20"/>
          <w:color w:val="auto"/>
        </w:rPr>
        <w:tab/>
      </w:r>
      <w:r>
        <w:rPr>
          <w:rFonts w:ascii="Arial" w:cs="Arial" w:eastAsia="Arial" w:hAnsi="Arial"/>
          <w:sz w:val="16"/>
          <w:szCs w:val="16"/>
          <w:color w:val="auto"/>
        </w:rPr>
        <w:t>— Form of ALLETE Executive Long-Term Incentive Compensation Plan Performance Share Grant Effective 2012 (filed as Exhibit 10(m)12 to the 2011 Form 10-K, File No. 1-3548).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46620" cy="2914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ind w:left="1340" w:right="200" w:hanging="1620"/>
        <w:spacing w:after="0" w:line="293" w:lineRule="auto"/>
        <w:tabs>
          <w:tab w:leader="none" w:pos="1320" w:val="left"/>
        </w:tabs>
        <w:rPr>
          <w:sz w:val="20"/>
          <w:szCs w:val="20"/>
          <w:color w:val="auto"/>
        </w:rPr>
      </w:pPr>
      <w:r>
        <w:rPr>
          <w:rFonts w:ascii="Arial" w:cs="Arial" w:eastAsia="Arial" w:hAnsi="Arial"/>
          <w:sz w:val="16"/>
          <w:szCs w:val="16"/>
          <w:color w:val="auto"/>
        </w:rPr>
        <w:t>+*10(k)13</w:t>
      </w:r>
      <w:r>
        <w:rPr>
          <w:sz w:val="20"/>
          <w:szCs w:val="20"/>
          <w:color w:val="auto"/>
        </w:rPr>
        <w:tab/>
      </w:r>
      <w:r>
        <w:rPr>
          <w:rFonts w:ascii="Arial" w:cs="Arial" w:eastAsia="Arial" w:hAnsi="Arial"/>
          <w:sz w:val="16"/>
          <w:szCs w:val="16"/>
          <w:color w:val="auto"/>
        </w:rPr>
        <w:t>— Form of ALLETE Executive Long-Term Incentive Compensation Plan Restricted Stock Unit Grant Effective 2012 (filed as Exhibit 10(m)13 to the 2011 Form 10-K, File No. 1-3548).</w:t>
      </w:r>
    </w:p>
    <w:p>
      <w:pPr>
        <w:spacing w:after="0" w:line="10" w:lineRule="exact"/>
        <w:rPr>
          <w:sz w:val="20"/>
          <w:szCs w:val="20"/>
          <w:color w:val="auto"/>
        </w:rPr>
      </w:pPr>
    </w:p>
    <w:p>
      <w:pPr>
        <w:ind w:left="40"/>
        <w:spacing w:after="0"/>
        <w:tabs>
          <w:tab w:leader="none" w:pos="1320" w:val="left"/>
          <w:tab w:leader="none" w:pos="1640" w:val="left"/>
        </w:tabs>
        <w:rPr>
          <w:sz w:val="20"/>
          <w:szCs w:val="20"/>
          <w:color w:val="auto"/>
        </w:rPr>
      </w:pPr>
      <w:r>
        <w:rPr>
          <w:rFonts w:ascii="Arial" w:cs="Arial" w:eastAsia="Arial" w:hAnsi="Arial"/>
          <w:sz w:val="16"/>
          <w:szCs w:val="16"/>
          <w:color w:val="auto"/>
        </w:rPr>
        <w:t>+10(k)14</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4"/>
          <w:szCs w:val="14"/>
          <w:color w:val="auto"/>
        </w:rPr>
        <w:t>Form of ALLETE Executive Long-Term Incentive Compensation Plan Performance Share Grant Effective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246620" cy="1631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53" w:lineRule="exact"/>
        <w:rPr>
          <w:sz w:val="20"/>
          <w:szCs w:val="20"/>
          <w:color w:val="auto"/>
        </w:rPr>
      </w:pPr>
    </w:p>
    <w:p>
      <w:pPr>
        <w:ind w:left="40"/>
        <w:spacing w:after="0"/>
        <w:tabs>
          <w:tab w:leader="none" w:pos="1320" w:val="left"/>
          <w:tab w:leader="none" w:pos="1640" w:val="left"/>
        </w:tabs>
        <w:rPr>
          <w:sz w:val="20"/>
          <w:szCs w:val="20"/>
          <w:color w:val="auto"/>
        </w:rPr>
      </w:pPr>
      <w:r>
        <w:rPr>
          <w:rFonts w:ascii="Arial" w:cs="Arial" w:eastAsia="Arial" w:hAnsi="Arial"/>
          <w:sz w:val="16"/>
          <w:szCs w:val="16"/>
          <w:color w:val="auto"/>
        </w:rPr>
        <w:t>+10(k)15</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5"/>
          <w:szCs w:val="15"/>
          <w:color w:val="auto"/>
        </w:rPr>
        <w:t>Form of ALLETE Executive Long-Term Incentive Compensation Plan Restricted Stock Unit Grant Effective 2013.</w:t>
      </w:r>
    </w:p>
    <w:p>
      <w:pPr>
        <w:spacing w:after="0" w:line="73" w:lineRule="exact"/>
        <w:rPr>
          <w:sz w:val="20"/>
          <w:szCs w:val="20"/>
          <w:color w:val="auto"/>
        </w:rPr>
      </w:pPr>
    </w:p>
    <w:p>
      <w:pPr>
        <w:ind w:left="1340" w:right="2980" w:hanging="1620"/>
        <w:spacing w:after="0" w:line="293" w:lineRule="auto"/>
        <w:tabs>
          <w:tab w:leader="none" w:pos="1320" w:val="left"/>
        </w:tabs>
        <w:rPr>
          <w:sz w:val="20"/>
          <w:szCs w:val="20"/>
          <w:color w:val="auto"/>
        </w:rPr>
      </w:pPr>
      <w:r>
        <w:rPr>
          <w:rFonts w:ascii="Arial" w:cs="Arial" w:eastAsia="Arial" w:hAnsi="Arial"/>
          <w:sz w:val="16"/>
          <w:szCs w:val="16"/>
          <w:color w:val="auto"/>
        </w:rPr>
        <w:t>+*10(l)1</w:t>
      </w:r>
      <w:r>
        <w:rPr>
          <w:sz w:val="20"/>
          <w:szCs w:val="20"/>
          <w:color w:val="auto"/>
        </w:rPr>
        <w:tab/>
      </w:r>
      <w:r>
        <w:rPr>
          <w:rFonts w:ascii="Arial" w:cs="Arial" w:eastAsia="Arial" w:hAnsi="Arial"/>
          <w:sz w:val="16"/>
          <w:szCs w:val="16"/>
          <w:color w:val="auto"/>
        </w:rPr>
        <w:t>— Minnesota Power (now ALLETE) Director Stock Plan, effective May 9, 1995 (filed as Exhibit 10 to the March 31, 1995, Form 10-Q, File No. 1-3548).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46620" cy="2914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ind w:left="1340" w:right="2700" w:hanging="1620"/>
        <w:spacing w:after="0" w:line="293" w:lineRule="auto"/>
        <w:tabs>
          <w:tab w:leader="none" w:pos="1320" w:val="left"/>
        </w:tabs>
        <w:rPr>
          <w:sz w:val="20"/>
          <w:szCs w:val="20"/>
          <w:color w:val="auto"/>
        </w:rPr>
      </w:pPr>
      <w:r>
        <w:rPr>
          <w:rFonts w:ascii="Arial" w:cs="Arial" w:eastAsia="Arial" w:hAnsi="Arial"/>
          <w:sz w:val="16"/>
          <w:szCs w:val="16"/>
          <w:color w:val="auto"/>
        </w:rPr>
        <w:t>+*10(l)2</w:t>
      </w:r>
      <w:r>
        <w:rPr>
          <w:sz w:val="20"/>
          <w:szCs w:val="20"/>
          <w:color w:val="auto"/>
        </w:rPr>
        <w:tab/>
      </w:r>
      <w:r>
        <w:rPr>
          <w:rFonts w:ascii="Arial" w:cs="Arial" w:eastAsia="Arial" w:hAnsi="Arial"/>
          <w:sz w:val="16"/>
          <w:szCs w:val="16"/>
          <w:color w:val="auto"/>
        </w:rPr>
        <w:t>— Amendments through December 2003 to the Minnesota Power (now ALLETE) Director Stock Plan (filed as Exhibit 10(z)2 to the 2003 Form 10-K, File No. 1-3548).</w:t>
      </w:r>
    </w:p>
    <w:p>
      <w:pPr>
        <w:spacing w:after="0" w:line="10" w:lineRule="exact"/>
        <w:rPr>
          <w:sz w:val="20"/>
          <w:szCs w:val="20"/>
          <w:color w:val="auto"/>
        </w:rPr>
      </w:pPr>
    </w:p>
    <w:p>
      <w:pPr>
        <w:ind w:left="40"/>
        <w:spacing w:after="0"/>
        <w:tabs>
          <w:tab w:leader="none" w:pos="1320" w:val="left"/>
          <w:tab w:leader="none" w:pos="1640" w:val="left"/>
        </w:tabs>
        <w:rPr>
          <w:sz w:val="20"/>
          <w:szCs w:val="20"/>
          <w:color w:val="auto"/>
        </w:rPr>
      </w:pPr>
      <w:r>
        <w:rPr>
          <w:rFonts w:ascii="Arial" w:cs="Arial" w:eastAsia="Arial" w:hAnsi="Arial"/>
          <w:sz w:val="16"/>
          <w:szCs w:val="16"/>
          <w:color w:val="auto"/>
        </w:rPr>
        <w:t>+*10(l)3</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4"/>
          <w:szCs w:val="14"/>
          <w:color w:val="auto"/>
        </w:rPr>
        <w:t>July 2004 Amendment to the ALLETE Director Stock Plan (filed as Exhibit 10(e) to the June 30, 2004, Form 10-Q, File No. 1-3548).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246620" cy="1631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53" w:lineRule="exact"/>
        <w:rPr>
          <w:sz w:val="20"/>
          <w:szCs w:val="20"/>
          <w:color w:val="auto"/>
        </w:rPr>
      </w:pPr>
    </w:p>
    <w:p>
      <w:pPr>
        <w:ind w:left="40"/>
        <w:spacing w:after="0"/>
        <w:tabs>
          <w:tab w:leader="none" w:pos="1320" w:val="left"/>
          <w:tab w:leader="none" w:pos="1640" w:val="left"/>
        </w:tabs>
        <w:rPr>
          <w:sz w:val="20"/>
          <w:szCs w:val="20"/>
          <w:color w:val="auto"/>
        </w:rPr>
      </w:pPr>
      <w:r>
        <w:rPr>
          <w:rFonts w:ascii="Arial" w:cs="Arial" w:eastAsia="Arial" w:hAnsi="Arial"/>
          <w:sz w:val="16"/>
          <w:szCs w:val="16"/>
          <w:color w:val="auto"/>
        </w:rPr>
        <w:t>+*10(l)4</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5"/>
          <w:szCs w:val="15"/>
          <w:color w:val="auto"/>
        </w:rPr>
        <w:t>January 2007 Amendment to the ALLETE Director Stock Plan (filed as Exhibit 10(n)4 to the 2006 Form 10-K, File No. 1-3548).</w:t>
      </w:r>
    </w:p>
    <w:p>
      <w:pPr>
        <w:spacing w:after="0" w:line="73" w:lineRule="exact"/>
        <w:rPr>
          <w:sz w:val="20"/>
          <w:szCs w:val="20"/>
          <w:color w:val="auto"/>
        </w:rPr>
      </w:pPr>
    </w:p>
    <w:p>
      <w:pPr>
        <w:ind w:left="40"/>
        <w:spacing w:after="0"/>
        <w:tabs>
          <w:tab w:leader="none" w:pos="1320" w:val="left"/>
          <w:tab w:leader="none" w:pos="1640" w:val="left"/>
        </w:tabs>
        <w:rPr>
          <w:sz w:val="20"/>
          <w:szCs w:val="20"/>
          <w:color w:val="auto"/>
        </w:rPr>
      </w:pPr>
      <w:r>
        <w:rPr>
          <w:rFonts w:ascii="Arial" w:cs="Arial" w:eastAsia="Arial" w:hAnsi="Arial"/>
          <w:sz w:val="16"/>
          <w:szCs w:val="16"/>
          <w:color w:val="auto"/>
        </w:rPr>
        <w:t>+*10(l)5</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4"/>
          <w:szCs w:val="14"/>
          <w:color w:val="auto"/>
        </w:rPr>
        <w:t>May 2009 Amendment to the ALLETE Director Stock Plan (filed as Exhibit 10(b) to the June 30, 2009, Form 10-Q, File No. 1-3548).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246620" cy="1631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53" w:lineRule="exact"/>
        <w:rPr>
          <w:sz w:val="20"/>
          <w:szCs w:val="20"/>
          <w:color w:val="auto"/>
        </w:rPr>
      </w:pPr>
    </w:p>
    <w:p>
      <w:pPr>
        <w:ind w:left="40"/>
        <w:spacing w:after="0"/>
        <w:tabs>
          <w:tab w:leader="none" w:pos="1320" w:val="left"/>
          <w:tab w:leader="none" w:pos="1640" w:val="left"/>
        </w:tabs>
        <w:rPr>
          <w:sz w:val="20"/>
          <w:szCs w:val="20"/>
          <w:color w:val="auto"/>
        </w:rPr>
      </w:pPr>
      <w:r>
        <w:rPr>
          <w:rFonts w:ascii="Arial" w:cs="Arial" w:eastAsia="Arial" w:hAnsi="Arial"/>
          <w:sz w:val="16"/>
          <w:szCs w:val="16"/>
          <w:color w:val="auto"/>
        </w:rPr>
        <w:t>+*10(l)6</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4"/>
          <w:szCs w:val="14"/>
          <w:color w:val="auto"/>
        </w:rPr>
        <w:t>May 2010 Amendment to the ALLETE Director Stock Plan (filed as Exhibit 10(a) to the June 30, 2010, Form 10-Q, File No. 1-3548).</w:t>
      </w:r>
    </w:p>
    <w:p>
      <w:pPr>
        <w:sectPr>
          <w:pgSz w:w="11900" w:h="16838" w:orient="portrait"/>
          <w:cols w:equalWidth="0" w:num="1">
            <w:col w:w="11380"/>
          </w:cols>
          <w:pgMar w:left="240" w:top="499" w:right="279" w:bottom="1440" w:gutter="0" w:footer="0" w:header="0"/>
        </w:sectPr>
      </w:pPr>
    </w:p>
    <w:p>
      <w:pPr>
        <w:spacing w:after="0" w:line="28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ALLETE 2012 Form 10-K</w:t>
      </w:r>
    </w:p>
    <w:p>
      <w:pPr>
        <w:spacing w:after="0" w:line="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380"/>
          </w:cols>
          <w:pgMar w:left="240" w:top="499" w:right="279" w:bottom="1440" w:gutter="0" w:footer="0" w:header="0"/>
          <w:type w:val="continuous"/>
        </w:sectPr>
      </w:pPr>
    </w:p>
    <w:bookmarkStart w:id="59" w:name="page60"/>
    <w:bookmarkEnd w:id="59"/>
    <w:p>
      <w:pPr>
        <w:spacing w:after="0"/>
        <w:rPr>
          <w:sz w:val="20"/>
          <w:szCs w:val="20"/>
          <w:color w:val="auto"/>
        </w:rPr>
      </w:pPr>
      <w:r>
        <w:rPr>
          <w:rFonts w:ascii="Arial" w:cs="Arial" w:eastAsia="Arial" w:hAnsi="Arial"/>
          <w:sz w:val="18"/>
          <w:szCs w:val="18"/>
          <w:b w:val="1"/>
          <w:bCs w:val="1"/>
          <w:u w:val="single" w:color="auto"/>
          <w:color w:val="auto"/>
        </w:rPr>
        <w:t>Exhibit Number</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020" w:type="dxa"/>
            <w:vAlign w:val="bottom"/>
          </w:tcPr>
          <w:p>
            <w:pPr>
              <w:ind w:left="40"/>
              <w:spacing w:after="0"/>
              <w:rPr>
                <w:sz w:val="20"/>
                <w:szCs w:val="20"/>
                <w:color w:val="auto"/>
              </w:rPr>
            </w:pPr>
            <w:r>
              <w:rPr>
                <w:rFonts w:ascii="Arial" w:cs="Arial" w:eastAsia="Arial" w:hAnsi="Arial"/>
                <w:sz w:val="16"/>
                <w:szCs w:val="16"/>
                <w:color w:val="auto"/>
              </w:rPr>
              <w:t>+*10(l)7</w:t>
            </w:r>
          </w:p>
        </w:tc>
        <w:tc>
          <w:tcPr>
            <w:tcW w:w="10400" w:type="dxa"/>
            <w:vAlign w:val="bottom"/>
          </w:tcPr>
          <w:p>
            <w:pPr>
              <w:ind w:left="320"/>
              <w:spacing w:after="0"/>
              <w:rPr>
                <w:sz w:val="20"/>
                <w:szCs w:val="20"/>
                <w:color w:val="auto"/>
              </w:rPr>
            </w:pPr>
            <w:r>
              <w:rPr>
                <w:rFonts w:ascii="Arial" w:cs="Arial" w:eastAsia="Arial" w:hAnsi="Arial"/>
                <w:sz w:val="16"/>
                <w:szCs w:val="16"/>
                <w:color w:val="auto"/>
              </w:rPr>
              <w:t>—  October 2010 Amendment to the ALLETE Director Stock Plan (filed as Exhibit 10 to the September 30, 2010,</w:t>
            </w:r>
          </w:p>
        </w:tc>
      </w:tr>
      <w:tr>
        <w:trPr>
          <w:trHeight w:val="206"/>
        </w:trPr>
        <w:tc>
          <w:tcPr>
            <w:tcW w:w="1020" w:type="dxa"/>
            <w:vAlign w:val="bottom"/>
          </w:tcPr>
          <w:p>
            <w:pPr>
              <w:spacing w:after="0"/>
              <w:rPr>
                <w:sz w:val="17"/>
                <w:szCs w:val="17"/>
                <w:color w:val="auto"/>
              </w:rPr>
            </w:pPr>
          </w:p>
        </w:tc>
        <w:tc>
          <w:tcPr>
            <w:tcW w:w="10400" w:type="dxa"/>
            <w:vAlign w:val="bottom"/>
          </w:tcPr>
          <w:p>
            <w:pPr>
              <w:ind w:left="640"/>
              <w:spacing w:after="0"/>
              <w:rPr>
                <w:sz w:val="20"/>
                <w:szCs w:val="20"/>
                <w:color w:val="auto"/>
              </w:rPr>
            </w:pPr>
            <w:r>
              <w:rPr>
                <w:rFonts w:ascii="Arial" w:cs="Arial" w:eastAsia="Arial" w:hAnsi="Arial"/>
                <w:sz w:val="16"/>
                <w:szCs w:val="16"/>
                <w:color w:val="auto"/>
              </w:rPr>
              <w:t>Form 10-Q, File No. 1-3548).</w:t>
            </w:r>
          </w:p>
        </w:tc>
      </w:tr>
      <w:tr>
        <w:trPr>
          <w:trHeight w:val="33"/>
        </w:trPr>
        <w:tc>
          <w:tcPr>
            <w:tcW w:w="1020" w:type="dxa"/>
            <w:vAlign w:val="bottom"/>
          </w:tcPr>
          <w:p>
            <w:pPr>
              <w:spacing w:after="0"/>
              <w:rPr>
                <w:sz w:val="2"/>
                <w:szCs w:val="2"/>
                <w:color w:val="auto"/>
              </w:rPr>
            </w:pPr>
          </w:p>
        </w:tc>
        <w:tc>
          <w:tcPr>
            <w:tcW w:w="10400" w:type="dxa"/>
            <w:vAlign w:val="bottom"/>
          </w:tcPr>
          <w:p>
            <w:pPr>
              <w:spacing w:after="0"/>
              <w:rPr>
                <w:sz w:val="2"/>
                <w:szCs w:val="2"/>
                <w:color w:val="auto"/>
              </w:rPr>
            </w:pPr>
          </w:p>
        </w:tc>
      </w:tr>
      <w:tr>
        <w:trPr>
          <w:trHeight w:val="220"/>
        </w:trPr>
        <w:tc>
          <w:tcPr>
            <w:tcW w:w="1020" w:type="dxa"/>
            <w:vAlign w:val="bottom"/>
            <w:shd w:val="clear" w:color="auto" w:fill="CCEEFF"/>
          </w:tcPr>
          <w:p>
            <w:pPr>
              <w:ind w:left="40"/>
              <w:spacing w:after="0"/>
              <w:rPr>
                <w:sz w:val="20"/>
                <w:szCs w:val="20"/>
                <w:color w:val="auto"/>
              </w:rPr>
            </w:pPr>
            <w:r>
              <w:rPr>
                <w:rFonts w:ascii="Arial" w:cs="Arial" w:eastAsia="Arial" w:hAnsi="Arial"/>
                <w:sz w:val="16"/>
                <w:szCs w:val="16"/>
                <w:color w:val="auto"/>
              </w:rPr>
              <w:t>+*10(m)1</w:t>
            </w:r>
          </w:p>
        </w:tc>
        <w:tc>
          <w:tcPr>
            <w:tcW w:w="10400" w:type="dxa"/>
            <w:vAlign w:val="bottom"/>
            <w:shd w:val="clear" w:color="auto" w:fill="CCEEFF"/>
          </w:tcPr>
          <w:p>
            <w:pPr>
              <w:ind w:left="320"/>
              <w:spacing w:after="0"/>
              <w:rPr>
                <w:sz w:val="20"/>
                <w:szCs w:val="20"/>
                <w:color w:val="auto"/>
              </w:rPr>
            </w:pPr>
            <w:r>
              <w:rPr>
                <w:rFonts w:ascii="Arial" w:cs="Arial" w:eastAsia="Arial" w:hAnsi="Arial"/>
                <w:sz w:val="16"/>
                <w:szCs w:val="16"/>
                <w:color w:val="auto"/>
                <w:w w:val="95"/>
              </w:rPr>
              <w:t>—  ALLETE Non-Management Director Compensation Summary Effective May 1, 2010 (filed as Exhibit 10(b) to the March 31, 2010, Form 10-Q, File</w:t>
            </w:r>
          </w:p>
        </w:tc>
      </w:tr>
      <w:tr>
        <w:trPr>
          <w:trHeight w:val="219"/>
        </w:trPr>
        <w:tc>
          <w:tcPr>
            <w:tcW w:w="1020" w:type="dxa"/>
            <w:vAlign w:val="bottom"/>
            <w:tcBorders>
              <w:bottom w:val="single" w:sz="8" w:color="CCEEFF"/>
            </w:tcBorders>
            <w:shd w:val="clear" w:color="auto" w:fill="CCEEFF"/>
          </w:tcPr>
          <w:p>
            <w:pPr>
              <w:spacing w:after="0"/>
              <w:rPr>
                <w:sz w:val="19"/>
                <w:szCs w:val="19"/>
                <w:color w:val="auto"/>
              </w:rPr>
            </w:pPr>
          </w:p>
        </w:tc>
        <w:tc>
          <w:tcPr>
            <w:tcW w:w="1040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6"/>
                <w:szCs w:val="16"/>
                <w:color w:val="auto"/>
              </w:rPr>
              <w:t>No. 1-3548).</w:t>
            </w:r>
          </w:p>
        </w:tc>
      </w:tr>
      <w:tr>
        <w:trPr>
          <w:trHeight w:val="220"/>
        </w:trPr>
        <w:tc>
          <w:tcPr>
            <w:tcW w:w="1020" w:type="dxa"/>
            <w:vAlign w:val="bottom"/>
          </w:tcPr>
          <w:p>
            <w:pPr>
              <w:ind w:left="40"/>
              <w:spacing w:after="0"/>
              <w:rPr>
                <w:sz w:val="20"/>
                <w:szCs w:val="20"/>
                <w:color w:val="auto"/>
              </w:rPr>
            </w:pPr>
            <w:r>
              <w:rPr>
                <w:rFonts w:ascii="Arial" w:cs="Arial" w:eastAsia="Arial" w:hAnsi="Arial"/>
                <w:sz w:val="16"/>
                <w:szCs w:val="16"/>
                <w:color w:val="auto"/>
              </w:rPr>
              <w:t>+*10(m)2</w:t>
            </w:r>
          </w:p>
        </w:tc>
        <w:tc>
          <w:tcPr>
            <w:tcW w:w="10400" w:type="dxa"/>
            <w:vAlign w:val="bottom"/>
          </w:tcPr>
          <w:p>
            <w:pPr>
              <w:ind w:left="320"/>
              <w:spacing w:after="0"/>
              <w:rPr>
                <w:sz w:val="20"/>
                <w:szCs w:val="20"/>
                <w:color w:val="auto"/>
              </w:rPr>
            </w:pPr>
            <w:r>
              <w:rPr>
                <w:rFonts w:ascii="Arial" w:cs="Arial" w:eastAsia="Arial" w:hAnsi="Arial"/>
                <w:sz w:val="16"/>
                <w:szCs w:val="16"/>
                <w:color w:val="auto"/>
                <w:w w:val="94"/>
              </w:rPr>
              <w:t>—  ALLETE Non-Management Director Compensation Summary effective January 19, 2011 (filed as Exhibit 10(n)9 to the 2010 Form 10-K, File No. 1-</w:t>
            </w:r>
          </w:p>
        </w:tc>
      </w:tr>
      <w:tr>
        <w:trPr>
          <w:trHeight w:val="206"/>
        </w:trPr>
        <w:tc>
          <w:tcPr>
            <w:tcW w:w="1020" w:type="dxa"/>
            <w:vAlign w:val="bottom"/>
          </w:tcPr>
          <w:p>
            <w:pPr>
              <w:spacing w:after="0"/>
              <w:rPr>
                <w:sz w:val="17"/>
                <w:szCs w:val="17"/>
                <w:color w:val="auto"/>
              </w:rPr>
            </w:pPr>
          </w:p>
        </w:tc>
        <w:tc>
          <w:tcPr>
            <w:tcW w:w="10400" w:type="dxa"/>
            <w:vAlign w:val="bottom"/>
          </w:tcPr>
          <w:p>
            <w:pPr>
              <w:ind w:left="640"/>
              <w:spacing w:after="0"/>
              <w:rPr>
                <w:sz w:val="20"/>
                <w:szCs w:val="20"/>
                <w:color w:val="auto"/>
              </w:rPr>
            </w:pPr>
            <w:r>
              <w:rPr>
                <w:rFonts w:ascii="Arial" w:cs="Arial" w:eastAsia="Arial" w:hAnsi="Arial"/>
                <w:sz w:val="16"/>
                <w:szCs w:val="16"/>
                <w:color w:val="auto"/>
              </w:rPr>
              <w:t>3548).</w:t>
            </w:r>
          </w:p>
        </w:tc>
      </w:tr>
      <w:tr>
        <w:trPr>
          <w:trHeight w:val="33"/>
        </w:trPr>
        <w:tc>
          <w:tcPr>
            <w:tcW w:w="1020" w:type="dxa"/>
            <w:vAlign w:val="bottom"/>
          </w:tcPr>
          <w:p>
            <w:pPr>
              <w:spacing w:after="0"/>
              <w:rPr>
                <w:sz w:val="2"/>
                <w:szCs w:val="2"/>
                <w:color w:val="auto"/>
              </w:rPr>
            </w:pPr>
          </w:p>
        </w:tc>
        <w:tc>
          <w:tcPr>
            <w:tcW w:w="10400" w:type="dxa"/>
            <w:vAlign w:val="bottom"/>
          </w:tcPr>
          <w:p>
            <w:pPr>
              <w:spacing w:after="0"/>
              <w:rPr>
                <w:sz w:val="2"/>
                <w:szCs w:val="2"/>
                <w:color w:val="auto"/>
              </w:rPr>
            </w:pPr>
          </w:p>
        </w:tc>
      </w:tr>
      <w:tr>
        <w:trPr>
          <w:trHeight w:val="220"/>
        </w:trPr>
        <w:tc>
          <w:tcPr>
            <w:tcW w:w="1020" w:type="dxa"/>
            <w:vAlign w:val="bottom"/>
            <w:shd w:val="clear" w:color="auto" w:fill="CCEEFF"/>
          </w:tcPr>
          <w:p>
            <w:pPr>
              <w:ind w:left="40"/>
              <w:spacing w:after="0"/>
              <w:rPr>
                <w:sz w:val="20"/>
                <w:szCs w:val="20"/>
                <w:color w:val="auto"/>
              </w:rPr>
            </w:pPr>
            <w:r>
              <w:rPr>
                <w:rFonts w:ascii="Arial" w:cs="Arial" w:eastAsia="Arial" w:hAnsi="Arial"/>
                <w:sz w:val="16"/>
                <w:szCs w:val="16"/>
                <w:color w:val="auto"/>
              </w:rPr>
              <w:t>+*10(m)3</w:t>
            </w:r>
          </w:p>
        </w:tc>
        <w:tc>
          <w:tcPr>
            <w:tcW w:w="10400" w:type="dxa"/>
            <w:vAlign w:val="bottom"/>
            <w:shd w:val="clear" w:color="auto" w:fill="CCEEFF"/>
          </w:tcPr>
          <w:p>
            <w:pPr>
              <w:ind w:left="320"/>
              <w:spacing w:after="0"/>
              <w:rPr>
                <w:sz w:val="20"/>
                <w:szCs w:val="20"/>
                <w:color w:val="auto"/>
              </w:rPr>
            </w:pPr>
            <w:r>
              <w:rPr>
                <w:rFonts w:ascii="Arial" w:cs="Arial" w:eastAsia="Arial" w:hAnsi="Arial"/>
                <w:sz w:val="16"/>
                <w:szCs w:val="16"/>
                <w:color w:val="auto"/>
                <w:w w:val="95"/>
              </w:rPr>
              <w:t>—  ALLETE Non-Management Director Compensation Summary effective January 19, 2012 (filed as Exhibit 10(n)10 to the 2011 Form 10-K, File No.</w:t>
            </w:r>
          </w:p>
        </w:tc>
      </w:tr>
      <w:tr>
        <w:trPr>
          <w:trHeight w:val="219"/>
        </w:trPr>
        <w:tc>
          <w:tcPr>
            <w:tcW w:w="1020" w:type="dxa"/>
            <w:vAlign w:val="bottom"/>
            <w:tcBorders>
              <w:bottom w:val="single" w:sz="8" w:color="CCEEFF"/>
            </w:tcBorders>
            <w:shd w:val="clear" w:color="auto" w:fill="CCEEFF"/>
          </w:tcPr>
          <w:p>
            <w:pPr>
              <w:spacing w:after="0"/>
              <w:rPr>
                <w:sz w:val="19"/>
                <w:szCs w:val="19"/>
                <w:color w:val="auto"/>
              </w:rPr>
            </w:pPr>
          </w:p>
        </w:tc>
        <w:tc>
          <w:tcPr>
            <w:tcW w:w="1040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6"/>
                <w:szCs w:val="16"/>
                <w:color w:val="auto"/>
              </w:rPr>
              <w:t>1-3548).</w:t>
            </w:r>
          </w:p>
        </w:tc>
      </w:tr>
      <w:tr>
        <w:trPr>
          <w:trHeight w:val="220"/>
        </w:trPr>
        <w:tc>
          <w:tcPr>
            <w:tcW w:w="1020" w:type="dxa"/>
            <w:vAlign w:val="bottom"/>
          </w:tcPr>
          <w:p>
            <w:pPr>
              <w:ind w:left="40"/>
              <w:spacing w:after="0"/>
              <w:rPr>
                <w:sz w:val="20"/>
                <w:szCs w:val="20"/>
                <w:color w:val="auto"/>
              </w:rPr>
            </w:pPr>
            <w:r>
              <w:rPr>
                <w:rFonts w:ascii="Arial" w:cs="Arial" w:eastAsia="Arial" w:hAnsi="Arial"/>
                <w:sz w:val="16"/>
                <w:szCs w:val="16"/>
                <w:color w:val="auto"/>
              </w:rPr>
              <w:t>+*10(n)1</w:t>
            </w:r>
          </w:p>
        </w:tc>
        <w:tc>
          <w:tcPr>
            <w:tcW w:w="10400" w:type="dxa"/>
            <w:vAlign w:val="bottom"/>
          </w:tcPr>
          <w:p>
            <w:pPr>
              <w:ind w:left="320"/>
              <w:spacing w:after="0"/>
              <w:rPr>
                <w:sz w:val="20"/>
                <w:szCs w:val="20"/>
                <w:color w:val="auto"/>
              </w:rPr>
            </w:pPr>
            <w:r>
              <w:rPr>
                <w:rFonts w:ascii="Arial" w:cs="Arial" w:eastAsia="Arial" w:hAnsi="Arial"/>
                <w:sz w:val="16"/>
                <w:szCs w:val="16"/>
                <w:color w:val="auto"/>
              </w:rPr>
              <w:t>—  Minnesota Power (now ALLETE) Director Compensation Deferral Plan Amended and Restated, effective</w:t>
            </w:r>
          </w:p>
        </w:tc>
      </w:tr>
      <w:tr>
        <w:trPr>
          <w:trHeight w:val="206"/>
        </w:trPr>
        <w:tc>
          <w:tcPr>
            <w:tcW w:w="1020" w:type="dxa"/>
            <w:vAlign w:val="bottom"/>
          </w:tcPr>
          <w:p>
            <w:pPr>
              <w:spacing w:after="0"/>
              <w:rPr>
                <w:sz w:val="17"/>
                <w:szCs w:val="17"/>
                <w:color w:val="auto"/>
              </w:rPr>
            </w:pPr>
          </w:p>
        </w:tc>
        <w:tc>
          <w:tcPr>
            <w:tcW w:w="10400" w:type="dxa"/>
            <w:vAlign w:val="bottom"/>
          </w:tcPr>
          <w:p>
            <w:pPr>
              <w:ind w:left="640"/>
              <w:spacing w:after="0"/>
              <w:rPr>
                <w:sz w:val="20"/>
                <w:szCs w:val="20"/>
                <w:color w:val="auto"/>
              </w:rPr>
            </w:pPr>
            <w:r>
              <w:rPr>
                <w:rFonts w:ascii="Arial" w:cs="Arial" w:eastAsia="Arial" w:hAnsi="Arial"/>
                <w:sz w:val="16"/>
                <w:szCs w:val="16"/>
                <w:color w:val="auto"/>
              </w:rPr>
              <w:t>January 1, 1990 (filed as Exhibit 10(ac) to the 2002 Form 10-K, File No. 1-3548).</w:t>
            </w:r>
          </w:p>
        </w:tc>
      </w:tr>
      <w:tr>
        <w:trPr>
          <w:trHeight w:val="33"/>
        </w:trPr>
        <w:tc>
          <w:tcPr>
            <w:tcW w:w="1020" w:type="dxa"/>
            <w:vAlign w:val="bottom"/>
          </w:tcPr>
          <w:p>
            <w:pPr>
              <w:spacing w:after="0"/>
              <w:rPr>
                <w:sz w:val="2"/>
                <w:szCs w:val="2"/>
                <w:color w:val="auto"/>
              </w:rPr>
            </w:pPr>
          </w:p>
        </w:tc>
        <w:tc>
          <w:tcPr>
            <w:tcW w:w="10400" w:type="dxa"/>
            <w:vAlign w:val="bottom"/>
          </w:tcPr>
          <w:p>
            <w:pPr>
              <w:spacing w:after="0"/>
              <w:rPr>
                <w:sz w:val="2"/>
                <w:szCs w:val="2"/>
                <w:color w:val="auto"/>
              </w:rPr>
            </w:pPr>
          </w:p>
        </w:tc>
      </w:tr>
      <w:tr>
        <w:trPr>
          <w:trHeight w:val="220"/>
        </w:trPr>
        <w:tc>
          <w:tcPr>
            <w:tcW w:w="1020" w:type="dxa"/>
            <w:vAlign w:val="bottom"/>
            <w:shd w:val="clear" w:color="auto" w:fill="CCEEFF"/>
          </w:tcPr>
          <w:p>
            <w:pPr>
              <w:ind w:left="40"/>
              <w:spacing w:after="0"/>
              <w:rPr>
                <w:sz w:val="20"/>
                <w:szCs w:val="20"/>
                <w:color w:val="auto"/>
              </w:rPr>
            </w:pPr>
            <w:r>
              <w:rPr>
                <w:rFonts w:ascii="Arial" w:cs="Arial" w:eastAsia="Arial" w:hAnsi="Arial"/>
                <w:sz w:val="16"/>
                <w:szCs w:val="16"/>
                <w:color w:val="auto"/>
              </w:rPr>
              <w:t>+*10(n)2</w:t>
            </w:r>
          </w:p>
        </w:tc>
        <w:tc>
          <w:tcPr>
            <w:tcW w:w="10400" w:type="dxa"/>
            <w:vAlign w:val="bottom"/>
            <w:shd w:val="clear" w:color="auto" w:fill="CCEEFF"/>
          </w:tcPr>
          <w:p>
            <w:pPr>
              <w:ind w:left="320"/>
              <w:spacing w:after="0"/>
              <w:rPr>
                <w:sz w:val="20"/>
                <w:szCs w:val="20"/>
                <w:color w:val="auto"/>
              </w:rPr>
            </w:pPr>
            <w:r>
              <w:rPr>
                <w:rFonts w:ascii="Arial" w:cs="Arial" w:eastAsia="Arial" w:hAnsi="Arial"/>
                <w:sz w:val="16"/>
                <w:szCs w:val="16"/>
                <w:color w:val="auto"/>
                <w:w w:val="95"/>
              </w:rPr>
              <w:t>—  October 2003 Amendment to the Minnesota Power (now ALLETE) Director Compensation Deferral Plan (filed as Exhibit 10(aa)2 to the 2003 Form</w:t>
            </w:r>
          </w:p>
        </w:tc>
      </w:tr>
      <w:tr>
        <w:trPr>
          <w:trHeight w:val="219"/>
        </w:trPr>
        <w:tc>
          <w:tcPr>
            <w:tcW w:w="1020" w:type="dxa"/>
            <w:vAlign w:val="bottom"/>
            <w:tcBorders>
              <w:bottom w:val="single" w:sz="8" w:color="CCEEFF"/>
            </w:tcBorders>
            <w:shd w:val="clear" w:color="auto" w:fill="CCEEFF"/>
          </w:tcPr>
          <w:p>
            <w:pPr>
              <w:spacing w:after="0"/>
              <w:rPr>
                <w:sz w:val="19"/>
                <w:szCs w:val="19"/>
                <w:color w:val="auto"/>
              </w:rPr>
            </w:pPr>
          </w:p>
        </w:tc>
        <w:tc>
          <w:tcPr>
            <w:tcW w:w="1040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6"/>
                <w:szCs w:val="16"/>
                <w:color w:val="auto"/>
              </w:rPr>
              <w:t>10-K, File No. 1-3548).</w:t>
            </w:r>
          </w:p>
        </w:tc>
      </w:tr>
      <w:tr>
        <w:trPr>
          <w:trHeight w:val="220"/>
        </w:trPr>
        <w:tc>
          <w:tcPr>
            <w:tcW w:w="1020" w:type="dxa"/>
            <w:vAlign w:val="bottom"/>
          </w:tcPr>
          <w:p>
            <w:pPr>
              <w:ind w:left="40"/>
              <w:spacing w:after="0"/>
              <w:rPr>
                <w:sz w:val="20"/>
                <w:szCs w:val="20"/>
                <w:color w:val="auto"/>
              </w:rPr>
            </w:pPr>
            <w:r>
              <w:rPr>
                <w:rFonts w:ascii="Arial" w:cs="Arial" w:eastAsia="Arial" w:hAnsi="Arial"/>
                <w:sz w:val="16"/>
                <w:szCs w:val="16"/>
                <w:color w:val="auto"/>
              </w:rPr>
              <w:t>+*10(n)3</w:t>
            </w:r>
          </w:p>
        </w:tc>
        <w:tc>
          <w:tcPr>
            <w:tcW w:w="10400" w:type="dxa"/>
            <w:vAlign w:val="bottom"/>
          </w:tcPr>
          <w:p>
            <w:pPr>
              <w:ind w:left="320"/>
              <w:spacing w:after="0"/>
              <w:rPr>
                <w:sz w:val="20"/>
                <w:szCs w:val="20"/>
                <w:color w:val="auto"/>
              </w:rPr>
            </w:pPr>
            <w:r>
              <w:rPr>
                <w:rFonts w:ascii="Arial" w:cs="Arial" w:eastAsia="Arial" w:hAnsi="Arial"/>
                <w:sz w:val="16"/>
                <w:szCs w:val="16"/>
                <w:color w:val="auto"/>
              </w:rPr>
              <w:t>—  January 2005 Amendment to the ALLETE Director Compensation Deferral Plan (filed as Exhibit 10(c) to the</w:t>
            </w:r>
          </w:p>
        </w:tc>
      </w:tr>
      <w:tr>
        <w:trPr>
          <w:trHeight w:val="206"/>
        </w:trPr>
        <w:tc>
          <w:tcPr>
            <w:tcW w:w="1020" w:type="dxa"/>
            <w:vAlign w:val="bottom"/>
          </w:tcPr>
          <w:p>
            <w:pPr>
              <w:spacing w:after="0"/>
              <w:rPr>
                <w:sz w:val="17"/>
                <w:szCs w:val="17"/>
                <w:color w:val="auto"/>
              </w:rPr>
            </w:pPr>
          </w:p>
        </w:tc>
        <w:tc>
          <w:tcPr>
            <w:tcW w:w="10400" w:type="dxa"/>
            <w:vAlign w:val="bottom"/>
          </w:tcPr>
          <w:p>
            <w:pPr>
              <w:ind w:left="640"/>
              <w:spacing w:after="0"/>
              <w:rPr>
                <w:sz w:val="20"/>
                <w:szCs w:val="20"/>
                <w:color w:val="auto"/>
              </w:rPr>
            </w:pPr>
            <w:r>
              <w:rPr>
                <w:rFonts w:ascii="Arial" w:cs="Arial" w:eastAsia="Arial" w:hAnsi="Arial"/>
                <w:sz w:val="16"/>
                <w:szCs w:val="16"/>
                <w:color w:val="auto"/>
              </w:rPr>
              <w:t>March 31, 2005, Form 10-Q, File No. 1-3548).</w:t>
            </w:r>
          </w:p>
        </w:tc>
      </w:tr>
      <w:tr>
        <w:trPr>
          <w:trHeight w:val="33"/>
        </w:trPr>
        <w:tc>
          <w:tcPr>
            <w:tcW w:w="1020" w:type="dxa"/>
            <w:vAlign w:val="bottom"/>
          </w:tcPr>
          <w:p>
            <w:pPr>
              <w:spacing w:after="0"/>
              <w:rPr>
                <w:sz w:val="2"/>
                <w:szCs w:val="2"/>
                <w:color w:val="auto"/>
              </w:rPr>
            </w:pPr>
          </w:p>
        </w:tc>
        <w:tc>
          <w:tcPr>
            <w:tcW w:w="10400" w:type="dxa"/>
            <w:vAlign w:val="bottom"/>
          </w:tcPr>
          <w:p>
            <w:pPr>
              <w:spacing w:after="0"/>
              <w:rPr>
                <w:sz w:val="2"/>
                <w:szCs w:val="2"/>
                <w:color w:val="auto"/>
              </w:rPr>
            </w:pPr>
          </w:p>
        </w:tc>
      </w:tr>
      <w:tr>
        <w:trPr>
          <w:trHeight w:val="220"/>
        </w:trPr>
        <w:tc>
          <w:tcPr>
            <w:tcW w:w="1020" w:type="dxa"/>
            <w:vAlign w:val="bottom"/>
            <w:shd w:val="clear" w:color="auto" w:fill="CCEEFF"/>
          </w:tcPr>
          <w:p>
            <w:pPr>
              <w:ind w:left="40"/>
              <w:spacing w:after="0"/>
              <w:rPr>
                <w:sz w:val="20"/>
                <w:szCs w:val="20"/>
                <w:color w:val="auto"/>
              </w:rPr>
            </w:pPr>
            <w:r>
              <w:rPr>
                <w:rFonts w:ascii="Arial" w:cs="Arial" w:eastAsia="Arial" w:hAnsi="Arial"/>
                <w:sz w:val="16"/>
                <w:szCs w:val="16"/>
                <w:color w:val="auto"/>
              </w:rPr>
              <w:t>+*10(n)4</w:t>
            </w:r>
          </w:p>
        </w:tc>
        <w:tc>
          <w:tcPr>
            <w:tcW w:w="104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  October 2006 Amendment to the ALLETE Director Compensation Deferral Plan (filed as Exhibit 10(d) to the</w:t>
            </w:r>
          </w:p>
        </w:tc>
      </w:tr>
      <w:tr>
        <w:trPr>
          <w:trHeight w:val="219"/>
        </w:trPr>
        <w:tc>
          <w:tcPr>
            <w:tcW w:w="1020" w:type="dxa"/>
            <w:vAlign w:val="bottom"/>
            <w:tcBorders>
              <w:bottom w:val="single" w:sz="8" w:color="CCEEFF"/>
            </w:tcBorders>
            <w:shd w:val="clear" w:color="auto" w:fill="CCEEFF"/>
          </w:tcPr>
          <w:p>
            <w:pPr>
              <w:spacing w:after="0"/>
              <w:rPr>
                <w:sz w:val="19"/>
                <w:szCs w:val="19"/>
                <w:color w:val="auto"/>
              </w:rPr>
            </w:pPr>
          </w:p>
        </w:tc>
        <w:tc>
          <w:tcPr>
            <w:tcW w:w="1040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6"/>
                <w:szCs w:val="16"/>
                <w:color w:val="auto"/>
              </w:rPr>
              <w:t>September 30, 2006, Form 10-Q, File No. 1-3548).</w:t>
            </w:r>
          </w:p>
        </w:tc>
      </w:tr>
      <w:tr>
        <w:trPr>
          <w:trHeight w:val="224"/>
        </w:trPr>
        <w:tc>
          <w:tcPr>
            <w:tcW w:w="1020" w:type="dxa"/>
            <w:vAlign w:val="bottom"/>
          </w:tcPr>
          <w:p>
            <w:pPr>
              <w:ind w:left="40"/>
              <w:spacing w:after="0"/>
              <w:rPr>
                <w:sz w:val="20"/>
                <w:szCs w:val="20"/>
                <w:color w:val="auto"/>
              </w:rPr>
            </w:pPr>
            <w:r>
              <w:rPr>
                <w:rFonts w:ascii="Arial" w:cs="Arial" w:eastAsia="Arial" w:hAnsi="Arial"/>
                <w:sz w:val="16"/>
                <w:szCs w:val="16"/>
                <w:color w:val="auto"/>
              </w:rPr>
              <w:t>+10(n)5</w:t>
            </w:r>
          </w:p>
        </w:tc>
        <w:tc>
          <w:tcPr>
            <w:tcW w:w="10400" w:type="dxa"/>
            <w:vAlign w:val="bottom"/>
          </w:tcPr>
          <w:p>
            <w:pPr>
              <w:ind w:left="320"/>
              <w:spacing w:after="0"/>
              <w:rPr>
                <w:sz w:val="20"/>
                <w:szCs w:val="20"/>
                <w:color w:val="auto"/>
              </w:rPr>
            </w:pPr>
            <w:r>
              <w:rPr>
                <w:rFonts w:ascii="Arial" w:cs="Arial" w:eastAsia="Arial" w:hAnsi="Arial"/>
                <w:sz w:val="16"/>
                <w:szCs w:val="16"/>
                <w:color w:val="auto"/>
              </w:rPr>
              <w:t>—  July 2012 Amendment to the ALLETE Director Compensation Deferral Plan.</w:t>
            </w:r>
          </w:p>
        </w:tc>
      </w:tr>
      <w:tr>
        <w:trPr>
          <w:trHeight w:val="33"/>
        </w:trPr>
        <w:tc>
          <w:tcPr>
            <w:tcW w:w="1020" w:type="dxa"/>
            <w:vAlign w:val="bottom"/>
          </w:tcPr>
          <w:p>
            <w:pPr>
              <w:spacing w:after="0"/>
              <w:rPr>
                <w:sz w:val="2"/>
                <w:szCs w:val="2"/>
                <w:color w:val="auto"/>
              </w:rPr>
            </w:pPr>
          </w:p>
        </w:tc>
        <w:tc>
          <w:tcPr>
            <w:tcW w:w="10400" w:type="dxa"/>
            <w:vAlign w:val="bottom"/>
          </w:tcPr>
          <w:p>
            <w:pPr>
              <w:spacing w:after="0"/>
              <w:rPr>
                <w:sz w:val="2"/>
                <w:szCs w:val="2"/>
                <w:color w:val="auto"/>
              </w:rPr>
            </w:pPr>
          </w:p>
        </w:tc>
      </w:tr>
      <w:tr>
        <w:trPr>
          <w:trHeight w:val="220"/>
        </w:trPr>
        <w:tc>
          <w:tcPr>
            <w:tcW w:w="1020" w:type="dxa"/>
            <w:vAlign w:val="bottom"/>
            <w:shd w:val="clear" w:color="auto" w:fill="CCEEFF"/>
          </w:tcPr>
          <w:p>
            <w:pPr>
              <w:ind w:left="40"/>
              <w:spacing w:after="0"/>
              <w:rPr>
                <w:sz w:val="20"/>
                <w:szCs w:val="20"/>
                <w:color w:val="auto"/>
              </w:rPr>
            </w:pPr>
            <w:r>
              <w:rPr>
                <w:rFonts w:ascii="Arial" w:cs="Arial" w:eastAsia="Arial" w:hAnsi="Arial"/>
                <w:sz w:val="16"/>
                <w:szCs w:val="16"/>
                <w:color w:val="auto"/>
              </w:rPr>
              <w:t>+*10(o)1</w:t>
            </w:r>
          </w:p>
        </w:tc>
        <w:tc>
          <w:tcPr>
            <w:tcW w:w="10400" w:type="dxa"/>
            <w:vAlign w:val="bottom"/>
            <w:shd w:val="clear" w:color="auto" w:fill="CCEEFF"/>
          </w:tcPr>
          <w:p>
            <w:pPr>
              <w:ind w:left="320"/>
              <w:spacing w:after="0"/>
              <w:rPr>
                <w:sz w:val="20"/>
                <w:szCs w:val="20"/>
                <w:color w:val="auto"/>
              </w:rPr>
            </w:pPr>
            <w:r>
              <w:rPr>
                <w:rFonts w:ascii="Arial" w:cs="Arial" w:eastAsia="Arial" w:hAnsi="Arial"/>
                <w:sz w:val="16"/>
                <w:szCs w:val="16"/>
                <w:color w:val="auto"/>
                <w:w w:val="94"/>
              </w:rPr>
              <w:t>—  ALLETE Non-Employee Director Compensation Deferral Plan II, effective May 1, 2009 (filed as Exhibit 10(a) to the June 30, 2009, Form 10-Q, File</w:t>
            </w:r>
          </w:p>
        </w:tc>
      </w:tr>
      <w:tr>
        <w:trPr>
          <w:trHeight w:val="219"/>
        </w:trPr>
        <w:tc>
          <w:tcPr>
            <w:tcW w:w="1020" w:type="dxa"/>
            <w:vAlign w:val="bottom"/>
            <w:tcBorders>
              <w:bottom w:val="single" w:sz="8" w:color="CCEEFF"/>
            </w:tcBorders>
            <w:shd w:val="clear" w:color="auto" w:fill="CCEEFF"/>
          </w:tcPr>
          <w:p>
            <w:pPr>
              <w:spacing w:after="0"/>
              <w:rPr>
                <w:sz w:val="19"/>
                <w:szCs w:val="19"/>
                <w:color w:val="auto"/>
              </w:rPr>
            </w:pPr>
          </w:p>
        </w:tc>
        <w:tc>
          <w:tcPr>
            <w:tcW w:w="1040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6"/>
                <w:szCs w:val="16"/>
                <w:color w:val="auto"/>
              </w:rPr>
              <w:t>No. 1-3548).</w:t>
            </w:r>
          </w:p>
        </w:tc>
      </w:tr>
      <w:tr>
        <w:trPr>
          <w:trHeight w:val="224"/>
        </w:trPr>
        <w:tc>
          <w:tcPr>
            <w:tcW w:w="1020" w:type="dxa"/>
            <w:vAlign w:val="bottom"/>
          </w:tcPr>
          <w:p>
            <w:pPr>
              <w:ind w:left="40"/>
              <w:spacing w:after="0"/>
              <w:rPr>
                <w:sz w:val="20"/>
                <w:szCs w:val="20"/>
                <w:color w:val="auto"/>
              </w:rPr>
            </w:pPr>
            <w:r>
              <w:rPr>
                <w:rFonts w:ascii="Arial" w:cs="Arial" w:eastAsia="Arial" w:hAnsi="Arial"/>
                <w:sz w:val="16"/>
                <w:szCs w:val="16"/>
                <w:color w:val="auto"/>
              </w:rPr>
              <w:t>+10(o)2</w:t>
            </w:r>
          </w:p>
        </w:tc>
        <w:tc>
          <w:tcPr>
            <w:tcW w:w="10400" w:type="dxa"/>
            <w:vAlign w:val="bottom"/>
          </w:tcPr>
          <w:p>
            <w:pPr>
              <w:ind w:left="320"/>
              <w:spacing w:after="0"/>
              <w:rPr>
                <w:sz w:val="20"/>
                <w:szCs w:val="20"/>
                <w:color w:val="auto"/>
              </w:rPr>
            </w:pPr>
            <w:r>
              <w:rPr>
                <w:rFonts w:ascii="Arial" w:cs="Arial" w:eastAsia="Arial" w:hAnsi="Arial"/>
                <w:sz w:val="16"/>
                <w:szCs w:val="16"/>
                <w:color w:val="auto"/>
              </w:rPr>
              <w:t>—  ALLETE Non-Employee Director Compensation Deferral Plan II, as amended and restated, effective July 24, 2012.</w:t>
            </w:r>
          </w:p>
        </w:tc>
      </w:tr>
      <w:tr>
        <w:trPr>
          <w:trHeight w:val="33"/>
        </w:trPr>
        <w:tc>
          <w:tcPr>
            <w:tcW w:w="1020" w:type="dxa"/>
            <w:vAlign w:val="bottom"/>
          </w:tcPr>
          <w:p>
            <w:pPr>
              <w:spacing w:after="0"/>
              <w:rPr>
                <w:sz w:val="2"/>
                <w:szCs w:val="2"/>
                <w:color w:val="auto"/>
              </w:rPr>
            </w:pPr>
          </w:p>
        </w:tc>
        <w:tc>
          <w:tcPr>
            <w:tcW w:w="10400" w:type="dxa"/>
            <w:vAlign w:val="bottom"/>
          </w:tcPr>
          <w:p>
            <w:pPr>
              <w:spacing w:after="0"/>
              <w:rPr>
                <w:sz w:val="2"/>
                <w:szCs w:val="2"/>
                <w:color w:val="auto"/>
              </w:rPr>
            </w:pPr>
          </w:p>
        </w:tc>
      </w:tr>
      <w:tr>
        <w:trPr>
          <w:trHeight w:val="220"/>
        </w:trPr>
        <w:tc>
          <w:tcPr>
            <w:tcW w:w="1020" w:type="dxa"/>
            <w:vAlign w:val="bottom"/>
            <w:shd w:val="clear" w:color="auto" w:fill="CCEEFF"/>
          </w:tcPr>
          <w:p>
            <w:pPr>
              <w:ind w:left="40"/>
              <w:spacing w:after="0"/>
              <w:rPr>
                <w:sz w:val="20"/>
                <w:szCs w:val="20"/>
                <w:color w:val="auto"/>
              </w:rPr>
            </w:pPr>
            <w:r>
              <w:rPr>
                <w:rFonts w:ascii="Arial" w:cs="Arial" w:eastAsia="Arial" w:hAnsi="Arial"/>
                <w:sz w:val="16"/>
                <w:szCs w:val="16"/>
                <w:color w:val="auto"/>
              </w:rPr>
              <w:t>+*10(p)1</w:t>
            </w:r>
          </w:p>
        </w:tc>
        <w:tc>
          <w:tcPr>
            <w:tcW w:w="104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  ALLETE Director Compensation Trust Agreement, effective October 11, 2004 (filed as Exhibit 10(a) to the</w:t>
            </w:r>
          </w:p>
        </w:tc>
      </w:tr>
      <w:tr>
        <w:trPr>
          <w:trHeight w:val="219"/>
        </w:trPr>
        <w:tc>
          <w:tcPr>
            <w:tcW w:w="1020" w:type="dxa"/>
            <w:vAlign w:val="bottom"/>
            <w:tcBorders>
              <w:bottom w:val="single" w:sz="8" w:color="CCEEFF"/>
            </w:tcBorders>
            <w:shd w:val="clear" w:color="auto" w:fill="CCEEFF"/>
          </w:tcPr>
          <w:p>
            <w:pPr>
              <w:spacing w:after="0"/>
              <w:rPr>
                <w:sz w:val="19"/>
                <w:szCs w:val="19"/>
                <w:color w:val="auto"/>
              </w:rPr>
            </w:pPr>
          </w:p>
        </w:tc>
        <w:tc>
          <w:tcPr>
            <w:tcW w:w="1040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6"/>
                <w:szCs w:val="16"/>
                <w:color w:val="auto"/>
              </w:rPr>
              <w:t>September 30, 2004, Form 10-Q, File No. 1-3548).</w:t>
            </w:r>
          </w:p>
        </w:tc>
      </w:tr>
      <w:tr>
        <w:trPr>
          <w:trHeight w:val="224"/>
        </w:trPr>
        <w:tc>
          <w:tcPr>
            <w:tcW w:w="1020" w:type="dxa"/>
            <w:vAlign w:val="bottom"/>
          </w:tcPr>
          <w:p>
            <w:pPr>
              <w:ind w:left="40"/>
              <w:spacing w:after="0"/>
              <w:rPr>
                <w:sz w:val="20"/>
                <w:szCs w:val="20"/>
                <w:color w:val="auto"/>
              </w:rPr>
            </w:pPr>
            <w:r>
              <w:rPr>
                <w:rFonts w:ascii="Arial" w:cs="Arial" w:eastAsia="Arial" w:hAnsi="Arial"/>
                <w:sz w:val="16"/>
                <w:szCs w:val="16"/>
                <w:color w:val="auto"/>
              </w:rPr>
              <w:t>+10(p)2</w:t>
            </w:r>
          </w:p>
        </w:tc>
        <w:tc>
          <w:tcPr>
            <w:tcW w:w="10400" w:type="dxa"/>
            <w:vAlign w:val="bottom"/>
          </w:tcPr>
          <w:p>
            <w:pPr>
              <w:ind w:left="320"/>
              <w:spacing w:after="0"/>
              <w:rPr>
                <w:sz w:val="20"/>
                <w:szCs w:val="20"/>
                <w:color w:val="auto"/>
              </w:rPr>
            </w:pPr>
            <w:r>
              <w:rPr>
                <w:rFonts w:ascii="Arial" w:cs="Arial" w:eastAsia="Arial" w:hAnsi="Arial"/>
                <w:sz w:val="16"/>
                <w:szCs w:val="16"/>
                <w:color w:val="auto"/>
              </w:rPr>
              <w:t>—  ALLETE Director Compensation Trust Agreement, as amended and restated, effective December 15, 2012.</w:t>
            </w:r>
          </w:p>
        </w:tc>
      </w:tr>
      <w:tr>
        <w:trPr>
          <w:trHeight w:val="33"/>
        </w:trPr>
        <w:tc>
          <w:tcPr>
            <w:tcW w:w="1020" w:type="dxa"/>
            <w:vAlign w:val="bottom"/>
          </w:tcPr>
          <w:p>
            <w:pPr>
              <w:spacing w:after="0"/>
              <w:rPr>
                <w:sz w:val="2"/>
                <w:szCs w:val="2"/>
                <w:color w:val="auto"/>
              </w:rPr>
            </w:pPr>
          </w:p>
        </w:tc>
        <w:tc>
          <w:tcPr>
            <w:tcW w:w="10400" w:type="dxa"/>
            <w:vAlign w:val="bottom"/>
          </w:tcPr>
          <w:p>
            <w:pPr>
              <w:spacing w:after="0"/>
              <w:rPr>
                <w:sz w:val="2"/>
                <w:szCs w:val="2"/>
                <w:color w:val="auto"/>
              </w:rPr>
            </w:pPr>
          </w:p>
        </w:tc>
      </w:tr>
      <w:tr>
        <w:trPr>
          <w:trHeight w:val="220"/>
        </w:trPr>
        <w:tc>
          <w:tcPr>
            <w:tcW w:w="1020" w:type="dxa"/>
            <w:vAlign w:val="bottom"/>
            <w:shd w:val="clear" w:color="auto" w:fill="CCEEFF"/>
          </w:tcPr>
          <w:p>
            <w:pPr>
              <w:ind w:left="40"/>
              <w:spacing w:after="0"/>
              <w:rPr>
                <w:sz w:val="20"/>
                <w:szCs w:val="20"/>
                <w:color w:val="auto"/>
              </w:rPr>
            </w:pPr>
            <w:r>
              <w:rPr>
                <w:rFonts w:ascii="Arial" w:cs="Arial" w:eastAsia="Arial" w:hAnsi="Arial"/>
                <w:sz w:val="16"/>
                <w:szCs w:val="16"/>
                <w:color w:val="auto"/>
              </w:rPr>
              <w:t>+*10(q)</w:t>
            </w:r>
          </w:p>
        </w:tc>
        <w:tc>
          <w:tcPr>
            <w:tcW w:w="104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  ALLETE and Affiliated Companies Change in Control Severance Plan, as amended and restated, effective</w:t>
            </w:r>
          </w:p>
        </w:tc>
      </w:tr>
      <w:tr>
        <w:trPr>
          <w:trHeight w:val="219"/>
        </w:trPr>
        <w:tc>
          <w:tcPr>
            <w:tcW w:w="1020" w:type="dxa"/>
            <w:vAlign w:val="bottom"/>
            <w:tcBorders>
              <w:bottom w:val="single" w:sz="8" w:color="CCEEFF"/>
            </w:tcBorders>
            <w:shd w:val="clear" w:color="auto" w:fill="CCEEFF"/>
          </w:tcPr>
          <w:p>
            <w:pPr>
              <w:spacing w:after="0"/>
              <w:rPr>
                <w:sz w:val="19"/>
                <w:szCs w:val="19"/>
                <w:color w:val="auto"/>
              </w:rPr>
            </w:pPr>
          </w:p>
        </w:tc>
        <w:tc>
          <w:tcPr>
            <w:tcW w:w="1040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6"/>
                <w:szCs w:val="16"/>
                <w:color w:val="auto"/>
              </w:rPr>
              <w:t>January 19, 2011 (filed as Exhibit 10(q) to the 2010 Form 10-K, File No. 1-3548).</w:t>
            </w:r>
          </w:p>
        </w:tc>
      </w:tr>
      <w:tr>
        <w:trPr>
          <w:trHeight w:val="224"/>
        </w:trPr>
        <w:tc>
          <w:tcPr>
            <w:tcW w:w="1020" w:type="dxa"/>
            <w:vAlign w:val="bottom"/>
          </w:tcPr>
          <w:p>
            <w:pPr>
              <w:ind w:left="40"/>
              <w:spacing w:after="0"/>
              <w:rPr>
                <w:sz w:val="20"/>
                <w:szCs w:val="20"/>
                <w:color w:val="auto"/>
              </w:rPr>
            </w:pPr>
            <w:r>
              <w:rPr>
                <w:rFonts w:ascii="Arial" w:cs="Arial" w:eastAsia="Arial" w:hAnsi="Arial"/>
                <w:sz w:val="16"/>
                <w:szCs w:val="16"/>
                <w:color w:val="auto"/>
              </w:rPr>
              <w:t>12</w:t>
            </w:r>
          </w:p>
        </w:tc>
        <w:tc>
          <w:tcPr>
            <w:tcW w:w="10400" w:type="dxa"/>
            <w:vAlign w:val="bottom"/>
          </w:tcPr>
          <w:p>
            <w:pPr>
              <w:ind w:left="320"/>
              <w:spacing w:after="0"/>
              <w:rPr>
                <w:sz w:val="20"/>
                <w:szCs w:val="20"/>
                <w:color w:val="auto"/>
              </w:rPr>
            </w:pPr>
            <w:r>
              <w:rPr>
                <w:rFonts w:ascii="Arial" w:cs="Arial" w:eastAsia="Arial" w:hAnsi="Arial"/>
                <w:sz w:val="16"/>
                <w:szCs w:val="16"/>
                <w:color w:val="auto"/>
              </w:rPr>
              <w:t>—  Computation of Ratios of Earnings to Fixed Charges.</w:t>
            </w:r>
          </w:p>
        </w:tc>
      </w:tr>
      <w:tr>
        <w:trPr>
          <w:trHeight w:val="33"/>
        </w:trPr>
        <w:tc>
          <w:tcPr>
            <w:tcW w:w="1020" w:type="dxa"/>
            <w:vAlign w:val="bottom"/>
          </w:tcPr>
          <w:p>
            <w:pPr>
              <w:spacing w:after="0"/>
              <w:rPr>
                <w:sz w:val="2"/>
                <w:szCs w:val="2"/>
                <w:color w:val="auto"/>
              </w:rPr>
            </w:pPr>
          </w:p>
        </w:tc>
        <w:tc>
          <w:tcPr>
            <w:tcW w:w="10400" w:type="dxa"/>
            <w:vAlign w:val="bottom"/>
          </w:tcPr>
          <w:p>
            <w:pPr>
              <w:spacing w:after="0"/>
              <w:rPr>
                <w:sz w:val="2"/>
                <w:szCs w:val="2"/>
                <w:color w:val="auto"/>
              </w:rPr>
            </w:pPr>
          </w:p>
        </w:tc>
      </w:tr>
      <w:tr>
        <w:trPr>
          <w:trHeight w:val="237"/>
        </w:trPr>
        <w:tc>
          <w:tcPr>
            <w:tcW w:w="1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21</w:t>
            </w:r>
          </w:p>
        </w:tc>
        <w:tc>
          <w:tcPr>
            <w:tcW w:w="104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  Subsidiaries of the Registrant.</w:t>
            </w:r>
          </w:p>
        </w:tc>
      </w:tr>
      <w:tr>
        <w:trPr>
          <w:trHeight w:val="224"/>
        </w:trPr>
        <w:tc>
          <w:tcPr>
            <w:tcW w:w="1020" w:type="dxa"/>
            <w:vAlign w:val="bottom"/>
          </w:tcPr>
          <w:p>
            <w:pPr>
              <w:ind w:left="40"/>
              <w:spacing w:after="0"/>
              <w:rPr>
                <w:sz w:val="20"/>
                <w:szCs w:val="20"/>
                <w:color w:val="auto"/>
              </w:rPr>
            </w:pPr>
            <w:r>
              <w:rPr>
                <w:rFonts w:ascii="Arial" w:cs="Arial" w:eastAsia="Arial" w:hAnsi="Arial"/>
                <w:sz w:val="16"/>
                <w:szCs w:val="16"/>
                <w:color w:val="auto"/>
              </w:rPr>
              <w:t>23</w:t>
            </w:r>
          </w:p>
        </w:tc>
        <w:tc>
          <w:tcPr>
            <w:tcW w:w="10400" w:type="dxa"/>
            <w:vAlign w:val="bottom"/>
          </w:tcPr>
          <w:p>
            <w:pPr>
              <w:ind w:left="320"/>
              <w:spacing w:after="0"/>
              <w:rPr>
                <w:sz w:val="20"/>
                <w:szCs w:val="20"/>
                <w:color w:val="auto"/>
              </w:rPr>
            </w:pPr>
            <w:r>
              <w:rPr>
                <w:rFonts w:ascii="Arial" w:cs="Arial" w:eastAsia="Arial" w:hAnsi="Arial"/>
                <w:sz w:val="16"/>
                <w:szCs w:val="16"/>
                <w:color w:val="auto"/>
              </w:rPr>
              <w:t>—  Consent of Independent Registered Public Accounting Firm.</w:t>
            </w:r>
          </w:p>
        </w:tc>
      </w:tr>
      <w:tr>
        <w:trPr>
          <w:trHeight w:val="33"/>
        </w:trPr>
        <w:tc>
          <w:tcPr>
            <w:tcW w:w="1020" w:type="dxa"/>
            <w:vAlign w:val="bottom"/>
          </w:tcPr>
          <w:p>
            <w:pPr>
              <w:spacing w:after="0"/>
              <w:rPr>
                <w:sz w:val="2"/>
                <w:szCs w:val="2"/>
                <w:color w:val="auto"/>
              </w:rPr>
            </w:pPr>
          </w:p>
        </w:tc>
        <w:tc>
          <w:tcPr>
            <w:tcW w:w="10400" w:type="dxa"/>
            <w:vAlign w:val="bottom"/>
          </w:tcPr>
          <w:p>
            <w:pPr>
              <w:spacing w:after="0"/>
              <w:rPr>
                <w:sz w:val="2"/>
                <w:szCs w:val="2"/>
                <w:color w:val="auto"/>
              </w:rPr>
            </w:pPr>
          </w:p>
        </w:tc>
      </w:tr>
      <w:tr>
        <w:trPr>
          <w:trHeight w:val="237"/>
        </w:trPr>
        <w:tc>
          <w:tcPr>
            <w:tcW w:w="1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31(a)</w:t>
            </w:r>
          </w:p>
        </w:tc>
        <w:tc>
          <w:tcPr>
            <w:tcW w:w="104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  Rule 13a-14(a)/15d-14(a) Certification by the Chief Executive Officer Pursuant to Section 302 of the Sarbanes-Oxley Act of 2002.</w:t>
            </w:r>
          </w:p>
        </w:tc>
      </w:tr>
      <w:tr>
        <w:trPr>
          <w:trHeight w:val="224"/>
        </w:trPr>
        <w:tc>
          <w:tcPr>
            <w:tcW w:w="1020" w:type="dxa"/>
            <w:vAlign w:val="bottom"/>
          </w:tcPr>
          <w:p>
            <w:pPr>
              <w:ind w:left="40"/>
              <w:spacing w:after="0"/>
              <w:rPr>
                <w:sz w:val="20"/>
                <w:szCs w:val="20"/>
                <w:color w:val="auto"/>
              </w:rPr>
            </w:pPr>
            <w:r>
              <w:rPr>
                <w:rFonts w:ascii="Arial" w:cs="Arial" w:eastAsia="Arial" w:hAnsi="Arial"/>
                <w:sz w:val="16"/>
                <w:szCs w:val="16"/>
                <w:color w:val="auto"/>
              </w:rPr>
              <w:t>31(b)</w:t>
            </w:r>
          </w:p>
        </w:tc>
        <w:tc>
          <w:tcPr>
            <w:tcW w:w="10400" w:type="dxa"/>
            <w:vAlign w:val="bottom"/>
          </w:tcPr>
          <w:p>
            <w:pPr>
              <w:ind w:left="320"/>
              <w:spacing w:after="0"/>
              <w:rPr>
                <w:sz w:val="20"/>
                <w:szCs w:val="20"/>
                <w:color w:val="auto"/>
              </w:rPr>
            </w:pPr>
            <w:r>
              <w:rPr>
                <w:rFonts w:ascii="Arial" w:cs="Arial" w:eastAsia="Arial" w:hAnsi="Arial"/>
                <w:sz w:val="16"/>
                <w:szCs w:val="16"/>
                <w:color w:val="auto"/>
              </w:rPr>
              <w:t>—  Rule 13a-14(a)/15d-14(a) Certification by the Chief Financial Officer Pursuant to Section 302 of the Sarbanes-Oxley Act of 2002.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46620" cy="2914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30" w:lineRule="exact"/>
        <w:rPr>
          <w:sz w:val="20"/>
          <w:szCs w:val="20"/>
          <w:color w:val="auto"/>
        </w:rPr>
      </w:pPr>
    </w:p>
    <w:p>
      <w:pPr>
        <w:ind w:left="1660" w:right="340" w:hanging="1625"/>
        <w:spacing w:after="0" w:line="293" w:lineRule="auto"/>
        <w:tabs>
          <w:tab w:leader="none" w:pos="1349" w:val="left"/>
        </w:tabs>
        <w:numPr>
          <w:ilvl w:val="0"/>
          <w:numId w:val="24"/>
        </w:numPr>
        <w:rPr>
          <w:rFonts w:ascii="Arial" w:cs="Arial" w:eastAsia="Arial" w:hAnsi="Arial"/>
          <w:sz w:val="16"/>
          <w:szCs w:val="16"/>
          <w:color w:val="auto"/>
        </w:rPr>
      </w:pPr>
      <w:r>
        <w:rPr>
          <w:rFonts w:ascii="Arial" w:cs="Arial" w:eastAsia="Arial" w:hAnsi="Arial"/>
          <w:sz w:val="16"/>
          <w:szCs w:val="16"/>
          <w:color w:val="auto"/>
        </w:rPr>
        <w:t>— Section 1350 Certification of Annual Report by the Chief Executive Officer and Chief Financial Officer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158115</wp:posOffset>
            </wp:positionV>
            <wp:extent cx="7246620" cy="42037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420370"/>
                    </a:xfrm>
                    <a:prstGeom prst="rect">
                      <a:avLst/>
                    </a:prstGeom>
                    <a:noFill/>
                  </pic:spPr>
                </pic:pic>
              </a:graphicData>
            </a:graphic>
          </wp:anchor>
        </w:drawing>
      </w:r>
    </w:p>
    <w:p>
      <w:pPr>
        <w:spacing w:after="0" w:line="243" w:lineRule="exact"/>
        <w:rPr>
          <w:sz w:val="20"/>
          <w:szCs w:val="20"/>
          <w:color w:val="auto"/>
        </w:rPr>
      </w:pPr>
    </w:p>
    <w:p>
      <w:pPr>
        <w:ind w:left="1660" w:right="320" w:hanging="1625"/>
        <w:spacing w:after="0" w:line="330" w:lineRule="auto"/>
        <w:tabs>
          <w:tab w:leader="none" w:pos="1349" w:val="left"/>
        </w:tabs>
        <w:numPr>
          <w:ilvl w:val="0"/>
          <w:numId w:val="25"/>
        </w:numPr>
        <w:rPr>
          <w:rFonts w:ascii="Arial" w:cs="Arial" w:eastAsia="Arial" w:hAnsi="Arial"/>
          <w:sz w:val="14"/>
          <w:szCs w:val="14"/>
          <w:color w:val="auto"/>
        </w:rPr>
      </w:pPr>
      <w:r>
        <w:rPr>
          <w:rFonts w:ascii="Arial" w:cs="Arial" w:eastAsia="Arial" w:hAnsi="Arial"/>
          <w:sz w:val="14"/>
          <w:szCs w:val="14"/>
          <w:color w:val="auto"/>
        </w:rPr>
        <w:t xml:space="preserve">— ALLETE News Release dated February 15, 2013, announcing earnings for the year ended December 31, 2012. </w:t>
      </w:r>
      <w:r>
        <w:rPr>
          <w:rFonts w:ascii="Arial" w:cs="Arial" w:eastAsia="Arial" w:hAnsi="Arial"/>
          <w:sz w:val="14"/>
          <w:szCs w:val="14"/>
          <w:b w:val="1"/>
          <w:bCs w:val="1"/>
          <w:color w:val="auto"/>
        </w:rPr>
        <w:t>(This exhibit has been furnished</w:t>
      </w:r>
      <w:r>
        <w:rPr>
          <w:rFonts w:ascii="Arial" w:cs="Arial" w:eastAsia="Arial" w:hAnsi="Arial"/>
          <w:sz w:val="14"/>
          <w:szCs w:val="14"/>
          <w:color w:val="auto"/>
        </w:rPr>
        <w:t xml:space="preserve"> </w:t>
      </w:r>
      <w:r>
        <w:rPr>
          <w:rFonts w:ascii="Arial" w:cs="Arial" w:eastAsia="Arial" w:hAnsi="Arial"/>
          <w:sz w:val="14"/>
          <w:szCs w:val="14"/>
          <w:b w:val="1"/>
          <w:bCs w:val="1"/>
          <w:color w:val="auto"/>
        </w:rPr>
        <w:t>and shall not be deemed “filed” for purposes of Section 18 of the Securities Exchange Act of 1934, nor shall it be deemed incorporated by reference in any filing under the Securities Act of 1933, except as shall be expressly set forth by specific reference in such filing.)</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1000" w:type="dxa"/>
            <w:vAlign w:val="bottom"/>
          </w:tcPr>
          <w:p>
            <w:pPr>
              <w:ind w:left="40"/>
              <w:spacing w:after="0"/>
              <w:rPr>
                <w:sz w:val="20"/>
                <w:szCs w:val="20"/>
                <w:color w:val="auto"/>
              </w:rPr>
            </w:pPr>
            <w:r>
              <w:rPr>
                <w:rFonts w:ascii="Arial" w:cs="Arial" w:eastAsia="Arial" w:hAnsi="Arial"/>
                <w:sz w:val="16"/>
                <w:szCs w:val="16"/>
                <w:color w:val="auto"/>
              </w:rPr>
              <w:t>101.INS</w:t>
            </w:r>
          </w:p>
        </w:tc>
        <w:tc>
          <w:tcPr>
            <w:tcW w:w="580" w:type="dxa"/>
            <w:vAlign w:val="bottom"/>
          </w:tcPr>
          <w:p>
            <w:pPr>
              <w:ind w:left="340"/>
              <w:spacing w:after="0"/>
              <w:rPr>
                <w:sz w:val="20"/>
                <w:szCs w:val="20"/>
                <w:color w:val="auto"/>
              </w:rPr>
            </w:pPr>
            <w:r>
              <w:rPr>
                <w:rFonts w:ascii="Arial" w:cs="Arial" w:eastAsia="Arial" w:hAnsi="Arial"/>
                <w:sz w:val="16"/>
                <w:szCs w:val="16"/>
                <w:color w:val="auto"/>
              </w:rPr>
              <w:t>—</w:t>
            </w:r>
          </w:p>
        </w:tc>
        <w:tc>
          <w:tcPr>
            <w:tcW w:w="9840" w:type="dxa"/>
            <w:vAlign w:val="bottom"/>
          </w:tcPr>
          <w:p>
            <w:pPr>
              <w:ind w:left="80"/>
              <w:spacing w:after="0"/>
              <w:rPr>
                <w:sz w:val="20"/>
                <w:szCs w:val="20"/>
                <w:color w:val="auto"/>
              </w:rPr>
            </w:pPr>
            <w:r>
              <w:rPr>
                <w:rFonts w:ascii="Arial" w:cs="Arial" w:eastAsia="Arial" w:hAnsi="Arial"/>
                <w:sz w:val="16"/>
                <w:szCs w:val="16"/>
                <w:color w:val="auto"/>
              </w:rPr>
              <w:t>XBRL Instance</w:t>
            </w:r>
          </w:p>
        </w:tc>
      </w:tr>
      <w:tr>
        <w:trPr>
          <w:trHeight w:val="33"/>
        </w:trPr>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40" w:type="dxa"/>
            <w:vAlign w:val="bottom"/>
          </w:tcPr>
          <w:p>
            <w:pPr>
              <w:spacing w:after="0"/>
              <w:rPr>
                <w:sz w:val="2"/>
                <w:szCs w:val="2"/>
                <w:color w:val="auto"/>
              </w:rPr>
            </w:pPr>
          </w:p>
        </w:tc>
      </w:tr>
      <w:tr>
        <w:trPr>
          <w:trHeight w:val="237"/>
        </w:trPr>
        <w:tc>
          <w:tcPr>
            <w:tcW w:w="1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101.SCH</w:t>
            </w:r>
          </w:p>
        </w:tc>
        <w:tc>
          <w:tcPr>
            <w:tcW w:w="5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w:t>
            </w:r>
          </w:p>
        </w:tc>
        <w:tc>
          <w:tcPr>
            <w:tcW w:w="98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XBRL Schema</w:t>
            </w:r>
          </w:p>
        </w:tc>
      </w:tr>
      <w:tr>
        <w:trPr>
          <w:trHeight w:val="224"/>
        </w:trPr>
        <w:tc>
          <w:tcPr>
            <w:tcW w:w="1000" w:type="dxa"/>
            <w:vAlign w:val="bottom"/>
          </w:tcPr>
          <w:p>
            <w:pPr>
              <w:ind w:left="40"/>
              <w:spacing w:after="0"/>
              <w:rPr>
                <w:sz w:val="20"/>
                <w:szCs w:val="20"/>
                <w:color w:val="auto"/>
              </w:rPr>
            </w:pPr>
            <w:r>
              <w:rPr>
                <w:rFonts w:ascii="Arial" w:cs="Arial" w:eastAsia="Arial" w:hAnsi="Arial"/>
                <w:sz w:val="16"/>
                <w:szCs w:val="16"/>
                <w:color w:val="auto"/>
              </w:rPr>
              <w:t>101.CAL</w:t>
            </w:r>
          </w:p>
        </w:tc>
        <w:tc>
          <w:tcPr>
            <w:tcW w:w="580" w:type="dxa"/>
            <w:vAlign w:val="bottom"/>
          </w:tcPr>
          <w:p>
            <w:pPr>
              <w:ind w:left="340"/>
              <w:spacing w:after="0"/>
              <w:rPr>
                <w:sz w:val="20"/>
                <w:szCs w:val="20"/>
                <w:color w:val="auto"/>
              </w:rPr>
            </w:pPr>
            <w:r>
              <w:rPr>
                <w:rFonts w:ascii="Arial" w:cs="Arial" w:eastAsia="Arial" w:hAnsi="Arial"/>
                <w:sz w:val="16"/>
                <w:szCs w:val="16"/>
                <w:color w:val="auto"/>
              </w:rPr>
              <w:t>—</w:t>
            </w:r>
          </w:p>
        </w:tc>
        <w:tc>
          <w:tcPr>
            <w:tcW w:w="9840" w:type="dxa"/>
            <w:vAlign w:val="bottom"/>
          </w:tcPr>
          <w:p>
            <w:pPr>
              <w:ind w:left="80"/>
              <w:spacing w:after="0"/>
              <w:rPr>
                <w:sz w:val="20"/>
                <w:szCs w:val="20"/>
                <w:color w:val="auto"/>
              </w:rPr>
            </w:pPr>
            <w:r>
              <w:rPr>
                <w:rFonts w:ascii="Arial" w:cs="Arial" w:eastAsia="Arial" w:hAnsi="Arial"/>
                <w:sz w:val="16"/>
                <w:szCs w:val="16"/>
                <w:color w:val="auto"/>
              </w:rPr>
              <w:t>XBRL Calculation</w:t>
            </w:r>
          </w:p>
        </w:tc>
      </w:tr>
      <w:tr>
        <w:trPr>
          <w:trHeight w:val="33"/>
        </w:trPr>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40" w:type="dxa"/>
            <w:vAlign w:val="bottom"/>
          </w:tcPr>
          <w:p>
            <w:pPr>
              <w:spacing w:after="0"/>
              <w:rPr>
                <w:sz w:val="2"/>
                <w:szCs w:val="2"/>
                <w:color w:val="auto"/>
              </w:rPr>
            </w:pPr>
          </w:p>
        </w:tc>
      </w:tr>
      <w:tr>
        <w:trPr>
          <w:trHeight w:val="237"/>
        </w:trPr>
        <w:tc>
          <w:tcPr>
            <w:tcW w:w="1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101.DEF</w:t>
            </w:r>
          </w:p>
        </w:tc>
        <w:tc>
          <w:tcPr>
            <w:tcW w:w="5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w:t>
            </w:r>
          </w:p>
        </w:tc>
        <w:tc>
          <w:tcPr>
            <w:tcW w:w="98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XBRL Definition</w:t>
            </w:r>
          </w:p>
        </w:tc>
      </w:tr>
      <w:tr>
        <w:trPr>
          <w:trHeight w:val="224"/>
        </w:trPr>
        <w:tc>
          <w:tcPr>
            <w:tcW w:w="1000" w:type="dxa"/>
            <w:vAlign w:val="bottom"/>
          </w:tcPr>
          <w:p>
            <w:pPr>
              <w:ind w:left="40"/>
              <w:spacing w:after="0"/>
              <w:rPr>
                <w:sz w:val="20"/>
                <w:szCs w:val="20"/>
                <w:color w:val="auto"/>
              </w:rPr>
            </w:pPr>
            <w:r>
              <w:rPr>
                <w:rFonts w:ascii="Arial" w:cs="Arial" w:eastAsia="Arial" w:hAnsi="Arial"/>
                <w:sz w:val="16"/>
                <w:szCs w:val="16"/>
                <w:color w:val="auto"/>
              </w:rPr>
              <w:t>101.LAB</w:t>
            </w:r>
          </w:p>
        </w:tc>
        <w:tc>
          <w:tcPr>
            <w:tcW w:w="580" w:type="dxa"/>
            <w:vAlign w:val="bottom"/>
          </w:tcPr>
          <w:p>
            <w:pPr>
              <w:ind w:left="340"/>
              <w:spacing w:after="0"/>
              <w:rPr>
                <w:sz w:val="20"/>
                <w:szCs w:val="20"/>
                <w:color w:val="auto"/>
              </w:rPr>
            </w:pPr>
            <w:r>
              <w:rPr>
                <w:rFonts w:ascii="Arial" w:cs="Arial" w:eastAsia="Arial" w:hAnsi="Arial"/>
                <w:sz w:val="16"/>
                <w:szCs w:val="16"/>
                <w:color w:val="auto"/>
              </w:rPr>
              <w:t>—</w:t>
            </w:r>
          </w:p>
        </w:tc>
        <w:tc>
          <w:tcPr>
            <w:tcW w:w="9840" w:type="dxa"/>
            <w:vAlign w:val="bottom"/>
          </w:tcPr>
          <w:p>
            <w:pPr>
              <w:ind w:left="80"/>
              <w:spacing w:after="0"/>
              <w:rPr>
                <w:sz w:val="20"/>
                <w:szCs w:val="20"/>
                <w:color w:val="auto"/>
              </w:rPr>
            </w:pPr>
            <w:r>
              <w:rPr>
                <w:rFonts w:ascii="Arial" w:cs="Arial" w:eastAsia="Arial" w:hAnsi="Arial"/>
                <w:sz w:val="16"/>
                <w:szCs w:val="16"/>
                <w:color w:val="auto"/>
              </w:rPr>
              <w:t>XBRL Label</w:t>
            </w:r>
          </w:p>
        </w:tc>
      </w:tr>
      <w:tr>
        <w:trPr>
          <w:trHeight w:val="33"/>
        </w:trPr>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40" w:type="dxa"/>
            <w:vAlign w:val="bottom"/>
          </w:tcPr>
          <w:p>
            <w:pPr>
              <w:spacing w:after="0"/>
              <w:rPr>
                <w:sz w:val="2"/>
                <w:szCs w:val="2"/>
                <w:color w:val="auto"/>
              </w:rPr>
            </w:pPr>
          </w:p>
        </w:tc>
      </w:tr>
      <w:tr>
        <w:trPr>
          <w:trHeight w:val="224"/>
        </w:trPr>
        <w:tc>
          <w:tcPr>
            <w:tcW w:w="1000" w:type="dxa"/>
            <w:vAlign w:val="bottom"/>
            <w:shd w:val="clear" w:color="auto" w:fill="CCEEFF"/>
          </w:tcPr>
          <w:p>
            <w:pPr>
              <w:ind w:left="40"/>
              <w:spacing w:after="0"/>
              <w:rPr>
                <w:sz w:val="20"/>
                <w:szCs w:val="20"/>
                <w:color w:val="auto"/>
              </w:rPr>
            </w:pPr>
            <w:r>
              <w:rPr>
                <w:rFonts w:ascii="Arial" w:cs="Arial" w:eastAsia="Arial" w:hAnsi="Arial"/>
                <w:sz w:val="16"/>
                <w:szCs w:val="16"/>
                <w:color w:val="auto"/>
              </w:rPr>
              <w:t>101.PRE</w:t>
            </w:r>
          </w:p>
        </w:tc>
        <w:tc>
          <w:tcPr>
            <w:tcW w:w="5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w:t>
            </w:r>
          </w:p>
        </w:tc>
        <w:tc>
          <w:tcPr>
            <w:tcW w:w="9840" w:type="dxa"/>
            <w:vAlign w:val="bottom"/>
            <w:shd w:val="clear" w:color="auto" w:fill="CCEEFF"/>
          </w:tcPr>
          <w:p>
            <w:pPr>
              <w:ind w:left="80"/>
              <w:spacing w:after="0"/>
              <w:rPr>
                <w:sz w:val="20"/>
                <w:szCs w:val="20"/>
                <w:color w:val="auto"/>
              </w:rPr>
            </w:pPr>
            <w:r>
              <w:rPr>
                <w:rFonts w:ascii="Arial" w:cs="Arial" w:eastAsia="Arial" w:hAnsi="Arial"/>
                <w:sz w:val="16"/>
                <w:szCs w:val="16"/>
                <w:color w:val="auto"/>
              </w:rPr>
              <w:t>XBRL Presentation</w:t>
            </w:r>
          </w:p>
        </w:tc>
      </w:tr>
      <w:tr>
        <w:trPr>
          <w:trHeight w:val="33"/>
        </w:trPr>
        <w:tc>
          <w:tcPr>
            <w:tcW w:w="100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9840" w:type="dxa"/>
            <w:vAlign w:val="bottom"/>
            <w:shd w:val="clear" w:color="auto" w:fill="CCEEFF"/>
          </w:tcPr>
          <w:p>
            <w:pPr>
              <w:spacing w:after="0"/>
              <w:rPr>
                <w:sz w:val="2"/>
                <w:szCs w:val="2"/>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2012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499" w:right="239" w:bottom="1440" w:gutter="0" w:footer="0" w:header="0"/>
        </w:sectPr>
      </w:pPr>
    </w:p>
    <w:bookmarkStart w:id="60" w:name="page61"/>
    <w:bookmarkEnd w:id="60"/>
    <w:p>
      <w:pPr>
        <w:jc w:val="both"/>
        <w:spacing w:after="0" w:line="272" w:lineRule="auto"/>
        <w:rPr>
          <w:sz w:val="20"/>
          <w:szCs w:val="20"/>
          <w:color w:val="auto"/>
        </w:rPr>
      </w:pPr>
      <w:r>
        <w:rPr>
          <w:rFonts w:ascii="Arial" w:cs="Arial" w:eastAsia="Arial" w:hAnsi="Arial"/>
          <w:sz w:val="17"/>
          <w:szCs w:val="17"/>
          <w:color w:val="auto"/>
        </w:rPr>
        <w:t>ALLETE or its subsidiaries are obligors under various long-term debt instruments, including but not limited to, (1) $38,995,000 original principal amount, of City of Cohasset, Minnesota, Variable Rate Demand Revenue Refunding Bonds (ALLETE, formerly Minnesota Power &amp; Light Company, Project) Series 1997A, Series 1997B and Series 1997C ($27,455,000 remaining principal balance) that, pursuant to Regulation S-K, Item 601(b)(4)(iii), (2) $6,370,000 of City of Superior, Wisconsin, Collateralized Utility Revenue Refunding Bonds Series 2007A and $6,130,000 of City of Superior, Wisconsin, Collateralized Utility Revenue Bonds Series 2007B; and (3) other long-term debt instruments that, pursuant to Regulation S-K, Item 601(b)(4)(iii), are not filed as exhibits because the total amount of debt authorized under each of these omitted instruments does not exceed 10 percent of our total consolidated assets. We will furnish copies of these instruments to the SEC upon its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207645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3" w:lineRule="exact"/>
        <w:rPr>
          <w:sz w:val="20"/>
          <w:szCs w:val="20"/>
          <w:color w:val="auto"/>
        </w:rPr>
      </w:pPr>
    </w:p>
    <w:p>
      <w:pPr>
        <w:ind w:left="620" w:hanging="585"/>
        <w:spacing w:after="0"/>
        <w:tabs>
          <w:tab w:leader="none" w:pos="620" w:val="left"/>
        </w:tabs>
        <w:numPr>
          <w:ilvl w:val="0"/>
          <w:numId w:val="26"/>
        </w:numPr>
        <w:rPr>
          <w:rFonts w:ascii="Arial" w:cs="Arial" w:eastAsia="Arial" w:hAnsi="Arial"/>
          <w:sz w:val="18"/>
          <w:szCs w:val="18"/>
          <w:i w:val="1"/>
          <w:iCs w:val="1"/>
          <w:color w:val="auto"/>
        </w:rPr>
      </w:pPr>
      <w:r>
        <w:rPr>
          <w:rFonts w:ascii="Arial" w:cs="Arial" w:eastAsia="Arial" w:hAnsi="Arial"/>
          <w:sz w:val="18"/>
          <w:szCs w:val="18"/>
          <w:i w:val="1"/>
          <w:iCs w:val="1"/>
          <w:color w:val="auto"/>
        </w:rPr>
        <w:t>Incorporated herein by reference as indicated.</w:t>
      </w:r>
    </w:p>
    <w:p>
      <w:pPr>
        <w:spacing w:after="0" w:line="63" w:lineRule="exact"/>
        <w:rPr>
          <w:sz w:val="20"/>
          <w:szCs w:val="20"/>
          <w:color w:val="auto"/>
        </w:rPr>
      </w:pPr>
    </w:p>
    <w:p>
      <w:pPr>
        <w:ind w:left="620" w:hanging="585"/>
        <w:spacing w:after="0"/>
        <w:tabs>
          <w:tab w:leader="none" w:pos="620" w:val="left"/>
        </w:tabs>
        <w:numPr>
          <w:ilvl w:val="0"/>
          <w:numId w:val="27"/>
        </w:numPr>
        <w:rPr>
          <w:rFonts w:ascii="Arial" w:cs="Arial" w:eastAsia="Arial" w:hAnsi="Arial"/>
          <w:sz w:val="18"/>
          <w:szCs w:val="18"/>
          <w:i w:val="1"/>
          <w:iCs w:val="1"/>
          <w:color w:val="auto"/>
        </w:rPr>
      </w:pPr>
      <w:r>
        <w:rPr>
          <w:rFonts w:ascii="Arial" w:cs="Arial" w:eastAsia="Arial" w:hAnsi="Arial"/>
          <w:sz w:val="18"/>
          <w:szCs w:val="18"/>
          <w:i w:val="1"/>
          <w:iCs w:val="1"/>
          <w:color w:val="auto"/>
        </w:rPr>
        <w:t>Management contract or compensatory plan or arrangement pursuant to Item 15(b).</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ALLETE 2012 Form 10-K</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368" w:right="239" w:bottom="1440" w:gutter="0" w:footer="0" w:header="0"/>
        </w:sectPr>
      </w:pPr>
    </w:p>
    <w:bookmarkStart w:id="61" w:name="page62"/>
    <w:bookmarkEnd w:id="61"/>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29" w:lineRule="exact"/>
        <w:rPr>
          <w:sz w:val="20"/>
          <w:szCs w:val="20"/>
          <w:color w:val="auto"/>
        </w:rPr>
      </w:pPr>
    </w:p>
    <w:p>
      <w:pPr>
        <w:ind w:left="7900"/>
        <w:spacing w:after="0"/>
        <w:rPr>
          <w:sz w:val="20"/>
          <w:szCs w:val="20"/>
          <w:color w:val="auto"/>
        </w:rPr>
      </w:pPr>
      <w:r>
        <w:rPr>
          <w:rFonts w:ascii="Arial" w:cs="Arial" w:eastAsia="Arial" w:hAnsi="Arial"/>
          <w:sz w:val="18"/>
          <w:szCs w:val="18"/>
          <w:b w:val="1"/>
          <w:bCs w:val="1"/>
          <w:color w:val="auto"/>
        </w:rPr>
        <w:t>ALLETE, Inc.</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0"/>
        <w:spacing w:after="0"/>
        <w:tabs>
          <w:tab w:leader="none" w:pos="820" w:val="left"/>
          <w:tab w:leader="none" w:pos="5240" w:val="left"/>
          <w:tab w:leader="none" w:pos="778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February 15, 2013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Alan R. Hodnik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31750</wp:posOffset>
            </wp:positionV>
            <wp:extent cx="376491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764915" cy="8890"/>
                    </a:xfrm>
                    <a:prstGeom prst="rect">
                      <a:avLst/>
                    </a:prstGeom>
                    <a:noFill/>
                  </pic:spPr>
                </pic:pic>
              </a:graphicData>
            </a:graphic>
          </wp:anchor>
        </w:drawing>
      </w:r>
    </w:p>
    <w:p>
      <w:pPr>
        <w:spacing w:after="0" w:line="57" w:lineRule="exact"/>
        <w:rPr>
          <w:sz w:val="20"/>
          <w:szCs w:val="20"/>
          <w:color w:val="auto"/>
        </w:rPr>
      </w:pPr>
    </w:p>
    <w:p>
      <w:pPr>
        <w:jc w:val="center"/>
        <w:ind w:left="5500"/>
        <w:spacing w:after="0"/>
        <w:rPr>
          <w:sz w:val="20"/>
          <w:szCs w:val="20"/>
          <w:color w:val="auto"/>
        </w:rPr>
      </w:pPr>
      <w:r>
        <w:rPr>
          <w:rFonts w:ascii="Arial" w:cs="Arial" w:eastAsia="Arial" w:hAnsi="Arial"/>
          <w:sz w:val="18"/>
          <w:szCs w:val="18"/>
          <w:color w:val="auto"/>
        </w:rPr>
        <w:t>Alan R. Hodnik</w:t>
      </w:r>
    </w:p>
    <w:p>
      <w:pPr>
        <w:spacing w:after="0" w:line="63" w:lineRule="exact"/>
        <w:rPr>
          <w:sz w:val="20"/>
          <w:szCs w:val="20"/>
          <w:color w:val="auto"/>
        </w:rPr>
      </w:pPr>
    </w:p>
    <w:p>
      <w:pPr>
        <w:jc w:val="center"/>
        <w:ind w:left="5500"/>
        <w:spacing w:after="0"/>
        <w:rPr>
          <w:sz w:val="20"/>
          <w:szCs w:val="20"/>
          <w:color w:val="auto"/>
        </w:rPr>
      </w:pPr>
      <w:r>
        <w:rPr>
          <w:rFonts w:ascii="Arial" w:cs="Arial" w:eastAsia="Arial" w:hAnsi="Arial"/>
          <w:sz w:val="18"/>
          <w:szCs w:val="18"/>
          <w:color w:val="auto"/>
        </w:rPr>
        <w:t>Chairman, President, Chief Executive Officer</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80" w:type="dxa"/>
            <w:vAlign w:val="bottom"/>
          </w:tcPr>
          <w:p>
            <w:pPr>
              <w:jc w:val="center"/>
              <w:spacing w:after="0"/>
              <w:rPr>
                <w:sz w:val="20"/>
                <w:szCs w:val="20"/>
                <w:color w:val="auto"/>
              </w:rPr>
            </w:pPr>
            <w:r>
              <w:rPr>
                <w:rFonts w:ascii="Arial" w:cs="Arial" w:eastAsia="Arial" w:hAnsi="Arial"/>
                <w:sz w:val="18"/>
                <w:szCs w:val="18"/>
                <w:b w:val="1"/>
                <w:bCs w:val="1"/>
                <w:color w:val="auto"/>
                <w:w w:val="89"/>
              </w:rPr>
              <w:t>Signature</w:t>
            </w:r>
          </w:p>
        </w:tc>
        <w:tc>
          <w:tcPr>
            <w:tcW w:w="5440" w:type="dxa"/>
            <w:vAlign w:val="bottom"/>
          </w:tcPr>
          <w:p>
            <w:pPr>
              <w:jc w:val="center"/>
              <w:ind w:left="70"/>
              <w:spacing w:after="0"/>
              <w:rPr>
                <w:sz w:val="20"/>
                <w:szCs w:val="20"/>
                <w:color w:val="auto"/>
              </w:rPr>
            </w:pPr>
            <w:r>
              <w:rPr>
                <w:rFonts w:ascii="Arial" w:cs="Arial" w:eastAsia="Arial" w:hAnsi="Arial"/>
                <w:sz w:val="18"/>
                <w:szCs w:val="18"/>
                <w:b w:val="1"/>
                <w:bCs w:val="1"/>
                <w:color w:val="auto"/>
                <w:w w:val="97"/>
              </w:rPr>
              <w:t>Title</w:t>
            </w:r>
          </w:p>
        </w:tc>
        <w:tc>
          <w:tcPr>
            <w:tcW w:w="2200" w:type="dxa"/>
            <w:vAlign w:val="bottom"/>
          </w:tcPr>
          <w:p>
            <w:pPr>
              <w:jc w:val="center"/>
              <w:ind w:left="70"/>
              <w:spacing w:after="0"/>
              <w:rPr>
                <w:sz w:val="20"/>
                <w:szCs w:val="20"/>
                <w:color w:val="auto"/>
              </w:rPr>
            </w:pPr>
            <w:r>
              <w:rPr>
                <w:rFonts w:ascii="Arial" w:cs="Arial" w:eastAsia="Arial" w:hAnsi="Arial"/>
                <w:sz w:val="18"/>
                <w:szCs w:val="18"/>
                <w:b w:val="1"/>
                <w:bCs w:val="1"/>
                <w:color w:val="auto"/>
                <w:w w:val="92"/>
              </w:rPr>
              <w:t>Date</w:t>
            </w:r>
          </w:p>
        </w:tc>
        <w:tc>
          <w:tcPr>
            <w:tcW w:w="0" w:type="dxa"/>
            <w:vAlign w:val="bottom"/>
          </w:tcPr>
          <w:p>
            <w:pPr>
              <w:spacing w:after="0"/>
              <w:rPr>
                <w:sz w:val="1"/>
                <w:szCs w:val="1"/>
                <w:color w:val="auto"/>
              </w:rPr>
            </w:pPr>
          </w:p>
        </w:tc>
      </w:tr>
      <w:tr>
        <w:trPr>
          <w:trHeight w:val="27"/>
        </w:trPr>
        <w:tc>
          <w:tcPr>
            <w:tcW w:w="3780" w:type="dxa"/>
            <w:vAlign w:val="bottom"/>
            <w:tcBorders>
              <w:bottom w:val="single" w:sz="8" w:color="auto"/>
            </w:tcBorders>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07"/>
        </w:trPr>
        <w:tc>
          <w:tcPr>
            <w:tcW w:w="3780" w:type="dxa"/>
            <w:vAlign w:val="bottom"/>
          </w:tcPr>
          <w:p>
            <w:pPr>
              <w:jc w:val="center"/>
              <w:spacing w:after="0"/>
              <w:rPr>
                <w:sz w:val="20"/>
                <w:szCs w:val="20"/>
                <w:color w:val="auto"/>
              </w:rPr>
            </w:pPr>
            <w:r>
              <w:rPr>
                <w:rFonts w:ascii="Arial" w:cs="Arial" w:eastAsia="Arial" w:hAnsi="Arial"/>
                <w:sz w:val="18"/>
                <w:szCs w:val="18"/>
                <w:color w:val="auto"/>
                <w:w w:val="94"/>
              </w:rPr>
              <w:t>/s/ Alan R. Hodnik</w:t>
            </w:r>
          </w:p>
        </w:tc>
        <w:tc>
          <w:tcPr>
            <w:tcW w:w="5440" w:type="dxa"/>
            <w:vAlign w:val="bottom"/>
          </w:tcPr>
          <w:p>
            <w:pPr>
              <w:jc w:val="center"/>
              <w:ind w:left="70"/>
              <w:spacing w:after="0"/>
              <w:rPr>
                <w:sz w:val="20"/>
                <w:szCs w:val="20"/>
                <w:color w:val="auto"/>
              </w:rPr>
            </w:pPr>
            <w:r>
              <w:rPr>
                <w:rFonts w:ascii="Arial" w:cs="Arial" w:eastAsia="Arial" w:hAnsi="Arial"/>
                <w:sz w:val="18"/>
                <w:szCs w:val="18"/>
                <w:color w:val="auto"/>
                <w:w w:val="92"/>
              </w:rPr>
              <w:t>Chairman, President, Chief Executive Officer and Director</w:t>
            </w:r>
          </w:p>
        </w:tc>
        <w:tc>
          <w:tcPr>
            <w:tcW w:w="2200" w:type="dxa"/>
            <w:vAlign w:val="bottom"/>
          </w:tcPr>
          <w:p>
            <w:pPr>
              <w:jc w:val="center"/>
              <w:ind w:left="70"/>
              <w:spacing w:after="0"/>
              <w:rPr>
                <w:sz w:val="20"/>
                <w:szCs w:val="20"/>
                <w:color w:val="auto"/>
              </w:rPr>
            </w:pPr>
            <w:r>
              <w:rPr>
                <w:rFonts w:ascii="Arial" w:cs="Arial" w:eastAsia="Arial" w:hAnsi="Arial"/>
                <w:sz w:val="18"/>
                <w:szCs w:val="18"/>
                <w:color w:val="auto"/>
                <w:w w:val="89"/>
              </w:rPr>
              <w:t>February 15, 2013</w:t>
            </w:r>
          </w:p>
        </w:tc>
        <w:tc>
          <w:tcPr>
            <w:tcW w:w="0" w:type="dxa"/>
            <w:vAlign w:val="bottom"/>
          </w:tcPr>
          <w:p>
            <w:pPr>
              <w:spacing w:after="0"/>
              <w:rPr>
                <w:sz w:val="1"/>
                <w:szCs w:val="1"/>
                <w:color w:val="auto"/>
              </w:rPr>
            </w:pPr>
          </w:p>
        </w:tc>
      </w:tr>
      <w:tr>
        <w:trPr>
          <w:trHeight w:val="27"/>
        </w:trPr>
        <w:tc>
          <w:tcPr>
            <w:tcW w:w="3780" w:type="dxa"/>
            <w:vAlign w:val="bottom"/>
            <w:tcBorders>
              <w:bottom w:val="single" w:sz="8" w:color="auto"/>
            </w:tcBorders>
          </w:tcPr>
          <w:p>
            <w:pPr>
              <w:spacing w:after="0"/>
              <w:rPr>
                <w:sz w:val="2"/>
                <w:szCs w:val="2"/>
                <w:color w:val="auto"/>
              </w:rPr>
            </w:pPr>
          </w:p>
        </w:tc>
        <w:tc>
          <w:tcPr>
            <w:tcW w:w="5440" w:type="dxa"/>
            <w:vAlign w:val="bottom"/>
            <w:vMerge w:val="restart"/>
          </w:tcPr>
          <w:p>
            <w:pPr>
              <w:jc w:val="center"/>
              <w:ind w:left="70"/>
              <w:spacing w:after="0"/>
              <w:rPr>
                <w:sz w:val="20"/>
                <w:szCs w:val="20"/>
                <w:color w:val="auto"/>
              </w:rPr>
            </w:pPr>
            <w:r>
              <w:rPr>
                <w:rFonts w:ascii="Arial" w:cs="Arial" w:eastAsia="Arial" w:hAnsi="Arial"/>
                <w:sz w:val="18"/>
                <w:szCs w:val="18"/>
                <w:color w:val="auto"/>
                <w:w w:val="93"/>
              </w:rPr>
              <w:t>(Principal Executive Officer)</w:t>
            </w:r>
          </w:p>
        </w:tc>
        <w:tc>
          <w:tcPr>
            <w:tcW w:w="2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80" w:type="dxa"/>
            <w:vAlign w:val="bottom"/>
          </w:tcPr>
          <w:p>
            <w:pPr>
              <w:jc w:val="center"/>
              <w:spacing w:after="0"/>
              <w:rPr>
                <w:sz w:val="20"/>
                <w:szCs w:val="20"/>
                <w:color w:val="auto"/>
              </w:rPr>
            </w:pPr>
            <w:r>
              <w:rPr>
                <w:rFonts w:ascii="Arial" w:cs="Arial" w:eastAsia="Arial" w:hAnsi="Arial"/>
                <w:sz w:val="18"/>
                <w:szCs w:val="18"/>
                <w:color w:val="auto"/>
                <w:w w:val="94"/>
              </w:rPr>
              <w:t>Alan R. Hodnik</w:t>
            </w:r>
          </w:p>
        </w:tc>
        <w:tc>
          <w:tcPr>
            <w:tcW w:w="5440" w:type="dxa"/>
            <w:vAlign w:val="bottom"/>
            <w:vMerge w:val="continue"/>
          </w:tcPr>
          <w:p>
            <w:pPr>
              <w:spacing w:after="0"/>
              <w:rPr>
                <w:sz w:val="20"/>
                <w:szCs w:val="20"/>
                <w:color w:val="auto"/>
              </w:rPr>
            </w:pPr>
          </w:p>
        </w:tc>
        <w:tc>
          <w:tcPr>
            <w:tcW w:w="2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3780" w:type="dxa"/>
            <w:vAlign w:val="bottom"/>
          </w:tcPr>
          <w:p>
            <w:pPr>
              <w:jc w:val="center"/>
              <w:spacing w:after="0"/>
              <w:rPr>
                <w:sz w:val="20"/>
                <w:szCs w:val="20"/>
                <w:color w:val="auto"/>
              </w:rPr>
            </w:pPr>
            <w:r>
              <w:rPr>
                <w:rFonts w:ascii="Arial" w:cs="Arial" w:eastAsia="Arial" w:hAnsi="Arial"/>
                <w:sz w:val="18"/>
                <w:szCs w:val="18"/>
                <w:color w:val="auto"/>
                <w:w w:val="92"/>
              </w:rPr>
              <w:t>/s/ Mark A. Schober</w:t>
            </w:r>
          </w:p>
        </w:tc>
        <w:tc>
          <w:tcPr>
            <w:tcW w:w="5440" w:type="dxa"/>
            <w:vAlign w:val="bottom"/>
          </w:tcPr>
          <w:p>
            <w:pPr>
              <w:jc w:val="center"/>
              <w:ind w:left="70"/>
              <w:spacing w:after="0"/>
              <w:rPr>
                <w:sz w:val="20"/>
                <w:szCs w:val="20"/>
                <w:color w:val="auto"/>
              </w:rPr>
            </w:pPr>
            <w:r>
              <w:rPr>
                <w:rFonts w:ascii="Arial" w:cs="Arial" w:eastAsia="Arial" w:hAnsi="Arial"/>
                <w:sz w:val="18"/>
                <w:szCs w:val="18"/>
                <w:color w:val="auto"/>
                <w:w w:val="92"/>
              </w:rPr>
              <w:t>Senior Vice President and Chief Financial Officer</w:t>
            </w:r>
          </w:p>
        </w:tc>
        <w:tc>
          <w:tcPr>
            <w:tcW w:w="2200" w:type="dxa"/>
            <w:vAlign w:val="bottom"/>
          </w:tcPr>
          <w:p>
            <w:pPr>
              <w:jc w:val="center"/>
              <w:ind w:left="70"/>
              <w:spacing w:after="0"/>
              <w:rPr>
                <w:sz w:val="20"/>
                <w:szCs w:val="20"/>
                <w:color w:val="auto"/>
              </w:rPr>
            </w:pPr>
            <w:r>
              <w:rPr>
                <w:rFonts w:ascii="Arial" w:cs="Arial" w:eastAsia="Arial" w:hAnsi="Arial"/>
                <w:sz w:val="18"/>
                <w:szCs w:val="18"/>
                <w:color w:val="auto"/>
                <w:w w:val="89"/>
              </w:rPr>
              <w:t>February 15, 2013</w:t>
            </w:r>
          </w:p>
        </w:tc>
        <w:tc>
          <w:tcPr>
            <w:tcW w:w="0" w:type="dxa"/>
            <w:vAlign w:val="bottom"/>
          </w:tcPr>
          <w:p>
            <w:pPr>
              <w:spacing w:after="0"/>
              <w:rPr>
                <w:sz w:val="1"/>
                <w:szCs w:val="1"/>
                <w:color w:val="auto"/>
              </w:rPr>
            </w:pPr>
          </w:p>
        </w:tc>
      </w:tr>
      <w:tr>
        <w:trPr>
          <w:trHeight w:val="27"/>
        </w:trPr>
        <w:tc>
          <w:tcPr>
            <w:tcW w:w="3780" w:type="dxa"/>
            <w:vAlign w:val="bottom"/>
            <w:tcBorders>
              <w:bottom w:val="single" w:sz="8" w:color="auto"/>
            </w:tcBorders>
          </w:tcPr>
          <w:p>
            <w:pPr>
              <w:spacing w:after="0"/>
              <w:rPr>
                <w:sz w:val="2"/>
                <w:szCs w:val="2"/>
                <w:color w:val="auto"/>
              </w:rPr>
            </w:pPr>
          </w:p>
        </w:tc>
        <w:tc>
          <w:tcPr>
            <w:tcW w:w="5440" w:type="dxa"/>
            <w:vAlign w:val="bottom"/>
            <w:vMerge w:val="restart"/>
          </w:tcPr>
          <w:p>
            <w:pPr>
              <w:jc w:val="center"/>
              <w:ind w:left="70"/>
              <w:spacing w:after="0"/>
              <w:rPr>
                <w:sz w:val="20"/>
                <w:szCs w:val="20"/>
                <w:color w:val="auto"/>
              </w:rPr>
            </w:pPr>
            <w:r>
              <w:rPr>
                <w:rFonts w:ascii="Arial" w:cs="Arial" w:eastAsia="Arial" w:hAnsi="Arial"/>
                <w:sz w:val="18"/>
                <w:szCs w:val="18"/>
                <w:color w:val="auto"/>
                <w:w w:val="94"/>
              </w:rPr>
              <w:t>(Principal Financial Officer)</w:t>
            </w:r>
          </w:p>
        </w:tc>
        <w:tc>
          <w:tcPr>
            <w:tcW w:w="2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80" w:type="dxa"/>
            <w:vAlign w:val="bottom"/>
          </w:tcPr>
          <w:p>
            <w:pPr>
              <w:jc w:val="center"/>
              <w:spacing w:after="0"/>
              <w:rPr>
                <w:sz w:val="20"/>
                <w:szCs w:val="20"/>
                <w:color w:val="auto"/>
              </w:rPr>
            </w:pPr>
            <w:r>
              <w:rPr>
                <w:rFonts w:ascii="Arial" w:cs="Arial" w:eastAsia="Arial" w:hAnsi="Arial"/>
                <w:sz w:val="18"/>
                <w:szCs w:val="18"/>
                <w:color w:val="auto"/>
                <w:w w:val="93"/>
              </w:rPr>
              <w:t>Mark A. Schober</w:t>
            </w:r>
          </w:p>
        </w:tc>
        <w:tc>
          <w:tcPr>
            <w:tcW w:w="5440" w:type="dxa"/>
            <w:vAlign w:val="bottom"/>
            <w:vMerge w:val="continue"/>
          </w:tcPr>
          <w:p>
            <w:pPr>
              <w:spacing w:after="0"/>
              <w:rPr>
                <w:sz w:val="20"/>
                <w:szCs w:val="20"/>
                <w:color w:val="auto"/>
              </w:rPr>
            </w:pPr>
          </w:p>
        </w:tc>
        <w:tc>
          <w:tcPr>
            <w:tcW w:w="2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3780" w:type="dxa"/>
            <w:vAlign w:val="bottom"/>
          </w:tcPr>
          <w:p>
            <w:pPr>
              <w:jc w:val="center"/>
              <w:spacing w:after="0"/>
              <w:rPr>
                <w:sz w:val="20"/>
                <w:szCs w:val="20"/>
                <w:color w:val="auto"/>
              </w:rPr>
            </w:pPr>
            <w:r>
              <w:rPr>
                <w:rFonts w:ascii="Arial" w:cs="Arial" w:eastAsia="Arial" w:hAnsi="Arial"/>
                <w:sz w:val="18"/>
                <w:szCs w:val="18"/>
                <w:color w:val="auto"/>
                <w:w w:val="91"/>
              </w:rPr>
              <w:t>/s/ Steven Q. DeVinck</w:t>
            </w:r>
          </w:p>
        </w:tc>
        <w:tc>
          <w:tcPr>
            <w:tcW w:w="5440" w:type="dxa"/>
            <w:vAlign w:val="bottom"/>
          </w:tcPr>
          <w:p>
            <w:pPr>
              <w:jc w:val="center"/>
              <w:ind w:left="70"/>
              <w:spacing w:after="0"/>
              <w:rPr>
                <w:sz w:val="20"/>
                <w:szCs w:val="20"/>
                <w:color w:val="auto"/>
              </w:rPr>
            </w:pPr>
            <w:r>
              <w:rPr>
                <w:rFonts w:ascii="Arial" w:cs="Arial" w:eastAsia="Arial" w:hAnsi="Arial"/>
                <w:sz w:val="18"/>
                <w:szCs w:val="18"/>
                <w:color w:val="auto"/>
                <w:w w:val="90"/>
              </w:rPr>
              <w:t>Controller and Vice President – Business Support</w:t>
            </w:r>
          </w:p>
        </w:tc>
        <w:tc>
          <w:tcPr>
            <w:tcW w:w="2200" w:type="dxa"/>
            <w:vAlign w:val="bottom"/>
          </w:tcPr>
          <w:p>
            <w:pPr>
              <w:jc w:val="center"/>
              <w:ind w:left="70"/>
              <w:spacing w:after="0"/>
              <w:rPr>
                <w:sz w:val="20"/>
                <w:szCs w:val="20"/>
                <w:color w:val="auto"/>
              </w:rPr>
            </w:pPr>
            <w:r>
              <w:rPr>
                <w:rFonts w:ascii="Arial" w:cs="Arial" w:eastAsia="Arial" w:hAnsi="Arial"/>
                <w:sz w:val="18"/>
                <w:szCs w:val="18"/>
                <w:color w:val="auto"/>
                <w:w w:val="89"/>
              </w:rPr>
              <w:t>February 15, 2013</w:t>
            </w:r>
          </w:p>
        </w:tc>
        <w:tc>
          <w:tcPr>
            <w:tcW w:w="0" w:type="dxa"/>
            <w:vAlign w:val="bottom"/>
          </w:tcPr>
          <w:p>
            <w:pPr>
              <w:spacing w:after="0"/>
              <w:rPr>
                <w:sz w:val="1"/>
                <w:szCs w:val="1"/>
                <w:color w:val="auto"/>
              </w:rPr>
            </w:pPr>
          </w:p>
        </w:tc>
      </w:tr>
      <w:tr>
        <w:trPr>
          <w:trHeight w:val="27"/>
        </w:trPr>
        <w:tc>
          <w:tcPr>
            <w:tcW w:w="3780" w:type="dxa"/>
            <w:vAlign w:val="bottom"/>
            <w:tcBorders>
              <w:bottom w:val="single" w:sz="8" w:color="auto"/>
            </w:tcBorders>
          </w:tcPr>
          <w:p>
            <w:pPr>
              <w:spacing w:after="0"/>
              <w:rPr>
                <w:sz w:val="2"/>
                <w:szCs w:val="2"/>
                <w:color w:val="auto"/>
              </w:rPr>
            </w:pPr>
          </w:p>
        </w:tc>
        <w:tc>
          <w:tcPr>
            <w:tcW w:w="5440" w:type="dxa"/>
            <w:vAlign w:val="bottom"/>
            <w:vMerge w:val="restart"/>
          </w:tcPr>
          <w:p>
            <w:pPr>
              <w:jc w:val="center"/>
              <w:ind w:left="70"/>
              <w:spacing w:after="0"/>
              <w:rPr>
                <w:sz w:val="20"/>
                <w:szCs w:val="20"/>
                <w:color w:val="auto"/>
              </w:rPr>
            </w:pPr>
            <w:r>
              <w:rPr>
                <w:rFonts w:ascii="Arial" w:cs="Arial" w:eastAsia="Arial" w:hAnsi="Arial"/>
                <w:sz w:val="18"/>
                <w:szCs w:val="18"/>
                <w:color w:val="auto"/>
                <w:w w:val="94"/>
              </w:rPr>
              <w:t>(Principal Accounting Officer)</w:t>
            </w:r>
          </w:p>
        </w:tc>
        <w:tc>
          <w:tcPr>
            <w:tcW w:w="2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80" w:type="dxa"/>
            <w:vAlign w:val="bottom"/>
          </w:tcPr>
          <w:p>
            <w:pPr>
              <w:jc w:val="center"/>
              <w:spacing w:after="0"/>
              <w:rPr>
                <w:sz w:val="20"/>
                <w:szCs w:val="20"/>
                <w:color w:val="auto"/>
              </w:rPr>
            </w:pPr>
            <w:r>
              <w:rPr>
                <w:rFonts w:ascii="Arial" w:cs="Arial" w:eastAsia="Arial" w:hAnsi="Arial"/>
                <w:sz w:val="18"/>
                <w:szCs w:val="18"/>
                <w:color w:val="auto"/>
                <w:w w:val="90"/>
              </w:rPr>
              <w:t>Steven Q. DeVinck</w:t>
            </w:r>
          </w:p>
        </w:tc>
        <w:tc>
          <w:tcPr>
            <w:tcW w:w="5440" w:type="dxa"/>
            <w:vAlign w:val="bottom"/>
            <w:vMerge w:val="continue"/>
          </w:tcPr>
          <w:p>
            <w:pPr>
              <w:spacing w:after="0"/>
              <w:rPr>
                <w:sz w:val="20"/>
                <w:szCs w:val="20"/>
                <w:color w:val="auto"/>
              </w:rPr>
            </w:pPr>
          </w:p>
        </w:tc>
        <w:tc>
          <w:tcPr>
            <w:tcW w:w="2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2"/>
        </w:trPr>
        <w:tc>
          <w:tcPr>
            <w:tcW w:w="3780" w:type="dxa"/>
            <w:vAlign w:val="bottom"/>
          </w:tcPr>
          <w:p>
            <w:pPr>
              <w:spacing w:after="0"/>
              <w:rPr>
                <w:sz w:val="24"/>
                <w:szCs w:val="24"/>
                <w:color w:val="auto"/>
              </w:rPr>
            </w:pPr>
          </w:p>
        </w:tc>
        <w:tc>
          <w:tcPr>
            <w:tcW w:w="5440" w:type="dxa"/>
            <w:vAlign w:val="bottom"/>
          </w:tcPr>
          <w:p>
            <w:pPr>
              <w:jc w:val="center"/>
              <w:ind w:right="1490"/>
              <w:spacing w:after="0"/>
              <w:rPr>
                <w:sz w:val="20"/>
                <w:szCs w:val="20"/>
                <w:color w:val="auto"/>
              </w:rPr>
            </w:pPr>
            <w:r>
              <w:rPr>
                <w:rFonts w:ascii="Arial" w:cs="Arial" w:eastAsia="Arial" w:hAnsi="Arial"/>
                <w:sz w:val="18"/>
                <w:szCs w:val="18"/>
                <w:color w:val="auto"/>
                <w:w w:val="95"/>
              </w:rPr>
              <w:t>ALLETE 2012 Form 10-K</w:t>
            </w:r>
          </w:p>
        </w:tc>
        <w:tc>
          <w:tcPr>
            <w:tcW w:w="2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780" w:type="dxa"/>
            <w:vAlign w:val="bottom"/>
          </w:tcPr>
          <w:p>
            <w:pPr>
              <w:spacing w:after="0"/>
              <w:rPr>
                <w:sz w:val="20"/>
                <w:szCs w:val="20"/>
                <w:color w:val="auto"/>
              </w:rPr>
            </w:pPr>
          </w:p>
        </w:tc>
        <w:tc>
          <w:tcPr>
            <w:tcW w:w="5440" w:type="dxa"/>
            <w:vAlign w:val="bottom"/>
          </w:tcPr>
          <w:p>
            <w:pPr>
              <w:jc w:val="right"/>
              <w:ind w:right="3330"/>
              <w:spacing w:after="0"/>
              <w:rPr>
                <w:sz w:val="20"/>
                <w:szCs w:val="20"/>
                <w:color w:val="auto"/>
              </w:rPr>
            </w:pPr>
            <w:r>
              <w:rPr>
                <w:rFonts w:ascii="Arial" w:cs="Arial" w:eastAsia="Arial" w:hAnsi="Arial"/>
                <w:sz w:val="18"/>
                <w:szCs w:val="18"/>
                <w:color w:val="auto"/>
              </w:rPr>
              <w:t>62</w:t>
            </w:r>
          </w:p>
        </w:tc>
        <w:tc>
          <w:tcPr>
            <w:tcW w:w="22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4" w:right="239" w:bottom="1440" w:gutter="0" w:footer="0" w:header="0"/>
        </w:sectPr>
      </w:pPr>
    </w:p>
    <w:bookmarkStart w:id="62" w:name="page63"/>
    <w:bookmarkEnd w:id="6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80" w:type="dxa"/>
            <w:vAlign w:val="bottom"/>
          </w:tcPr>
          <w:p>
            <w:pPr>
              <w:spacing w:after="0"/>
              <w:rPr>
                <w:sz w:val="20"/>
                <w:szCs w:val="20"/>
                <w:color w:val="auto"/>
              </w:rPr>
            </w:pPr>
          </w:p>
        </w:tc>
        <w:tc>
          <w:tcPr>
            <w:tcW w:w="4520" w:type="dxa"/>
            <w:vAlign w:val="bottom"/>
          </w:tcPr>
          <w:p>
            <w:pPr>
              <w:jc w:val="center"/>
              <w:ind w:right="550"/>
              <w:spacing w:after="0"/>
              <w:rPr>
                <w:sz w:val="20"/>
                <w:szCs w:val="20"/>
                <w:color w:val="auto"/>
              </w:rPr>
            </w:pPr>
            <w:r>
              <w:rPr>
                <w:rFonts w:ascii="Arial" w:cs="Arial" w:eastAsia="Arial" w:hAnsi="Arial"/>
                <w:sz w:val="18"/>
                <w:szCs w:val="18"/>
                <w:b w:val="1"/>
                <w:bCs w:val="1"/>
                <w:color w:val="auto"/>
                <w:w w:val="90"/>
              </w:rPr>
              <w:t>Signatures (Continued)</w:t>
            </w:r>
          </w:p>
        </w:tc>
        <w:tc>
          <w:tcPr>
            <w:tcW w:w="3120" w:type="dxa"/>
            <w:vAlign w:val="bottom"/>
          </w:tcPr>
          <w:p>
            <w:pPr>
              <w:spacing w:after="0"/>
              <w:rPr>
                <w:sz w:val="20"/>
                <w:szCs w:val="20"/>
                <w:color w:val="auto"/>
              </w:rPr>
            </w:pPr>
          </w:p>
        </w:tc>
      </w:tr>
      <w:tr>
        <w:trPr>
          <w:trHeight w:val="378"/>
        </w:trPr>
        <w:tc>
          <w:tcPr>
            <w:tcW w:w="3780" w:type="dxa"/>
            <w:vAlign w:val="bottom"/>
          </w:tcPr>
          <w:p>
            <w:pPr>
              <w:jc w:val="center"/>
              <w:spacing w:after="0"/>
              <w:rPr>
                <w:sz w:val="20"/>
                <w:szCs w:val="20"/>
                <w:color w:val="auto"/>
              </w:rPr>
            </w:pPr>
            <w:r>
              <w:rPr>
                <w:rFonts w:ascii="Arial" w:cs="Arial" w:eastAsia="Arial" w:hAnsi="Arial"/>
                <w:sz w:val="18"/>
                <w:szCs w:val="18"/>
                <w:b w:val="1"/>
                <w:bCs w:val="1"/>
                <w:color w:val="auto"/>
                <w:w w:val="89"/>
              </w:rPr>
              <w:t>Signature</w:t>
            </w:r>
          </w:p>
        </w:tc>
        <w:tc>
          <w:tcPr>
            <w:tcW w:w="4520" w:type="dxa"/>
            <w:vAlign w:val="bottom"/>
          </w:tcPr>
          <w:p>
            <w:pPr>
              <w:jc w:val="center"/>
              <w:ind w:left="990"/>
              <w:spacing w:after="0"/>
              <w:rPr>
                <w:sz w:val="20"/>
                <w:szCs w:val="20"/>
                <w:color w:val="auto"/>
              </w:rPr>
            </w:pPr>
            <w:r>
              <w:rPr>
                <w:rFonts w:ascii="Arial" w:cs="Arial" w:eastAsia="Arial" w:hAnsi="Arial"/>
                <w:sz w:val="18"/>
                <w:szCs w:val="18"/>
                <w:b w:val="1"/>
                <w:bCs w:val="1"/>
                <w:color w:val="auto"/>
                <w:w w:val="97"/>
              </w:rPr>
              <w:t>Title</w:t>
            </w:r>
          </w:p>
        </w:tc>
        <w:tc>
          <w:tcPr>
            <w:tcW w:w="3120" w:type="dxa"/>
            <w:vAlign w:val="bottom"/>
          </w:tcPr>
          <w:p>
            <w:pPr>
              <w:jc w:val="center"/>
              <w:ind w:left="990"/>
              <w:spacing w:after="0"/>
              <w:rPr>
                <w:sz w:val="20"/>
                <w:szCs w:val="20"/>
                <w:color w:val="auto"/>
              </w:rPr>
            </w:pPr>
            <w:r>
              <w:rPr>
                <w:rFonts w:ascii="Arial" w:cs="Arial" w:eastAsia="Arial" w:hAnsi="Arial"/>
                <w:sz w:val="18"/>
                <w:szCs w:val="18"/>
                <w:b w:val="1"/>
                <w:bCs w:val="1"/>
                <w:color w:val="auto"/>
                <w:w w:val="92"/>
              </w:rPr>
              <w:t>Date</w:t>
            </w:r>
          </w:p>
        </w:tc>
      </w:tr>
      <w:tr>
        <w:trPr>
          <w:trHeight w:val="27"/>
        </w:trPr>
        <w:tc>
          <w:tcPr>
            <w:tcW w:w="3780" w:type="dxa"/>
            <w:vAlign w:val="bottom"/>
            <w:tcBorders>
              <w:bottom w:val="single" w:sz="8" w:color="auto"/>
            </w:tcBorders>
          </w:tcPr>
          <w:p>
            <w:pPr>
              <w:spacing w:after="0"/>
              <w:rPr>
                <w:sz w:val="2"/>
                <w:szCs w:val="2"/>
                <w:color w:val="auto"/>
              </w:rPr>
            </w:pPr>
          </w:p>
        </w:tc>
        <w:tc>
          <w:tcPr>
            <w:tcW w:w="4520" w:type="dxa"/>
            <w:vAlign w:val="bottom"/>
            <w:tcBorders>
              <w:bottom w:val="single" w:sz="8" w:color="auto"/>
            </w:tcBorders>
          </w:tcPr>
          <w:p>
            <w:pPr>
              <w:spacing w:after="0"/>
              <w:rPr>
                <w:sz w:val="2"/>
                <w:szCs w:val="2"/>
                <w:color w:val="auto"/>
              </w:rPr>
            </w:pPr>
          </w:p>
        </w:tc>
        <w:tc>
          <w:tcPr>
            <w:tcW w:w="3120" w:type="dxa"/>
            <w:vAlign w:val="bottom"/>
            <w:tcBorders>
              <w:bottom w:val="single" w:sz="8" w:color="auto"/>
            </w:tcBorders>
          </w:tcPr>
          <w:p>
            <w:pPr>
              <w:spacing w:after="0"/>
              <w:rPr>
                <w:sz w:val="2"/>
                <w:szCs w:val="2"/>
                <w:color w:val="auto"/>
              </w:rPr>
            </w:pPr>
          </w:p>
        </w:tc>
      </w:tr>
      <w:tr>
        <w:trPr>
          <w:trHeight w:val="507"/>
        </w:trPr>
        <w:tc>
          <w:tcPr>
            <w:tcW w:w="3780" w:type="dxa"/>
            <w:vAlign w:val="bottom"/>
          </w:tcPr>
          <w:p>
            <w:pPr>
              <w:jc w:val="center"/>
              <w:spacing w:after="0"/>
              <w:rPr>
                <w:sz w:val="20"/>
                <w:szCs w:val="20"/>
                <w:color w:val="auto"/>
              </w:rPr>
            </w:pPr>
            <w:r>
              <w:rPr>
                <w:rFonts w:ascii="Arial" w:cs="Arial" w:eastAsia="Arial" w:hAnsi="Arial"/>
                <w:sz w:val="18"/>
                <w:szCs w:val="18"/>
                <w:color w:val="auto"/>
                <w:w w:val="92"/>
              </w:rPr>
              <w:t>/s/ Kathleen A. Brekken</w:t>
            </w:r>
          </w:p>
        </w:tc>
        <w:tc>
          <w:tcPr>
            <w:tcW w:w="4520" w:type="dxa"/>
            <w:vAlign w:val="bottom"/>
          </w:tcPr>
          <w:p>
            <w:pPr>
              <w:jc w:val="center"/>
              <w:ind w:left="990"/>
              <w:spacing w:after="0"/>
              <w:rPr>
                <w:sz w:val="20"/>
                <w:szCs w:val="20"/>
                <w:color w:val="auto"/>
              </w:rPr>
            </w:pPr>
            <w:r>
              <w:rPr>
                <w:rFonts w:ascii="Arial" w:cs="Arial" w:eastAsia="Arial" w:hAnsi="Arial"/>
                <w:sz w:val="18"/>
                <w:szCs w:val="18"/>
                <w:color w:val="auto"/>
                <w:w w:val="95"/>
              </w:rPr>
              <w:t>Director</w:t>
            </w:r>
          </w:p>
        </w:tc>
        <w:tc>
          <w:tcPr>
            <w:tcW w:w="3120" w:type="dxa"/>
            <w:vAlign w:val="bottom"/>
          </w:tcPr>
          <w:p>
            <w:pPr>
              <w:jc w:val="center"/>
              <w:ind w:left="990"/>
              <w:spacing w:after="0"/>
              <w:rPr>
                <w:sz w:val="20"/>
                <w:szCs w:val="20"/>
                <w:color w:val="auto"/>
              </w:rPr>
            </w:pPr>
            <w:r>
              <w:rPr>
                <w:rFonts w:ascii="Arial" w:cs="Arial" w:eastAsia="Arial" w:hAnsi="Arial"/>
                <w:sz w:val="18"/>
                <w:szCs w:val="18"/>
                <w:color w:val="auto"/>
                <w:w w:val="89"/>
              </w:rPr>
              <w:t>February 15, 2013</w:t>
            </w:r>
          </w:p>
        </w:tc>
      </w:tr>
      <w:tr>
        <w:trPr>
          <w:trHeight w:val="27"/>
        </w:trPr>
        <w:tc>
          <w:tcPr>
            <w:tcW w:w="3780" w:type="dxa"/>
            <w:vAlign w:val="bottom"/>
            <w:tcBorders>
              <w:bottom w:val="single" w:sz="8" w:color="auto"/>
            </w:tcBorders>
          </w:tcPr>
          <w:p>
            <w:pPr>
              <w:spacing w:after="0"/>
              <w:rPr>
                <w:sz w:val="2"/>
                <w:szCs w:val="2"/>
                <w:color w:val="auto"/>
              </w:rPr>
            </w:pPr>
          </w:p>
        </w:tc>
        <w:tc>
          <w:tcPr>
            <w:tcW w:w="4520" w:type="dxa"/>
            <w:vAlign w:val="bottom"/>
          </w:tcPr>
          <w:p>
            <w:pPr>
              <w:spacing w:after="0"/>
              <w:rPr>
                <w:sz w:val="2"/>
                <w:szCs w:val="2"/>
                <w:color w:val="auto"/>
              </w:rPr>
            </w:pPr>
          </w:p>
        </w:tc>
        <w:tc>
          <w:tcPr>
            <w:tcW w:w="3120" w:type="dxa"/>
            <w:vAlign w:val="bottom"/>
          </w:tcPr>
          <w:p>
            <w:pPr>
              <w:spacing w:after="0"/>
              <w:rPr>
                <w:sz w:val="2"/>
                <w:szCs w:val="2"/>
                <w:color w:val="auto"/>
              </w:rPr>
            </w:pPr>
          </w:p>
        </w:tc>
      </w:tr>
      <w:tr>
        <w:trPr>
          <w:trHeight w:val="237"/>
        </w:trPr>
        <w:tc>
          <w:tcPr>
            <w:tcW w:w="3780" w:type="dxa"/>
            <w:vAlign w:val="bottom"/>
          </w:tcPr>
          <w:p>
            <w:pPr>
              <w:jc w:val="center"/>
              <w:spacing w:after="0"/>
              <w:rPr>
                <w:sz w:val="20"/>
                <w:szCs w:val="20"/>
                <w:color w:val="auto"/>
              </w:rPr>
            </w:pPr>
            <w:r>
              <w:rPr>
                <w:rFonts w:ascii="Arial" w:cs="Arial" w:eastAsia="Arial" w:hAnsi="Arial"/>
                <w:sz w:val="18"/>
                <w:szCs w:val="18"/>
                <w:color w:val="auto"/>
                <w:w w:val="93"/>
              </w:rPr>
              <w:t>Kathleen A. Brekken</w:t>
            </w:r>
          </w:p>
        </w:tc>
        <w:tc>
          <w:tcPr>
            <w:tcW w:w="4520" w:type="dxa"/>
            <w:vAlign w:val="bottom"/>
          </w:tcPr>
          <w:p>
            <w:pPr>
              <w:spacing w:after="0"/>
              <w:rPr>
                <w:sz w:val="20"/>
                <w:szCs w:val="20"/>
                <w:color w:val="auto"/>
              </w:rPr>
            </w:pPr>
          </w:p>
        </w:tc>
        <w:tc>
          <w:tcPr>
            <w:tcW w:w="3120" w:type="dxa"/>
            <w:vAlign w:val="bottom"/>
          </w:tcPr>
          <w:p>
            <w:pPr>
              <w:spacing w:after="0"/>
              <w:rPr>
                <w:sz w:val="20"/>
                <w:szCs w:val="20"/>
                <w:color w:val="auto"/>
              </w:rPr>
            </w:pPr>
          </w:p>
        </w:tc>
      </w:tr>
      <w:tr>
        <w:trPr>
          <w:trHeight w:val="540"/>
        </w:trPr>
        <w:tc>
          <w:tcPr>
            <w:tcW w:w="3780" w:type="dxa"/>
            <w:vAlign w:val="bottom"/>
          </w:tcPr>
          <w:p>
            <w:pPr>
              <w:jc w:val="center"/>
              <w:spacing w:after="0"/>
              <w:rPr>
                <w:sz w:val="20"/>
                <w:szCs w:val="20"/>
                <w:color w:val="auto"/>
              </w:rPr>
            </w:pPr>
            <w:r>
              <w:rPr>
                <w:rFonts w:ascii="Arial" w:cs="Arial" w:eastAsia="Arial" w:hAnsi="Arial"/>
                <w:sz w:val="18"/>
                <w:szCs w:val="18"/>
                <w:color w:val="auto"/>
                <w:w w:val="93"/>
              </w:rPr>
              <w:t>/s/ Kathryn W. Dindo</w:t>
            </w:r>
          </w:p>
        </w:tc>
        <w:tc>
          <w:tcPr>
            <w:tcW w:w="4520" w:type="dxa"/>
            <w:vAlign w:val="bottom"/>
          </w:tcPr>
          <w:p>
            <w:pPr>
              <w:jc w:val="center"/>
              <w:ind w:left="990"/>
              <w:spacing w:after="0"/>
              <w:rPr>
                <w:sz w:val="20"/>
                <w:szCs w:val="20"/>
                <w:color w:val="auto"/>
              </w:rPr>
            </w:pPr>
            <w:r>
              <w:rPr>
                <w:rFonts w:ascii="Arial" w:cs="Arial" w:eastAsia="Arial" w:hAnsi="Arial"/>
                <w:sz w:val="18"/>
                <w:szCs w:val="18"/>
                <w:color w:val="auto"/>
                <w:w w:val="95"/>
              </w:rPr>
              <w:t>Director</w:t>
            </w:r>
          </w:p>
        </w:tc>
        <w:tc>
          <w:tcPr>
            <w:tcW w:w="3120" w:type="dxa"/>
            <w:vAlign w:val="bottom"/>
          </w:tcPr>
          <w:p>
            <w:pPr>
              <w:jc w:val="center"/>
              <w:ind w:left="990"/>
              <w:spacing w:after="0"/>
              <w:rPr>
                <w:sz w:val="20"/>
                <w:szCs w:val="20"/>
                <w:color w:val="auto"/>
              </w:rPr>
            </w:pPr>
            <w:r>
              <w:rPr>
                <w:rFonts w:ascii="Arial" w:cs="Arial" w:eastAsia="Arial" w:hAnsi="Arial"/>
                <w:sz w:val="18"/>
                <w:szCs w:val="18"/>
                <w:color w:val="auto"/>
                <w:w w:val="89"/>
              </w:rPr>
              <w:t>February 15, 2013</w:t>
            </w:r>
          </w:p>
        </w:tc>
      </w:tr>
      <w:tr>
        <w:trPr>
          <w:trHeight w:val="27"/>
        </w:trPr>
        <w:tc>
          <w:tcPr>
            <w:tcW w:w="3780" w:type="dxa"/>
            <w:vAlign w:val="bottom"/>
            <w:tcBorders>
              <w:bottom w:val="single" w:sz="8" w:color="auto"/>
            </w:tcBorders>
          </w:tcPr>
          <w:p>
            <w:pPr>
              <w:spacing w:after="0"/>
              <w:rPr>
                <w:sz w:val="2"/>
                <w:szCs w:val="2"/>
                <w:color w:val="auto"/>
              </w:rPr>
            </w:pPr>
          </w:p>
        </w:tc>
        <w:tc>
          <w:tcPr>
            <w:tcW w:w="4520" w:type="dxa"/>
            <w:vAlign w:val="bottom"/>
          </w:tcPr>
          <w:p>
            <w:pPr>
              <w:spacing w:after="0"/>
              <w:rPr>
                <w:sz w:val="2"/>
                <w:szCs w:val="2"/>
                <w:color w:val="auto"/>
              </w:rPr>
            </w:pPr>
          </w:p>
        </w:tc>
        <w:tc>
          <w:tcPr>
            <w:tcW w:w="3120" w:type="dxa"/>
            <w:vAlign w:val="bottom"/>
          </w:tcPr>
          <w:p>
            <w:pPr>
              <w:spacing w:after="0"/>
              <w:rPr>
                <w:sz w:val="2"/>
                <w:szCs w:val="2"/>
                <w:color w:val="auto"/>
              </w:rPr>
            </w:pPr>
          </w:p>
        </w:tc>
      </w:tr>
      <w:tr>
        <w:trPr>
          <w:trHeight w:val="237"/>
        </w:trPr>
        <w:tc>
          <w:tcPr>
            <w:tcW w:w="3780" w:type="dxa"/>
            <w:vAlign w:val="bottom"/>
          </w:tcPr>
          <w:p>
            <w:pPr>
              <w:jc w:val="center"/>
              <w:spacing w:after="0"/>
              <w:rPr>
                <w:sz w:val="20"/>
                <w:szCs w:val="20"/>
                <w:color w:val="auto"/>
              </w:rPr>
            </w:pPr>
            <w:r>
              <w:rPr>
                <w:rFonts w:ascii="Arial" w:cs="Arial" w:eastAsia="Arial" w:hAnsi="Arial"/>
                <w:sz w:val="18"/>
                <w:szCs w:val="18"/>
                <w:color w:val="auto"/>
                <w:w w:val="94"/>
              </w:rPr>
              <w:t>Kathryn W. Dindo</w:t>
            </w:r>
          </w:p>
        </w:tc>
        <w:tc>
          <w:tcPr>
            <w:tcW w:w="4520" w:type="dxa"/>
            <w:vAlign w:val="bottom"/>
          </w:tcPr>
          <w:p>
            <w:pPr>
              <w:spacing w:after="0"/>
              <w:rPr>
                <w:sz w:val="20"/>
                <w:szCs w:val="20"/>
                <w:color w:val="auto"/>
              </w:rPr>
            </w:pPr>
          </w:p>
        </w:tc>
        <w:tc>
          <w:tcPr>
            <w:tcW w:w="3120" w:type="dxa"/>
            <w:vAlign w:val="bottom"/>
          </w:tcPr>
          <w:p>
            <w:pPr>
              <w:spacing w:after="0"/>
              <w:rPr>
                <w:sz w:val="20"/>
                <w:szCs w:val="20"/>
                <w:color w:val="auto"/>
              </w:rPr>
            </w:pPr>
          </w:p>
        </w:tc>
      </w:tr>
      <w:tr>
        <w:trPr>
          <w:trHeight w:val="540"/>
        </w:trPr>
        <w:tc>
          <w:tcPr>
            <w:tcW w:w="3780" w:type="dxa"/>
            <w:vAlign w:val="bottom"/>
          </w:tcPr>
          <w:p>
            <w:pPr>
              <w:jc w:val="center"/>
              <w:spacing w:after="0"/>
              <w:rPr>
                <w:sz w:val="20"/>
                <w:szCs w:val="20"/>
                <w:color w:val="auto"/>
              </w:rPr>
            </w:pPr>
            <w:r>
              <w:rPr>
                <w:rFonts w:ascii="Arial" w:cs="Arial" w:eastAsia="Arial" w:hAnsi="Arial"/>
                <w:sz w:val="18"/>
                <w:szCs w:val="18"/>
                <w:color w:val="auto"/>
                <w:w w:val="91"/>
              </w:rPr>
              <w:t>/s/ Heidi J. Eddins</w:t>
            </w:r>
          </w:p>
        </w:tc>
        <w:tc>
          <w:tcPr>
            <w:tcW w:w="4520" w:type="dxa"/>
            <w:vAlign w:val="bottom"/>
          </w:tcPr>
          <w:p>
            <w:pPr>
              <w:jc w:val="center"/>
              <w:ind w:left="990"/>
              <w:spacing w:after="0"/>
              <w:rPr>
                <w:sz w:val="20"/>
                <w:szCs w:val="20"/>
                <w:color w:val="auto"/>
              </w:rPr>
            </w:pPr>
            <w:r>
              <w:rPr>
                <w:rFonts w:ascii="Arial" w:cs="Arial" w:eastAsia="Arial" w:hAnsi="Arial"/>
                <w:sz w:val="18"/>
                <w:szCs w:val="18"/>
                <w:color w:val="auto"/>
                <w:w w:val="95"/>
              </w:rPr>
              <w:t>Director</w:t>
            </w:r>
          </w:p>
        </w:tc>
        <w:tc>
          <w:tcPr>
            <w:tcW w:w="3120" w:type="dxa"/>
            <w:vAlign w:val="bottom"/>
          </w:tcPr>
          <w:p>
            <w:pPr>
              <w:jc w:val="center"/>
              <w:ind w:left="990"/>
              <w:spacing w:after="0"/>
              <w:rPr>
                <w:sz w:val="20"/>
                <w:szCs w:val="20"/>
                <w:color w:val="auto"/>
              </w:rPr>
            </w:pPr>
            <w:r>
              <w:rPr>
                <w:rFonts w:ascii="Arial" w:cs="Arial" w:eastAsia="Arial" w:hAnsi="Arial"/>
                <w:sz w:val="18"/>
                <w:szCs w:val="18"/>
                <w:color w:val="auto"/>
                <w:w w:val="89"/>
              </w:rPr>
              <w:t>February 15, 2013</w:t>
            </w:r>
          </w:p>
        </w:tc>
      </w:tr>
      <w:tr>
        <w:trPr>
          <w:trHeight w:val="27"/>
        </w:trPr>
        <w:tc>
          <w:tcPr>
            <w:tcW w:w="3780" w:type="dxa"/>
            <w:vAlign w:val="bottom"/>
            <w:tcBorders>
              <w:bottom w:val="single" w:sz="8" w:color="auto"/>
            </w:tcBorders>
          </w:tcPr>
          <w:p>
            <w:pPr>
              <w:spacing w:after="0"/>
              <w:rPr>
                <w:sz w:val="2"/>
                <w:szCs w:val="2"/>
                <w:color w:val="auto"/>
              </w:rPr>
            </w:pPr>
          </w:p>
        </w:tc>
        <w:tc>
          <w:tcPr>
            <w:tcW w:w="4520" w:type="dxa"/>
            <w:vAlign w:val="bottom"/>
          </w:tcPr>
          <w:p>
            <w:pPr>
              <w:spacing w:after="0"/>
              <w:rPr>
                <w:sz w:val="2"/>
                <w:szCs w:val="2"/>
                <w:color w:val="auto"/>
              </w:rPr>
            </w:pPr>
          </w:p>
        </w:tc>
        <w:tc>
          <w:tcPr>
            <w:tcW w:w="3120" w:type="dxa"/>
            <w:vAlign w:val="bottom"/>
          </w:tcPr>
          <w:p>
            <w:pPr>
              <w:spacing w:after="0"/>
              <w:rPr>
                <w:sz w:val="2"/>
                <w:szCs w:val="2"/>
                <w:color w:val="auto"/>
              </w:rPr>
            </w:pPr>
          </w:p>
        </w:tc>
      </w:tr>
      <w:tr>
        <w:trPr>
          <w:trHeight w:val="237"/>
        </w:trPr>
        <w:tc>
          <w:tcPr>
            <w:tcW w:w="3780" w:type="dxa"/>
            <w:vAlign w:val="bottom"/>
          </w:tcPr>
          <w:p>
            <w:pPr>
              <w:jc w:val="center"/>
              <w:spacing w:after="0"/>
              <w:rPr>
                <w:sz w:val="20"/>
                <w:szCs w:val="20"/>
                <w:color w:val="auto"/>
              </w:rPr>
            </w:pPr>
            <w:r>
              <w:rPr>
                <w:rFonts w:ascii="Arial" w:cs="Arial" w:eastAsia="Arial" w:hAnsi="Arial"/>
                <w:sz w:val="18"/>
                <w:szCs w:val="18"/>
                <w:color w:val="auto"/>
                <w:w w:val="91"/>
              </w:rPr>
              <w:t>Heidi J. Eddins</w:t>
            </w:r>
          </w:p>
        </w:tc>
        <w:tc>
          <w:tcPr>
            <w:tcW w:w="4520" w:type="dxa"/>
            <w:vAlign w:val="bottom"/>
          </w:tcPr>
          <w:p>
            <w:pPr>
              <w:spacing w:after="0"/>
              <w:rPr>
                <w:sz w:val="20"/>
                <w:szCs w:val="20"/>
                <w:color w:val="auto"/>
              </w:rPr>
            </w:pPr>
          </w:p>
        </w:tc>
        <w:tc>
          <w:tcPr>
            <w:tcW w:w="3120" w:type="dxa"/>
            <w:vAlign w:val="bottom"/>
          </w:tcPr>
          <w:p>
            <w:pPr>
              <w:spacing w:after="0"/>
              <w:rPr>
                <w:sz w:val="20"/>
                <w:szCs w:val="20"/>
                <w:color w:val="auto"/>
              </w:rPr>
            </w:pPr>
          </w:p>
        </w:tc>
      </w:tr>
      <w:tr>
        <w:trPr>
          <w:trHeight w:val="540"/>
        </w:trPr>
        <w:tc>
          <w:tcPr>
            <w:tcW w:w="3780" w:type="dxa"/>
            <w:vAlign w:val="bottom"/>
          </w:tcPr>
          <w:p>
            <w:pPr>
              <w:jc w:val="center"/>
              <w:spacing w:after="0"/>
              <w:rPr>
                <w:sz w:val="20"/>
                <w:szCs w:val="20"/>
                <w:color w:val="auto"/>
              </w:rPr>
            </w:pPr>
            <w:r>
              <w:rPr>
                <w:rFonts w:ascii="Arial" w:cs="Arial" w:eastAsia="Arial" w:hAnsi="Arial"/>
                <w:sz w:val="18"/>
                <w:szCs w:val="18"/>
                <w:color w:val="auto"/>
                <w:w w:val="90"/>
              </w:rPr>
              <w:t>/s/ Sidney W. Emery, Jr.</w:t>
            </w:r>
          </w:p>
        </w:tc>
        <w:tc>
          <w:tcPr>
            <w:tcW w:w="4520" w:type="dxa"/>
            <w:vAlign w:val="bottom"/>
          </w:tcPr>
          <w:p>
            <w:pPr>
              <w:jc w:val="center"/>
              <w:ind w:left="990"/>
              <w:spacing w:after="0"/>
              <w:rPr>
                <w:sz w:val="20"/>
                <w:szCs w:val="20"/>
                <w:color w:val="auto"/>
              </w:rPr>
            </w:pPr>
            <w:r>
              <w:rPr>
                <w:rFonts w:ascii="Arial" w:cs="Arial" w:eastAsia="Arial" w:hAnsi="Arial"/>
                <w:sz w:val="18"/>
                <w:szCs w:val="18"/>
                <w:color w:val="auto"/>
                <w:w w:val="95"/>
              </w:rPr>
              <w:t>Director</w:t>
            </w:r>
          </w:p>
        </w:tc>
        <w:tc>
          <w:tcPr>
            <w:tcW w:w="3120" w:type="dxa"/>
            <w:vAlign w:val="bottom"/>
          </w:tcPr>
          <w:p>
            <w:pPr>
              <w:jc w:val="center"/>
              <w:ind w:left="990"/>
              <w:spacing w:after="0"/>
              <w:rPr>
                <w:sz w:val="20"/>
                <w:szCs w:val="20"/>
                <w:color w:val="auto"/>
              </w:rPr>
            </w:pPr>
            <w:r>
              <w:rPr>
                <w:rFonts w:ascii="Arial" w:cs="Arial" w:eastAsia="Arial" w:hAnsi="Arial"/>
                <w:sz w:val="18"/>
                <w:szCs w:val="18"/>
                <w:color w:val="auto"/>
                <w:w w:val="89"/>
              </w:rPr>
              <w:t>February 15, 2013</w:t>
            </w:r>
          </w:p>
        </w:tc>
      </w:tr>
      <w:tr>
        <w:trPr>
          <w:trHeight w:val="27"/>
        </w:trPr>
        <w:tc>
          <w:tcPr>
            <w:tcW w:w="3780" w:type="dxa"/>
            <w:vAlign w:val="bottom"/>
            <w:tcBorders>
              <w:bottom w:val="single" w:sz="8" w:color="auto"/>
            </w:tcBorders>
          </w:tcPr>
          <w:p>
            <w:pPr>
              <w:spacing w:after="0"/>
              <w:rPr>
                <w:sz w:val="2"/>
                <w:szCs w:val="2"/>
                <w:color w:val="auto"/>
              </w:rPr>
            </w:pPr>
          </w:p>
        </w:tc>
        <w:tc>
          <w:tcPr>
            <w:tcW w:w="4520" w:type="dxa"/>
            <w:vAlign w:val="bottom"/>
          </w:tcPr>
          <w:p>
            <w:pPr>
              <w:spacing w:after="0"/>
              <w:rPr>
                <w:sz w:val="2"/>
                <w:szCs w:val="2"/>
                <w:color w:val="auto"/>
              </w:rPr>
            </w:pPr>
          </w:p>
        </w:tc>
        <w:tc>
          <w:tcPr>
            <w:tcW w:w="3120" w:type="dxa"/>
            <w:vAlign w:val="bottom"/>
          </w:tcPr>
          <w:p>
            <w:pPr>
              <w:spacing w:after="0"/>
              <w:rPr>
                <w:sz w:val="2"/>
                <w:szCs w:val="2"/>
                <w:color w:val="auto"/>
              </w:rPr>
            </w:pPr>
          </w:p>
        </w:tc>
      </w:tr>
      <w:tr>
        <w:trPr>
          <w:trHeight w:val="237"/>
        </w:trPr>
        <w:tc>
          <w:tcPr>
            <w:tcW w:w="3780" w:type="dxa"/>
            <w:vAlign w:val="bottom"/>
          </w:tcPr>
          <w:p>
            <w:pPr>
              <w:jc w:val="center"/>
              <w:spacing w:after="0"/>
              <w:rPr>
                <w:sz w:val="20"/>
                <w:szCs w:val="20"/>
                <w:color w:val="auto"/>
              </w:rPr>
            </w:pPr>
            <w:r>
              <w:rPr>
                <w:rFonts w:ascii="Arial" w:cs="Arial" w:eastAsia="Arial" w:hAnsi="Arial"/>
                <w:sz w:val="18"/>
                <w:szCs w:val="18"/>
                <w:color w:val="auto"/>
                <w:w w:val="88"/>
              </w:rPr>
              <w:t>Sidney W. Emery, Jr.</w:t>
            </w:r>
          </w:p>
        </w:tc>
        <w:tc>
          <w:tcPr>
            <w:tcW w:w="4520" w:type="dxa"/>
            <w:vAlign w:val="bottom"/>
          </w:tcPr>
          <w:p>
            <w:pPr>
              <w:spacing w:after="0"/>
              <w:rPr>
                <w:sz w:val="20"/>
                <w:szCs w:val="20"/>
                <w:color w:val="auto"/>
              </w:rPr>
            </w:pPr>
          </w:p>
        </w:tc>
        <w:tc>
          <w:tcPr>
            <w:tcW w:w="3120" w:type="dxa"/>
            <w:vAlign w:val="bottom"/>
          </w:tcPr>
          <w:p>
            <w:pPr>
              <w:spacing w:after="0"/>
              <w:rPr>
                <w:sz w:val="20"/>
                <w:szCs w:val="20"/>
                <w:color w:val="auto"/>
              </w:rPr>
            </w:pPr>
          </w:p>
        </w:tc>
      </w:tr>
      <w:tr>
        <w:trPr>
          <w:trHeight w:val="540"/>
        </w:trPr>
        <w:tc>
          <w:tcPr>
            <w:tcW w:w="3780" w:type="dxa"/>
            <w:vAlign w:val="bottom"/>
          </w:tcPr>
          <w:p>
            <w:pPr>
              <w:jc w:val="center"/>
              <w:spacing w:after="0"/>
              <w:rPr>
                <w:sz w:val="20"/>
                <w:szCs w:val="20"/>
                <w:color w:val="auto"/>
              </w:rPr>
            </w:pPr>
            <w:r>
              <w:rPr>
                <w:rFonts w:ascii="Arial" w:cs="Arial" w:eastAsia="Arial" w:hAnsi="Arial"/>
                <w:sz w:val="18"/>
                <w:szCs w:val="18"/>
                <w:color w:val="auto"/>
                <w:w w:val="91"/>
              </w:rPr>
              <w:t>/s/ George G. Goldfarb</w:t>
            </w:r>
          </w:p>
        </w:tc>
        <w:tc>
          <w:tcPr>
            <w:tcW w:w="4520" w:type="dxa"/>
            <w:vAlign w:val="bottom"/>
          </w:tcPr>
          <w:p>
            <w:pPr>
              <w:jc w:val="center"/>
              <w:ind w:left="990"/>
              <w:spacing w:after="0"/>
              <w:rPr>
                <w:sz w:val="20"/>
                <w:szCs w:val="20"/>
                <w:color w:val="auto"/>
              </w:rPr>
            </w:pPr>
            <w:r>
              <w:rPr>
                <w:rFonts w:ascii="Arial" w:cs="Arial" w:eastAsia="Arial" w:hAnsi="Arial"/>
                <w:sz w:val="18"/>
                <w:szCs w:val="18"/>
                <w:color w:val="auto"/>
                <w:w w:val="95"/>
              </w:rPr>
              <w:t>Director</w:t>
            </w:r>
          </w:p>
        </w:tc>
        <w:tc>
          <w:tcPr>
            <w:tcW w:w="3120" w:type="dxa"/>
            <w:vAlign w:val="bottom"/>
          </w:tcPr>
          <w:p>
            <w:pPr>
              <w:jc w:val="center"/>
              <w:ind w:left="990"/>
              <w:spacing w:after="0"/>
              <w:rPr>
                <w:sz w:val="20"/>
                <w:szCs w:val="20"/>
                <w:color w:val="auto"/>
              </w:rPr>
            </w:pPr>
            <w:r>
              <w:rPr>
                <w:rFonts w:ascii="Arial" w:cs="Arial" w:eastAsia="Arial" w:hAnsi="Arial"/>
                <w:sz w:val="18"/>
                <w:szCs w:val="18"/>
                <w:color w:val="auto"/>
                <w:w w:val="89"/>
              </w:rPr>
              <w:t>February 15, 2013</w:t>
            </w:r>
          </w:p>
        </w:tc>
      </w:tr>
      <w:tr>
        <w:trPr>
          <w:trHeight w:val="27"/>
        </w:trPr>
        <w:tc>
          <w:tcPr>
            <w:tcW w:w="3780" w:type="dxa"/>
            <w:vAlign w:val="bottom"/>
            <w:tcBorders>
              <w:bottom w:val="single" w:sz="8" w:color="auto"/>
            </w:tcBorders>
          </w:tcPr>
          <w:p>
            <w:pPr>
              <w:spacing w:after="0"/>
              <w:rPr>
                <w:sz w:val="2"/>
                <w:szCs w:val="2"/>
                <w:color w:val="auto"/>
              </w:rPr>
            </w:pPr>
          </w:p>
        </w:tc>
        <w:tc>
          <w:tcPr>
            <w:tcW w:w="4520" w:type="dxa"/>
            <w:vAlign w:val="bottom"/>
          </w:tcPr>
          <w:p>
            <w:pPr>
              <w:spacing w:after="0"/>
              <w:rPr>
                <w:sz w:val="2"/>
                <w:szCs w:val="2"/>
                <w:color w:val="auto"/>
              </w:rPr>
            </w:pPr>
          </w:p>
        </w:tc>
        <w:tc>
          <w:tcPr>
            <w:tcW w:w="3120" w:type="dxa"/>
            <w:vAlign w:val="bottom"/>
          </w:tcPr>
          <w:p>
            <w:pPr>
              <w:spacing w:after="0"/>
              <w:rPr>
                <w:sz w:val="2"/>
                <w:szCs w:val="2"/>
                <w:color w:val="auto"/>
              </w:rPr>
            </w:pPr>
          </w:p>
        </w:tc>
      </w:tr>
      <w:tr>
        <w:trPr>
          <w:trHeight w:val="237"/>
        </w:trPr>
        <w:tc>
          <w:tcPr>
            <w:tcW w:w="3780" w:type="dxa"/>
            <w:vAlign w:val="bottom"/>
          </w:tcPr>
          <w:p>
            <w:pPr>
              <w:jc w:val="center"/>
              <w:spacing w:after="0"/>
              <w:rPr>
                <w:sz w:val="20"/>
                <w:szCs w:val="20"/>
                <w:color w:val="auto"/>
              </w:rPr>
            </w:pPr>
            <w:r>
              <w:rPr>
                <w:rFonts w:ascii="Arial" w:cs="Arial" w:eastAsia="Arial" w:hAnsi="Arial"/>
                <w:sz w:val="18"/>
                <w:szCs w:val="18"/>
                <w:color w:val="auto"/>
                <w:w w:val="91"/>
              </w:rPr>
              <w:t>George G. Goldfarb</w:t>
            </w:r>
          </w:p>
        </w:tc>
        <w:tc>
          <w:tcPr>
            <w:tcW w:w="4520" w:type="dxa"/>
            <w:vAlign w:val="bottom"/>
          </w:tcPr>
          <w:p>
            <w:pPr>
              <w:spacing w:after="0"/>
              <w:rPr>
                <w:sz w:val="20"/>
                <w:szCs w:val="20"/>
                <w:color w:val="auto"/>
              </w:rPr>
            </w:pPr>
          </w:p>
        </w:tc>
        <w:tc>
          <w:tcPr>
            <w:tcW w:w="3120" w:type="dxa"/>
            <w:vAlign w:val="bottom"/>
          </w:tcPr>
          <w:p>
            <w:pPr>
              <w:spacing w:after="0"/>
              <w:rPr>
                <w:sz w:val="20"/>
                <w:szCs w:val="20"/>
                <w:color w:val="auto"/>
              </w:rPr>
            </w:pPr>
          </w:p>
        </w:tc>
      </w:tr>
      <w:tr>
        <w:trPr>
          <w:trHeight w:val="567"/>
        </w:trPr>
        <w:tc>
          <w:tcPr>
            <w:tcW w:w="3780" w:type="dxa"/>
            <w:vAlign w:val="bottom"/>
          </w:tcPr>
          <w:p>
            <w:pPr>
              <w:jc w:val="center"/>
              <w:spacing w:after="0"/>
              <w:rPr>
                <w:sz w:val="20"/>
                <w:szCs w:val="20"/>
                <w:color w:val="auto"/>
              </w:rPr>
            </w:pPr>
            <w:r>
              <w:rPr>
                <w:rFonts w:ascii="Arial" w:cs="Arial" w:eastAsia="Arial" w:hAnsi="Arial"/>
                <w:sz w:val="18"/>
                <w:szCs w:val="18"/>
                <w:color w:val="auto"/>
                <w:w w:val="87"/>
              </w:rPr>
              <w:t>/s/ James S. Haines, Jr.</w:t>
            </w:r>
          </w:p>
        </w:tc>
        <w:tc>
          <w:tcPr>
            <w:tcW w:w="4520" w:type="dxa"/>
            <w:vAlign w:val="bottom"/>
          </w:tcPr>
          <w:p>
            <w:pPr>
              <w:jc w:val="center"/>
              <w:ind w:left="990"/>
              <w:spacing w:after="0"/>
              <w:rPr>
                <w:sz w:val="20"/>
                <w:szCs w:val="20"/>
                <w:color w:val="auto"/>
              </w:rPr>
            </w:pPr>
            <w:r>
              <w:rPr>
                <w:rFonts w:ascii="Arial" w:cs="Arial" w:eastAsia="Arial" w:hAnsi="Arial"/>
                <w:sz w:val="18"/>
                <w:szCs w:val="18"/>
                <w:color w:val="auto"/>
                <w:w w:val="95"/>
              </w:rPr>
              <w:t>Director</w:t>
            </w:r>
          </w:p>
        </w:tc>
        <w:tc>
          <w:tcPr>
            <w:tcW w:w="3120" w:type="dxa"/>
            <w:vAlign w:val="bottom"/>
          </w:tcPr>
          <w:p>
            <w:pPr>
              <w:jc w:val="center"/>
              <w:ind w:left="990"/>
              <w:spacing w:after="0"/>
              <w:rPr>
                <w:sz w:val="20"/>
                <w:szCs w:val="20"/>
                <w:color w:val="auto"/>
              </w:rPr>
            </w:pPr>
            <w:r>
              <w:rPr>
                <w:rFonts w:ascii="Arial" w:cs="Arial" w:eastAsia="Arial" w:hAnsi="Arial"/>
                <w:sz w:val="18"/>
                <w:szCs w:val="18"/>
                <w:color w:val="auto"/>
                <w:w w:val="89"/>
              </w:rPr>
              <w:t>February 15, 2013</w:t>
            </w:r>
          </w:p>
        </w:tc>
      </w:tr>
      <w:tr>
        <w:trPr>
          <w:trHeight w:val="27"/>
        </w:trPr>
        <w:tc>
          <w:tcPr>
            <w:tcW w:w="3780" w:type="dxa"/>
            <w:vAlign w:val="bottom"/>
            <w:tcBorders>
              <w:bottom w:val="single" w:sz="8" w:color="auto"/>
            </w:tcBorders>
          </w:tcPr>
          <w:p>
            <w:pPr>
              <w:spacing w:after="0"/>
              <w:rPr>
                <w:sz w:val="2"/>
                <w:szCs w:val="2"/>
                <w:color w:val="auto"/>
              </w:rPr>
            </w:pPr>
          </w:p>
        </w:tc>
        <w:tc>
          <w:tcPr>
            <w:tcW w:w="4520" w:type="dxa"/>
            <w:vAlign w:val="bottom"/>
          </w:tcPr>
          <w:p>
            <w:pPr>
              <w:spacing w:after="0"/>
              <w:rPr>
                <w:sz w:val="2"/>
                <w:szCs w:val="2"/>
                <w:color w:val="auto"/>
              </w:rPr>
            </w:pPr>
          </w:p>
        </w:tc>
        <w:tc>
          <w:tcPr>
            <w:tcW w:w="3120" w:type="dxa"/>
            <w:vAlign w:val="bottom"/>
          </w:tcPr>
          <w:p>
            <w:pPr>
              <w:spacing w:after="0"/>
              <w:rPr>
                <w:sz w:val="2"/>
                <w:szCs w:val="2"/>
                <w:color w:val="auto"/>
              </w:rPr>
            </w:pPr>
          </w:p>
        </w:tc>
      </w:tr>
      <w:tr>
        <w:trPr>
          <w:trHeight w:val="237"/>
        </w:trPr>
        <w:tc>
          <w:tcPr>
            <w:tcW w:w="3780" w:type="dxa"/>
            <w:vAlign w:val="bottom"/>
          </w:tcPr>
          <w:p>
            <w:pPr>
              <w:jc w:val="center"/>
              <w:spacing w:after="0"/>
              <w:rPr>
                <w:sz w:val="20"/>
                <w:szCs w:val="20"/>
                <w:color w:val="auto"/>
              </w:rPr>
            </w:pPr>
            <w:r>
              <w:rPr>
                <w:rFonts w:ascii="Arial" w:cs="Arial" w:eastAsia="Arial" w:hAnsi="Arial"/>
                <w:sz w:val="18"/>
                <w:szCs w:val="18"/>
                <w:color w:val="auto"/>
                <w:w w:val="85"/>
              </w:rPr>
              <w:t>James S. Haines, Jr.</w:t>
            </w:r>
          </w:p>
        </w:tc>
        <w:tc>
          <w:tcPr>
            <w:tcW w:w="4520" w:type="dxa"/>
            <w:vAlign w:val="bottom"/>
          </w:tcPr>
          <w:p>
            <w:pPr>
              <w:spacing w:after="0"/>
              <w:rPr>
                <w:sz w:val="20"/>
                <w:szCs w:val="20"/>
                <w:color w:val="auto"/>
              </w:rPr>
            </w:pPr>
          </w:p>
        </w:tc>
        <w:tc>
          <w:tcPr>
            <w:tcW w:w="3120" w:type="dxa"/>
            <w:vAlign w:val="bottom"/>
          </w:tcPr>
          <w:p>
            <w:pPr>
              <w:spacing w:after="0"/>
              <w:rPr>
                <w:sz w:val="20"/>
                <w:szCs w:val="20"/>
                <w:color w:val="auto"/>
              </w:rPr>
            </w:pPr>
          </w:p>
        </w:tc>
      </w:tr>
      <w:tr>
        <w:trPr>
          <w:trHeight w:val="540"/>
        </w:trPr>
        <w:tc>
          <w:tcPr>
            <w:tcW w:w="3780" w:type="dxa"/>
            <w:vAlign w:val="bottom"/>
          </w:tcPr>
          <w:p>
            <w:pPr>
              <w:jc w:val="center"/>
              <w:spacing w:after="0"/>
              <w:rPr>
                <w:sz w:val="20"/>
                <w:szCs w:val="20"/>
                <w:color w:val="auto"/>
              </w:rPr>
            </w:pPr>
            <w:r>
              <w:rPr>
                <w:rFonts w:ascii="Arial" w:cs="Arial" w:eastAsia="Arial" w:hAnsi="Arial"/>
                <w:sz w:val="18"/>
                <w:szCs w:val="18"/>
                <w:color w:val="auto"/>
                <w:w w:val="89"/>
              </w:rPr>
              <w:t>/s/ James J. Hoolihan</w:t>
            </w:r>
          </w:p>
        </w:tc>
        <w:tc>
          <w:tcPr>
            <w:tcW w:w="4520" w:type="dxa"/>
            <w:vAlign w:val="bottom"/>
          </w:tcPr>
          <w:p>
            <w:pPr>
              <w:jc w:val="center"/>
              <w:ind w:left="990"/>
              <w:spacing w:after="0"/>
              <w:rPr>
                <w:sz w:val="20"/>
                <w:szCs w:val="20"/>
                <w:color w:val="auto"/>
              </w:rPr>
            </w:pPr>
            <w:r>
              <w:rPr>
                <w:rFonts w:ascii="Arial" w:cs="Arial" w:eastAsia="Arial" w:hAnsi="Arial"/>
                <w:sz w:val="18"/>
                <w:szCs w:val="18"/>
                <w:color w:val="auto"/>
                <w:w w:val="95"/>
              </w:rPr>
              <w:t>Director</w:t>
            </w:r>
          </w:p>
        </w:tc>
        <w:tc>
          <w:tcPr>
            <w:tcW w:w="3120" w:type="dxa"/>
            <w:vAlign w:val="bottom"/>
          </w:tcPr>
          <w:p>
            <w:pPr>
              <w:jc w:val="center"/>
              <w:ind w:left="990"/>
              <w:spacing w:after="0"/>
              <w:rPr>
                <w:sz w:val="20"/>
                <w:szCs w:val="20"/>
                <w:color w:val="auto"/>
              </w:rPr>
            </w:pPr>
            <w:r>
              <w:rPr>
                <w:rFonts w:ascii="Arial" w:cs="Arial" w:eastAsia="Arial" w:hAnsi="Arial"/>
                <w:sz w:val="18"/>
                <w:szCs w:val="18"/>
                <w:color w:val="auto"/>
                <w:w w:val="89"/>
              </w:rPr>
              <w:t>February 15, 2013</w:t>
            </w:r>
          </w:p>
        </w:tc>
      </w:tr>
      <w:tr>
        <w:trPr>
          <w:trHeight w:val="27"/>
        </w:trPr>
        <w:tc>
          <w:tcPr>
            <w:tcW w:w="3780" w:type="dxa"/>
            <w:vAlign w:val="bottom"/>
            <w:tcBorders>
              <w:bottom w:val="single" w:sz="8" w:color="auto"/>
            </w:tcBorders>
          </w:tcPr>
          <w:p>
            <w:pPr>
              <w:spacing w:after="0"/>
              <w:rPr>
                <w:sz w:val="2"/>
                <w:szCs w:val="2"/>
                <w:color w:val="auto"/>
              </w:rPr>
            </w:pPr>
          </w:p>
        </w:tc>
        <w:tc>
          <w:tcPr>
            <w:tcW w:w="4520" w:type="dxa"/>
            <w:vAlign w:val="bottom"/>
          </w:tcPr>
          <w:p>
            <w:pPr>
              <w:spacing w:after="0"/>
              <w:rPr>
                <w:sz w:val="2"/>
                <w:szCs w:val="2"/>
                <w:color w:val="auto"/>
              </w:rPr>
            </w:pPr>
          </w:p>
        </w:tc>
        <w:tc>
          <w:tcPr>
            <w:tcW w:w="3120" w:type="dxa"/>
            <w:vAlign w:val="bottom"/>
          </w:tcPr>
          <w:p>
            <w:pPr>
              <w:spacing w:after="0"/>
              <w:rPr>
                <w:sz w:val="2"/>
                <w:szCs w:val="2"/>
                <w:color w:val="auto"/>
              </w:rPr>
            </w:pPr>
          </w:p>
        </w:tc>
      </w:tr>
      <w:tr>
        <w:trPr>
          <w:trHeight w:val="237"/>
        </w:trPr>
        <w:tc>
          <w:tcPr>
            <w:tcW w:w="3780" w:type="dxa"/>
            <w:vAlign w:val="bottom"/>
          </w:tcPr>
          <w:p>
            <w:pPr>
              <w:jc w:val="center"/>
              <w:spacing w:after="0"/>
              <w:rPr>
                <w:sz w:val="20"/>
                <w:szCs w:val="20"/>
                <w:color w:val="auto"/>
              </w:rPr>
            </w:pPr>
            <w:r>
              <w:rPr>
                <w:rFonts w:ascii="Arial" w:cs="Arial" w:eastAsia="Arial" w:hAnsi="Arial"/>
                <w:sz w:val="18"/>
                <w:szCs w:val="18"/>
                <w:color w:val="auto"/>
                <w:w w:val="87"/>
              </w:rPr>
              <w:t>James J. Hoolihan</w:t>
            </w:r>
          </w:p>
        </w:tc>
        <w:tc>
          <w:tcPr>
            <w:tcW w:w="4520" w:type="dxa"/>
            <w:vAlign w:val="bottom"/>
          </w:tcPr>
          <w:p>
            <w:pPr>
              <w:spacing w:after="0"/>
              <w:rPr>
                <w:sz w:val="20"/>
                <w:szCs w:val="20"/>
                <w:color w:val="auto"/>
              </w:rPr>
            </w:pPr>
          </w:p>
        </w:tc>
        <w:tc>
          <w:tcPr>
            <w:tcW w:w="3120" w:type="dxa"/>
            <w:vAlign w:val="bottom"/>
          </w:tcPr>
          <w:p>
            <w:pPr>
              <w:spacing w:after="0"/>
              <w:rPr>
                <w:sz w:val="20"/>
                <w:szCs w:val="20"/>
                <w:color w:val="auto"/>
              </w:rPr>
            </w:pPr>
          </w:p>
        </w:tc>
      </w:tr>
      <w:tr>
        <w:trPr>
          <w:trHeight w:val="540"/>
        </w:trPr>
        <w:tc>
          <w:tcPr>
            <w:tcW w:w="3780" w:type="dxa"/>
            <w:vAlign w:val="bottom"/>
          </w:tcPr>
          <w:p>
            <w:pPr>
              <w:jc w:val="center"/>
              <w:spacing w:after="0"/>
              <w:rPr>
                <w:sz w:val="20"/>
                <w:szCs w:val="20"/>
                <w:color w:val="auto"/>
              </w:rPr>
            </w:pPr>
            <w:r>
              <w:rPr>
                <w:rFonts w:ascii="Arial" w:cs="Arial" w:eastAsia="Arial" w:hAnsi="Arial"/>
                <w:sz w:val="18"/>
                <w:szCs w:val="18"/>
                <w:color w:val="auto"/>
                <w:w w:val="92"/>
              </w:rPr>
              <w:t>/s/ Madeleine W. Ludlow</w:t>
            </w:r>
          </w:p>
        </w:tc>
        <w:tc>
          <w:tcPr>
            <w:tcW w:w="4520" w:type="dxa"/>
            <w:vAlign w:val="bottom"/>
          </w:tcPr>
          <w:p>
            <w:pPr>
              <w:jc w:val="center"/>
              <w:ind w:left="990"/>
              <w:spacing w:after="0"/>
              <w:rPr>
                <w:sz w:val="20"/>
                <w:szCs w:val="20"/>
                <w:color w:val="auto"/>
              </w:rPr>
            </w:pPr>
            <w:r>
              <w:rPr>
                <w:rFonts w:ascii="Arial" w:cs="Arial" w:eastAsia="Arial" w:hAnsi="Arial"/>
                <w:sz w:val="18"/>
                <w:szCs w:val="18"/>
                <w:color w:val="auto"/>
                <w:w w:val="95"/>
              </w:rPr>
              <w:t>Director</w:t>
            </w:r>
          </w:p>
        </w:tc>
        <w:tc>
          <w:tcPr>
            <w:tcW w:w="3120" w:type="dxa"/>
            <w:vAlign w:val="bottom"/>
          </w:tcPr>
          <w:p>
            <w:pPr>
              <w:jc w:val="center"/>
              <w:ind w:left="990"/>
              <w:spacing w:after="0"/>
              <w:rPr>
                <w:sz w:val="20"/>
                <w:szCs w:val="20"/>
                <w:color w:val="auto"/>
              </w:rPr>
            </w:pPr>
            <w:r>
              <w:rPr>
                <w:rFonts w:ascii="Arial" w:cs="Arial" w:eastAsia="Arial" w:hAnsi="Arial"/>
                <w:sz w:val="18"/>
                <w:szCs w:val="18"/>
                <w:color w:val="auto"/>
                <w:w w:val="89"/>
              </w:rPr>
              <w:t>February 15, 2013</w:t>
            </w:r>
          </w:p>
        </w:tc>
      </w:tr>
      <w:tr>
        <w:trPr>
          <w:trHeight w:val="27"/>
        </w:trPr>
        <w:tc>
          <w:tcPr>
            <w:tcW w:w="3780" w:type="dxa"/>
            <w:vAlign w:val="bottom"/>
            <w:tcBorders>
              <w:bottom w:val="single" w:sz="8" w:color="auto"/>
            </w:tcBorders>
          </w:tcPr>
          <w:p>
            <w:pPr>
              <w:spacing w:after="0"/>
              <w:rPr>
                <w:sz w:val="2"/>
                <w:szCs w:val="2"/>
                <w:color w:val="auto"/>
              </w:rPr>
            </w:pPr>
          </w:p>
        </w:tc>
        <w:tc>
          <w:tcPr>
            <w:tcW w:w="4520" w:type="dxa"/>
            <w:vAlign w:val="bottom"/>
          </w:tcPr>
          <w:p>
            <w:pPr>
              <w:spacing w:after="0"/>
              <w:rPr>
                <w:sz w:val="2"/>
                <w:szCs w:val="2"/>
                <w:color w:val="auto"/>
              </w:rPr>
            </w:pPr>
          </w:p>
        </w:tc>
        <w:tc>
          <w:tcPr>
            <w:tcW w:w="3120" w:type="dxa"/>
            <w:vAlign w:val="bottom"/>
          </w:tcPr>
          <w:p>
            <w:pPr>
              <w:spacing w:after="0"/>
              <w:rPr>
                <w:sz w:val="2"/>
                <w:szCs w:val="2"/>
                <w:color w:val="auto"/>
              </w:rPr>
            </w:pPr>
          </w:p>
        </w:tc>
      </w:tr>
      <w:tr>
        <w:trPr>
          <w:trHeight w:val="237"/>
        </w:trPr>
        <w:tc>
          <w:tcPr>
            <w:tcW w:w="3780" w:type="dxa"/>
            <w:vAlign w:val="bottom"/>
          </w:tcPr>
          <w:p>
            <w:pPr>
              <w:jc w:val="center"/>
              <w:spacing w:after="0"/>
              <w:rPr>
                <w:sz w:val="20"/>
                <w:szCs w:val="20"/>
                <w:color w:val="auto"/>
              </w:rPr>
            </w:pPr>
            <w:r>
              <w:rPr>
                <w:rFonts w:ascii="Arial" w:cs="Arial" w:eastAsia="Arial" w:hAnsi="Arial"/>
                <w:sz w:val="18"/>
                <w:szCs w:val="18"/>
                <w:color w:val="auto"/>
                <w:w w:val="94"/>
              </w:rPr>
              <w:t>Madeleine W. Ludlow</w:t>
            </w:r>
          </w:p>
        </w:tc>
        <w:tc>
          <w:tcPr>
            <w:tcW w:w="4520" w:type="dxa"/>
            <w:vAlign w:val="bottom"/>
          </w:tcPr>
          <w:p>
            <w:pPr>
              <w:spacing w:after="0"/>
              <w:rPr>
                <w:sz w:val="20"/>
                <w:szCs w:val="20"/>
                <w:color w:val="auto"/>
              </w:rPr>
            </w:pPr>
          </w:p>
        </w:tc>
        <w:tc>
          <w:tcPr>
            <w:tcW w:w="3120" w:type="dxa"/>
            <w:vAlign w:val="bottom"/>
          </w:tcPr>
          <w:p>
            <w:pPr>
              <w:spacing w:after="0"/>
              <w:rPr>
                <w:sz w:val="20"/>
                <w:szCs w:val="20"/>
                <w:color w:val="auto"/>
              </w:rPr>
            </w:pPr>
          </w:p>
        </w:tc>
      </w:tr>
      <w:tr>
        <w:trPr>
          <w:trHeight w:val="540"/>
        </w:trPr>
        <w:tc>
          <w:tcPr>
            <w:tcW w:w="3780" w:type="dxa"/>
            <w:vAlign w:val="bottom"/>
          </w:tcPr>
          <w:p>
            <w:pPr>
              <w:jc w:val="center"/>
              <w:spacing w:after="0"/>
              <w:rPr>
                <w:sz w:val="20"/>
                <w:szCs w:val="20"/>
                <w:color w:val="auto"/>
              </w:rPr>
            </w:pPr>
            <w:r>
              <w:rPr>
                <w:rFonts w:ascii="Arial" w:cs="Arial" w:eastAsia="Arial" w:hAnsi="Arial"/>
                <w:sz w:val="18"/>
                <w:szCs w:val="18"/>
                <w:color w:val="auto"/>
                <w:w w:val="91"/>
              </w:rPr>
              <w:t>/s/ Douglas C. Neve</w:t>
            </w:r>
          </w:p>
        </w:tc>
        <w:tc>
          <w:tcPr>
            <w:tcW w:w="4520" w:type="dxa"/>
            <w:vAlign w:val="bottom"/>
          </w:tcPr>
          <w:p>
            <w:pPr>
              <w:jc w:val="center"/>
              <w:ind w:left="990"/>
              <w:spacing w:after="0"/>
              <w:rPr>
                <w:sz w:val="20"/>
                <w:szCs w:val="20"/>
                <w:color w:val="auto"/>
              </w:rPr>
            </w:pPr>
            <w:r>
              <w:rPr>
                <w:rFonts w:ascii="Arial" w:cs="Arial" w:eastAsia="Arial" w:hAnsi="Arial"/>
                <w:sz w:val="18"/>
                <w:szCs w:val="18"/>
                <w:color w:val="auto"/>
                <w:w w:val="95"/>
              </w:rPr>
              <w:t>Director</w:t>
            </w:r>
          </w:p>
        </w:tc>
        <w:tc>
          <w:tcPr>
            <w:tcW w:w="3120" w:type="dxa"/>
            <w:vAlign w:val="bottom"/>
          </w:tcPr>
          <w:p>
            <w:pPr>
              <w:jc w:val="center"/>
              <w:ind w:left="990"/>
              <w:spacing w:after="0"/>
              <w:rPr>
                <w:sz w:val="20"/>
                <w:szCs w:val="20"/>
                <w:color w:val="auto"/>
              </w:rPr>
            </w:pPr>
            <w:r>
              <w:rPr>
                <w:rFonts w:ascii="Arial" w:cs="Arial" w:eastAsia="Arial" w:hAnsi="Arial"/>
                <w:sz w:val="18"/>
                <w:szCs w:val="18"/>
                <w:color w:val="auto"/>
                <w:w w:val="89"/>
              </w:rPr>
              <w:t>February 15, 2013</w:t>
            </w:r>
          </w:p>
        </w:tc>
      </w:tr>
      <w:tr>
        <w:trPr>
          <w:trHeight w:val="27"/>
        </w:trPr>
        <w:tc>
          <w:tcPr>
            <w:tcW w:w="3780" w:type="dxa"/>
            <w:vAlign w:val="bottom"/>
            <w:tcBorders>
              <w:bottom w:val="single" w:sz="8" w:color="auto"/>
            </w:tcBorders>
          </w:tcPr>
          <w:p>
            <w:pPr>
              <w:spacing w:after="0"/>
              <w:rPr>
                <w:sz w:val="2"/>
                <w:szCs w:val="2"/>
                <w:color w:val="auto"/>
              </w:rPr>
            </w:pPr>
          </w:p>
        </w:tc>
        <w:tc>
          <w:tcPr>
            <w:tcW w:w="4520" w:type="dxa"/>
            <w:vAlign w:val="bottom"/>
          </w:tcPr>
          <w:p>
            <w:pPr>
              <w:spacing w:after="0"/>
              <w:rPr>
                <w:sz w:val="2"/>
                <w:szCs w:val="2"/>
                <w:color w:val="auto"/>
              </w:rPr>
            </w:pPr>
          </w:p>
        </w:tc>
        <w:tc>
          <w:tcPr>
            <w:tcW w:w="3120" w:type="dxa"/>
            <w:vAlign w:val="bottom"/>
          </w:tcPr>
          <w:p>
            <w:pPr>
              <w:spacing w:after="0"/>
              <w:rPr>
                <w:sz w:val="2"/>
                <w:szCs w:val="2"/>
                <w:color w:val="auto"/>
              </w:rPr>
            </w:pPr>
          </w:p>
        </w:tc>
      </w:tr>
      <w:tr>
        <w:trPr>
          <w:trHeight w:val="237"/>
        </w:trPr>
        <w:tc>
          <w:tcPr>
            <w:tcW w:w="3780" w:type="dxa"/>
            <w:vAlign w:val="bottom"/>
          </w:tcPr>
          <w:p>
            <w:pPr>
              <w:jc w:val="center"/>
              <w:spacing w:after="0"/>
              <w:rPr>
                <w:sz w:val="20"/>
                <w:szCs w:val="20"/>
                <w:color w:val="auto"/>
              </w:rPr>
            </w:pPr>
            <w:r>
              <w:rPr>
                <w:rFonts w:ascii="Arial" w:cs="Arial" w:eastAsia="Arial" w:hAnsi="Arial"/>
                <w:sz w:val="18"/>
                <w:szCs w:val="18"/>
                <w:color w:val="auto"/>
                <w:w w:val="89"/>
              </w:rPr>
              <w:t>Douglas C. Neve</w:t>
            </w:r>
          </w:p>
        </w:tc>
        <w:tc>
          <w:tcPr>
            <w:tcW w:w="4520" w:type="dxa"/>
            <w:vAlign w:val="bottom"/>
          </w:tcPr>
          <w:p>
            <w:pPr>
              <w:spacing w:after="0"/>
              <w:rPr>
                <w:sz w:val="20"/>
                <w:szCs w:val="20"/>
                <w:color w:val="auto"/>
              </w:rPr>
            </w:pPr>
          </w:p>
        </w:tc>
        <w:tc>
          <w:tcPr>
            <w:tcW w:w="3120" w:type="dxa"/>
            <w:vAlign w:val="bottom"/>
          </w:tcPr>
          <w:p>
            <w:pPr>
              <w:spacing w:after="0"/>
              <w:rPr>
                <w:sz w:val="20"/>
                <w:szCs w:val="20"/>
                <w:color w:val="auto"/>
              </w:rPr>
            </w:pPr>
          </w:p>
        </w:tc>
      </w:tr>
      <w:tr>
        <w:trPr>
          <w:trHeight w:val="540"/>
        </w:trPr>
        <w:tc>
          <w:tcPr>
            <w:tcW w:w="3780" w:type="dxa"/>
            <w:vAlign w:val="bottom"/>
          </w:tcPr>
          <w:p>
            <w:pPr>
              <w:jc w:val="center"/>
              <w:spacing w:after="0"/>
              <w:rPr>
                <w:sz w:val="20"/>
                <w:szCs w:val="20"/>
                <w:color w:val="auto"/>
              </w:rPr>
            </w:pPr>
            <w:r>
              <w:rPr>
                <w:rFonts w:ascii="Arial" w:cs="Arial" w:eastAsia="Arial" w:hAnsi="Arial"/>
                <w:sz w:val="18"/>
                <w:szCs w:val="18"/>
                <w:color w:val="auto"/>
                <w:w w:val="90"/>
              </w:rPr>
              <w:t>/s/ Leonard C. Rodman</w:t>
            </w:r>
          </w:p>
        </w:tc>
        <w:tc>
          <w:tcPr>
            <w:tcW w:w="4520" w:type="dxa"/>
            <w:vAlign w:val="bottom"/>
          </w:tcPr>
          <w:p>
            <w:pPr>
              <w:jc w:val="center"/>
              <w:ind w:left="990"/>
              <w:spacing w:after="0"/>
              <w:rPr>
                <w:sz w:val="20"/>
                <w:szCs w:val="20"/>
                <w:color w:val="auto"/>
              </w:rPr>
            </w:pPr>
            <w:r>
              <w:rPr>
                <w:rFonts w:ascii="Arial" w:cs="Arial" w:eastAsia="Arial" w:hAnsi="Arial"/>
                <w:sz w:val="18"/>
                <w:szCs w:val="18"/>
                <w:color w:val="auto"/>
                <w:w w:val="95"/>
              </w:rPr>
              <w:t>Director</w:t>
            </w:r>
          </w:p>
        </w:tc>
        <w:tc>
          <w:tcPr>
            <w:tcW w:w="3120" w:type="dxa"/>
            <w:vAlign w:val="bottom"/>
          </w:tcPr>
          <w:p>
            <w:pPr>
              <w:jc w:val="center"/>
              <w:ind w:left="990"/>
              <w:spacing w:after="0"/>
              <w:rPr>
                <w:sz w:val="20"/>
                <w:szCs w:val="20"/>
                <w:color w:val="auto"/>
              </w:rPr>
            </w:pPr>
            <w:r>
              <w:rPr>
                <w:rFonts w:ascii="Arial" w:cs="Arial" w:eastAsia="Arial" w:hAnsi="Arial"/>
                <w:sz w:val="18"/>
                <w:szCs w:val="18"/>
                <w:color w:val="auto"/>
                <w:w w:val="89"/>
              </w:rPr>
              <w:t>February 15, 2013</w:t>
            </w:r>
          </w:p>
        </w:tc>
      </w:tr>
      <w:tr>
        <w:trPr>
          <w:trHeight w:val="27"/>
        </w:trPr>
        <w:tc>
          <w:tcPr>
            <w:tcW w:w="3780" w:type="dxa"/>
            <w:vAlign w:val="bottom"/>
            <w:tcBorders>
              <w:bottom w:val="single" w:sz="8" w:color="auto"/>
            </w:tcBorders>
          </w:tcPr>
          <w:p>
            <w:pPr>
              <w:spacing w:after="0"/>
              <w:rPr>
                <w:sz w:val="2"/>
                <w:szCs w:val="2"/>
                <w:color w:val="auto"/>
              </w:rPr>
            </w:pPr>
          </w:p>
        </w:tc>
        <w:tc>
          <w:tcPr>
            <w:tcW w:w="4520" w:type="dxa"/>
            <w:vAlign w:val="bottom"/>
          </w:tcPr>
          <w:p>
            <w:pPr>
              <w:spacing w:after="0"/>
              <w:rPr>
                <w:sz w:val="2"/>
                <w:szCs w:val="2"/>
                <w:color w:val="auto"/>
              </w:rPr>
            </w:pPr>
          </w:p>
        </w:tc>
        <w:tc>
          <w:tcPr>
            <w:tcW w:w="3120" w:type="dxa"/>
            <w:vAlign w:val="bottom"/>
          </w:tcPr>
          <w:p>
            <w:pPr>
              <w:spacing w:after="0"/>
              <w:rPr>
                <w:sz w:val="2"/>
                <w:szCs w:val="2"/>
                <w:color w:val="auto"/>
              </w:rPr>
            </w:pPr>
          </w:p>
        </w:tc>
      </w:tr>
      <w:tr>
        <w:trPr>
          <w:trHeight w:val="237"/>
        </w:trPr>
        <w:tc>
          <w:tcPr>
            <w:tcW w:w="3780" w:type="dxa"/>
            <w:vAlign w:val="bottom"/>
          </w:tcPr>
          <w:p>
            <w:pPr>
              <w:jc w:val="center"/>
              <w:spacing w:after="0"/>
              <w:rPr>
                <w:sz w:val="20"/>
                <w:szCs w:val="20"/>
                <w:color w:val="auto"/>
              </w:rPr>
            </w:pPr>
            <w:r>
              <w:rPr>
                <w:rFonts w:ascii="Arial" w:cs="Arial" w:eastAsia="Arial" w:hAnsi="Arial"/>
                <w:sz w:val="18"/>
                <w:szCs w:val="18"/>
                <w:color w:val="auto"/>
                <w:w w:val="90"/>
              </w:rPr>
              <w:t>Leonard C. Rodman</w:t>
            </w:r>
          </w:p>
        </w:tc>
        <w:tc>
          <w:tcPr>
            <w:tcW w:w="4520" w:type="dxa"/>
            <w:vAlign w:val="bottom"/>
          </w:tcPr>
          <w:p>
            <w:pPr>
              <w:spacing w:after="0"/>
              <w:rPr>
                <w:sz w:val="20"/>
                <w:szCs w:val="20"/>
                <w:color w:val="auto"/>
              </w:rPr>
            </w:pPr>
          </w:p>
        </w:tc>
        <w:tc>
          <w:tcPr>
            <w:tcW w:w="3120" w:type="dxa"/>
            <w:vAlign w:val="bottom"/>
          </w:tcPr>
          <w:p>
            <w:pPr>
              <w:spacing w:after="0"/>
              <w:rPr>
                <w:sz w:val="20"/>
                <w:szCs w:val="20"/>
                <w:color w:val="auto"/>
              </w:rPr>
            </w:pPr>
          </w:p>
        </w:tc>
      </w:tr>
      <w:tr>
        <w:trPr>
          <w:trHeight w:val="540"/>
        </w:trPr>
        <w:tc>
          <w:tcPr>
            <w:tcW w:w="3780" w:type="dxa"/>
            <w:vAlign w:val="bottom"/>
          </w:tcPr>
          <w:p>
            <w:pPr>
              <w:jc w:val="center"/>
              <w:spacing w:after="0"/>
              <w:rPr>
                <w:sz w:val="20"/>
                <w:szCs w:val="20"/>
                <w:color w:val="auto"/>
              </w:rPr>
            </w:pPr>
            <w:r>
              <w:rPr>
                <w:rFonts w:ascii="Arial" w:cs="Arial" w:eastAsia="Arial" w:hAnsi="Arial"/>
                <w:sz w:val="18"/>
                <w:szCs w:val="18"/>
                <w:color w:val="auto"/>
                <w:w w:val="89"/>
              </w:rPr>
              <w:t>/s/ Bruce W. Stender</w:t>
            </w:r>
          </w:p>
        </w:tc>
        <w:tc>
          <w:tcPr>
            <w:tcW w:w="4520" w:type="dxa"/>
            <w:vAlign w:val="bottom"/>
          </w:tcPr>
          <w:p>
            <w:pPr>
              <w:jc w:val="center"/>
              <w:ind w:left="990"/>
              <w:spacing w:after="0"/>
              <w:rPr>
                <w:sz w:val="20"/>
                <w:szCs w:val="20"/>
                <w:color w:val="auto"/>
              </w:rPr>
            </w:pPr>
            <w:r>
              <w:rPr>
                <w:rFonts w:ascii="Arial" w:cs="Arial" w:eastAsia="Arial" w:hAnsi="Arial"/>
                <w:sz w:val="18"/>
                <w:szCs w:val="18"/>
                <w:color w:val="auto"/>
                <w:w w:val="95"/>
              </w:rPr>
              <w:t>Director</w:t>
            </w:r>
          </w:p>
        </w:tc>
        <w:tc>
          <w:tcPr>
            <w:tcW w:w="3120" w:type="dxa"/>
            <w:vAlign w:val="bottom"/>
          </w:tcPr>
          <w:p>
            <w:pPr>
              <w:jc w:val="center"/>
              <w:ind w:left="990"/>
              <w:spacing w:after="0"/>
              <w:rPr>
                <w:sz w:val="20"/>
                <w:szCs w:val="20"/>
                <w:color w:val="auto"/>
              </w:rPr>
            </w:pPr>
            <w:r>
              <w:rPr>
                <w:rFonts w:ascii="Arial" w:cs="Arial" w:eastAsia="Arial" w:hAnsi="Arial"/>
                <w:sz w:val="18"/>
                <w:szCs w:val="18"/>
                <w:color w:val="auto"/>
                <w:w w:val="89"/>
              </w:rPr>
              <w:t>February 15, 2013</w:t>
            </w:r>
          </w:p>
        </w:tc>
      </w:tr>
      <w:tr>
        <w:trPr>
          <w:trHeight w:val="27"/>
        </w:trPr>
        <w:tc>
          <w:tcPr>
            <w:tcW w:w="3780" w:type="dxa"/>
            <w:vAlign w:val="bottom"/>
            <w:tcBorders>
              <w:bottom w:val="single" w:sz="8" w:color="auto"/>
            </w:tcBorders>
          </w:tcPr>
          <w:p>
            <w:pPr>
              <w:spacing w:after="0"/>
              <w:rPr>
                <w:sz w:val="2"/>
                <w:szCs w:val="2"/>
                <w:color w:val="auto"/>
              </w:rPr>
            </w:pPr>
          </w:p>
        </w:tc>
        <w:tc>
          <w:tcPr>
            <w:tcW w:w="4520" w:type="dxa"/>
            <w:vAlign w:val="bottom"/>
          </w:tcPr>
          <w:p>
            <w:pPr>
              <w:spacing w:after="0"/>
              <w:rPr>
                <w:sz w:val="2"/>
                <w:szCs w:val="2"/>
                <w:color w:val="auto"/>
              </w:rPr>
            </w:pPr>
          </w:p>
        </w:tc>
        <w:tc>
          <w:tcPr>
            <w:tcW w:w="3120" w:type="dxa"/>
            <w:vAlign w:val="bottom"/>
          </w:tcPr>
          <w:p>
            <w:pPr>
              <w:spacing w:after="0"/>
              <w:rPr>
                <w:sz w:val="2"/>
                <w:szCs w:val="2"/>
                <w:color w:val="auto"/>
              </w:rPr>
            </w:pPr>
          </w:p>
        </w:tc>
      </w:tr>
      <w:tr>
        <w:trPr>
          <w:trHeight w:val="237"/>
        </w:trPr>
        <w:tc>
          <w:tcPr>
            <w:tcW w:w="3780" w:type="dxa"/>
            <w:vAlign w:val="bottom"/>
          </w:tcPr>
          <w:p>
            <w:pPr>
              <w:jc w:val="center"/>
              <w:spacing w:after="0"/>
              <w:rPr>
                <w:sz w:val="20"/>
                <w:szCs w:val="20"/>
                <w:color w:val="auto"/>
              </w:rPr>
            </w:pPr>
            <w:r>
              <w:rPr>
                <w:rFonts w:ascii="Arial" w:cs="Arial" w:eastAsia="Arial" w:hAnsi="Arial"/>
                <w:sz w:val="18"/>
                <w:szCs w:val="18"/>
                <w:color w:val="auto"/>
                <w:w w:val="88"/>
              </w:rPr>
              <w:t>Bruce W. Stender</w:t>
            </w:r>
          </w:p>
        </w:tc>
        <w:tc>
          <w:tcPr>
            <w:tcW w:w="4520" w:type="dxa"/>
            <w:vAlign w:val="bottom"/>
          </w:tcPr>
          <w:p>
            <w:pPr>
              <w:spacing w:after="0"/>
              <w:rPr>
                <w:sz w:val="20"/>
                <w:szCs w:val="20"/>
                <w:color w:val="auto"/>
              </w:rPr>
            </w:pPr>
          </w:p>
        </w:tc>
        <w:tc>
          <w:tcPr>
            <w:tcW w:w="3120" w:type="dxa"/>
            <w:vAlign w:val="bottom"/>
          </w:tcPr>
          <w:p>
            <w:pPr>
              <w:spacing w:after="0"/>
              <w:rPr>
                <w:sz w:val="20"/>
                <w:szCs w:val="20"/>
                <w:color w:val="auto"/>
              </w:rPr>
            </w:pPr>
          </w:p>
        </w:tc>
      </w:tr>
      <w:tr>
        <w:trPr>
          <w:trHeight w:val="688"/>
        </w:trPr>
        <w:tc>
          <w:tcPr>
            <w:tcW w:w="3780" w:type="dxa"/>
            <w:vAlign w:val="bottom"/>
          </w:tcPr>
          <w:p>
            <w:pPr>
              <w:spacing w:after="0"/>
              <w:rPr>
                <w:sz w:val="24"/>
                <w:szCs w:val="24"/>
                <w:color w:val="auto"/>
              </w:rPr>
            </w:pPr>
          </w:p>
        </w:tc>
        <w:tc>
          <w:tcPr>
            <w:tcW w:w="4520" w:type="dxa"/>
            <w:vAlign w:val="bottom"/>
          </w:tcPr>
          <w:p>
            <w:pPr>
              <w:jc w:val="center"/>
              <w:ind w:right="570"/>
              <w:spacing w:after="0"/>
              <w:rPr>
                <w:sz w:val="20"/>
                <w:szCs w:val="20"/>
                <w:color w:val="auto"/>
              </w:rPr>
            </w:pPr>
            <w:r>
              <w:rPr>
                <w:rFonts w:ascii="Arial" w:cs="Arial" w:eastAsia="Arial" w:hAnsi="Arial"/>
                <w:sz w:val="18"/>
                <w:szCs w:val="18"/>
                <w:color w:val="auto"/>
                <w:w w:val="95"/>
              </w:rPr>
              <w:t>ALLETE 2012 Form 10-K</w:t>
            </w:r>
          </w:p>
        </w:tc>
        <w:tc>
          <w:tcPr>
            <w:tcW w:w="3120" w:type="dxa"/>
            <w:vAlign w:val="bottom"/>
          </w:tcPr>
          <w:p>
            <w:pPr>
              <w:spacing w:after="0"/>
              <w:rPr>
                <w:sz w:val="24"/>
                <w:szCs w:val="24"/>
                <w:color w:val="auto"/>
              </w:rPr>
            </w:pPr>
          </w:p>
        </w:tc>
      </w:tr>
      <w:tr>
        <w:trPr>
          <w:trHeight w:val="230"/>
        </w:trPr>
        <w:tc>
          <w:tcPr>
            <w:tcW w:w="3780" w:type="dxa"/>
            <w:vAlign w:val="bottom"/>
          </w:tcPr>
          <w:p>
            <w:pPr>
              <w:spacing w:after="0"/>
              <w:rPr>
                <w:sz w:val="20"/>
                <w:szCs w:val="20"/>
                <w:color w:val="auto"/>
              </w:rPr>
            </w:pPr>
          </w:p>
        </w:tc>
        <w:tc>
          <w:tcPr>
            <w:tcW w:w="4520" w:type="dxa"/>
            <w:vAlign w:val="bottom"/>
          </w:tcPr>
          <w:p>
            <w:pPr>
              <w:jc w:val="center"/>
              <w:ind w:right="570"/>
              <w:spacing w:after="0"/>
              <w:rPr>
                <w:sz w:val="20"/>
                <w:szCs w:val="20"/>
                <w:color w:val="auto"/>
              </w:rPr>
            </w:pPr>
            <w:r>
              <w:rPr>
                <w:rFonts w:ascii="Arial" w:cs="Arial" w:eastAsia="Arial" w:hAnsi="Arial"/>
                <w:sz w:val="18"/>
                <w:szCs w:val="18"/>
                <w:color w:val="auto"/>
                <w:w w:val="89"/>
              </w:rPr>
              <w:t>63</w:t>
            </w:r>
          </w:p>
        </w:tc>
        <w:tc>
          <w:tcPr>
            <w:tcW w:w="3120" w:type="dxa"/>
            <w:vAlign w:val="bottom"/>
          </w:tcPr>
          <w:p>
            <w:pPr>
              <w:spacing w:after="0"/>
              <w:rPr>
                <w:sz w:val="20"/>
                <w:szCs w:val="20"/>
                <w:color w:val="auto"/>
              </w:rPr>
            </w:pPr>
          </w:p>
        </w:tc>
      </w:tr>
    </w:tbl>
    <w:p>
      <w:pPr>
        <w:sectPr>
          <w:pgSz w:w="11900" w:h="16838" w:orient="portrait"/>
          <w:cols w:equalWidth="0" w:num="1">
            <w:col w:w="11420"/>
          </w:cols>
          <w:pgMar w:left="240" w:top="364" w:right="239" w:bottom="1440" w:gutter="0" w:footer="0" w:header="0"/>
        </w:sectPr>
      </w:pPr>
    </w:p>
    <w:bookmarkStart w:id="63" w:name="page64"/>
    <w:bookmarkEnd w:id="63"/>
    <w:p>
      <w:pPr>
        <w:ind w:left="34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 ALLETE, Inc:</w:t>
      </w:r>
    </w:p>
    <w:p>
      <w:pPr>
        <w:spacing w:after="0" w:line="225"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 xml:space="preserve">In our opinion, the accompanying consolidated financial statements listed in the index appearing under Item 15(a)(1) present fairly, in all material respects, the financial position of ALLETE, Inc. and its subsidiaries (the Company) at December 31, 2012 and 2011, and the results of their operations and their cash flows for each of the three years in the period ended December 31, 2012 in conformity with accounting principles generally accepted in the United States of America. In addition, in our opinion, the financial statement schedule listed in the index appearing under Item 15(a)(2) presents fairly, in all material respects, the information set forth therein when read in conjunction with the related consolidated financial statements. Also in our opinion, the Company maintained, in all material respects, effective internal control over financial reporting as of December 31, 2012, based on criteria established in </w:t>
      </w:r>
      <w:r>
        <w:rPr>
          <w:rFonts w:ascii="Arial" w:cs="Arial" w:eastAsia="Arial" w:hAnsi="Arial"/>
          <w:sz w:val="16"/>
          <w:szCs w:val="16"/>
          <w:i w:val="1"/>
          <w:iCs w:val="1"/>
          <w:color w:val="auto"/>
        </w:rPr>
        <w:t>Internal Control - Integrated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Framework </w:t>
      </w:r>
      <w:r>
        <w:rPr>
          <w:rFonts w:ascii="Arial" w:cs="Arial" w:eastAsia="Arial" w:hAnsi="Arial"/>
          <w:sz w:val="16"/>
          <w:szCs w:val="16"/>
          <w:color w:val="auto"/>
        </w:rPr>
        <w:t>issued by the Committee of Sponsoring Organizations of the Treadway Commission (COSO). The Company’s management is responsible for</w:t>
      </w:r>
      <w:r>
        <w:rPr>
          <w:rFonts w:ascii="Arial" w:cs="Arial" w:eastAsia="Arial" w:hAnsi="Arial"/>
          <w:sz w:val="16"/>
          <w:szCs w:val="16"/>
          <w:i w:val="1"/>
          <w:iCs w:val="1"/>
          <w:color w:val="auto"/>
        </w:rPr>
        <w:t xml:space="preserve"> </w:t>
      </w:r>
      <w:r>
        <w:rPr>
          <w:rFonts w:ascii="Arial" w:cs="Arial" w:eastAsia="Arial" w:hAnsi="Arial"/>
          <w:sz w:val="16"/>
          <w:szCs w:val="16"/>
          <w:color w:val="auto"/>
        </w:rPr>
        <w:t>these financial statements and financial statement schedule,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these financial statements, on the financial statement schedule, and on the Company’s internal control over financial reporting based on our integrated audits. 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7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15, 2013</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2012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580" w:right="23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color w:val="auto"/>
        </w:rPr>
        <w:t>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ALLETE Consolidated Balance Sheet</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20" w:type="dxa"/>
            <w:vAlign w:val="bottom"/>
          </w:tcPr>
          <w:p>
            <w:pPr>
              <w:ind w:left="40"/>
              <w:spacing w:after="0"/>
              <w:rPr>
                <w:sz w:val="20"/>
                <w:szCs w:val="20"/>
                <w:color w:val="auto"/>
              </w:rPr>
            </w:pPr>
            <w:r>
              <w:rPr>
                <w:rFonts w:ascii="Arial" w:cs="Arial" w:eastAsia="Arial" w:hAnsi="Arial"/>
                <w:sz w:val="18"/>
                <w:szCs w:val="18"/>
                <w:b w:val="1"/>
                <w:bCs w:val="1"/>
                <w:color w:val="auto"/>
              </w:rPr>
              <w:t>As of December 31</w:t>
            </w:r>
          </w:p>
        </w:tc>
        <w:tc>
          <w:tcPr>
            <w:tcW w:w="28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2012</w:t>
            </w: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2011</w:t>
            </w:r>
          </w:p>
        </w:tc>
      </w:tr>
      <w:tr>
        <w:trPr>
          <w:trHeight w:val="27"/>
        </w:trPr>
        <w:tc>
          <w:tcPr>
            <w:tcW w:w="7420" w:type="dxa"/>
            <w:vAlign w:val="bottom"/>
            <w:tcBorders>
              <w:bottom w:val="single" w:sz="8" w:color="auto"/>
            </w:tcBorders>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742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8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7"/>
        </w:trPr>
        <w:tc>
          <w:tcPr>
            <w:tcW w:w="74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8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742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88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74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28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$80.8</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$101.1</w:t>
            </w:r>
          </w:p>
        </w:tc>
      </w:tr>
      <w:tr>
        <w:trPr>
          <w:trHeight w:val="243"/>
        </w:trPr>
        <w:tc>
          <w:tcPr>
            <w:tcW w:w="7420" w:type="dxa"/>
            <w:vAlign w:val="bottom"/>
          </w:tcPr>
          <w:p>
            <w:pPr>
              <w:ind w:left="280"/>
              <w:spacing w:after="0"/>
              <w:rPr>
                <w:sz w:val="20"/>
                <w:szCs w:val="20"/>
                <w:color w:val="auto"/>
              </w:rPr>
            </w:pPr>
            <w:r>
              <w:rPr>
                <w:rFonts w:ascii="Arial" w:cs="Arial" w:eastAsia="Arial" w:hAnsi="Arial"/>
                <w:sz w:val="18"/>
                <w:szCs w:val="18"/>
                <w:color w:val="auto"/>
              </w:rPr>
              <w:t>Accounts Receivable (Less Allowance of $1.0 and $0.9)</w:t>
            </w:r>
          </w:p>
        </w:tc>
        <w:tc>
          <w:tcPr>
            <w:tcW w:w="2880" w:type="dxa"/>
            <w:vAlign w:val="bottom"/>
          </w:tcPr>
          <w:p>
            <w:pPr>
              <w:jc w:val="right"/>
              <w:ind w:right="370"/>
              <w:spacing w:after="0"/>
              <w:rPr>
                <w:sz w:val="20"/>
                <w:szCs w:val="20"/>
                <w:color w:val="auto"/>
              </w:rPr>
            </w:pPr>
            <w:r>
              <w:rPr>
                <w:rFonts w:ascii="Arial" w:cs="Arial" w:eastAsia="Arial" w:hAnsi="Arial"/>
                <w:sz w:val="18"/>
                <w:szCs w:val="18"/>
                <w:color w:val="auto"/>
              </w:rPr>
              <w:t>89.0</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79.7</w:t>
            </w:r>
          </w:p>
        </w:tc>
      </w:tr>
      <w:tr>
        <w:trPr>
          <w:trHeight w:val="27"/>
        </w:trPr>
        <w:tc>
          <w:tcPr>
            <w:tcW w:w="74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Inventories</w:t>
            </w:r>
          </w:p>
        </w:tc>
        <w:tc>
          <w:tcPr>
            <w:tcW w:w="28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69.8</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69.1</w:t>
            </w:r>
          </w:p>
        </w:tc>
      </w:tr>
      <w:tr>
        <w:trPr>
          <w:trHeight w:val="243"/>
        </w:trPr>
        <w:tc>
          <w:tcPr>
            <w:tcW w:w="7420" w:type="dxa"/>
            <w:vAlign w:val="bottom"/>
          </w:tcPr>
          <w:p>
            <w:pPr>
              <w:ind w:left="280"/>
              <w:spacing w:after="0"/>
              <w:rPr>
                <w:sz w:val="20"/>
                <w:szCs w:val="20"/>
                <w:color w:val="auto"/>
              </w:rPr>
            </w:pPr>
            <w:r>
              <w:rPr>
                <w:rFonts w:ascii="Arial" w:cs="Arial" w:eastAsia="Arial" w:hAnsi="Arial"/>
                <w:sz w:val="18"/>
                <w:szCs w:val="18"/>
                <w:color w:val="auto"/>
              </w:rPr>
              <w:t>Prepayments and Other</w:t>
            </w:r>
          </w:p>
        </w:tc>
        <w:tc>
          <w:tcPr>
            <w:tcW w:w="2880" w:type="dxa"/>
            <w:vAlign w:val="bottom"/>
          </w:tcPr>
          <w:p>
            <w:pPr>
              <w:jc w:val="right"/>
              <w:ind w:right="370"/>
              <w:spacing w:after="0"/>
              <w:rPr>
                <w:sz w:val="20"/>
                <w:szCs w:val="20"/>
                <w:color w:val="auto"/>
              </w:rPr>
            </w:pPr>
            <w:r>
              <w:rPr>
                <w:rFonts w:ascii="Arial" w:cs="Arial" w:eastAsia="Arial" w:hAnsi="Arial"/>
                <w:sz w:val="18"/>
                <w:szCs w:val="18"/>
                <w:color w:val="auto"/>
              </w:rPr>
              <w:t>33.6</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27.1</w:t>
            </w:r>
          </w:p>
        </w:tc>
      </w:tr>
      <w:tr>
        <w:trPr>
          <w:trHeight w:val="27"/>
        </w:trPr>
        <w:tc>
          <w:tcPr>
            <w:tcW w:w="7420" w:type="dxa"/>
            <w:vAlign w:val="bottom"/>
            <w:tcBorders>
              <w:bottom w:val="single" w:sz="8" w:color="auto"/>
            </w:tcBorders>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74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Current Assets</w:t>
            </w:r>
          </w:p>
        </w:tc>
        <w:tc>
          <w:tcPr>
            <w:tcW w:w="28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273.2</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277.0</w:t>
            </w:r>
          </w:p>
        </w:tc>
      </w:tr>
      <w:tr>
        <w:trPr>
          <w:trHeight w:val="243"/>
        </w:trPr>
        <w:tc>
          <w:tcPr>
            <w:tcW w:w="7420" w:type="dxa"/>
            <w:vAlign w:val="bottom"/>
          </w:tcPr>
          <w:p>
            <w:pPr>
              <w:ind w:left="40"/>
              <w:spacing w:after="0"/>
              <w:rPr>
                <w:sz w:val="20"/>
                <w:szCs w:val="20"/>
                <w:color w:val="auto"/>
              </w:rPr>
            </w:pPr>
            <w:r>
              <w:rPr>
                <w:rFonts w:ascii="Arial" w:cs="Arial" w:eastAsia="Arial" w:hAnsi="Arial"/>
                <w:sz w:val="18"/>
                <w:szCs w:val="18"/>
                <w:color w:val="auto"/>
              </w:rPr>
              <w:t>Property, Plant and Equipment – Net</w:t>
            </w:r>
          </w:p>
        </w:tc>
        <w:tc>
          <w:tcPr>
            <w:tcW w:w="2880" w:type="dxa"/>
            <w:vAlign w:val="bottom"/>
          </w:tcPr>
          <w:p>
            <w:pPr>
              <w:jc w:val="right"/>
              <w:ind w:right="370"/>
              <w:spacing w:after="0"/>
              <w:rPr>
                <w:sz w:val="20"/>
                <w:szCs w:val="20"/>
                <w:color w:val="auto"/>
              </w:rPr>
            </w:pPr>
            <w:r>
              <w:rPr>
                <w:rFonts w:ascii="Arial" w:cs="Arial" w:eastAsia="Arial" w:hAnsi="Arial"/>
                <w:sz w:val="18"/>
                <w:szCs w:val="18"/>
                <w:color w:val="auto"/>
              </w:rPr>
              <w:t>2,347.6</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1,982.7</w:t>
            </w:r>
          </w:p>
        </w:tc>
      </w:tr>
      <w:tr>
        <w:trPr>
          <w:trHeight w:val="27"/>
        </w:trPr>
        <w:tc>
          <w:tcPr>
            <w:tcW w:w="74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Regulatory Assets</w:t>
            </w:r>
          </w:p>
        </w:tc>
        <w:tc>
          <w:tcPr>
            <w:tcW w:w="28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340.3</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345.9</w:t>
            </w:r>
          </w:p>
        </w:tc>
      </w:tr>
      <w:tr>
        <w:trPr>
          <w:trHeight w:val="243"/>
        </w:trPr>
        <w:tc>
          <w:tcPr>
            <w:tcW w:w="7420" w:type="dxa"/>
            <w:vAlign w:val="bottom"/>
          </w:tcPr>
          <w:p>
            <w:pPr>
              <w:ind w:left="40"/>
              <w:spacing w:after="0"/>
              <w:rPr>
                <w:sz w:val="20"/>
                <w:szCs w:val="20"/>
                <w:color w:val="auto"/>
              </w:rPr>
            </w:pPr>
            <w:r>
              <w:rPr>
                <w:rFonts w:ascii="Arial" w:cs="Arial" w:eastAsia="Arial" w:hAnsi="Arial"/>
                <w:sz w:val="18"/>
                <w:szCs w:val="18"/>
                <w:color w:val="auto"/>
              </w:rPr>
              <w:t>Investment in ATC</w:t>
            </w:r>
          </w:p>
        </w:tc>
        <w:tc>
          <w:tcPr>
            <w:tcW w:w="2880" w:type="dxa"/>
            <w:vAlign w:val="bottom"/>
          </w:tcPr>
          <w:p>
            <w:pPr>
              <w:jc w:val="right"/>
              <w:ind w:right="370"/>
              <w:spacing w:after="0"/>
              <w:rPr>
                <w:sz w:val="20"/>
                <w:szCs w:val="20"/>
                <w:color w:val="auto"/>
              </w:rPr>
            </w:pPr>
            <w:r>
              <w:rPr>
                <w:rFonts w:ascii="Arial" w:cs="Arial" w:eastAsia="Arial" w:hAnsi="Arial"/>
                <w:sz w:val="18"/>
                <w:szCs w:val="18"/>
                <w:color w:val="auto"/>
              </w:rPr>
              <w:t>107.3</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98.9</w:t>
            </w:r>
          </w:p>
        </w:tc>
      </w:tr>
      <w:tr>
        <w:trPr>
          <w:trHeight w:val="27"/>
        </w:trPr>
        <w:tc>
          <w:tcPr>
            <w:tcW w:w="74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Investments</w:t>
            </w:r>
          </w:p>
        </w:tc>
        <w:tc>
          <w:tcPr>
            <w:tcW w:w="28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143.5</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132.3</w:t>
            </w:r>
          </w:p>
        </w:tc>
      </w:tr>
      <w:tr>
        <w:trPr>
          <w:trHeight w:val="243"/>
        </w:trPr>
        <w:tc>
          <w:tcPr>
            <w:tcW w:w="7420" w:type="dxa"/>
            <w:vAlign w:val="bottom"/>
          </w:tcPr>
          <w:p>
            <w:pPr>
              <w:ind w:left="40"/>
              <w:spacing w:after="0"/>
              <w:rPr>
                <w:sz w:val="20"/>
                <w:szCs w:val="20"/>
                <w:color w:val="auto"/>
              </w:rPr>
            </w:pPr>
            <w:r>
              <w:rPr>
                <w:rFonts w:ascii="Arial" w:cs="Arial" w:eastAsia="Arial" w:hAnsi="Arial"/>
                <w:sz w:val="18"/>
                <w:szCs w:val="18"/>
                <w:color w:val="auto"/>
              </w:rPr>
              <w:t>Other Non-Current Assets</w:t>
            </w:r>
          </w:p>
        </w:tc>
        <w:tc>
          <w:tcPr>
            <w:tcW w:w="2880" w:type="dxa"/>
            <w:vAlign w:val="bottom"/>
          </w:tcPr>
          <w:p>
            <w:pPr>
              <w:jc w:val="right"/>
              <w:ind w:right="370"/>
              <w:spacing w:after="0"/>
              <w:rPr>
                <w:sz w:val="20"/>
                <w:szCs w:val="20"/>
                <w:color w:val="auto"/>
              </w:rPr>
            </w:pPr>
            <w:r>
              <w:rPr>
                <w:rFonts w:ascii="Arial" w:cs="Arial" w:eastAsia="Arial" w:hAnsi="Arial"/>
                <w:sz w:val="18"/>
                <w:szCs w:val="18"/>
                <w:color w:val="auto"/>
              </w:rPr>
              <w:t>41.5</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39.2</w:t>
            </w:r>
          </w:p>
        </w:tc>
      </w:tr>
      <w:tr>
        <w:trPr>
          <w:trHeight w:val="27"/>
        </w:trPr>
        <w:tc>
          <w:tcPr>
            <w:tcW w:w="7420" w:type="dxa"/>
            <w:vAlign w:val="bottom"/>
            <w:tcBorders>
              <w:bottom w:val="single" w:sz="8" w:color="auto"/>
            </w:tcBorders>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Assets</w:t>
            </w:r>
          </w:p>
        </w:tc>
        <w:tc>
          <w:tcPr>
            <w:tcW w:w="28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$3,253.4</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$2,876.0</w:t>
            </w:r>
          </w:p>
        </w:tc>
      </w:tr>
      <w:tr>
        <w:trPr>
          <w:trHeight w:val="237"/>
        </w:trPr>
        <w:tc>
          <w:tcPr>
            <w:tcW w:w="74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Liabilities and Equity</w:t>
            </w:r>
          </w:p>
        </w:tc>
        <w:tc>
          <w:tcPr>
            <w:tcW w:w="28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r>
      <w:tr>
        <w:trPr>
          <w:trHeight w:val="27"/>
        </w:trPr>
        <w:tc>
          <w:tcPr>
            <w:tcW w:w="74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28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742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288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74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Accounts Payable</w:t>
            </w:r>
          </w:p>
        </w:tc>
        <w:tc>
          <w:tcPr>
            <w:tcW w:w="28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$90.5</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$71.8</w:t>
            </w:r>
          </w:p>
        </w:tc>
      </w:tr>
      <w:tr>
        <w:trPr>
          <w:trHeight w:val="243"/>
        </w:trPr>
        <w:tc>
          <w:tcPr>
            <w:tcW w:w="7420" w:type="dxa"/>
            <w:vAlign w:val="bottom"/>
          </w:tcPr>
          <w:p>
            <w:pPr>
              <w:ind w:left="280"/>
              <w:spacing w:after="0"/>
              <w:rPr>
                <w:sz w:val="20"/>
                <w:szCs w:val="20"/>
                <w:color w:val="auto"/>
              </w:rPr>
            </w:pPr>
            <w:r>
              <w:rPr>
                <w:rFonts w:ascii="Arial" w:cs="Arial" w:eastAsia="Arial" w:hAnsi="Arial"/>
                <w:sz w:val="18"/>
                <w:szCs w:val="18"/>
                <w:color w:val="auto"/>
              </w:rPr>
              <w:t>Accrued Taxes</w:t>
            </w:r>
          </w:p>
        </w:tc>
        <w:tc>
          <w:tcPr>
            <w:tcW w:w="2880" w:type="dxa"/>
            <w:vAlign w:val="bottom"/>
          </w:tcPr>
          <w:p>
            <w:pPr>
              <w:jc w:val="right"/>
              <w:ind w:right="370"/>
              <w:spacing w:after="0"/>
              <w:rPr>
                <w:sz w:val="20"/>
                <w:szCs w:val="20"/>
                <w:color w:val="auto"/>
              </w:rPr>
            </w:pPr>
            <w:r>
              <w:rPr>
                <w:rFonts w:ascii="Arial" w:cs="Arial" w:eastAsia="Arial" w:hAnsi="Arial"/>
                <w:sz w:val="18"/>
                <w:szCs w:val="18"/>
                <w:color w:val="auto"/>
              </w:rPr>
              <w:t>30.2</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26.4</w:t>
            </w:r>
          </w:p>
        </w:tc>
      </w:tr>
      <w:tr>
        <w:trPr>
          <w:trHeight w:val="27"/>
        </w:trPr>
        <w:tc>
          <w:tcPr>
            <w:tcW w:w="74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Accrued Interest</w:t>
            </w:r>
          </w:p>
        </w:tc>
        <w:tc>
          <w:tcPr>
            <w:tcW w:w="28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15.6</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12.8</w:t>
            </w:r>
          </w:p>
        </w:tc>
      </w:tr>
      <w:tr>
        <w:trPr>
          <w:trHeight w:val="243"/>
        </w:trPr>
        <w:tc>
          <w:tcPr>
            <w:tcW w:w="7420" w:type="dxa"/>
            <w:vAlign w:val="bottom"/>
          </w:tcPr>
          <w:p>
            <w:pPr>
              <w:ind w:left="280"/>
              <w:spacing w:after="0"/>
              <w:rPr>
                <w:sz w:val="20"/>
                <w:szCs w:val="20"/>
                <w:color w:val="auto"/>
              </w:rPr>
            </w:pPr>
            <w:r>
              <w:rPr>
                <w:rFonts w:ascii="Arial" w:cs="Arial" w:eastAsia="Arial" w:hAnsi="Arial"/>
                <w:sz w:val="18"/>
                <w:szCs w:val="18"/>
                <w:color w:val="auto"/>
              </w:rPr>
              <w:t>Long-Term Debt Due Within One Year</w:t>
            </w:r>
          </w:p>
        </w:tc>
        <w:tc>
          <w:tcPr>
            <w:tcW w:w="2880" w:type="dxa"/>
            <w:vAlign w:val="bottom"/>
          </w:tcPr>
          <w:p>
            <w:pPr>
              <w:jc w:val="right"/>
              <w:ind w:right="370"/>
              <w:spacing w:after="0"/>
              <w:rPr>
                <w:sz w:val="20"/>
                <w:szCs w:val="20"/>
                <w:color w:val="auto"/>
              </w:rPr>
            </w:pPr>
            <w:r>
              <w:rPr>
                <w:rFonts w:ascii="Arial" w:cs="Arial" w:eastAsia="Arial" w:hAnsi="Arial"/>
                <w:sz w:val="18"/>
                <w:szCs w:val="18"/>
                <w:color w:val="auto"/>
              </w:rPr>
              <w:t>84.5</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5.4</w:t>
            </w:r>
          </w:p>
        </w:tc>
      </w:tr>
      <w:tr>
        <w:trPr>
          <w:trHeight w:val="27"/>
        </w:trPr>
        <w:tc>
          <w:tcPr>
            <w:tcW w:w="74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Notes Payable</w:t>
            </w:r>
          </w:p>
        </w:tc>
        <w:tc>
          <w:tcPr>
            <w:tcW w:w="28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r>
      <w:tr>
        <w:trPr>
          <w:trHeight w:val="243"/>
        </w:trPr>
        <w:tc>
          <w:tcPr>
            <w:tcW w:w="7420" w:type="dxa"/>
            <w:vAlign w:val="bottom"/>
          </w:tcPr>
          <w:p>
            <w:pPr>
              <w:ind w:left="280"/>
              <w:spacing w:after="0"/>
              <w:rPr>
                <w:sz w:val="20"/>
                <w:szCs w:val="20"/>
                <w:color w:val="auto"/>
              </w:rPr>
            </w:pPr>
            <w:r>
              <w:rPr>
                <w:rFonts w:ascii="Arial" w:cs="Arial" w:eastAsia="Arial" w:hAnsi="Arial"/>
                <w:sz w:val="18"/>
                <w:szCs w:val="18"/>
                <w:color w:val="auto"/>
              </w:rPr>
              <w:t>Other</w:t>
            </w:r>
          </w:p>
        </w:tc>
        <w:tc>
          <w:tcPr>
            <w:tcW w:w="2880" w:type="dxa"/>
            <w:vAlign w:val="bottom"/>
          </w:tcPr>
          <w:p>
            <w:pPr>
              <w:jc w:val="right"/>
              <w:ind w:right="370"/>
              <w:spacing w:after="0"/>
              <w:rPr>
                <w:sz w:val="20"/>
                <w:szCs w:val="20"/>
                <w:color w:val="auto"/>
              </w:rPr>
            </w:pPr>
            <w:r>
              <w:rPr>
                <w:rFonts w:ascii="Arial" w:cs="Arial" w:eastAsia="Arial" w:hAnsi="Arial"/>
                <w:sz w:val="18"/>
                <w:szCs w:val="18"/>
                <w:color w:val="auto"/>
              </w:rPr>
              <w:t>62.6</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45.6</w:t>
            </w:r>
          </w:p>
        </w:tc>
      </w:tr>
      <w:tr>
        <w:trPr>
          <w:trHeight w:val="27"/>
        </w:trPr>
        <w:tc>
          <w:tcPr>
            <w:tcW w:w="7420" w:type="dxa"/>
            <w:vAlign w:val="bottom"/>
            <w:tcBorders>
              <w:bottom w:val="single" w:sz="8" w:color="auto"/>
            </w:tcBorders>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74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Current Liabilities</w:t>
            </w:r>
          </w:p>
        </w:tc>
        <w:tc>
          <w:tcPr>
            <w:tcW w:w="28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283.4</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163.1</w:t>
            </w:r>
          </w:p>
        </w:tc>
      </w:tr>
      <w:tr>
        <w:trPr>
          <w:trHeight w:val="243"/>
        </w:trPr>
        <w:tc>
          <w:tcPr>
            <w:tcW w:w="742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2880" w:type="dxa"/>
            <w:vAlign w:val="bottom"/>
          </w:tcPr>
          <w:p>
            <w:pPr>
              <w:jc w:val="right"/>
              <w:ind w:right="370"/>
              <w:spacing w:after="0"/>
              <w:rPr>
                <w:sz w:val="20"/>
                <w:szCs w:val="20"/>
                <w:color w:val="auto"/>
              </w:rPr>
            </w:pPr>
            <w:r>
              <w:rPr>
                <w:rFonts w:ascii="Arial" w:cs="Arial" w:eastAsia="Arial" w:hAnsi="Arial"/>
                <w:sz w:val="18"/>
                <w:szCs w:val="18"/>
                <w:color w:val="auto"/>
              </w:rPr>
              <w:t>933.6</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857.9</w:t>
            </w:r>
          </w:p>
        </w:tc>
      </w:tr>
      <w:tr>
        <w:trPr>
          <w:trHeight w:val="27"/>
        </w:trPr>
        <w:tc>
          <w:tcPr>
            <w:tcW w:w="74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28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423.8</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373.6</w:t>
            </w:r>
          </w:p>
        </w:tc>
      </w:tr>
      <w:tr>
        <w:trPr>
          <w:trHeight w:val="243"/>
        </w:trPr>
        <w:tc>
          <w:tcPr>
            <w:tcW w:w="7420" w:type="dxa"/>
            <w:vAlign w:val="bottom"/>
          </w:tcPr>
          <w:p>
            <w:pPr>
              <w:ind w:left="40"/>
              <w:spacing w:after="0"/>
              <w:rPr>
                <w:sz w:val="20"/>
                <w:szCs w:val="20"/>
                <w:color w:val="auto"/>
              </w:rPr>
            </w:pPr>
            <w:r>
              <w:rPr>
                <w:rFonts w:ascii="Arial" w:cs="Arial" w:eastAsia="Arial" w:hAnsi="Arial"/>
                <w:sz w:val="18"/>
                <w:szCs w:val="18"/>
                <w:color w:val="auto"/>
              </w:rPr>
              <w:t>Regulatory Liabilities</w:t>
            </w:r>
          </w:p>
        </w:tc>
        <w:tc>
          <w:tcPr>
            <w:tcW w:w="2880" w:type="dxa"/>
            <w:vAlign w:val="bottom"/>
          </w:tcPr>
          <w:p>
            <w:pPr>
              <w:jc w:val="right"/>
              <w:ind w:right="370"/>
              <w:spacing w:after="0"/>
              <w:rPr>
                <w:sz w:val="20"/>
                <w:szCs w:val="20"/>
                <w:color w:val="auto"/>
              </w:rPr>
            </w:pPr>
            <w:r>
              <w:rPr>
                <w:rFonts w:ascii="Arial" w:cs="Arial" w:eastAsia="Arial" w:hAnsi="Arial"/>
                <w:sz w:val="18"/>
                <w:szCs w:val="18"/>
                <w:color w:val="auto"/>
              </w:rPr>
              <w:t>60.1</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43.5</w:t>
            </w:r>
          </w:p>
        </w:tc>
      </w:tr>
      <w:tr>
        <w:trPr>
          <w:trHeight w:val="27"/>
        </w:trPr>
        <w:tc>
          <w:tcPr>
            <w:tcW w:w="74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Defined Benefit Pension and Other Postretirement Benefit Plans</w:t>
            </w:r>
          </w:p>
        </w:tc>
        <w:tc>
          <w:tcPr>
            <w:tcW w:w="28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228.2</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253.5</w:t>
            </w:r>
          </w:p>
        </w:tc>
      </w:tr>
      <w:tr>
        <w:trPr>
          <w:trHeight w:val="243"/>
        </w:trPr>
        <w:tc>
          <w:tcPr>
            <w:tcW w:w="7420" w:type="dxa"/>
            <w:vAlign w:val="bottom"/>
          </w:tcPr>
          <w:p>
            <w:pPr>
              <w:ind w:left="40"/>
              <w:spacing w:after="0"/>
              <w:rPr>
                <w:sz w:val="20"/>
                <w:szCs w:val="20"/>
                <w:color w:val="auto"/>
              </w:rPr>
            </w:pPr>
            <w:r>
              <w:rPr>
                <w:rFonts w:ascii="Arial" w:cs="Arial" w:eastAsia="Arial" w:hAnsi="Arial"/>
                <w:sz w:val="18"/>
                <w:szCs w:val="18"/>
                <w:color w:val="auto"/>
              </w:rPr>
              <w:t>Other Non-Current Liabilities</w:t>
            </w:r>
          </w:p>
        </w:tc>
        <w:tc>
          <w:tcPr>
            <w:tcW w:w="2880" w:type="dxa"/>
            <w:vAlign w:val="bottom"/>
          </w:tcPr>
          <w:p>
            <w:pPr>
              <w:jc w:val="right"/>
              <w:ind w:right="370"/>
              <w:spacing w:after="0"/>
              <w:rPr>
                <w:sz w:val="20"/>
                <w:szCs w:val="20"/>
                <w:color w:val="auto"/>
              </w:rPr>
            </w:pPr>
            <w:r>
              <w:rPr>
                <w:rFonts w:ascii="Arial" w:cs="Arial" w:eastAsia="Arial" w:hAnsi="Arial"/>
                <w:sz w:val="18"/>
                <w:szCs w:val="18"/>
                <w:color w:val="auto"/>
              </w:rPr>
              <w:t>123.3</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105.1</w:t>
            </w:r>
          </w:p>
        </w:tc>
      </w:tr>
      <w:tr>
        <w:trPr>
          <w:trHeight w:val="27"/>
        </w:trPr>
        <w:tc>
          <w:tcPr>
            <w:tcW w:w="7420" w:type="dxa"/>
            <w:vAlign w:val="bottom"/>
            <w:tcBorders>
              <w:bottom w:val="single" w:sz="8" w:color="auto"/>
            </w:tcBorders>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74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Liabilities</w:t>
            </w:r>
          </w:p>
        </w:tc>
        <w:tc>
          <w:tcPr>
            <w:tcW w:w="28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2,052.4</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1,796.7</w:t>
            </w:r>
          </w:p>
        </w:tc>
      </w:tr>
      <w:tr>
        <w:trPr>
          <w:trHeight w:val="237"/>
        </w:trPr>
        <w:tc>
          <w:tcPr>
            <w:tcW w:w="74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Commitments and Contingencies (Note 11)</w:t>
            </w:r>
          </w:p>
        </w:tc>
        <w:tc>
          <w:tcPr>
            <w:tcW w:w="28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r>
      <w:tr>
        <w:trPr>
          <w:trHeight w:val="27"/>
        </w:trPr>
        <w:tc>
          <w:tcPr>
            <w:tcW w:w="7420" w:type="dxa"/>
            <w:vAlign w:val="bottom"/>
            <w:tcBorders>
              <w:bottom w:val="single" w:sz="8" w:color="auto"/>
            </w:tcBorders>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Equity</w:t>
            </w:r>
          </w:p>
        </w:tc>
        <w:tc>
          <w:tcPr>
            <w:tcW w:w="28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7420" w:type="dxa"/>
            <w:vAlign w:val="bottom"/>
          </w:tcPr>
          <w:p>
            <w:pPr>
              <w:ind w:left="280"/>
              <w:spacing w:after="0"/>
              <w:rPr>
                <w:sz w:val="20"/>
                <w:szCs w:val="20"/>
                <w:color w:val="auto"/>
              </w:rPr>
            </w:pPr>
            <w:r>
              <w:rPr>
                <w:rFonts w:ascii="Arial" w:cs="Arial" w:eastAsia="Arial" w:hAnsi="Arial"/>
                <w:sz w:val="18"/>
                <w:szCs w:val="18"/>
                <w:color w:val="auto"/>
              </w:rPr>
              <w:t>Common Stock Without Par Value, 80.0 Shares Authorized, 39.4 and 37.5</w:t>
            </w:r>
          </w:p>
        </w:tc>
        <w:tc>
          <w:tcPr>
            <w:tcW w:w="288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74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Shares Outstanding</w:t>
            </w:r>
          </w:p>
        </w:tc>
        <w:tc>
          <w:tcPr>
            <w:tcW w:w="28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784.7</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705.6</w:t>
            </w:r>
          </w:p>
        </w:tc>
      </w:tr>
      <w:tr>
        <w:trPr>
          <w:trHeight w:val="243"/>
        </w:trPr>
        <w:tc>
          <w:tcPr>
            <w:tcW w:w="7420" w:type="dxa"/>
            <w:vAlign w:val="bottom"/>
          </w:tcPr>
          <w:p>
            <w:pPr>
              <w:ind w:left="280"/>
              <w:spacing w:after="0"/>
              <w:rPr>
                <w:sz w:val="20"/>
                <w:szCs w:val="20"/>
                <w:color w:val="auto"/>
              </w:rPr>
            </w:pPr>
            <w:r>
              <w:rPr>
                <w:rFonts w:ascii="Arial" w:cs="Arial" w:eastAsia="Arial" w:hAnsi="Arial"/>
                <w:sz w:val="18"/>
                <w:szCs w:val="18"/>
                <w:color w:val="auto"/>
              </w:rPr>
              <w:t>Unearned ESOP Shares</w:t>
            </w:r>
          </w:p>
        </w:tc>
        <w:tc>
          <w:tcPr>
            <w:tcW w:w="2880" w:type="dxa"/>
            <w:vAlign w:val="bottom"/>
          </w:tcPr>
          <w:p>
            <w:pPr>
              <w:jc w:val="right"/>
              <w:ind w:right="310"/>
              <w:spacing w:after="0"/>
              <w:rPr>
                <w:sz w:val="20"/>
                <w:szCs w:val="20"/>
                <w:color w:val="auto"/>
              </w:rPr>
            </w:pPr>
            <w:r>
              <w:rPr>
                <w:rFonts w:ascii="Arial" w:cs="Arial" w:eastAsia="Arial" w:hAnsi="Arial"/>
                <w:sz w:val="18"/>
                <w:szCs w:val="18"/>
                <w:color w:val="auto"/>
              </w:rPr>
              <w:t>(21.3)</w:t>
            </w:r>
          </w:p>
        </w:tc>
        <w:tc>
          <w:tcPr>
            <w:tcW w:w="1120" w:type="dxa"/>
            <w:vAlign w:val="bottom"/>
          </w:tcPr>
          <w:p>
            <w:pPr>
              <w:jc w:val="right"/>
              <w:spacing w:after="0"/>
              <w:rPr>
                <w:sz w:val="20"/>
                <w:szCs w:val="20"/>
                <w:color w:val="auto"/>
              </w:rPr>
            </w:pPr>
            <w:r>
              <w:rPr>
                <w:rFonts w:ascii="Arial" w:cs="Arial" w:eastAsia="Arial" w:hAnsi="Arial"/>
                <w:sz w:val="18"/>
                <w:szCs w:val="18"/>
                <w:color w:val="auto"/>
              </w:rPr>
              <w:t>(29.0)</w:t>
            </w:r>
          </w:p>
        </w:tc>
      </w:tr>
      <w:tr>
        <w:trPr>
          <w:trHeight w:val="27"/>
        </w:trPr>
        <w:tc>
          <w:tcPr>
            <w:tcW w:w="74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Accumulated Other Comprehensive Loss</w:t>
            </w:r>
          </w:p>
        </w:tc>
        <w:tc>
          <w:tcPr>
            <w:tcW w:w="288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(22.0)</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(28.9)</w:t>
            </w:r>
          </w:p>
        </w:tc>
      </w:tr>
      <w:tr>
        <w:trPr>
          <w:trHeight w:val="243"/>
        </w:trPr>
        <w:tc>
          <w:tcPr>
            <w:tcW w:w="7420" w:type="dxa"/>
            <w:vAlign w:val="bottom"/>
          </w:tcPr>
          <w:p>
            <w:pPr>
              <w:ind w:left="280"/>
              <w:spacing w:after="0"/>
              <w:rPr>
                <w:sz w:val="20"/>
                <w:szCs w:val="20"/>
                <w:color w:val="auto"/>
              </w:rPr>
            </w:pPr>
            <w:r>
              <w:rPr>
                <w:rFonts w:ascii="Arial" w:cs="Arial" w:eastAsia="Arial" w:hAnsi="Arial"/>
                <w:sz w:val="18"/>
                <w:szCs w:val="18"/>
                <w:color w:val="auto"/>
              </w:rPr>
              <w:t>Retained Earnings</w:t>
            </w:r>
          </w:p>
        </w:tc>
        <w:tc>
          <w:tcPr>
            <w:tcW w:w="2880" w:type="dxa"/>
            <w:vAlign w:val="bottom"/>
          </w:tcPr>
          <w:p>
            <w:pPr>
              <w:jc w:val="right"/>
              <w:ind w:right="370"/>
              <w:spacing w:after="0"/>
              <w:rPr>
                <w:sz w:val="20"/>
                <w:szCs w:val="20"/>
                <w:color w:val="auto"/>
              </w:rPr>
            </w:pPr>
            <w:r>
              <w:rPr>
                <w:rFonts w:ascii="Arial" w:cs="Arial" w:eastAsia="Arial" w:hAnsi="Arial"/>
                <w:sz w:val="18"/>
                <w:szCs w:val="18"/>
                <w:color w:val="auto"/>
              </w:rPr>
              <w:t>459.6</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431.6</w:t>
            </w:r>
          </w:p>
        </w:tc>
      </w:tr>
      <w:tr>
        <w:trPr>
          <w:trHeight w:val="27"/>
        </w:trPr>
        <w:tc>
          <w:tcPr>
            <w:tcW w:w="7420" w:type="dxa"/>
            <w:vAlign w:val="bottom"/>
            <w:tcBorders>
              <w:bottom w:val="single" w:sz="8" w:color="auto"/>
            </w:tcBorders>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74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Equity</w:t>
            </w:r>
          </w:p>
        </w:tc>
        <w:tc>
          <w:tcPr>
            <w:tcW w:w="28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1,201.0</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1,079.3</w:t>
            </w:r>
          </w:p>
        </w:tc>
      </w:tr>
      <w:tr>
        <w:trPr>
          <w:trHeight w:val="237"/>
        </w:trPr>
        <w:tc>
          <w:tcPr>
            <w:tcW w:w="74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Liabilities and Equity</w:t>
            </w:r>
          </w:p>
        </w:tc>
        <w:tc>
          <w:tcPr>
            <w:tcW w:w="288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rPr>
              <w:t>$3,253.4</w:t>
            </w: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$2,876.0</w:t>
            </w:r>
          </w:p>
        </w:tc>
      </w:tr>
      <w:tr>
        <w:trPr>
          <w:trHeight w:val="27"/>
        </w:trPr>
        <w:tc>
          <w:tcPr>
            <w:tcW w:w="7420" w:type="dxa"/>
            <w:vAlign w:val="bottom"/>
            <w:tcBorders>
              <w:bottom w:val="single" w:sz="8" w:color="auto"/>
            </w:tcBorders>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2012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364" w:right="23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234"/>
        </w:trPr>
        <w:tc>
          <w:tcPr>
            <w:tcW w:w="6180" w:type="dxa"/>
            <w:vAlign w:val="bottom"/>
          </w:tcPr>
          <w:p>
            <w:pPr>
              <w:spacing w:after="0"/>
              <w:rPr>
                <w:sz w:val="20"/>
                <w:szCs w:val="20"/>
                <w:color w:val="auto"/>
              </w:rPr>
            </w:pPr>
            <w:r>
              <w:rPr>
                <w:rFonts w:ascii="Arial" w:cs="Arial" w:eastAsia="Arial" w:hAnsi="Arial"/>
                <w:sz w:val="18"/>
                <w:szCs w:val="18"/>
                <w:b w:val="1"/>
                <w:bCs w:val="1"/>
                <w:color w:val="auto"/>
              </w:rPr>
              <w:t>ALLETE Consolidated Statement of Income</w:t>
            </w:r>
          </w:p>
        </w:tc>
        <w:tc>
          <w:tcPr>
            <w:tcW w:w="27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594"/>
        </w:trPr>
        <w:tc>
          <w:tcPr>
            <w:tcW w:w="6180" w:type="dxa"/>
            <w:vAlign w:val="bottom"/>
          </w:tcPr>
          <w:p>
            <w:pPr>
              <w:ind w:left="40"/>
              <w:spacing w:after="0"/>
              <w:rPr>
                <w:sz w:val="20"/>
                <w:szCs w:val="20"/>
                <w:color w:val="auto"/>
              </w:rPr>
            </w:pPr>
            <w:r>
              <w:rPr>
                <w:rFonts w:ascii="Arial" w:cs="Arial" w:eastAsia="Arial" w:hAnsi="Arial"/>
                <w:sz w:val="18"/>
                <w:szCs w:val="18"/>
                <w:b w:val="1"/>
                <w:bCs w:val="1"/>
                <w:color w:val="auto"/>
              </w:rPr>
              <w:t>Year Ended December 31</w:t>
            </w:r>
          </w:p>
        </w:tc>
        <w:tc>
          <w:tcPr>
            <w:tcW w:w="2700" w:type="dxa"/>
            <w:vAlign w:val="bottom"/>
          </w:tcPr>
          <w:p>
            <w:pPr>
              <w:jc w:val="right"/>
              <w:ind w:right="610"/>
              <w:spacing w:after="0"/>
              <w:rPr>
                <w:sz w:val="20"/>
                <w:szCs w:val="20"/>
                <w:color w:val="auto"/>
              </w:rPr>
            </w:pPr>
            <w:r>
              <w:rPr>
                <w:rFonts w:ascii="Arial" w:cs="Arial" w:eastAsia="Arial" w:hAnsi="Arial"/>
                <w:sz w:val="18"/>
                <w:szCs w:val="18"/>
                <w:b w:val="1"/>
                <w:bCs w:val="1"/>
                <w:color w:val="auto"/>
              </w:rPr>
              <w:t>2012</w:t>
            </w:r>
          </w:p>
        </w:tc>
        <w:tc>
          <w:tcPr>
            <w:tcW w:w="1480" w:type="dxa"/>
            <w:vAlign w:val="bottom"/>
          </w:tcPr>
          <w:p>
            <w:pPr>
              <w:jc w:val="right"/>
              <w:ind w:right="590"/>
              <w:spacing w:after="0"/>
              <w:rPr>
                <w:sz w:val="20"/>
                <w:szCs w:val="20"/>
                <w:color w:val="auto"/>
              </w:rPr>
            </w:pPr>
            <w:r>
              <w:rPr>
                <w:rFonts w:ascii="Arial" w:cs="Arial" w:eastAsia="Arial" w:hAnsi="Arial"/>
                <w:sz w:val="18"/>
                <w:szCs w:val="18"/>
                <w:b w:val="1"/>
                <w:bCs w:val="1"/>
                <w:color w:val="auto"/>
              </w:rPr>
              <w:t>2011</w:t>
            </w:r>
          </w:p>
        </w:tc>
        <w:tc>
          <w:tcPr>
            <w:tcW w:w="1060" w:type="dxa"/>
            <w:vAlign w:val="bottom"/>
          </w:tcPr>
          <w:p>
            <w:pPr>
              <w:jc w:val="right"/>
              <w:ind w:right="170"/>
              <w:spacing w:after="0"/>
              <w:rPr>
                <w:sz w:val="20"/>
                <w:szCs w:val="20"/>
                <w:color w:val="auto"/>
              </w:rPr>
            </w:pPr>
            <w:r>
              <w:rPr>
                <w:rFonts w:ascii="Arial" w:cs="Arial" w:eastAsia="Arial" w:hAnsi="Arial"/>
                <w:sz w:val="18"/>
                <w:szCs w:val="18"/>
                <w:b w:val="1"/>
                <w:bCs w:val="1"/>
                <w:color w:val="auto"/>
              </w:rPr>
              <w:t>2010</w:t>
            </w:r>
          </w:p>
        </w:tc>
      </w:tr>
      <w:tr>
        <w:trPr>
          <w:trHeight w:val="27"/>
        </w:trPr>
        <w:tc>
          <w:tcPr>
            <w:tcW w:w="618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6180" w:type="dxa"/>
            <w:vAlign w:val="bottom"/>
          </w:tcPr>
          <w:p>
            <w:pPr>
              <w:ind w:left="40"/>
              <w:spacing w:after="0"/>
              <w:rPr>
                <w:sz w:val="20"/>
                <w:szCs w:val="20"/>
                <w:color w:val="auto"/>
              </w:rPr>
            </w:pPr>
            <w:r>
              <w:rPr>
                <w:rFonts w:ascii="Arial" w:cs="Arial" w:eastAsia="Arial" w:hAnsi="Arial"/>
                <w:sz w:val="18"/>
                <w:szCs w:val="18"/>
                <w:b w:val="1"/>
                <w:bCs w:val="1"/>
                <w:color w:val="auto"/>
              </w:rPr>
              <w:t>Millions Except Per Share Amounts</w:t>
            </w:r>
          </w:p>
        </w:tc>
        <w:tc>
          <w:tcPr>
            <w:tcW w:w="27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
        </w:trPr>
        <w:tc>
          <w:tcPr>
            <w:tcW w:w="618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5"/>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Revenue</w:t>
            </w:r>
          </w:p>
        </w:tc>
        <w:tc>
          <w:tcPr>
            <w:tcW w:w="270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$961.2</w:t>
            </w:r>
          </w:p>
        </w:tc>
        <w:tc>
          <w:tcPr>
            <w:tcW w:w="148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$928.2</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$907.0</w:t>
            </w:r>
          </w:p>
        </w:tc>
      </w:tr>
      <w:tr>
        <w:trPr>
          <w:trHeight w:val="237"/>
        </w:trPr>
        <w:tc>
          <w:tcPr>
            <w:tcW w:w="618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Operating Expenses</w:t>
            </w:r>
          </w:p>
        </w:tc>
        <w:tc>
          <w:tcPr>
            <w:tcW w:w="270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r>
      <w:tr>
        <w:trPr>
          <w:trHeight w:val="27"/>
        </w:trPr>
        <w:tc>
          <w:tcPr>
            <w:tcW w:w="618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Fuel and Purchased Power</w:t>
            </w:r>
          </w:p>
        </w:tc>
        <w:tc>
          <w:tcPr>
            <w:tcW w:w="270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308.7</w:t>
            </w:r>
          </w:p>
        </w:tc>
        <w:tc>
          <w:tcPr>
            <w:tcW w:w="148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306.6</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325.1</w:t>
            </w:r>
          </w:p>
        </w:tc>
      </w:tr>
      <w:tr>
        <w:trPr>
          <w:trHeight w:val="243"/>
        </w:trPr>
        <w:tc>
          <w:tcPr>
            <w:tcW w:w="6180" w:type="dxa"/>
            <w:vAlign w:val="bottom"/>
          </w:tcPr>
          <w:p>
            <w:pPr>
              <w:ind w:left="280"/>
              <w:spacing w:after="0"/>
              <w:rPr>
                <w:sz w:val="20"/>
                <w:szCs w:val="20"/>
                <w:color w:val="auto"/>
              </w:rPr>
            </w:pPr>
            <w:r>
              <w:rPr>
                <w:rFonts w:ascii="Arial" w:cs="Arial" w:eastAsia="Arial" w:hAnsi="Arial"/>
                <w:sz w:val="18"/>
                <w:szCs w:val="18"/>
                <w:color w:val="auto"/>
              </w:rPr>
              <w:t>Operating and Maintenance</w:t>
            </w:r>
          </w:p>
        </w:tc>
        <w:tc>
          <w:tcPr>
            <w:tcW w:w="2700" w:type="dxa"/>
            <w:vAlign w:val="bottom"/>
          </w:tcPr>
          <w:p>
            <w:pPr>
              <w:jc w:val="right"/>
              <w:ind w:right="430"/>
              <w:spacing w:after="0"/>
              <w:rPr>
                <w:sz w:val="20"/>
                <w:szCs w:val="20"/>
                <w:color w:val="auto"/>
              </w:rPr>
            </w:pPr>
            <w:r>
              <w:rPr>
                <w:rFonts w:ascii="Arial" w:cs="Arial" w:eastAsia="Arial" w:hAnsi="Arial"/>
                <w:sz w:val="18"/>
                <w:szCs w:val="18"/>
                <w:color w:val="auto"/>
              </w:rPr>
              <w:t>397.1</w:t>
            </w:r>
          </w:p>
        </w:tc>
        <w:tc>
          <w:tcPr>
            <w:tcW w:w="1480" w:type="dxa"/>
            <w:vAlign w:val="bottom"/>
          </w:tcPr>
          <w:p>
            <w:pPr>
              <w:jc w:val="right"/>
              <w:ind w:right="410"/>
              <w:spacing w:after="0"/>
              <w:rPr>
                <w:sz w:val="20"/>
                <w:szCs w:val="20"/>
                <w:color w:val="auto"/>
              </w:rPr>
            </w:pPr>
            <w:r>
              <w:rPr>
                <w:rFonts w:ascii="Arial" w:cs="Arial" w:eastAsia="Arial" w:hAnsi="Arial"/>
                <w:sz w:val="18"/>
                <w:szCs w:val="18"/>
                <w:color w:val="auto"/>
              </w:rPr>
              <w:t>381.2</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365.6</w:t>
            </w:r>
          </w:p>
        </w:tc>
      </w:tr>
      <w:tr>
        <w:trPr>
          <w:trHeight w:val="27"/>
        </w:trPr>
        <w:tc>
          <w:tcPr>
            <w:tcW w:w="618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5"/>
        </w:trPr>
        <w:tc>
          <w:tcPr>
            <w:tcW w:w="6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Depreciation</w:t>
            </w:r>
          </w:p>
        </w:tc>
        <w:tc>
          <w:tcPr>
            <w:tcW w:w="270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100.2</w:t>
            </w:r>
          </w:p>
        </w:tc>
        <w:tc>
          <w:tcPr>
            <w:tcW w:w="148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90.4</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80.5</w:t>
            </w:r>
          </w:p>
        </w:tc>
      </w:tr>
      <w:tr>
        <w:trPr>
          <w:trHeight w:val="237"/>
        </w:trPr>
        <w:tc>
          <w:tcPr>
            <w:tcW w:w="618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Total Operating Expenses</w:t>
            </w:r>
          </w:p>
        </w:tc>
        <w:tc>
          <w:tcPr>
            <w:tcW w:w="270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color w:val="auto"/>
              </w:rPr>
              <w:t>806.0</w:t>
            </w:r>
          </w:p>
        </w:tc>
        <w:tc>
          <w:tcPr>
            <w:tcW w:w="148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color w:val="auto"/>
              </w:rPr>
              <w:t>778.2</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771.2</w:t>
            </w:r>
          </w:p>
        </w:tc>
      </w:tr>
      <w:tr>
        <w:trPr>
          <w:trHeight w:val="27"/>
        </w:trPr>
        <w:tc>
          <w:tcPr>
            <w:tcW w:w="618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Income</w:t>
            </w:r>
          </w:p>
        </w:tc>
        <w:tc>
          <w:tcPr>
            <w:tcW w:w="270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155.2</w:t>
            </w:r>
          </w:p>
        </w:tc>
        <w:tc>
          <w:tcPr>
            <w:tcW w:w="148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150.0</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135.8</w:t>
            </w:r>
          </w:p>
        </w:tc>
      </w:tr>
      <w:tr>
        <w:trPr>
          <w:trHeight w:val="237"/>
        </w:trPr>
        <w:tc>
          <w:tcPr>
            <w:tcW w:w="618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270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r>
      <w:tr>
        <w:trPr>
          <w:trHeight w:val="27"/>
        </w:trPr>
        <w:tc>
          <w:tcPr>
            <w:tcW w:w="618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Expense</w:t>
            </w:r>
          </w:p>
        </w:tc>
        <w:tc>
          <w:tcPr>
            <w:tcW w:w="270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(45.5)</w:t>
            </w:r>
          </w:p>
        </w:tc>
        <w:tc>
          <w:tcPr>
            <w:tcW w:w="148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(43.6)</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(39.2)</w:t>
            </w:r>
          </w:p>
        </w:tc>
      </w:tr>
      <w:tr>
        <w:trPr>
          <w:trHeight w:val="243"/>
        </w:trPr>
        <w:tc>
          <w:tcPr>
            <w:tcW w:w="6180" w:type="dxa"/>
            <w:vAlign w:val="bottom"/>
          </w:tcPr>
          <w:p>
            <w:pPr>
              <w:ind w:left="280"/>
              <w:spacing w:after="0"/>
              <w:rPr>
                <w:sz w:val="20"/>
                <w:szCs w:val="20"/>
                <w:color w:val="auto"/>
              </w:rPr>
            </w:pPr>
            <w:r>
              <w:rPr>
                <w:rFonts w:ascii="Arial" w:cs="Arial" w:eastAsia="Arial" w:hAnsi="Arial"/>
                <w:sz w:val="18"/>
                <w:szCs w:val="18"/>
                <w:color w:val="auto"/>
              </w:rPr>
              <w:t>Equity Earnings in ATC</w:t>
            </w:r>
          </w:p>
        </w:tc>
        <w:tc>
          <w:tcPr>
            <w:tcW w:w="2700" w:type="dxa"/>
            <w:vAlign w:val="bottom"/>
          </w:tcPr>
          <w:p>
            <w:pPr>
              <w:jc w:val="right"/>
              <w:ind w:right="430"/>
              <w:spacing w:after="0"/>
              <w:rPr>
                <w:sz w:val="20"/>
                <w:szCs w:val="20"/>
                <w:color w:val="auto"/>
              </w:rPr>
            </w:pPr>
            <w:r>
              <w:rPr>
                <w:rFonts w:ascii="Arial" w:cs="Arial" w:eastAsia="Arial" w:hAnsi="Arial"/>
                <w:sz w:val="18"/>
                <w:szCs w:val="18"/>
                <w:color w:val="auto"/>
              </w:rPr>
              <w:t>19.4</w:t>
            </w:r>
          </w:p>
        </w:tc>
        <w:tc>
          <w:tcPr>
            <w:tcW w:w="1480" w:type="dxa"/>
            <w:vAlign w:val="bottom"/>
          </w:tcPr>
          <w:p>
            <w:pPr>
              <w:jc w:val="right"/>
              <w:ind w:right="410"/>
              <w:spacing w:after="0"/>
              <w:rPr>
                <w:sz w:val="20"/>
                <w:szCs w:val="20"/>
                <w:color w:val="auto"/>
              </w:rPr>
            </w:pPr>
            <w:r>
              <w:rPr>
                <w:rFonts w:ascii="Arial" w:cs="Arial" w:eastAsia="Arial" w:hAnsi="Arial"/>
                <w:sz w:val="18"/>
                <w:szCs w:val="18"/>
                <w:color w:val="auto"/>
              </w:rPr>
              <w:t>18.4</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17.9</w:t>
            </w:r>
          </w:p>
        </w:tc>
      </w:tr>
      <w:tr>
        <w:trPr>
          <w:trHeight w:val="27"/>
        </w:trPr>
        <w:tc>
          <w:tcPr>
            <w:tcW w:w="618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5"/>
        </w:trPr>
        <w:tc>
          <w:tcPr>
            <w:tcW w:w="6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270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6.0</w:t>
            </w:r>
          </w:p>
        </w:tc>
        <w:tc>
          <w:tcPr>
            <w:tcW w:w="148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4.4</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w:t>
            </w:r>
          </w:p>
        </w:tc>
      </w:tr>
      <w:tr>
        <w:trPr>
          <w:trHeight w:val="237"/>
        </w:trPr>
        <w:tc>
          <w:tcPr>
            <w:tcW w:w="618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Total Other Expense</w:t>
            </w:r>
          </w:p>
        </w:tc>
        <w:tc>
          <w:tcPr>
            <w:tcW w:w="270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rPr>
              <w:t>(20.1)</w:t>
            </w:r>
          </w:p>
        </w:tc>
        <w:tc>
          <w:tcPr>
            <w:tcW w:w="148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rPr>
              <w:t>(20.8)</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(16.7)</w:t>
            </w:r>
          </w:p>
        </w:tc>
      </w:tr>
      <w:tr>
        <w:trPr>
          <w:trHeight w:val="27"/>
        </w:trPr>
        <w:tc>
          <w:tcPr>
            <w:tcW w:w="618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Before Non-Controlling Interest and Income Taxes</w:t>
            </w:r>
          </w:p>
        </w:tc>
        <w:tc>
          <w:tcPr>
            <w:tcW w:w="270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135.1</w:t>
            </w:r>
          </w:p>
        </w:tc>
        <w:tc>
          <w:tcPr>
            <w:tcW w:w="148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129.2</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119.1</w:t>
            </w: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b w:val="1"/>
                <w:bCs w:val="1"/>
                <w:color w:val="auto"/>
              </w:rPr>
              <w:t>Income Tax Expense</w:t>
            </w:r>
          </w:p>
        </w:tc>
        <w:tc>
          <w:tcPr>
            <w:tcW w:w="2700" w:type="dxa"/>
            <w:vAlign w:val="bottom"/>
          </w:tcPr>
          <w:p>
            <w:pPr>
              <w:jc w:val="right"/>
              <w:ind w:right="430"/>
              <w:spacing w:after="0"/>
              <w:rPr>
                <w:sz w:val="20"/>
                <w:szCs w:val="20"/>
                <w:color w:val="auto"/>
              </w:rPr>
            </w:pPr>
            <w:r>
              <w:rPr>
                <w:rFonts w:ascii="Arial" w:cs="Arial" w:eastAsia="Arial" w:hAnsi="Arial"/>
                <w:sz w:val="18"/>
                <w:szCs w:val="18"/>
                <w:color w:val="auto"/>
              </w:rPr>
              <w:t>38.0</w:t>
            </w:r>
          </w:p>
        </w:tc>
        <w:tc>
          <w:tcPr>
            <w:tcW w:w="1480" w:type="dxa"/>
            <w:vAlign w:val="bottom"/>
          </w:tcPr>
          <w:p>
            <w:pPr>
              <w:jc w:val="right"/>
              <w:ind w:right="410"/>
              <w:spacing w:after="0"/>
              <w:rPr>
                <w:sz w:val="20"/>
                <w:szCs w:val="20"/>
                <w:color w:val="auto"/>
              </w:rPr>
            </w:pPr>
            <w:r>
              <w:rPr>
                <w:rFonts w:ascii="Arial" w:cs="Arial" w:eastAsia="Arial" w:hAnsi="Arial"/>
                <w:sz w:val="18"/>
                <w:szCs w:val="18"/>
                <w:color w:val="auto"/>
              </w:rPr>
              <w:t>35.6</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44.3</w:t>
            </w:r>
          </w:p>
        </w:tc>
      </w:tr>
      <w:tr>
        <w:trPr>
          <w:trHeight w:val="27"/>
        </w:trPr>
        <w:tc>
          <w:tcPr>
            <w:tcW w:w="618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270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97.1</w:t>
            </w:r>
          </w:p>
        </w:tc>
        <w:tc>
          <w:tcPr>
            <w:tcW w:w="148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93.6</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74.8</w:t>
            </w:r>
          </w:p>
        </w:tc>
      </w:tr>
      <w:tr>
        <w:trPr>
          <w:trHeight w:val="243"/>
        </w:trPr>
        <w:tc>
          <w:tcPr>
            <w:tcW w:w="6180" w:type="dxa"/>
            <w:vAlign w:val="bottom"/>
          </w:tcPr>
          <w:p>
            <w:pPr>
              <w:ind w:left="280"/>
              <w:spacing w:after="0"/>
              <w:rPr>
                <w:sz w:val="20"/>
                <w:szCs w:val="20"/>
                <w:color w:val="auto"/>
              </w:rPr>
            </w:pPr>
            <w:r>
              <w:rPr>
                <w:rFonts w:ascii="Arial" w:cs="Arial" w:eastAsia="Arial" w:hAnsi="Arial"/>
                <w:sz w:val="18"/>
                <w:szCs w:val="18"/>
                <w:color w:val="auto"/>
              </w:rPr>
              <w:t>Less: Non-Controlling Interest in Subsidiaries</w:t>
            </w:r>
          </w:p>
        </w:tc>
        <w:tc>
          <w:tcPr>
            <w:tcW w:w="270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350"/>
              <w:spacing w:after="0"/>
              <w:rPr>
                <w:sz w:val="20"/>
                <w:szCs w:val="20"/>
                <w:color w:val="auto"/>
              </w:rPr>
            </w:pPr>
            <w:r>
              <w:rPr>
                <w:rFonts w:ascii="Arial" w:cs="Arial" w:eastAsia="Arial" w:hAnsi="Arial"/>
                <w:sz w:val="18"/>
                <w:szCs w:val="18"/>
                <w:color w:val="auto"/>
              </w:rPr>
              <w:t>(0.2)</w:t>
            </w:r>
          </w:p>
        </w:tc>
        <w:tc>
          <w:tcPr>
            <w:tcW w:w="1060" w:type="dxa"/>
            <w:vAlign w:val="bottom"/>
          </w:tcPr>
          <w:p>
            <w:pPr>
              <w:jc w:val="right"/>
              <w:spacing w:after="0"/>
              <w:rPr>
                <w:sz w:val="20"/>
                <w:szCs w:val="20"/>
                <w:color w:val="auto"/>
              </w:rPr>
            </w:pPr>
            <w:r>
              <w:rPr>
                <w:rFonts w:ascii="Arial" w:cs="Arial" w:eastAsia="Arial" w:hAnsi="Arial"/>
                <w:sz w:val="18"/>
                <w:szCs w:val="18"/>
                <w:color w:val="auto"/>
              </w:rPr>
              <w:t>(0.5)</w:t>
            </w:r>
          </w:p>
        </w:tc>
      </w:tr>
      <w:tr>
        <w:trPr>
          <w:trHeight w:val="27"/>
        </w:trPr>
        <w:tc>
          <w:tcPr>
            <w:tcW w:w="618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Attributable to ALLETE</w:t>
            </w:r>
          </w:p>
        </w:tc>
        <w:tc>
          <w:tcPr>
            <w:tcW w:w="270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$97.1</w:t>
            </w:r>
          </w:p>
        </w:tc>
        <w:tc>
          <w:tcPr>
            <w:tcW w:w="148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$93.8</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$75.3</w:t>
            </w:r>
          </w:p>
        </w:tc>
      </w:tr>
      <w:tr>
        <w:trPr>
          <w:trHeight w:val="237"/>
        </w:trPr>
        <w:tc>
          <w:tcPr>
            <w:tcW w:w="618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Average Shares of Common Stock</w:t>
            </w:r>
          </w:p>
        </w:tc>
        <w:tc>
          <w:tcPr>
            <w:tcW w:w="270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r>
      <w:tr>
        <w:trPr>
          <w:trHeight w:val="27"/>
        </w:trPr>
        <w:tc>
          <w:tcPr>
            <w:tcW w:w="618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Basic</w:t>
            </w:r>
          </w:p>
        </w:tc>
        <w:tc>
          <w:tcPr>
            <w:tcW w:w="270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37.6</w:t>
            </w:r>
          </w:p>
        </w:tc>
        <w:tc>
          <w:tcPr>
            <w:tcW w:w="148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35.3</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34.2</w:t>
            </w:r>
          </w:p>
        </w:tc>
      </w:tr>
      <w:tr>
        <w:trPr>
          <w:trHeight w:val="243"/>
        </w:trPr>
        <w:tc>
          <w:tcPr>
            <w:tcW w:w="6180" w:type="dxa"/>
            <w:vAlign w:val="bottom"/>
          </w:tcPr>
          <w:p>
            <w:pPr>
              <w:ind w:left="280"/>
              <w:spacing w:after="0"/>
              <w:rPr>
                <w:sz w:val="20"/>
                <w:szCs w:val="20"/>
                <w:color w:val="auto"/>
              </w:rPr>
            </w:pPr>
            <w:r>
              <w:rPr>
                <w:rFonts w:ascii="Arial" w:cs="Arial" w:eastAsia="Arial" w:hAnsi="Arial"/>
                <w:sz w:val="18"/>
                <w:szCs w:val="18"/>
                <w:color w:val="auto"/>
              </w:rPr>
              <w:t>Diluted</w:t>
            </w:r>
          </w:p>
        </w:tc>
        <w:tc>
          <w:tcPr>
            <w:tcW w:w="2700" w:type="dxa"/>
            <w:vAlign w:val="bottom"/>
          </w:tcPr>
          <w:p>
            <w:pPr>
              <w:jc w:val="right"/>
              <w:ind w:right="430"/>
              <w:spacing w:after="0"/>
              <w:rPr>
                <w:sz w:val="20"/>
                <w:szCs w:val="20"/>
                <w:color w:val="auto"/>
              </w:rPr>
            </w:pPr>
            <w:r>
              <w:rPr>
                <w:rFonts w:ascii="Arial" w:cs="Arial" w:eastAsia="Arial" w:hAnsi="Arial"/>
                <w:sz w:val="18"/>
                <w:szCs w:val="18"/>
                <w:color w:val="auto"/>
              </w:rPr>
              <w:t>37.6</w:t>
            </w:r>
          </w:p>
        </w:tc>
        <w:tc>
          <w:tcPr>
            <w:tcW w:w="1480" w:type="dxa"/>
            <w:vAlign w:val="bottom"/>
          </w:tcPr>
          <w:p>
            <w:pPr>
              <w:jc w:val="right"/>
              <w:ind w:right="410"/>
              <w:spacing w:after="0"/>
              <w:rPr>
                <w:sz w:val="20"/>
                <w:szCs w:val="20"/>
                <w:color w:val="auto"/>
              </w:rPr>
            </w:pPr>
            <w:r>
              <w:rPr>
                <w:rFonts w:ascii="Arial" w:cs="Arial" w:eastAsia="Arial" w:hAnsi="Arial"/>
                <w:sz w:val="18"/>
                <w:szCs w:val="18"/>
                <w:color w:val="auto"/>
              </w:rPr>
              <w:t>35.4</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34.3</w:t>
            </w:r>
          </w:p>
        </w:tc>
      </w:tr>
      <w:tr>
        <w:trPr>
          <w:trHeight w:val="27"/>
        </w:trPr>
        <w:tc>
          <w:tcPr>
            <w:tcW w:w="618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Basic Earnings Per Share of Common Stock</w:t>
            </w:r>
          </w:p>
        </w:tc>
        <w:tc>
          <w:tcPr>
            <w:tcW w:w="270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$2.59</w:t>
            </w:r>
          </w:p>
        </w:tc>
        <w:tc>
          <w:tcPr>
            <w:tcW w:w="148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$2.66</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$2.20</w:t>
            </w: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b w:val="1"/>
                <w:bCs w:val="1"/>
                <w:color w:val="auto"/>
              </w:rPr>
              <w:t>Diluted Earnings Per Share of Common Stock</w:t>
            </w:r>
          </w:p>
        </w:tc>
        <w:tc>
          <w:tcPr>
            <w:tcW w:w="2700" w:type="dxa"/>
            <w:vAlign w:val="bottom"/>
          </w:tcPr>
          <w:p>
            <w:pPr>
              <w:jc w:val="right"/>
              <w:ind w:right="430"/>
              <w:spacing w:after="0"/>
              <w:rPr>
                <w:sz w:val="20"/>
                <w:szCs w:val="20"/>
                <w:color w:val="auto"/>
              </w:rPr>
            </w:pPr>
            <w:r>
              <w:rPr>
                <w:rFonts w:ascii="Arial" w:cs="Arial" w:eastAsia="Arial" w:hAnsi="Arial"/>
                <w:sz w:val="18"/>
                <w:szCs w:val="18"/>
                <w:color w:val="auto"/>
              </w:rPr>
              <w:t>$2.58</w:t>
            </w:r>
          </w:p>
        </w:tc>
        <w:tc>
          <w:tcPr>
            <w:tcW w:w="1480" w:type="dxa"/>
            <w:vAlign w:val="bottom"/>
          </w:tcPr>
          <w:p>
            <w:pPr>
              <w:jc w:val="right"/>
              <w:ind w:right="410"/>
              <w:spacing w:after="0"/>
              <w:rPr>
                <w:sz w:val="20"/>
                <w:szCs w:val="20"/>
                <w:color w:val="auto"/>
              </w:rPr>
            </w:pPr>
            <w:r>
              <w:rPr>
                <w:rFonts w:ascii="Arial" w:cs="Arial" w:eastAsia="Arial" w:hAnsi="Arial"/>
                <w:sz w:val="18"/>
                <w:szCs w:val="18"/>
                <w:color w:val="auto"/>
              </w:rPr>
              <w:t>$2.65</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$2.19</w:t>
            </w:r>
          </w:p>
        </w:tc>
      </w:tr>
      <w:tr>
        <w:trPr>
          <w:trHeight w:val="27"/>
        </w:trPr>
        <w:tc>
          <w:tcPr>
            <w:tcW w:w="618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Dividends Per Share of Common Stock</w:t>
            </w:r>
          </w:p>
        </w:tc>
        <w:tc>
          <w:tcPr>
            <w:tcW w:w="270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$1.84</w:t>
            </w:r>
          </w:p>
        </w:tc>
        <w:tc>
          <w:tcPr>
            <w:tcW w:w="148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$1.78</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$1.76</w:t>
            </w:r>
          </w:p>
        </w:tc>
      </w:tr>
      <w:tr>
        <w:trPr>
          <w:trHeight w:val="20"/>
        </w:trPr>
        <w:tc>
          <w:tcPr>
            <w:tcW w:w="6180" w:type="dxa"/>
            <w:vAlign w:val="bottom"/>
            <w:shd w:val="clear" w:color="auto" w:fill="000000"/>
          </w:tcPr>
          <w:p>
            <w:pPr>
              <w:spacing w:after="0" w:line="20" w:lineRule="exact"/>
              <w:rPr>
                <w:sz w:val="1"/>
                <w:szCs w:val="1"/>
                <w:color w:val="auto"/>
              </w:rPr>
            </w:pPr>
          </w:p>
        </w:tc>
        <w:tc>
          <w:tcPr>
            <w:tcW w:w="270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2012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364" w:right="23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color w:val="auto"/>
        </w:rPr>
        <w:t>ALLETE Consolidated Statement of Comprehensive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0" w:type="dxa"/>
            <w:vAlign w:val="bottom"/>
          </w:tcPr>
          <w:p>
            <w:pPr>
              <w:ind w:left="40"/>
              <w:spacing w:after="0"/>
              <w:rPr>
                <w:sz w:val="20"/>
                <w:szCs w:val="20"/>
                <w:color w:val="auto"/>
              </w:rPr>
            </w:pPr>
            <w:r>
              <w:rPr>
                <w:rFonts w:ascii="Arial" w:cs="Arial" w:eastAsia="Arial" w:hAnsi="Arial"/>
                <w:sz w:val="18"/>
                <w:szCs w:val="18"/>
                <w:b w:val="1"/>
                <w:bCs w:val="1"/>
                <w:color w:val="auto"/>
              </w:rPr>
              <w:t>Comprehensive Income (Loss)</w:t>
            </w:r>
          </w:p>
        </w:tc>
        <w:tc>
          <w:tcPr>
            <w:tcW w:w="2540" w:type="dxa"/>
            <w:vAlign w:val="bottom"/>
          </w:tcPr>
          <w:p>
            <w:pPr>
              <w:jc w:val="right"/>
              <w:ind w:right="710"/>
              <w:spacing w:after="0"/>
              <w:rPr>
                <w:sz w:val="20"/>
                <w:szCs w:val="20"/>
                <w:color w:val="auto"/>
              </w:rPr>
            </w:pPr>
            <w:r>
              <w:rPr>
                <w:rFonts w:ascii="Arial" w:cs="Arial" w:eastAsia="Arial" w:hAnsi="Arial"/>
                <w:sz w:val="18"/>
                <w:szCs w:val="18"/>
                <w:b w:val="1"/>
                <w:bCs w:val="1"/>
                <w:color w:val="auto"/>
              </w:rPr>
              <w:t>2012</w:t>
            </w:r>
          </w:p>
        </w:tc>
        <w:tc>
          <w:tcPr>
            <w:tcW w:w="1480" w:type="dxa"/>
            <w:vAlign w:val="bottom"/>
          </w:tcPr>
          <w:p>
            <w:pPr>
              <w:jc w:val="right"/>
              <w:ind w:right="690"/>
              <w:spacing w:after="0"/>
              <w:rPr>
                <w:sz w:val="20"/>
                <w:szCs w:val="20"/>
                <w:color w:val="auto"/>
              </w:rPr>
            </w:pPr>
            <w:r>
              <w:rPr>
                <w:rFonts w:ascii="Arial" w:cs="Arial" w:eastAsia="Arial" w:hAnsi="Arial"/>
                <w:sz w:val="18"/>
                <w:szCs w:val="18"/>
                <w:b w:val="1"/>
                <w:bCs w:val="1"/>
                <w:color w:val="auto"/>
              </w:rPr>
              <w:t>2011</w:t>
            </w:r>
          </w:p>
        </w:tc>
        <w:tc>
          <w:tcPr>
            <w:tcW w:w="1180" w:type="dxa"/>
            <w:vAlign w:val="bottom"/>
          </w:tcPr>
          <w:p>
            <w:pPr>
              <w:jc w:val="right"/>
              <w:ind w:right="410"/>
              <w:spacing w:after="0"/>
              <w:rPr>
                <w:sz w:val="20"/>
                <w:szCs w:val="20"/>
                <w:color w:val="auto"/>
              </w:rPr>
            </w:pPr>
            <w:r>
              <w:rPr>
                <w:rFonts w:ascii="Arial" w:cs="Arial" w:eastAsia="Arial" w:hAnsi="Arial"/>
                <w:sz w:val="18"/>
                <w:szCs w:val="18"/>
                <w:b w:val="1"/>
                <w:bCs w:val="1"/>
                <w:color w:val="auto"/>
              </w:rPr>
              <w:t>2010</w:t>
            </w:r>
          </w:p>
        </w:tc>
      </w:tr>
      <w:tr>
        <w:trPr>
          <w:trHeight w:val="27"/>
        </w:trPr>
        <w:tc>
          <w:tcPr>
            <w:tcW w:w="620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7"/>
        </w:trPr>
        <w:tc>
          <w:tcPr>
            <w:tcW w:w="620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5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7"/>
        </w:trPr>
        <w:tc>
          <w:tcPr>
            <w:tcW w:w="620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5"/>
        </w:trPr>
        <w:tc>
          <w:tcPr>
            <w:tcW w:w="6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254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$97.1</w:t>
            </w:r>
          </w:p>
        </w:tc>
        <w:tc>
          <w:tcPr>
            <w:tcW w:w="148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$93.6</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$74.8</w:t>
            </w:r>
          </w:p>
        </w:tc>
      </w:tr>
      <w:tr>
        <w:trPr>
          <w:trHeight w:val="237"/>
        </w:trPr>
        <w:tc>
          <w:tcPr>
            <w:tcW w:w="62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Other Comprehensive Income (Loss)</w:t>
            </w:r>
          </w:p>
        </w:tc>
        <w:tc>
          <w:tcPr>
            <w:tcW w:w="25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r>
      <w:tr>
        <w:trPr>
          <w:trHeight w:val="27"/>
        </w:trPr>
        <w:tc>
          <w:tcPr>
            <w:tcW w:w="620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Unrealized Gain (Loss) on Securities</w:t>
            </w:r>
          </w:p>
        </w:tc>
        <w:tc>
          <w:tcPr>
            <w:tcW w:w="25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6200" w:type="dxa"/>
            <w:vAlign w:val="bottom"/>
          </w:tcPr>
          <w:p>
            <w:pPr>
              <w:ind w:left="280"/>
              <w:spacing w:after="0"/>
              <w:rPr>
                <w:sz w:val="20"/>
                <w:szCs w:val="20"/>
                <w:color w:val="auto"/>
              </w:rPr>
            </w:pPr>
            <w:r>
              <w:rPr>
                <w:rFonts w:ascii="Arial" w:cs="Arial" w:eastAsia="Arial" w:hAnsi="Arial"/>
                <w:sz w:val="18"/>
                <w:szCs w:val="18"/>
                <w:color w:val="auto"/>
              </w:rPr>
              <w:t>Net of Income Taxes of $0.8, $(0.1) and $0.6</w:t>
            </w:r>
          </w:p>
        </w:tc>
        <w:tc>
          <w:tcPr>
            <w:tcW w:w="2540" w:type="dxa"/>
            <w:vAlign w:val="bottom"/>
          </w:tcPr>
          <w:p>
            <w:pPr>
              <w:jc w:val="right"/>
              <w:ind w:right="310"/>
              <w:spacing w:after="0"/>
              <w:rPr>
                <w:sz w:val="20"/>
                <w:szCs w:val="20"/>
                <w:color w:val="auto"/>
              </w:rPr>
            </w:pPr>
            <w:r>
              <w:rPr>
                <w:rFonts w:ascii="Arial" w:cs="Arial" w:eastAsia="Arial" w:hAnsi="Arial"/>
                <w:sz w:val="18"/>
                <w:szCs w:val="18"/>
                <w:color w:val="auto"/>
              </w:rPr>
              <w:t>1.2</w:t>
            </w:r>
          </w:p>
        </w:tc>
        <w:tc>
          <w:tcPr>
            <w:tcW w:w="1480" w:type="dxa"/>
            <w:vAlign w:val="bottom"/>
          </w:tcPr>
          <w:p>
            <w:pPr>
              <w:jc w:val="right"/>
              <w:ind w:right="250"/>
              <w:spacing w:after="0"/>
              <w:rPr>
                <w:sz w:val="20"/>
                <w:szCs w:val="20"/>
                <w:color w:val="auto"/>
              </w:rPr>
            </w:pPr>
            <w:r>
              <w:rPr>
                <w:rFonts w:ascii="Arial" w:cs="Arial" w:eastAsia="Arial" w:hAnsi="Arial"/>
                <w:sz w:val="18"/>
                <w:szCs w:val="18"/>
                <w:color w:val="auto"/>
              </w:rPr>
              <w:t>(0.3)</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0.8</w:t>
            </w:r>
          </w:p>
        </w:tc>
      </w:tr>
      <w:tr>
        <w:trPr>
          <w:trHeight w:val="27"/>
        </w:trPr>
        <w:tc>
          <w:tcPr>
            <w:tcW w:w="620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Unrealized Loss on Derivatives</w:t>
            </w:r>
          </w:p>
        </w:tc>
        <w:tc>
          <w:tcPr>
            <w:tcW w:w="25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6200" w:type="dxa"/>
            <w:vAlign w:val="bottom"/>
          </w:tcPr>
          <w:p>
            <w:pPr>
              <w:ind w:left="280"/>
              <w:spacing w:after="0"/>
              <w:rPr>
                <w:sz w:val="20"/>
                <w:szCs w:val="20"/>
                <w:color w:val="auto"/>
              </w:rPr>
            </w:pPr>
            <w:r>
              <w:rPr>
                <w:rFonts w:ascii="Arial" w:cs="Arial" w:eastAsia="Arial" w:hAnsi="Arial"/>
                <w:sz w:val="18"/>
                <w:szCs w:val="18"/>
                <w:color w:val="auto"/>
              </w:rPr>
              <w:t>Net of Income Taxes of $(0.1), $(0.2) and $—</w:t>
            </w:r>
          </w:p>
        </w:tc>
        <w:tc>
          <w:tcPr>
            <w:tcW w:w="2540" w:type="dxa"/>
            <w:vAlign w:val="bottom"/>
          </w:tcPr>
          <w:p>
            <w:pPr>
              <w:jc w:val="right"/>
              <w:ind w:right="250"/>
              <w:spacing w:after="0"/>
              <w:rPr>
                <w:sz w:val="20"/>
                <w:szCs w:val="20"/>
                <w:color w:val="auto"/>
              </w:rPr>
            </w:pPr>
            <w:r>
              <w:rPr>
                <w:rFonts w:ascii="Arial" w:cs="Arial" w:eastAsia="Arial" w:hAnsi="Arial"/>
                <w:sz w:val="18"/>
                <w:szCs w:val="18"/>
                <w:color w:val="auto"/>
              </w:rPr>
              <w:t>(0.2)</w:t>
            </w:r>
          </w:p>
        </w:tc>
        <w:tc>
          <w:tcPr>
            <w:tcW w:w="1480" w:type="dxa"/>
            <w:vAlign w:val="bottom"/>
          </w:tcPr>
          <w:p>
            <w:pPr>
              <w:jc w:val="right"/>
              <w:ind w:right="250"/>
              <w:spacing w:after="0"/>
              <w:rPr>
                <w:sz w:val="20"/>
                <w:szCs w:val="20"/>
                <w:color w:val="auto"/>
              </w:rPr>
            </w:pPr>
            <w:r>
              <w:rPr>
                <w:rFonts w:ascii="Arial" w:cs="Arial" w:eastAsia="Arial" w:hAnsi="Arial"/>
                <w:sz w:val="18"/>
                <w:szCs w:val="18"/>
                <w:color w:val="auto"/>
              </w:rPr>
              <w:t>(0.3)</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620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Defined Benefit Pension and Other Postretirement Benefit Plans</w:t>
            </w:r>
          </w:p>
        </w:tc>
        <w:tc>
          <w:tcPr>
            <w:tcW w:w="25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6200" w:type="dxa"/>
            <w:vAlign w:val="bottom"/>
          </w:tcPr>
          <w:p>
            <w:pPr>
              <w:ind w:left="280"/>
              <w:spacing w:after="0"/>
              <w:rPr>
                <w:sz w:val="20"/>
                <w:szCs w:val="20"/>
                <w:color w:val="auto"/>
              </w:rPr>
            </w:pPr>
            <w:r>
              <w:rPr>
                <w:rFonts w:ascii="Arial" w:cs="Arial" w:eastAsia="Arial" w:hAnsi="Arial"/>
                <w:sz w:val="18"/>
                <w:szCs w:val="18"/>
                <w:color w:val="auto"/>
              </w:rPr>
              <w:t>Net of Income Taxes of $3.9, $(3.6), and $—</w:t>
            </w:r>
          </w:p>
        </w:tc>
        <w:tc>
          <w:tcPr>
            <w:tcW w:w="2540" w:type="dxa"/>
            <w:vAlign w:val="bottom"/>
          </w:tcPr>
          <w:p>
            <w:pPr>
              <w:jc w:val="right"/>
              <w:ind w:right="310"/>
              <w:spacing w:after="0"/>
              <w:rPr>
                <w:sz w:val="20"/>
                <w:szCs w:val="20"/>
                <w:color w:val="auto"/>
              </w:rPr>
            </w:pPr>
            <w:r>
              <w:rPr>
                <w:rFonts w:ascii="Arial" w:cs="Arial" w:eastAsia="Arial" w:hAnsi="Arial"/>
                <w:sz w:val="18"/>
                <w:szCs w:val="18"/>
                <w:color w:val="auto"/>
              </w:rPr>
              <w:t>5.9</w:t>
            </w:r>
          </w:p>
        </w:tc>
        <w:tc>
          <w:tcPr>
            <w:tcW w:w="1480" w:type="dxa"/>
            <w:vAlign w:val="bottom"/>
          </w:tcPr>
          <w:p>
            <w:pPr>
              <w:jc w:val="right"/>
              <w:ind w:right="250"/>
              <w:spacing w:after="0"/>
              <w:rPr>
                <w:sz w:val="20"/>
                <w:szCs w:val="20"/>
                <w:color w:val="auto"/>
              </w:rPr>
            </w:pPr>
            <w:r>
              <w:rPr>
                <w:rFonts w:ascii="Arial" w:cs="Arial" w:eastAsia="Arial" w:hAnsi="Arial"/>
                <w:sz w:val="18"/>
                <w:szCs w:val="18"/>
                <w:color w:val="auto"/>
              </w:rPr>
              <w:t>(5.1)</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620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9"/>
        </w:trPr>
        <w:tc>
          <w:tcPr>
            <w:tcW w:w="62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Other Comprehensive Income (Loss)</w:t>
            </w:r>
          </w:p>
        </w:tc>
        <w:tc>
          <w:tcPr>
            <w:tcW w:w="254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6.9</w:t>
            </w:r>
          </w:p>
        </w:tc>
        <w:tc>
          <w:tcPr>
            <w:tcW w:w="14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(5.7)</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0.8</w:t>
            </w:r>
          </w:p>
        </w:tc>
      </w:tr>
      <w:tr>
        <w:trPr>
          <w:trHeight w:val="237"/>
        </w:trPr>
        <w:tc>
          <w:tcPr>
            <w:tcW w:w="62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Comprehensive Income</w:t>
            </w:r>
          </w:p>
        </w:tc>
        <w:tc>
          <w:tcPr>
            <w:tcW w:w="254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rPr>
              <w:t>$104.0</w:t>
            </w:r>
          </w:p>
        </w:tc>
        <w:tc>
          <w:tcPr>
            <w:tcW w:w="148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rPr>
              <w:t>$87.9</w:t>
            </w:r>
          </w:p>
        </w:tc>
        <w:tc>
          <w:tcPr>
            <w:tcW w:w="11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$75.6</w:t>
            </w:r>
          </w:p>
        </w:tc>
      </w:tr>
      <w:tr>
        <w:trPr>
          <w:trHeight w:val="27"/>
        </w:trPr>
        <w:tc>
          <w:tcPr>
            <w:tcW w:w="620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5"/>
        </w:trPr>
        <w:tc>
          <w:tcPr>
            <w:tcW w:w="6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Non-Controlling Interest in Subsidiaries</w:t>
            </w:r>
          </w:p>
        </w:tc>
        <w:tc>
          <w:tcPr>
            <w:tcW w:w="254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(0.2)</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r>
      <w:tr>
        <w:trPr>
          <w:trHeight w:val="237"/>
        </w:trPr>
        <w:tc>
          <w:tcPr>
            <w:tcW w:w="62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Comprehensive Income Attributable to ALLETE</w:t>
            </w:r>
          </w:p>
        </w:tc>
        <w:tc>
          <w:tcPr>
            <w:tcW w:w="254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rPr>
              <w:t>$104.0</w:t>
            </w:r>
          </w:p>
        </w:tc>
        <w:tc>
          <w:tcPr>
            <w:tcW w:w="148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rPr>
              <w:t>$88.1</w:t>
            </w:r>
          </w:p>
        </w:tc>
        <w:tc>
          <w:tcPr>
            <w:tcW w:w="11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$76.1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2947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ALLETE 2012 Form 10-K</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00"/>
          </w:cols>
          <w:pgMar w:left="240" w:top="364" w:right="259"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234"/>
        </w:trPr>
        <w:tc>
          <w:tcPr>
            <w:tcW w:w="6920" w:type="dxa"/>
            <w:vAlign w:val="bottom"/>
            <w:gridSpan w:val="2"/>
          </w:tcPr>
          <w:p>
            <w:pPr>
              <w:spacing w:after="0"/>
              <w:rPr>
                <w:sz w:val="20"/>
                <w:szCs w:val="20"/>
                <w:color w:val="auto"/>
              </w:rPr>
            </w:pPr>
            <w:r>
              <w:rPr>
                <w:rFonts w:ascii="Arial" w:cs="Arial" w:eastAsia="Arial" w:hAnsi="Arial"/>
                <w:sz w:val="18"/>
                <w:szCs w:val="18"/>
                <w:b w:val="1"/>
                <w:bCs w:val="1"/>
                <w:color w:val="auto"/>
              </w:rPr>
              <w:t>ALLETE Consolidated Statement of Cash Flows</w:t>
            </w:r>
          </w:p>
        </w:tc>
        <w:tc>
          <w:tcPr>
            <w:tcW w:w="19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594"/>
        </w:trPr>
        <w:tc>
          <w:tcPr>
            <w:tcW w:w="20" w:type="dxa"/>
            <w:vAlign w:val="bottom"/>
          </w:tcPr>
          <w:p>
            <w:pPr>
              <w:spacing w:after="0"/>
              <w:rPr>
                <w:sz w:val="24"/>
                <w:szCs w:val="24"/>
                <w:color w:val="auto"/>
              </w:rPr>
            </w:pPr>
          </w:p>
        </w:tc>
        <w:tc>
          <w:tcPr>
            <w:tcW w:w="6900" w:type="dxa"/>
            <w:vAlign w:val="bottom"/>
          </w:tcPr>
          <w:p>
            <w:pPr>
              <w:ind w:left="20"/>
              <w:spacing w:after="0"/>
              <w:rPr>
                <w:sz w:val="20"/>
                <w:szCs w:val="20"/>
                <w:color w:val="auto"/>
              </w:rPr>
            </w:pPr>
            <w:r>
              <w:rPr>
                <w:rFonts w:ascii="Arial" w:cs="Arial" w:eastAsia="Arial" w:hAnsi="Arial"/>
                <w:sz w:val="18"/>
                <w:szCs w:val="18"/>
                <w:b w:val="1"/>
                <w:bCs w:val="1"/>
                <w:color w:val="auto"/>
              </w:rPr>
              <w:t>Year Ended December 31</w:t>
            </w:r>
          </w:p>
        </w:tc>
        <w:tc>
          <w:tcPr>
            <w:tcW w:w="1960" w:type="dxa"/>
            <w:vAlign w:val="bottom"/>
          </w:tcPr>
          <w:p>
            <w:pPr>
              <w:jc w:val="right"/>
              <w:ind w:right="430"/>
              <w:spacing w:after="0"/>
              <w:rPr>
                <w:sz w:val="20"/>
                <w:szCs w:val="20"/>
                <w:color w:val="auto"/>
              </w:rPr>
            </w:pPr>
            <w:r>
              <w:rPr>
                <w:rFonts w:ascii="Arial" w:cs="Arial" w:eastAsia="Arial" w:hAnsi="Arial"/>
                <w:sz w:val="18"/>
                <w:szCs w:val="18"/>
                <w:b w:val="1"/>
                <w:bCs w:val="1"/>
                <w:color w:val="auto"/>
              </w:rPr>
              <w:t>2012</w:t>
            </w:r>
          </w:p>
        </w:tc>
        <w:tc>
          <w:tcPr>
            <w:tcW w:w="1500" w:type="dxa"/>
            <w:vAlign w:val="bottom"/>
          </w:tcPr>
          <w:p>
            <w:pPr>
              <w:jc w:val="right"/>
              <w:ind w:right="430"/>
              <w:spacing w:after="0"/>
              <w:rPr>
                <w:sz w:val="20"/>
                <w:szCs w:val="20"/>
                <w:color w:val="auto"/>
              </w:rPr>
            </w:pPr>
            <w:r>
              <w:rPr>
                <w:rFonts w:ascii="Arial" w:cs="Arial" w:eastAsia="Arial" w:hAnsi="Arial"/>
                <w:sz w:val="18"/>
                <w:szCs w:val="18"/>
                <w:b w:val="1"/>
                <w:bCs w:val="1"/>
                <w:color w:val="auto"/>
              </w:rPr>
              <w:t>2011</w:t>
            </w:r>
          </w:p>
        </w:tc>
        <w:tc>
          <w:tcPr>
            <w:tcW w:w="1040" w:type="dxa"/>
            <w:vAlign w:val="bottom"/>
          </w:tcPr>
          <w:p>
            <w:pPr>
              <w:jc w:val="right"/>
              <w:ind w:right="10"/>
              <w:spacing w:after="0"/>
              <w:rPr>
                <w:sz w:val="20"/>
                <w:szCs w:val="20"/>
                <w:color w:val="auto"/>
              </w:rPr>
            </w:pPr>
            <w:r>
              <w:rPr>
                <w:rFonts w:ascii="Arial" w:cs="Arial" w:eastAsia="Arial" w:hAnsi="Arial"/>
                <w:sz w:val="18"/>
                <w:szCs w:val="18"/>
                <w:b w:val="1"/>
                <w:bCs w:val="1"/>
                <w:color w:val="auto"/>
              </w:rPr>
              <w:t>2010</w:t>
            </w:r>
          </w:p>
        </w:tc>
      </w:tr>
      <w:tr>
        <w:trPr>
          <w:trHeight w:val="27"/>
        </w:trPr>
        <w:tc>
          <w:tcPr>
            <w:tcW w:w="20" w:type="dxa"/>
            <w:vAlign w:val="bottom"/>
          </w:tcPr>
          <w:p>
            <w:pPr>
              <w:spacing w:after="0"/>
              <w:rPr>
                <w:sz w:val="2"/>
                <w:szCs w:val="2"/>
                <w:color w:val="auto"/>
              </w:rPr>
            </w:pPr>
          </w:p>
        </w:tc>
        <w:tc>
          <w:tcPr>
            <w:tcW w:w="69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690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19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69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19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900" w:type="dxa"/>
            <w:vAlign w:val="bottom"/>
          </w:tcPr>
          <w:p>
            <w:pPr>
              <w:ind w:left="260"/>
              <w:spacing w:after="0"/>
              <w:rPr>
                <w:sz w:val="20"/>
                <w:szCs w:val="20"/>
                <w:color w:val="auto"/>
              </w:rPr>
            </w:pPr>
            <w:r>
              <w:rPr>
                <w:rFonts w:ascii="Arial" w:cs="Arial" w:eastAsia="Arial" w:hAnsi="Arial"/>
                <w:sz w:val="18"/>
                <w:szCs w:val="18"/>
                <w:color w:val="auto"/>
              </w:rPr>
              <w:t>Net Income</w:t>
            </w:r>
          </w:p>
        </w:tc>
        <w:tc>
          <w:tcPr>
            <w:tcW w:w="1960" w:type="dxa"/>
            <w:vAlign w:val="bottom"/>
          </w:tcPr>
          <w:p>
            <w:pPr>
              <w:jc w:val="right"/>
              <w:ind w:right="430"/>
              <w:spacing w:after="0"/>
              <w:rPr>
                <w:sz w:val="20"/>
                <w:szCs w:val="20"/>
                <w:color w:val="auto"/>
              </w:rPr>
            </w:pPr>
            <w:r>
              <w:rPr>
                <w:rFonts w:ascii="Arial" w:cs="Arial" w:eastAsia="Arial" w:hAnsi="Arial"/>
                <w:sz w:val="18"/>
                <w:szCs w:val="18"/>
                <w:color w:val="auto"/>
              </w:rPr>
              <w:t>$97.1</w:t>
            </w:r>
          </w:p>
        </w:tc>
        <w:tc>
          <w:tcPr>
            <w:tcW w:w="1500" w:type="dxa"/>
            <w:vAlign w:val="bottom"/>
          </w:tcPr>
          <w:p>
            <w:pPr>
              <w:jc w:val="right"/>
              <w:ind w:right="430"/>
              <w:spacing w:after="0"/>
              <w:rPr>
                <w:sz w:val="20"/>
                <w:szCs w:val="20"/>
                <w:color w:val="auto"/>
              </w:rPr>
            </w:pPr>
            <w:r>
              <w:rPr>
                <w:rFonts w:ascii="Arial" w:cs="Arial" w:eastAsia="Arial" w:hAnsi="Arial"/>
                <w:sz w:val="18"/>
                <w:szCs w:val="18"/>
                <w:color w:val="auto"/>
              </w:rPr>
              <w:t>$93.6</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$74.8</w:t>
            </w:r>
          </w:p>
        </w:tc>
      </w:tr>
      <w:tr>
        <w:trPr>
          <w:trHeight w:val="27"/>
        </w:trPr>
        <w:tc>
          <w:tcPr>
            <w:tcW w:w="20" w:type="dxa"/>
            <w:vAlign w:val="bottom"/>
          </w:tcPr>
          <w:p>
            <w:pPr>
              <w:spacing w:after="0"/>
              <w:rPr>
                <w:sz w:val="2"/>
                <w:szCs w:val="2"/>
                <w:color w:val="auto"/>
              </w:rPr>
            </w:pPr>
          </w:p>
        </w:tc>
        <w:tc>
          <w:tcPr>
            <w:tcW w:w="69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9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Allowance for Funds Used During Construction – Equity</w:t>
            </w:r>
          </w:p>
        </w:tc>
        <w:tc>
          <w:tcPr>
            <w:tcW w:w="19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(5.1)</w:t>
            </w:r>
          </w:p>
        </w:tc>
        <w:tc>
          <w:tcPr>
            <w:tcW w:w="150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(2.5)</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r>
      <w:tr>
        <w:trPr>
          <w:trHeight w:val="243"/>
        </w:trPr>
        <w:tc>
          <w:tcPr>
            <w:tcW w:w="20" w:type="dxa"/>
            <w:vAlign w:val="bottom"/>
          </w:tcPr>
          <w:p>
            <w:pPr>
              <w:spacing w:after="0"/>
              <w:rPr>
                <w:sz w:val="21"/>
                <w:szCs w:val="21"/>
                <w:color w:val="auto"/>
              </w:rPr>
            </w:pPr>
          </w:p>
        </w:tc>
        <w:tc>
          <w:tcPr>
            <w:tcW w:w="6900" w:type="dxa"/>
            <w:vAlign w:val="bottom"/>
          </w:tcPr>
          <w:p>
            <w:pPr>
              <w:ind w:left="260"/>
              <w:spacing w:after="0"/>
              <w:rPr>
                <w:sz w:val="20"/>
                <w:szCs w:val="20"/>
                <w:color w:val="auto"/>
              </w:rPr>
            </w:pPr>
            <w:r>
              <w:rPr>
                <w:rFonts w:ascii="Arial" w:cs="Arial" w:eastAsia="Arial" w:hAnsi="Arial"/>
                <w:sz w:val="18"/>
                <w:szCs w:val="18"/>
                <w:color w:val="auto"/>
              </w:rPr>
              <w:t>Income from Equity Investments, Net of Dividends</w:t>
            </w:r>
          </w:p>
        </w:tc>
        <w:tc>
          <w:tcPr>
            <w:tcW w:w="1960" w:type="dxa"/>
            <w:vAlign w:val="bottom"/>
          </w:tcPr>
          <w:p>
            <w:pPr>
              <w:jc w:val="right"/>
              <w:ind w:right="370"/>
              <w:spacing w:after="0"/>
              <w:rPr>
                <w:sz w:val="20"/>
                <w:szCs w:val="20"/>
                <w:color w:val="auto"/>
              </w:rPr>
            </w:pPr>
            <w:r>
              <w:rPr>
                <w:rFonts w:ascii="Arial" w:cs="Arial" w:eastAsia="Arial" w:hAnsi="Arial"/>
                <w:sz w:val="18"/>
                <w:szCs w:val="18"/>
                <w:color w:val="auto"/>
              </w:rPr>
              <w:t>(3.7)</w:t>
            </w:r>
          </w:p>
        </w:tc>
        <w:tc>
          <w:tcPr>
            <w:tcW w:w="1500" w:type="dxa"/>
            <w:vAlign w:val="bottom"/>
          </w:tcPr>
          <w:p>
            <w:pPr>
              <w:jc w:val="right"/>
              <w:ind w:right="370"/>
              <w:spacing w:after="0"/>
              <w:rPr>
                <w:sz w:val="20"/>
                <w:szCs w:val="20"/>
                <w:color w:val="auto"/>
              </w:rPr>
            </w:pPr>
            <w:r>
              <w:rPr>
                <w:rFonts w:ascii="Arial" w:cs="Arial" w:eastAsia="Arial" w:hAnsi="Arial"/>
                <w:sz w:val="18"/>
                <w:szCs w:val="18"/>
                <w:color w:val="auto"/>
              </w:rPr>
              <w:t>(3.2)</w:t>
            </w:r>
          </w:p>
        </w:tc>
        <w:tc>
          <w:tcPr>
            <w:tcW w:w="10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7"/>
        </w:trPr>
        <w:tc>
          <w:tcPr>
            <w:tcW w:w="20" w:type="dxa"/>
            <w:vAlign w:val="bottom"/>
          </w:tcPr>
          <w:p>
            <w:pPr>
              <w:spacing w:after="0"/>
              <w:rPr>
                <w:sz w:val="2"/>
                <w:szCs w:val="2"/>
                <w:color w:val="auto"/>
              </w:rPr>
            </w:pPr>
          </w:p>
        </w:tc>
        <w:tc>
          <w:tcPr>
            <w:tcW w:w="69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9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Gain on Real Estate Foreclosure</w:t>
            </w:r>
          </w:p>
        </w:tc>
        <w:tc>
          <w:tcPr>
            <w:tcW w:w="196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(0.5)</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r>
      <w:tr>
        <w:trPr>
          <w:trHeight w:val="243"/>
        </w:trPr>
        <w:tc>
          <w:tcPr>
            <w:tcW w:w="20" w:type="dxa"/>
            <w:vAlign w:val="bottom"/>
          </w:tcPr>
          <w:p>
            <w:pPr>
              <w:spacing w:after="0"/>
              <w:rPr>
                <w:sz w:val="21"/>
                <w:szCs w:val="21"/>
                <w:color w:val="auto"/>
              </w:rPr>
            </w:pPr>
          </w:p>
        </w:tc>
        <w:tc>
          <w:tcPr>
            <w:tcW w:w="6900" w:type="dxa"/>
            <w:vAlign w:val="bottom"/>
          </w:tcPr>
          <w:p>
            <w:pPr>
              <w:ind w:left="260"/>
              <w:spacing w:after="0"/>
              <w:rPr>
                <w:sz w:val="20"/>
                <w:szCs w:val="20"/>
                <w:color w:val="auto"/>
              </w:rPr>
            </w:pPr>
            <w:r>
              <w:rPr>
                <w:rFonts w:ascii="Arial" w:cs="Arial" w:eastAsia="Arial" w:hAnsi="Arial"/>
                <w:sz w:val="18"/>
                <w:szCs w:val="18"/>
                <w:color w:val="auto"/>
              </w:rPr>
              <w:t>Loss (Gain) on Sale of Assets</w:t>
            </w:r>
          </w:p>
        </w:tc>
        <w:tc>
          <w:tcPr>
            <w:tcW w:w="1960" w:type="dxa"/>
            <w:vAlign w:val="bottom"/>
          </w:tcPr>
          <w:p>
            <w:pPr>
              <w:jc w:val="right"/>
              <w:ind w:right="430"/>
              <w:spacing w:after="0"/>
              <w:rPr>
                <w:sz w:val="20"/>
                <w:szCs w:val="20"/>
                <w:color w:val="auto"/>
              </w:rPr>
            </w:pPr>
            <w:r>
              <w:rPr>
                <w:rFonts w:ascii="Arial" w:cs="Arial" w:eastAsia="Arial" w:hAnsi="Arial"/>
                <w:sz w:val="18"/>
                <w:szCs w:val="18"/>
                <w:color w:val="auto"/>
              </w:rPr>
              <w:t>0.2</w:t>
            </w:r>
          </w:p>
        </w:tc>
        <w:tc>
          <w:tcPr>
            <w:tcW w:w="1500" w:type="dxa"/>
            <w:vAlign w:val="bottom"/>
          </w:tcPr>
          <w:p>
            <w:pPr>
              <w:jc w:val="right"/>
              <w:ind w:right="370"/>
              <w:spacing w:after="0"/>
              <w:rPr>
                <w:sz w:val="20"/>
                <w:szCs w:val="20"/>
                <w:color w:val="auto"/>
              </w:rPr>
            </w:pPr>
            <w:r>
              <w:rPr>
                <w:rFonts w:ascii="Arial" w:cs="Arial" w:eastAsia="Arial" w:hAnsi="Arial"/>
                <w:sz w:val="18"/>
                <w:szCs w:val="18"/>
                <w:color w:val="auto"/>
              </w:rPr>
              <w:t>(0.9)</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69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9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Loss on Impairment of Assets</w:t>
            </w:r>
          </w:p>
        </w:tc>
        <w:tc>
          <w:tcPr>
            <w:tcW w:w="196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1.7</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20" w:type="dxa"/>
            <w:vAlign w:val="bottom"/>
          </w:tcPr>
          <w:p>
            <w:pPr>
              <w:spacing w:after="0"/>
              <w:rPr>
                <w:sz w:val="21"/>
                <w:szCs w:val="21"/>
                <w:color w:val="auto"/>
              </w:rPr>
            </w:pPr>
          </w:p>
        </w:tc>
        <w:tc>
          <w:tcPr>
            <w:tcW w:w="6900" w:type="dxa"/>
            <w:vAlign w:val="bottom"/>
          </w:tcPr>
          <w:p>
            <w:pPr>
              <w:ind w:left="260"/>
              <w:spacing w:after="0"/>
              <w:rPr>
                <w:sz w:val="20"/>
                <w:szCs w:val="20"/>
                <w:color w:val="auto"/>
              </w:rPr>
            </w:pPr>
            <w:r>
              <w:rPr>
                <w:rFonts w:ascii="Arial" w:cs="Arial" w:eastAsia="Arial" w:hAnsi="Arial"/>
                <w:sz w:val="18"/>
                <w:szCs w:val="18"/>
                <w:color w:val="auto"/>
              </w:rPr>
              <w:t>Depreciation Expense</w:t>
            </w:r>
          </w:p>
        </w:tc>
        <w:tc>
          <w:tcPr>
            <w:tcW w:w="1960" w:type="dxa"/>
            <w:vAlign w:val="bottom"/>
          </w:tcPr>
          <w:p>
            <w:pPr>
              <w:jc w:val="right"/>
              <w:ind w:right="430"/>
              <w:spacing w:after="0"/>
              <w:rPr>
                <w:sz w:val="20"/>
                <w:szCs w:val="20"/>
                <w:color w:val="auto"/>
              </w:rPr>
            </w:pPr>
            <w:r>
              <w:rPr>
                <w:rFonts w:ascii="Arial" w:cs="Arial" w:eastAsia="Arial" w:hAnsi="Arial"/>
                <w:sz w:val="18"/>
                <w:szCs w:val="18"/>
                <w:color w:val="auto"/>
              </w:rPr>
              <w:t>100.2</w:t>
            </w:r>
          </w:p>
        </w:tc>
        <w:tc>
          <w:tcPr>
            <w:tcW w:w="1500" w:type="dxa"/>
            <w:vAlign w:val="bottom"/>
          </w:tcPr>
          <w:p>
            <w:pPr>
              <w:jc w:val="right"/>
              <w:ind w:right="430"/>
              <w:spacing w:after="0"/>
              <w:rPr>
                <w:sz w:val="20"/>
                <w:szCs w:val="20"/>
                <w:color w:val="auto"/>
              </w:rPr>
            </w:pPr>
            <w:r>
              <w:rPr>
                <w:rFonts w:ascii="Arial" w:cs="Arial" w:eastAsia="Arial" w:hAnsi="Arial"/>
                <w:sz w:val="18"/>
                <w:szCs w:val="18"/>
                <w:color w:val="auto"/>
              </w:rPr>
              <w:t>90.4</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80.5</w:t>
            </w:r>
          </w:p>
        </w:tc>
      </w:tr>
      <w:tr>
        <w:trPr>
          <w:trHeight w:val="27"/>
        </w:trPr>
        <w:tc>
          <w:tcPr>
            <w:tcW w:w="20" w:type="dxa"/>
            <w:vAlign w:val="bottom"/>
          </w:tcPr>
          <w:p>
            <w:pPr>
              <w:spacing w:after="0"/>
              <w:rPr>
                <w:sz w:val="2"/>
                <w:szCs w:val="2"/>
                <w:color w:val="auto"/>
              </w:rPr>
            </w:pPr>
          </w:p>
        </w:tc>
        <w:tc>
          <w:tcPr>
            <w:tcW w:w="69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9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Amortization of Debt Issuance Costs</w:t>
            </w:r>
          </w:p>
        </w:tc>
        <w:tc>
          <w:tcPr>
            <w:tcW w:w="196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1.0</w:t>
            </w:r>
          </w:p>
        </w:tc>
        <w:tc>
          <w:tcPr>
            <w:tcW w:w="150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0.9</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0.9</w:t>
            </w:r>
          </w:p>
        </w:tc>
      </w:tr>
      <w:tr>
        <w:trPr>
          <w:trHeight w:val="243"/>
        </w:trPr>
        <w:tc>
          <w:tcPr>
            <w:tcW w:w="20" w:type="dxa"/>
            <w:vAlign w:val="bottom"/>
          </w:tcPr>
          <w:p>
            <w:pPr>
              <w:spacing w:after="0"/>
              <w:rPr>
                <w:sz w:val="21"/>
                <w:szCs w:val="21"/>
                <w:color w:val="auto"/>
              </w:rPr>
            </w:pPr>
          </w:p>
        </w:tc>
        <w:tc>
          <w:tcPr>
            <w:tcW w:w="6900" w:type="dxa"/>
            <w:vAlign w:val="bottom"/>
          </w:tcPr>
          <w:p>
            <w:pPr>
              <w:ind w:left="260"/>
              <w:spacing w:after="0"/>
              <w:rPr>
                <w:sz w:val="20"/>
                <w:szCs w:val="20"/>
                <w:color w:val="auto"/>
              </w:rPr>
            </w:pPr>
            <w:r>
              <w:rPr>
                <w:rFonts w:ascii="Arial" w:cs="Arial" w:eastAsia="Arial" w:hAnsi="Arial"/>
                <w:sz w:val="18"/>
                <w:szCs w:val="18"/>
                <w:color w:val="auto"/>
              </w:rPr>
              <w:t>Deferred Income Tax Expense</w:t>
            </w:r>
          </w:p>
        </w:tc>
        <w:tc>
          <w:tcPr>
            <w:tcW w:w="1960" w:type="dxa"/>
            <w:vAlign w:val="bottom"/>
          </w:tcPr>
          <w:p>
            <w:pPr>
              <w:jc w:val="right"/>
              <w:ind w:right="430"/>
              <w:spacing w:after="0"/>
              <w:rPr>
                <w:sz w:val="20"/>
                <w:szCs w:val="20"/>
                <w:color w:val="auto"/>
              </w:rPr>
            </w:pPr>
            <w:r>
              <w:rPr>
                <w:rFonts w:ascii="Arial" w:cs="Arial" w:eastAsia="Arial" w:hAnsi="Arial"/>
                <w:sz w:val="18"/>
                <w:szCs w:val="18"/>
                <w:color w:val="auto"/>
              </w:rPr>
              <w:t>37.5</w:t>
            </w:r>
          </w:p>
        </w:tc>
        <w:tc>
          <w:tcPr>
            <w:tcW w:w="1500" w:type="dxa"/>
            <w:vAlign w:val="bottom"/>
          </w:tcPr>
          <w:p>
            <w:pPr>
              <w:jc w:val="right"/>
              <w:ind w:right="430"/>
              <w:spacing w:after="0"/>
              <w:rPr>
                <w:sz w:val="20"/>
                <w:szCs w:val="20"/>
                <w:color w:val="auto"/>
              </w:rPr>
            </w:pPr>
            <w:r>
              <w:rPr>
                <w:rFonts w:ascii="Arial" w:cs="Arial" w:eastAsia="Arial" w:hAnsi="Arial"/>
                <w:sz w:val="18"/>
                <w:szCs w:val="18"/>
                <w:color w:val="auto"/>
              </w:rPr>
              <w:t>35.8</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66.0</w:t>
            </w:r>
          </w:p>
        </w:tc>
      </w:tr>
      <w:tr>
        <w:trPr>
          <w:trHeight w:val="27"/>
        </w:trPr>
        <w:tc>
          <w:tcPr>
            <w:tcW w:w="20" w:type="dxa"/>
            <w:vAlign w:val="bottom"/>
          </w:tcPr>
          <w:p>
            <w:pPr>
              <w:spacing w:after="0"/>
              <w:rPr>
                <w:sz w:val="2"/>
                <w:szCs w:val="2"/>
                <w:color w:val="auto"/>
              </w:rPr>
            </w:pPr>
          </w:p>
        </w:tc>
        <w:tc>
          <w:tcPr>
            <w:tcW w:w="69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9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Share-Based Compensation Expense</w:t>
            </w:r>
          </w:p>
        </w:tc>
        <w:tc>
          <w:tcPr>
            <w:tcW w:w="196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2.1</w:t>
            </w:r>
          </w:p>
        </w:tc>
        <w:tc>
          <w:tcPr>
            <w:tcW w:w="150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1.6</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w:t>
            </w:r>
          </w:p>
        </w:tc>
      </w:tr>
      <w:tr>
        <w:trPr>
          <w:trHeight w:val="243"/>
        </w:trPr>
        <w:tc>
          <w:tcPr>
            <w:tcW w:w="20" w:type="dxa"/>
            <w:vAlign w:val="bottom"/>
          </w:tcPr>
          <w:p>
            <w:pPr>
              <w:spacing w:after="0"/>
              <w:rPr>
                <w:sz w:val="21"/>
                <w:szCs w:val="21"/>
                <w:color w:val="auto"/>
              </w:rPr>
            </w:pPr>
          </w:p>
        </w:tc>
        <w:tc>
          <w:tcPr>
            <w:tcW w:w="6900" w:type="dxa"/>
            <w:vAlign w:val="bottom"/>
          </w:tcPr>
          <w:p>
            <w:pPr>
              <w:ind w:left="260"/>
              <w:spacing w:after="0"/>
              <w:rPr>
                <w:sz w:val="20"/>
                <w:szCs w:val="20"/>
                <w:color w:val="auto"/>
              </w:rPr>
            </w:pPr>
            <w:r>
              <w:rPr>
                <w:rFonts w:ascii="Arial" w:cs="Arial" w:eastAsia="Arial" w:hAnsi="Arial"/>
                <w:sz w:val="18"/>
                <w:szCs w:val="18"/>
                <w:color w:val="auto"/>
              </w:rPr>
              <w:t>ESOP Compensation Expense</w:t>
            </w:r>
          </w:p>
        </w:tc>
        <w:tc>
          <w:tcPr>
            <w:tcW w:w="1960" w:type="dxa"/>
            <w:vAlign w:val="bottom"/>
          </w:tcPr>
          <w:p>
            <w:pPr>
              <w:jc w:val="right"/>
              <w:ind w:right="430"/>
              <w:spacing w:after="0"/>
              <w:rPr>
                <w:sz w:val="20"/>
                <w:szCs w:val="20"/>
                <w:color w:val="auto"/>
              </w:rPr>
            </w:pPr>
            <w:r>
              <w:rPr>
                <w:rFonts w:ascii="Arial" w:cs="Arial" w:eastAsia="Arial" w:hAnsi="Arial"/>
                <w:sz w:val="18"/>
                <w:szCs w:val="18"/>
                <w:color w:val="auto"/>
              </w:rPr>
              <w:t>7.7</w:t>
            </w:r>
          </w:p>
        </w:tc>
        <w:tc>
          <w:tcPr>
            <w:tcW w:w="1500" w:type="dxa"/>
            <w:vAlign w:val="bottom"/>
          </w:tcPr>
          <w:p>
            <w:pPr>
              <w:jc w:val="right"/>
              <w:ind w:right="430"/>
              <w:spacing w:after="0"/>
              <w:rPr>
                <w:sz w:val="20"/>
                <w:szCs w:val="20"/>
                <w:color w:val="auto"/>
              </w:rPr>
            </w:pPr>
            <w:r>
              <w:rPr>
                <w:rFonts w:ascii="Arial" w:cs="Arial" w:eastAsia="Arial" w:hAnsi="Arial"/>
                <w:sz w:val="18"/>
                <w:szCs w:val="18"/>
                <w:color w:val="auto"/>
              </w:rPr>
              <w:t>7.4</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7.1</w:t>
            </w:r>
          </w:p>
        </w:tc>
      </w:tr>
      <w:tr>
        <w:trPr>
          <w:trHeight w:val="27"/>
        </w:trPr>
        <w:tc>
          <w:tcPr>
            <w:tcW w:w="20" w:type="dxa"/>
            <w:vAlign w:val="bottom"/>
          </w:tcPr>
          <w:p>
            <w:pPr>
              <w:spacing w:after="0"/>
              <w:rPr>
                <w:sz w:val="2"/>
                <w:szCs w:val="2"/>
                <w:color w:val="auto"/>
              </w:rPr>
            </w:pPr>
          </w:p>
        </w:tc>
        <w:tc>
          <w:tcPr>
            <w:tcW w:w="69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9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Defined Benefit Pension and Other Postretirement Benefit Expense</w:t>
            </w:r>
          </w:p>
        </w:tc>
        <w:tc>
          <w:tcPr>
            <w:tcW w:w="196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27.5</w:t>
            </w:r>
          </w:p>
        </w:tc>
        <w:tc>
          <w:tcPr>
            <w:tcW w:w="150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23.6</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18.0</w:t>
            </w:r>
          </w:p>
        </w:tc>
      </w:tr>
      <w:tr>
        <w:trPr>
          <w:trHeight w:val="243"/>
        </w:trPr>
        <w:tc>
          <w:tcPr>
            <w:tcW w:w="20" w:type="dxa"/>
            <w:vAlign w:val="bottom"/>
          </w:tcPr>
          <w:p>
            <w:pPr>
              <w:spacing w:after="0"/>
              <w:rPr>
                <w:sz w:val="21"/>
                <w:szCs w:val="21"/>
                <w:color w:val="auto"/>
              </w:rPr>
            </w:pPr>
          </w:p>
        </w:tc>
        <w:tc>
          <w:tcPr>
            <w:tcW w:w="6900" w:type="dxa"/>
            <w:vAlign w:val="bottom"/>
          </w:tcPr>
          <w:p>
            <w:pPr>
              <w:ind w:left="260"/>
              <w:spacing w:after="0"/>
              <w:rPr>
                <w:sz w:val="20"/>
                <w:szCs w:val="20"/>
                <w:color w:val="auto"/>
              </w:rPr>
            </w:pPr>
            <w:r>
              <w:rPr>
                <w:rFonts w:ascii="Arial" w:cs="Arial" w:eastAsia="Arial" w:hAnsi="Arial"/>
                <w:sz w:val="18"/>
                <w:szCs w:val="18"/>
                <w:color w:val="auto"/>
              </w:rPr>
              <w:t>Bad Debt Expense</w:t>
            </w:r>
          </w:p>
        </w:tc>
        <w:tc>
          <w:tcPr>
            <w:tcW w:w="1960" w:type="dxa"/>
            <w:vAlign w:val="bottom"/>
          </w:tcPr>
          <w:p>
            <w:pPr>
              <w:jc w:val="right"/>
              <w:ind w:right="430"/>
              <w:spacing w:after="0"/>
              <w:rPr>
                <w:sz w:val="20"/>
                <w:szCs w:val="20"/>
                <w:color w:val="auto"/>
              </w:rPr>
            </w:pPr>
            <w:r>
              <w:rPr>
                <w:rFonts w:ascii="Arial" w:cs="Arial" w:eastAsia="Arial" w:hAnsi="Arial"/>
                <w:sz w:val="18"/>
                <w:szCs w:val="18"/>
                <w:color w:val="auto"/>
              </w:rPr>
              <w:t>1.0</w:t>
            </w:r>
          </w:p>
        </w:tc>
        <w:tc>
          <w:tcPr>
            <w:tcW w:w="1500" w:type="dxa"/>
            <w:vAlign w:val="bottom"/>
          </w:tcPr>
          <w:p>
            <w:pPr>
              <w:jc w:val="right"/>
              <w:ind w:right="430"/>
              <w:spacing w:after="0"/>
              <w:rPr>
                <w:sz w:val="20"/>
                <w:szCs w:val="20"/>
                <w:color w:val="auto"/>
              </w:rPr>
            </w:pPr>
            <w:r>
              <w:rPr>
                <w:rFonts w:ascii="Arial" w:cs="Arial" w:eastAsia="Arial" w:hAnsi="Arial"/>
                <w:sz w:val="18"/>
                <w:szCs w:val="18"/>
                <w:color w:val="auto"/>
              </w:rPr>
              <w:t>1.2</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1.1</w:t>
            </w:r>
          </w:p>
        </w:tc>
      </w:tr>
      <w:tr>
        <w:trPr>
          <w:trHeight w:val="27"/>
        </w:trPr>
        <w:tc>
          <w:tcPr>
            <w:tcW w:w="20" w:type="dxa"/>
            <w:vAlign w:val="bottom"/>
          </w:tcPr>
          <w:p>
            <w:pPr>
              <w:spacing w:after="0"/>
              <w:rPr>
                <w:sz w:val="2"/>
                <w:szCs w:val="2"/>
                <w:color w:val="auto"/>
              </w:rPr>
            </w:pPr>
          </w:p>
        </w:tc>
        <w:tc>
          <w:tcPr>
            <w:tcW w:w="69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9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Changes in Operating Assets and Liabilities</w:t>
            </w:r>
          </w:p>
        </w:tc>
        <w:tc>
          <w:tcPr>
            <w:tcW w:w="19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900" w:type="dxa"/>
            <w:vAlign w:val="bottom"/>
          </w:tcPr>
          <w:p>
            <w:pPr>
              <w:ind w:left="480"/>
              <w:spacing w:after="0"/>
              <w:rPr>
                <w:sz w:val="20"/>
                <w:szCs w:val="20"/>
                <w:color w:val="auto"/>
              </w:rPr>
            </w:pPr>
            <w:r>
              <w:rPr>
                <w:rFonts w:ascii="Arial" w:cs="Arial" w:eastAsia="Arial" w:hAnsi="Arial"/>
                <w:sz w:val="18"/>
                <w:szCs w:val="18"/>
                <w:color w:val="auto"/>
              </w:rPr>
              <w:t>Accounts Receivable</w:t>
            </w:r>
          </w:p>
        </w:tc>
        <w:tc>
          <w:tcPr>
            <w:tcW w:w="1960" w:type="dxa"/>
            <w:vAlign w:val="bottom"/>
          </w:tcPr>
          <w:p>
            <w:pPr>
              <w:jc w:val="right"/>
              <w:ind w:right="370"/>
              <w:spacing w:after="0"/>
              <w:rPr>
                <w:sz w:val="20"/>
                <w:szCs w:val="20"/>
                <w:color w:val="auto"/>
              </w:rPr>
            </w:pPr>
            <w:r>
              <w:rPr>
                <w:rFonts w:ascii="Arial" w:cs="Arial" w:eastAsia="Arial" w:hAnsi="Arial"/>
                <w:sz w:val="18"/>
                <w:szCs w:val="18"/>
                <w:color w:val="auto"/>
              </w:rPr>
              <w:t>(10.1)</w:t>
            </w:r>
          </w:p>
        </w:tc>
        <w:tc>
          <w:tcPr>
            <w:tcW w:w="1500" w:type="dxa"/>
            <w:vAlign w:val="bottom"/>
          </w:tcPr>
          <w:p>
            <w:pPr>
              <w:jc w:val="right"/>
              <w:ind w:right="430"/>
              <w:spacing w:after="0"/>
              <w:rPr>
                <w:sz w:val="20"/>
                <w:szCs w:val="20"/>
                <w:color w:val="auto"/>
              </w:rPr>
            </w:pPr>
            <w:r>
              <w:rPr>
                <w:rFonts w:ascii="Arial" w:cs="Arial" w:eastAsia="Arial" w:hAnsi="Arial"/>
                <w:sz w:val="18"/>
                <w:szCs w:val="18"/>
                <w:color w:val="auto"/>
              </w:rPr>
              <w:t>18.6</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17.9</w:t>
            </w:r>
          </w:p>
        </w:tc>
      </w:tr>
      <w:tr>
        <w:trPr>
          <w:trHeight w:val="27"/>
        </w:trPr>
        <w:tc>
          <w:tcPr>
            <w:tcW w:w="20" w:type="dxa"/>
            <w:vAlign w:val="bottom"/>
          </w:tcPr>
          <w:p>
            <w:pPr>
              <w:spacing w:after="0"/>
              <w:rPr>
                <w:sz w:val="2"/>
                <w:szCs w:val="2"/>
                <w:color w:val="auto"/>
              </w:rPr>
            </w:pPr>
          </w:p>
        </w:tc>
        <w:tc>
          <w:tcPr>
            <w:tcW w:w="69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9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Inventories</w:t>
            </w:r>
          </w:p>
        </w:tc>
        <w:tc>
          <w:tcPr>
            <w:tcW w:w="19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(0.7)</w:t>
            </w:r>
          </w:p>
        </w:tc>
        <w:tc>
          <w:tcPr>
            <w:tcW w:w="150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(9.1)</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43"/>
        </w:trPr>
        <w:tc>
          <w:tcPr>
            <w:tcW w:w="20" w:type="dxa"/>
            <w:vAlign w:val="bottom"/>
          </w:tcPr>
          <w:p>
            <w:pPr>
              <w:spacing w:after="0"/>
              <w:rPr>
                <w:sz w:val="21"/>
                <w:szCs w:val="21"/>
                <w:color w:val="auto"/>
              </w:rPr>
            </w:pPr>
          </w:p>
        </w:tc>
        <w:tc>
          <w:tcPr>
            <w:tcW w:w="6900" w:type="dxa"/>
            <w:vAlign w:val="bottom"/>
          </w:tcPr>
          <w:p>
            <w:pPr>
              <w:ind w:left="480"/>
              <w:spacing w:after="0"/>
              <w:rPr>
                <w:sz w:val="20"/>
                <w:szCs w:val="20"/>
                <w:color w:val="auto"/>
              </w:rPr>
            </w:pPr>
            <w:r>
              <w:rPr>
                <w:rFonts w:ascii="Arial" w:cs="Arial" w:eastAsia="Arial" w:hAnsi="Arial"/>
                <w:sz w:val="18"/>
                <w:szCs w:val="18"/>
                <w:color w:val="auto"/>
              </w:rPr>
              <w:t>Prepayments and Other</w:t>
            </w:r>
          </w:p>
        </w:tc>
        <w:tc>
          <w:tcPr>
            <w:tcW w:w="1960" w:type="dxa"/>
            <w:vAlign w:val="bottom"/>
          </w:tcPr>
          <w:p>
            <w:pPr>
              <w:jc w:val="right"/>
              <w:ind w:right="370"/>
              <w:spacing w:after="0"/>
              <w:rPr>
                <w:sz w:val="20"/>
                <w:szCs w:val="20"/>
                <w:color w:val="auto"/>
              </w:rPr>
            </w:pPr>
            <w:r>
              <w:rPr>
                <w:rFonts w:ascii="Arial" w:cs="Arial" w:eastAsia="Arial" w:hAnsi="Arial"/>
                <w:sz w:val="18"/>
                <w:szCs w:val="18"/>
                <w:color w:val="auto"/>
              </w:rPr>
              <w:t>(6.5)</w:t>
            </w:r>
          </w:p>
        </w:tc>
        <w:tc>
          <w:tcPr>
            <w:tcW w:w="1500" w:type="dxa"/>
            <w:vAlign w:val="bottom"/>
          </w:tcPr>
          <w:p>
            <w:pPr>
              <w:jc w:val="right"/>
              <w:ind w:right="430"/>
              <w:spacing w:after="0"/>
              <w:rPr>
                <w:sz w:val="20"/>
                <w:szCs w:val="20"/>
                <w:color w:val="auto"/>
              </w:rPr>
            </w:pPr>
            <w:r>
              <w:rPr>
                <w:rFonts w:ascii="Arial" w:cs="Arial" w:eastAsia="Arial" w:hAnsi="Arial"/>
                <w:sz w:val="18"/>
                <w:szCs w:val="18"/>
                <w:color w:val="auto"/>
              </w:rPr>
              <w:t>1.5</w:t>
            </w:r>
          </w:p>
        </w:tc>
        <w:tc>
          <w:tcPr>
            <w:tcW w:w="104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7"/>
        </w:trPr>
        <w:tc>
          <w:tcPr>
            <w:tcW w:w="20" w:type="dxa"/>
            <w:vAlign w:val="bottom"/>
          </w:tcPr>
          <w:p>
            <w:pPr>
              <w:spacing w:after="0"/>
              <w:rPr>
                <w:sz w:val="2"/>
                <w:szCs w:val="2"/>
                <w:color w:val="auto"/>
              </w:rPr>
            </w:pPr>
          </w:p>
        </w:tc>
        <w:tc>
          <w:tcPr>
            <w:tcW w:w="69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9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Accounts Payable</w:t>
            </w:r>
          </w:p>
        </w:tc>
        <w:tc>
          <w:tcPr>
            <w:tcW w:w="19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(1.5)</w:t>
            </w:r>
          </w:p>
        </w:tc>
        <w:tc>
          <w:tcPr>
            <w:tcW w:w="150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(9.5)</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w:t>
            </w:r>
          </w:p>
        </w:tc>
      </w:tr>
      <w:tr>
        <w:trPr>
          <w:trHeight w:val="243"/>
        </w:trPr>
        <w:tc>
          <w:tcPr>
            <w:tcW w:w="20" w:type="dxa"/>
            <w:vAlign w:val="bottom"/>
          </w:tcPr>
          <w:p>
            <w:pPr>
              <w:spacing w:after="0"/>
              <w:rPr>
                <w:sz w:val="21"/>
                <w:szCs w:val="21"/>
                <w:color w:val="auto"/>
              </w:rPr>
            </w:pPr>
          </w:p>
        </w:tc>
        <w:tc>
          <w:tcPr>
            <w:tcW w:w="6900" w:type="dxa"/>
            <w:vAlign w:val="bottom"/>
          </w:tcPr>
          <w:p>
            <w:pPr>
              <w:ind w:left="480"/>
              <w:spacing w:after="0"/>
              <w:rPr>
                <w:sz w:val="20"/>
                <w:szCs w:val="20"/>
                <w:color w:val="auto"/>
              </w:rPr>
            </w:pPr>
            <w:r>
              <w:rPr>
                <w:rFonts w:ascii="Arial" w:cs="Arial" w:eastAsia="Arial" w:hAnsi="Arial"/>
                <w:sz w:val="18"/>
                <w:szCs w:val="18"/>
                <w:color w:val="auto"/>
              </w:rPr>
              <w:t>Other Current Liabilities</w:t>
            </w:r>
          </w:p>
        </w:tc>
        <w:tc>
          <w:tcPr>
            <w:tcW w:w="1960" w:type="dxa"/>
            <w:vAlign w:val="bottom"/>
          </w:tcPr>
          <w:p>
            <w:pPr>
              <w:jc w:val="right"/>
              <w:ind w:right="430"/>
              <w:spacing w:after="0"/>
              <w:rPr>
                <w:sz w:val="20"/>
                <w:szCs w:val="20"/>
                <w:color w:val="auto"/>
              </w:rPr>
            </w:pPr>
            <w:r>
              <w:rPr>
                <w:rFonts w:ascii="Arial" w:cs="Arial" w:eastAsia="Arial" w:hAnsi="Arial"/>
                <w:sz w:val="18"/>
                <w:szCs w:val="18"/>
                <w:color w:val="auto"/>
              </w:rPr>
              <w:t>21.8</w:t>
            </w:r>
          </w:p>
        </w:tc>
        <w:tc>
          <w:tcPr>
            <w:tcW w:w="1500" w:type="dxa"/>
            <w:vAlign w:val="bottom"/>
          </w:tcPr>
          <w:p>
            <w:pPr>
              <w:jc w:val="right"/>
              <w:ind w:right="430"/>
              <w:spacing w:after="0"/>
              <w:rPr>
                <w:sz w:val="20"/>
                <w:szCs w:val="20"/>
                <w:color w:val="auto"/>
              </w:rPr>
            </w:pPr>
            <w:r>
              <w:rPr>
                <w:rFonts w:ascii="Arial" w:cs="Arial" w:eastAsia="Arial" w:hAnsi="Arial"/>
                <w:sz w:val="18"/>
                <w:szCs w:val="18"/>
                <w:color w:val="auto"/>
              </w:rPr>
              <w:t>15.4</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5.2</w:t>
            </w:r>
          </w:p>
        </w:tc>
      </w:tr>
      <w:tr>
        <w:trPr>
          <w:trHeight w:val="27"/>
        </w:trPr>
        <w:tc>
          <w:tcPr>
            <w:tcW w:w="20" w:type="dxa"/>
            <w:vAlign w:val="bottom"/>
          </w:tcPr>
          <w:p>
            <w:pPr>
              <w:spacing w:after="0"/>
              <w:rPr>
                <w:sz w:val="2"/>
                <w:szCs w:val="2"/>
                <w:color w:val="auto"/>
              </w:rPr>
            </w:pPr>
          </w:p>
        </w:tc>
        <w:tc>
          <w:tcPr>
            <w:tcW w:w="69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9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Cash Contributions to Defined Benefit Pension and Other Postretirement Plans</w:t>
            </w:r>
          </w:p>
        </w:tc>
        <w:tc>
          <w:tcPr>
            <w:tcW w:w="19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(8.8)</w:t>
            </w:r>
          </w:p>
        </w:tc>
        <w:tc>
          <w:tcPr>
            <w:tcW w:w="150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(24.7)</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(39.3)</w:t>
            </w:r>
          </w:p>
        </w:tc>
      </w:tr>
      <w:tr>
        <w:trPr>
          <w:trHeight w:val="243"/>
        </w:trPr>
        <w:tc>
          <w:tcPr>
            <w:tcW w:w="20" w:type="dxa"/>
            <w:vAlign w:val="bottom"/>
          </w:tcPr>
          <w:p>
            <w:pPr>
              <w:spacing w:after="0"/>
              <w:rPr>
                <w:sz w:val="21"/>
                <w:szCs w:val="21"/>
                <w:color w:val="auto"/>
              </w:rPr>
            </w:pPr>
          </w:p>
        </w:tc>
        <w:tc>
          <w:tcPr>
            <w:tcW w:w="6900" w:type="dxa"/>
            <w:vAlign w:val="bottom"/>
          </w:tcPr>
          <w:p>
            <w:pPr>
              <w:ind w:left="260"/>
              <w:spacing w:after="0"/>
              <w:rPr>
                <w:sz w:val="20"/>
                <w:szCs w:val="20"/>
                <w:color w:val="auto"/>
              </w:rPr>
            </w:pPr>
            <w:r>
              <w:rPr>
                <w:rFonts w:ascii="Arial" w:cs="Arial" w:eastAsia="Arial" w:hAnsi="Arial"/>
                <w:sz w:val="18"/>
                <w:szCs w:val="18"/>
                <w:color w:val="auto"/>
              </w:rPr>
              <w:t>Changes in Regulatory and Other Non-Current Assets</w:t>
            </w:r>
          </w:p>
        </w:tc>
        <w:tc>
          <w:tcPr>
            <w:tcW w:w="1960" w:type="dxa"/>
            <w:vAlign w:val="bottom"/>
          </w:tcPr>
          <w:p>
            <w:pPr>
              <w:jc w:val="right"/>
              <w:ind w:right="370"/>
              <w:spacing w:after="0"/>
              <w:rPr>
                <w:sz w:val="20"/>
                <w:szCs w:val="20"/>
                <w:color w:val="auto"/>
              </w:rPr>
            </w:pPr>
            <w:r>
              <w:rPr>
                <w:rFonts w:ascii="Arial" w:cs="Arial" w:eastAsia="Arial" w:hAnsi="Arial"/>
                <w:sz w:val="18"/>
                <w:szCs w:val="18"/>
                <w:color w:val="auto"/>
              </w:rPr>
              <w:t>(20.9)</w:t>
            </w:r>
          </w:p>
        </w:tc>
        <w:tc>
          <w:tcPr>
            <w:tcW w:w="1500" w:type="dxa"/>
            <w:vAlign w:val="bottom"/>
          </w:tcPr>
          <w:p>
            <w:pPr>
              <w:jc w:val="right"/>
              <w:ind w:right="370"/>
              <w:spacing w:after="0"/>
              <w:rPr>
                <w:sz w:val="20"/>
                <w:szCs w:val="20"/>
                <w:color w:val="auto"/>
              </w:rPr>
            </w:pPr>
            <w:r>
              <w:rPr>
                <w:rFonts w:ascii="Arial" w:cs="Arial" w:eastAsia="Arial" w:hAnsi="Arial"/>
                <w:sz w:val="18"/>
                <w:szCs w:val="18"/>
                <w:color w:val="auto"/>
              </w:rPr>
              <w:t>(7.5)</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4.2</w:t>
            </w:r>
          </w:p>
        </w:tc>
      </w:tr>
      <w:tr>
        <w:trPr>
          <w:trHeight w:val="27"/>
        </w:trPr>
        <w:tc>
          <w:tcPr>
            <w:tcW w:w="20" w:type="dxa"/>
            <w:vAlign w:val="bottom"/>
          </w:tcPr>
          <w:p>
            <w:pPr>
              <w:spacing w:after="0"/>
              <w:rPr>
                <w:sz w:val="2"/>
                <w:szCs w:val="2"/>
                <w:color w:val="auto"/>
              </w:rPr>
            </w:pPr>
          </w:p>
        </w:tc>
        <w:tc>
          <w:tcPr>
            <w:tcW w:w="69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5"/>
        </w:trPr>
        <w:tc>
          <w:tcPr>
            <w:tcW w:w="20" w:type="dxa"/>
            <w:vAlign w:val="bottom"/>
          </w:tcPr>
          <w:p>
            <w:pPr>
              <w:spacing w:after="0"/>
              <w:rPr>
                <w:sz w:val="23"/>
                <w:szCs w:val="23"/>
                <w:color w:val="auto"/>
              </w:rPr>
            </w:pPr>
          </w:p>
        </w:tc>
        <w:tc>
          <w:tcPr>
            <w:tcW w:w="69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Changes in Regulatory and Other Non-Current Liabilities</w:t>
            </w:r>
          </w:p>
        </w:tc>
        <w:tc>
          <w:tcPr>
            <w:tcW w:w="196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0.8</w:t>
            </w:r>
          </w:p>
        </w:tc>
        <w:tc>
          <w:tcPr>
            <w:tcW w:w="150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7.9</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r>
      <w:tr>
        <w:trPr>
          <w:trHeight w:val="237"/>
        </w:trPr>
        <w:tc>
          <w:tcPr>
            <w:tcW w:w="20" w:type="dxa"/>
            <w:vAlign w:val="bottom"/>
          </w:tcPr>
          <w:p>
            <w:pPr>
              <w:spacing w:after="0"/>
              <w:rPr>
                <w:sz w:val="20"/>
                <w:szCs w:val="20"/>
                <w:color w:val="auto"/>
              </w:rPr>
            </w:pPr>
          </w:p>
        </w:tc>
        <w:tc>
          <w:tcPr>
            <w:tcW w:w="6900" w:type="dxa"/>
            <w:vAlign w:val="bottom"/>
            <w:tcBorders>
              <w:top w:val="single" w:sz="8" w:color="auto"/>
            </w:tcBorders>
          </w:tcPr>
          <w:p>
            <w:pPr>
              <w:ind w:left="480"/>
              <w:spacing w:after="0"/>
              <w:rPr>
                <w:sz w:val="20"/>
                <w:szCs w:val="20"/>
                <w:color w:val="auto"/>
              </w:rPr>
            </w:pPr>
            <w:r>
              <w:rPr>
                <w:rFonts w:ascii="Arial" w:cs="Arial" w:eastAsia="Arial" w:hAnsi="Arial"/>
                <w:sz w:val="18"/>
                <w:szCs w:val="18"/>
                <w:color w:val="auto"/>
              </w:rPr>
              <w:t>Cash from Operating Activities</w:t>
            </w:r>
          </w:p>
        </w:tc>
        <w:tc>
          <w:tcPr>
            <w:tcW w:w="196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color w:val="auto"/>
              </w:rPr>
              <w:t>239.6</w:t>
            </w:r>
          </w:p>
        </w:tc>
        <w:tc>
          <w:tcPr>
            <w:tcW w:w="150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color w:val="auto"/>
              </w:rPr>
              <w:t>241.7</w:t>
            </w: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228.7</w:t>
            </w:r>
          </w:p>
        </w:tc>
      </w:tr>
      <w:tr>
        <w:trPr>
          <w:trHeight w:val="27"/>
        </w:trPr>
        <w:tc>
          <w:tcPr>
            <w:tcW w:w="20" w:type="dxa"/>
            <w:vAlign w:val="bottom"/>
          </w:tcPr>
          <w:p>
            <w:pPr>
              <w:spacing w:after="0"/>
              <w:rPr>
                <w:sz w:val="2"/>
                <w:szCs w:val="2"/>
                <w:color w:val="auto"/>
              </w:rPr>
            </w:pPr>
          </w:p>
        </w:tc>
        <w:tc>
          <w:tcPr>
            <w:tcW w:w="69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6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19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900" w:type="dxa"/>
            <w:vAlign w:val="bottom"/>
          </w:tcPr>
          <w:p>
            <w:pPr>
              <w:ind w:left="260"/>
              <w:spacing w:after="0"/>
              <w:rPr>
                <w:sz w:val="20"/>
                <w:szCs w:val="20"/>
                <w:color w:val="auto"/>
              </w:rPr>
            </w:pPr>
            <w:r>
              <w:rPr>
                <w:rFonts w:ascii="Arial" w:cs="Arial" w:eastAsia="Arial" w:hAnsi="Arial"/>
                <w:sz w:val="18"/>
                <w:szCs w:val="18"/>
                <w:color w:val="auto"/>
              </w:rPr>
              <w:t>Proceeds from Sale of Available-for-sale Securities</w:t>
            </w:r>
          </w:p>
        </w:tc>
        <w:tc>
          <w:tcPr>
            <w:tcW w:w="1960" w:type="dxa"/>
            <w:vAlign w:val="bottom"/>
          </w:tcPr>
          <w:p>
            <w:pPr>
              <w:jc w:val="right"/>
              <w:ind w:right="430"/>
              <w:spacing w:after="0"/>
              <w:rPr>
                <w:sz w:val="20"/>
                <w:szCs w:val="20"/>
                <w:color w:val="auto"/>
              </w:rPr>
            </w:pPr>
            <w:r>
              <w:rPr>
                <w:rFonts w:ascii="Arial" w:cs="Arial" w:eastAsia="Arial" w:hAnsi="Arial"/>
                <w:sz w:val="18"/>
                <w:szCs w:val="18"/>
                <w:color w:val="auto"/>
              </w:rPr>
              <w:t>1.5</w:t>
            </w:r>
          </w:p>
        </w:tc>
        <w:tc>
          <w:tcPr>
            <w:tcW w:w="1500" w:type="dxa"/>
            <w:vAlign w:val="bottom"/>
          </w:tcPr>
          <w:p>
            <w:pPr>
              <w:jc w:val="right"/>
              <w:ind w:right="430"/>
              <w:spacing w:after="0"/>
              <w:rPr>
                <w:sz w:val="20"/>
                <w:szCs w:val="20"/>
                <w:color w:val="auto"/>
              </w:rPr>
            </w:pPr>
            <w:r>
              <w:rPr>
                <w:rFonts w:ascii="Arial" w:cs="Arial" w:eastAsia="Arial" w:hAnsi="Arial"/>
                <w:sz w:val="18"/>
                <w:szCs w:val="18"/>
                <w:color w:val="auto"/>
              </w:rPr>
              <w:t>7.8</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0.6</w:t>
            </w:r>
          </w:p>
        </w:tc>
      </w:tr>
      <w:tr>
        <w:trPr>
          <w:trHeight w:val="27"/>
        </w:trPr>
        <w:tc>
          <w:tcPr>
            <w:tcW w:w="20" w:type="dxa"/>
            <w:vAlign w:val="bottom"/>
          </w:tcPr>
          <w:p>
            <w:pPr>
              <w:spacing w:after="0"/>
              <w:rPr>
                <w:sz w:val="2"/>
                <w:szCs w:val="2"/>
                <w:color w:val="auto"/>
              </w:rPr>
            </w:pPr>
          </w:p>
        </w:tc>
        <w:tc>
          <w:tcPr>
            <w:tcW w:w="69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9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Payments for Purchase of Available-for-sale Securities</w:t>
            </w:r>
          </w:p>
        </w:tc>
        <w:tc>
          <w:tcPr>
            <w:tcW w:w="19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(1.8)</w:t>
            </w:r>
          </w:p>
        </w:tc>
        <w:tc>
          <w:tcPr>
            <w:tcW w:w="150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(2.3)</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43"/>
        </w:trPr>
        <w:tc>
          <w:tcPr>
            <w:tcW w:w="20" w:type="dxa"/>
            <w:vAlign w:val="bottom"/>
          </w:tcPr>
          <w:p>
            <w:pPr>
              <w:spacing w:after="0"/>
              <w:rPr>
                <w:sz w:val="21"/>
                <w:szCs w:val="21"/>
                <w:color w:val="auto"/>
              </w:rPr>
            </w:pPr>
          </w:p>
        </w:tc>
        <w:tc>
          <w:tcPr>
            <w:tcW w:w="6900" w:type="dxa"/>
            <w:vAlign w:val="bottom"/>
          </w:tcPr>
          <w:p>
            <w:pPr>
              <w:ind w:left="260"/>
              <w:spacing w:after="0"/>
              <w:rPr>
                <w:sz w:val="20"/>
                <w:szCs w:val="20"/>
                <w:color w:val="auto"/>
              </w:rPr>
            </w:pPr>
            <w:r>
              <w:rPr>
                <w:rFonts w:ascii="Arial" w:cs="Arial" w:eastAsia="Arial" w:hAnsi="Arial"/>
                <w:sz w:val="18"/>
                <w:szCs w:val="18"/>
                <w:color w:val="auto"/>
              </w:rPr>
              <w:t>Investment in ATC</w:t>
            </w:r>
          </w:p>
        </w:tc>
        <w:tc>
          <w:tcPr>
            <w:tcW w:w="1960" w:type="dxa"/>
            <w:vAlign w:val="bottom"/>
          </w:tcPr>
          <w:p>
            <w:pPr>
              <w:jc w:val="right"/>
              <w:ind w:right="370"/>
              <w:spacing w:after="0"/>
              <w:rPr>
                <w:sz w:val="20"/>
                <w:szCs w:val="20"/>
                <w:color w:val="auto"/>
              </w:rPr>
            </w:pPr>
            <w:r>
              <w:rPr>
                <w:rFonts w:ascii="Arial" w:cs="Arial" w:eastAsia="Arial" w:hAnsi="Arial"/>
                <w:sz w:val="18"/>
                <w:szCs w:val="18"/>
                <w:color w:val="auto"/>
              </w:rPr>
              <w:t>(4.7)</w:t>
            </w:r>
          </w:p>
        </w:tc>
        <w:tc>
          <w:tcPr>
            <w:tcW w:w="1500" w:type="dxa"/>
            <w:vAlign w:val="bottom"/>
          </w:tcPr>
          <w:p>
            <w:pPr>
              <w:jc w:val="right"/>
              <w:ind w:right="370"/>
              <w:spacing w:after="0"/>
              <w:rPr>
                <w:sz w:val="20"/>
                <w:szCs w:val="20"/>
                <w:color w:val="auto"/>
              </w:rPr>
            </w:pPr>
            <w:r>
              <w:rPr>
                <w:rFonts w:ascii="Arial" w:cs="Arial" w:eastAsia="Arial" w:hAnsi="Arial"/>
                <w:sz w:val="18"/>
                <w:szCs w:val="18"/>
                <w:color w:val="auto"/>
              </w:rPr>
              <w:t>(2.0)</w:t>
            </w:r>
          </w:p>
        </w:tc>
        <w:tc>
          <w:tcPr>
            <w:tcW w:w="10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7"/>
        </w:trPr>
        <w:tc>
          <w:tcPr>
            <w:tcW w:w="20" w:type="dxa"/>
            <w:vAlign w:val="bottom"/>
          </w:tcPr>
          <w:p>
            <w:pPr>
              <w:spacing w:after="0"/>
              <w:rPr>
                <w:sz w:val="2"/>
                <w:szCs w:val="2"/>
                <w:color w:val="auto"/>
              </w:rPr>
            </w:pPr>
          </w:p>
        </w:tc>
        <w:tc>
          <w:tcPr>
            <w:tcW w:w="69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9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Changes to Other Investments</w:t>
            </w:r>
          </w:p>
        </w:tc>
        <w:tc>
          <w:tcPr>
            <w:tcW w:w="19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(9.6)</w:t>
            </w:r>
          </w:p>
        </w:tc>
        <w:tc>
          <w:tcPr>
            <w:tcW w:w="150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(7.4)</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r>
      <w:tr>
        <w:trPr>
          <w:trHeight w:val="243"/>
        </w:trPr>
        <w:tc>
          <w:tcPr>
            <w:tcW w:w="20" w:type="dxa"/>
            <w:vAlign w:val="bottom"/>
          </w:tcPr>
          <w:p>
            <w:pPr>
              <w:spacing w:after="0"/>
              <w:rPr>
                <w:sz w:val="21"/>
                <w:szCs w:val="21"/>
                <w:color w:val="auto"/>
              </w:rPr>
            </w:pPr>
          </w:p>
        </w:tc>
        <w:tc>
          <w:tcPr>
            <w:tcW w:w="6900" w:type="dxa"/>
            <w:vAlign w:val="bottom"/>
          </w:tcPr>
          <w:p>
            <w:pPr>
              <w:ind w:left="260"/>
              <w:spacing w:after="0"/>
              <w:rPr>
                <w:sz w:val="20"/>
                <w:szCs w:val="20"/>
                <w:color w:val="auto"/>
              </w:rPr>
            </w:pPr>
            <w:r>
              <w:rPr>
                <w:rFonts w:ascii="Arial" w:cs="Arial" w:eastAsia="Arial" w:hAnsi="Arial"/>
                <w:sz w:val="18"/>
                <w:szCs w:val="18"/>
                <w:color w:val="auto"/>
              </w:rPr>
              <w:t>Additions to Property, Plant and Equipment</w:t>
            </w:r>
          </w:p>
        </w:tc>
        <w:tc>
          <w:tcPr>
            <w:tcW w:w="1960" w:type="dxa"/>
            <w:vAlign w:val="bottom"/>
          </w:tcPr>
          <w:p>
            <w:pPr>
              <w:jc w:val="right"/>
              <w:ind w:right="370"/>
              <w:spacing w:after="0"/>
              <w:rPr>
                <w:sz w:val="20"/>
                <w:szCs w:val="20"/>
                <w:color w:val="auto"/>
              </w:rPr>
            </w:pPr>
            <w:r>
              <w:rPr>
                <w:rFonts w:ascii="Arial" w:cs="Arial" w:eastAsia="Arial" w:hAnsi="Arial"/>
                <w:sz w:val="18"/>
                <w:szCs w:val="18"/>
                <w:color w:val="auto"/>
              </w:rPr>
              <w:t>(405.8)</w:t>
            </w:r>
          </w:p>
        </w:tc>
        <w:tc>
          <w:tcPr>
            <w:tcW w:w="1500" w:type="dxa"/>
            <w:vAlign w:val="bottom"/>
          </w:tcPr>
          <w:p>
            <w:pPr>
              <w:jc w:val="right"/>
              <w:ind w:right="370"/>
              <w:spacing w:after="0"/>
              <w:rPr>
                <w:sz w:val="20"/>
                <w:szCs w:val="20"/>
                <w:color w:val="auto"/>
              </w:rPr>
            </w:pPr>
            <w:r>
              <w:rPr>
                <w:rFonts w:ascii="Arial" w:cs="Arial" w:eastAsia="Arial" w:hAnsi="Arial"/>
                <w:sz w:val="18"/>
                <w:szCs w:val="18"/>
                <w:color w:val="auto"/>
              </w:rPr>
              <w:t>(239.2)</w:t>
            </w:r>
          </w:p>
        </w:tc>
        <w:tc>
          <w:tcPr>
            <w:tcW w:w="1040" w:type="dxa"/>
            <w:vAlign w:val="bottom"/>
          </w:tcPr>
          <w:p>
            <w:pPr>
              <w:jc w:val="right"/>
              <w:spacing w:after="0"/>
              <w:rPr>
                <w:sz w:val="20"/>
                <w:szCs w:val="20"/>
                <w:color w:val="auto"/>
              </w:rPr>
            </w:pPr>
            <w:r>
              <w:rPr>
                <w:rFonts w:ascii="Arial" w:cs="Arial" w:eastAsia="Arial" w:hAnsi="Arial"/>
                <w:sz w:val="18"/>
                <w:szCs w:val="18"/>
                <w:color w:val="auto"/>
              </w:rPr>
              <w:t>(248.9)</w:t>
            </w:r>
          </w:p>
        </w:tc>
      </w:tr>
      <w:tr>
        <w:trPr>
          <w:trHeight w:val="27"/>
        </w:trPr>
        <w:tc>
          <w:tcPr>
            <w:tcW w:w="20" w:type="dxa"/>
            <w:vAlign w:val="bottom"/>
          </w:tcPr>
          <w:p>
            <w:pPr>
              <w:spacing w:after="0"/>
              <w:rPr>
                <w:sz w:val="2"/>
                <w:szCs w:val="2"/>
                <w:color w:val="auto"/>
              </w:rPr>
            </w:pPr>
          </w:p>
        </w:tc>
        <w:tc>
          <w:tcPr>
            <w:tcW w:w="69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5"/>
        </w:trPr>
        <w:tc>
          <w:tcPr>
            <w:tcW w:w="20" w:type="dxa"/>
            <w:vAlign w:val="bottom"/>
          </w:tcPr>
          <w:p>
            <w:pPr>
              <w:spacing w:after="0"/>
              <w:rPr>
                <w:sz w:val="23"/>
                <w:szCs w:val="23"/>
                <w:color w:val="auto"/>
              </w:rPr>
            </w:pPr>
          </w:p>
        </w:tc>
        <w:tc>
          <w:tcPr>
            <w:tcW w:w="69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Proceeds from Sale of Assets</w:t>
            </w:r>
          </w:p>
        </w:tc>
        <w:tc>
          <w:tcPr>
            <w:tcW w:w="196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0.3</w:t>
            </w:r>
          </w:p>
        </w:tc>
        <w:tc>
          <w:tcPr>
            <w:tcW w:w="150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2.2</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20" w:type="dxa"/>
            <w:vAlign w:val="bottom"/>
          </w:tcPr>
          <w:p>
            <w:pPr>
              <w:spacing w:after="0"/>
              <w:rPr>
                <w:sz w:val="20"/>
                <w:szCs w:val="20"/>
                <w:color w:val="auto"/>
              </w:rPr>
            </w:pPr>
          </w:p>
        </w:tc>
        <w:tc>
          <w:tcPr>
            <w:tcW w:w="6900" w:type="dxa"/>
            <w:vAlign w:val="bottom"/>
            <w:tcBorders>
              <w:top w:val="single" w:sz="8" w:color="auto"/>
            </w:tcBorders>
          </w:tcPr>
          <w:p>
            <w:pPr>
              <w:ind w:left="480"/>
              <w:spacing w:after="0"/>
              <w:rPr>
                <w:sz w:val="20"/>
                <w:szCs w:val="20"/>
                <w:color w:val="auto"/>
              </w:rPr>
            </w:pPr>
            <w:r>
              <w:rPr>
                <w:rFonts w:ascii="Arial" w:cs="Arial" w:eastAsia="Arial" w:hAnsi="Arial"/>
                <w:sz w:val="18"/>
                <w:szCs w:val="18"/>
                <w:color w:val="auto"/>
              </w:rPr>
              <w:t>Cash for Investing Activities</w:t>
            </w:r>
          </w:p>
        </w:tc>
        <w:tc>
          <w:tcPr>
            <w:tcW w:w="196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rPr>
              <w:t>(420.1)</w:t>
            </w:r>
          </w:p>
        </w:tc>
        <w:tc>
          <w:tcPr>
            <w:tcW w:w="150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rPr>
              <w:t>(240.9)</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(250.9)</w:t>
            </w:r>
          </w:p>
        </w:tc>
      </w:tr>
      <w:tr>
        <w:trPr>
          <w:trHeight w:val="27"/>
        </w:trPr>
        <w:tc>
          <w:tcPr>
            <w:tcW w:w="20" w:type="dxa"/>
            <w:vAlign w:val="bottom"/>
          </w:tcPr>
          <w:p>
            <w:pPr>
              <w:spacing w:after="0"/>
              <w:rPr>
                <w:sz w:val="2"/>
                <w:szCs w:val="2"/>
                <w:color w:val="auto"/>
              </w:rPr>
            </w:pPr>
          </w:p>
        </w:tc>
        <w:tc>
          <w:tcPr>
            <w:tcW w:w="69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6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19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900" w:type="dxa"/>
            <w:vAlign w:val="bottom"/>
          </w:tcPr>
          <w:p>
            <w:pPr>
              <w:ind w:left="260"/>
              <w:spacing w:after="0"/>
              <w:rPr>
                <w:sz w:val="20"/>
                <w:szCs w:val="20"/>
                <w:color w:val="auto"/>
              </w:rPr>
            </w:pPr>
            <w:r>
              <w:rPr>
                <w:rFonts w:ascii="Arial" w:cs="Arial" w:eastAsia="Arial" w:hAnsi="Arial"/>
                <w:sz w:val="18"/>
                <w:szCs w:val="18"/>
                <w:color w:val="auto"/>
              </w:rPr>
              <w:t>Proceeds from Issuance of Common Stock</w:t>
            </w:r>
          </w:p>
        </w:tc>
        <w:tc>
          <w:tcPr>
            <w:tcW w:w="1960" w:type="dxa"/>
            <w:vAlign w:val="bottom"/>
          </w:tcPr>
          <w:p>
            <w:pPr>
              <w:jc w:val="right"/>
              <w:ind w:right="430"/>
              <w:spacing w:after="0"/>
              <w:rPr>
                <w:sz w:val="20"/>
                <w:szCs w:val="20"/>
                <w:color w:val="auto"/>
              </w:rPr>
            </w:pPr>
            <w:r>
              <w:rPr>
                <w:rFonts w:ascii="Arial" w:cs="Arial" w:eastAsia="Arial" w:hAnsi="Arial"/>
                <w:sz w:val="18"/>
                <w:szCs w:val="18"/>
                <w:color w:val="auto"/>
              </w:rPr>
              <w:t>77.0</w:t>
            </w:r>
          </w:p>
        </w:tc>
        <w:tc>
          <w:tcPr>
            <w:tcW w:w="1500" w:type="dxa"/>
            <w:vAlign w:val="bottom"/>
          </w:tcPr>
          <w:p>
            <w:pPr>
              <w:jc w:val="right"/>
              <w:ind w:right="430"/>
              <w:spacing w:after="0"/>
              <w:rPr>
                <w:sz w:val="20"/>
                <w:szCs w:val="20"/>
                <w:color w:val="auto"/>
              </w:rPr>
            </w:pPr>
            <w:r>
              <w:rPr>
                <w:rFonts w:ascii="Arial" w:cs="Arial" w:eastAsia="Arial" w:hAnsi="Arial"/>
                <w:sz w:val="18"/>
                <w:szCs w:val="18"/>
                <w:color w:val="auto"/>
              </w:rPr>
              <w:t>39.1</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20.5</w:t>
            </w:r>
          </w:p>
        </w:tc>
      </w:tr>
      <w:tr>
        <w:trPr>
          <w:trHeight w:val="27"/>
        </w:trPr>
        <w:tc>
          <w:tcPr>
            <w:tcW w:w="20" w:type="dxa"/>
            <w:vAlign w:val="bottom"/>
          </w:tcPr>
          <w:p>
            <w:pPr>
              <w:spacing w:after="0"/>
              <w:rPr>
                <w:sz w:val="2"/>
                <w:szCs w:val="2"/>
                <w:color w:val="auto"/>
              </w:rPr>
            </w:pPr>
          </w:p>
        </w:tc>
        <w:tc>
          <w:tcPr>
            <w:tcW w:w="69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9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Proceeds from Issuance of Long-Term Debt</w:t>
            </w:r>
          </w:p>
        </w:tc>
        <w:tc>
          <w:tcPr>
            <w:tcW w:w="196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180.6</w:t>
            </w:r>
          </w:p>
        </w:tc>
        <w:tc>
          <w:tcPr>
            <w:tcW w:w="150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81.4</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155.0</w:t>
            </w:r>
          </w:p>
        </w:tc>
      </w:tr>
      <w:tr>
        <w:trPr>
          <w:trHeight w:val="243"/>
        </w:trPr>
        <w:tc>
          <w:tcPr>
            <w:tcW w:w="20" w:type="dxa"/>
            <w:vAlign w:val="bottom"/>
          </w:tcPr>
          <w:p>
            <w:pPr>
              <w:spacing w:after="0"/>
              <w:rPr>
                <w:sz w:val="21"/>
                <w:szCs w:val="21"/>
                <w:color w:val="auto"/>
              </w:rPr>
            </w:pPr>
          </w:p>
        </w:tc>
        <w:tc>
          <w:tcPr>
            <w:tcW w:w="6900" w:type="dxa"/>
            <w:vAlign w:val="bottom"/>
          </w:tcPr>
          <w:p>
            <w:pPr>
              <w:ind w:left="260"/>
              <w:spacing w:after="0"/>
              <w:rPr>
                <w:sz w:val="20"/>
                <w:szCs w:val="20"/>
                <w:color w:val="auto"/>
              </w:rPr>
            </w:pPr>
            <w:r>
              <w:rPr>
                <w:rFonts w:ascii="Arial" w:cs="Arial" w:eastAsia="Arial" w:hAnsi="Arial"/>
                <w:sz w:val="18"/>
                <w:szCs w:val="18"/>
                <w:color w:val="auto"/>
              </w:rPr>
              <w:t>Changes in Notes Payable</w:t>
            </w:r>
          </w:p>
        </w:tc>
        <w:tc>
          <w:tcPr>
            <w:tcW w:w="1960" w:type="dxa"/>
            <w:vAlign w:val="bottom"/>
          </w:tcPr>
          <w:p>
            <w:pPr>
              <w:jc w:val="right"/>
              <w:ind w:right="370"/>
              <w:spacing w:after="0"/>
              <w:rPr>
                <w:sz w:val="20"/>
                <w:szCs w:val="20"/>
                <w:color w:val="auto"/>
              </w:rPr>
            </w:pPr>
            <w:r>
              <w:rPr>
                <w:rFonts w:ascii="Arial" w:cs="Arial" w:eastAsia="Arial" w:hAnsi="Arial"/>
                <w:sz w:val="18"/>
                <w:szCs w:val="18"/>
                <w:color w:val="auto"/>
              </w:rPr>
              <w:t>(1.1)</w:t>
            </w:r>
          </w:p>
        </w:tc>
        <w:tc>
          <w:tcPr>
            <w:tcW w:w="1500" w:type="dxa"/>
            <w:vAlign w:val="bottom"/>
          </w:tcPr>
          <w:p>
            <w:pPr>
              <w:jc w:val="right"/>
              <w:ind w:right="430"/>
              <w:spacing w:after="0"/>
              <w:rPr>
                <w:sz w:val="20"/>
                <w:szCs w:val="20"/>
                <w:color w:val="auto"/>
              </w:rPr>
            </w:pPr>
            <w:r>
              <w:rPr>
                <w:rFonts w:ascii="Arial" w:cs="Arial" w:eastAsia="Arial" w:hAnsi="Arial"/>
                <w:sz w:val="18"/>
                <w:szCs w:val="18"/>
                <w:color w:val="auto"/>
              </w:rPr>
              <w:t>0.1</w:t>
            </w:r>
          </w:p>
        </w:tc>
        <w:tc>
          <w:tcPr>
            <w:tcW w:w="1040" w:type="dxa"/>
            <w:vAlign w:val="bottom"/>
          </w:tcPr>
          <w:p>
            <w:pPr>
              <w:jc w:val="right"/>
              <w:spacing w:after="0"/>
              <w:rPr>
                <w:sz w:val="20"/>
                <w:szCs w:val="20"/>
                <w:color w:val="auto"/>
              </w:rPr>
            </w:pPr>
            <w:r>
              <w:rPr>
                <w:rFonts w:ascii="Arial" w:cs="Arial" w:eastAsia="Arial" w:hAnsi="Arial"/>
                <w:sz w:val="18"/>
                <w:szCs w:val="18"/>
                <w:color w:val="auto"/>
              </w:rPr>
              <w:t>(0.9)</w:t>
            </w:r>
          </w:p>
        </w:tc>
      </w:tr>
      <w:tr>
        <w:trPr>
          <w:trHeight w:val="27"/>
        </w:trPr>
        <w:tc>
          <w:tcPr>
            <w:tcW w:w="20" w:type="dxa"/>
            <w:vAlign w:val="bottom"/>
          </w:tcPr>
          <w:p>
            <w:pPr>
              <w:spacing w:after="0"/>
              <w:rPr>
                <w:sz w:val="2"/>
                <w:szCs w:val="2"/>
                <w:color w:val="auto"/>
              </w:rPr>
            </w:pPr>
          </w:p>
        </w:tc>
        <w:tc>
          <w:tcPr>
            <w:tcW w:w="69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9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Reductions of Long-Term Debt</w:t>
            </w:r>
          </w:p>
        </w:tc>
        <w:tc>
          <w:tcPr>
            <w:tcW w:w="19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(25.9)</w:t>
            </w:r>
          </w:p>
        </w:tc>
        <w:tc>
          <w:tcPr>
            <w:tcW w:w="150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(3.1)</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(71.0)</w:t>
            </w:r>
          </w:p>
        </w:tc>
      </w:tr>
      <w:tr>
        <w:trPr>
          <w:trHeight w:val="243"/>
        </w:trPr>
        <w:tc>
          <w:tcPr>
            <w:tcW w:w="20" w:type="dxa"/>
            <w:vAlign w:val="bottom"/>
          </w:tcPr>
          <w:p>
            <w:pPr>
              <w:spacing w:after="0"/>
              <w:rPr>
                <w:sz w:val="21"/>
                <w:szCs w:val="21"/>
                <w:color w:val="auto"/>
              </w:rPr>
            </w:pPr>
          </w:p>
        </w:tc>
        <w:tc>
          <w:tcPr>
            <w:tcW w:w="6900" w:type="dxa"/>
            <w:vAlign w:val="bottom"/>
          </w:tcPr>
          <w:p>
            <w:pPr>
              <w:ind w:left="260"/>
              <w:spacing w:after="0"/>
              <w:rPr>
                <w:sz w:val="20"/>
                <w:szCs w:val="20"/>
                <w:color w:val="auto"/>
              </w:rPr>
            </w:pPr>
            <w:r>
              <w:rPr>
                <w:rFonts w:ascii="Arial" w:cs="Arial" w:eastAsia="Arial" w:hAnsi="Arial"/>
                <w:sz w:val="18"/>
                <w:szCs w:val="18"/>
                <w:color w:val="auto"/>
              </w:rPr>
              <w:t>Debt Issuance Costs</w:t>
            </w:r>
          </w:p>
        </w:tc>
        <w:tc>
          <w:tcPr>
            <w:tcW w:w="1960" w:type="dxa"/>
            <w:vAlign w:val="bottom"/>
          </w:tcPr>
          <w:p>
            <w:pPr>
              <w:jc w:val="right"/>
              <w:ind w:right="370"/>
              <w:spacing w:after="0"/>
              <w:rPr>
                <w:sz w:val="20"/>
                <w:szCs w:val="20"/>
                <w:color w:val="auto"/>
              </w:rPr>
            </w:pPr>
            <w:r>
              <w:rPr>
                <w:rFonts w:ascii="Arial" w:cs="Arial" w:eastAsia="Arial" w:hAnsi="Arial"/>
                <w:sz w:val="18"/>
                <w:szCs w:val="18"/>
                <w:color w:val="auto"/>
              </w:rPr>
              <w:t>(1.3)</w:t>
            </w:r>
          </w:p>
        </w:tc>
        <w:tc>
          <w:tcPr>
            <w:tcW w:w="150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7"/>
        </w:trPr>
        <w:tc>
          <w:tcPr>
            <w:tcW w:w="20" w:type="dxa"/>
            <w:vAlign w:val="bottom"/>
          </w:tcPr>
          <w:p>
            <w:pPr>
              <w:spacing w:after="0"/>
              <w:rPr>
                <w:sz w:val="2"/>
                <w:szCs w:val="2"/>
                <w:color w:val="auto"/>
              </w:rPr>
            </w:pPr>
          </w:p>
        </w:tc>
        <w:tc>
          <w:tcPr>
            <w:tcW w:w="69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5"/>
        </w:trPr>
        <w:tc>
          <w:tcPr>
            <w:tcW w:w="20" w:type="dxa"/>
            <w:vAlign w:val="bottom"/>
          </w:tcPr>
          <w:p>
            <w:pPr>
              <w:spacing w:after="0"/>
              <w:rPr>
                <w:sz w:val="23"/>
                <w:szCs w:val="23"/>
                <w:color w:val="auto"/>
              </w:rPr>
            </w:pPr>
          </w:p>
        </w:tc>
        <w:tc>
          <w:tcPr>
            <w:tcW w:w="69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Dividends on Common Stock</w:t>
            </w:r>
          </w:p>
        </w:tc>
        <w:tc>
          <w:tcPr>
            <w:tcW w:w="19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(69.1)</w:t>
            </w:r>
          </w:p>
        </w:tc>
        <w:tc>
          <w:tcPr>
            <w:tcW w:w="150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(62.1)</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(60.8)</w:t>
            </w:r>
          </w:p>
        </w:tc>
      </w:tr>
      <w:tr>
        <w:trPr>
          <w:trHeight w:val="237"/>
        </w:trPr>
        <w:tc>
          <w:tcPr>
            <w:tcW w:w="20" w:type="dxa"/>
            <w:vAlign w:val="bottom"/>
          </w:tcPr>
          <w:p>
            <w:pPr>
              <w:spacing w:after="0"/>
              <w:rPr>
                <w:sz w:val="20"/>
                <w:szCs w:val="20"/>
                <w:color w:val="auto"/>
              </w:rPr>
            </w:pPr>
          </w:p>
        </w:tc>
        <w:tc>
          <w:tcPr>
            <w:tcW w:w="6900" w:type="dxa"/>
            <w:vAlign w:val="bottom"/>
            <w:tcBorders>
              <w:top w:val="single" w:sz="8" w:color="auto"/>
            </w:tcBorders>
          </w:tcPr>
          <w:p>
            <w:pPr>
              <w:ind w:left="480"/>
              <w:spacing w:after="0"/>
              <w:rPr>
                <w:sz w:val="20"/>
                <w:szCs w:val="20"/>
                <w:color w:val="auto"/>
              </w:rPr>
            </w:pPr>
            <w:r>
              <w:rPr>
                <w:rFonts w:ascii="Arial" w:cs="Arial" w:eastAsia="Arial" w:hAnsi="Arial"/>
                <w:sz w:val="18"/>
                <w:szCs w:val="18"/>
                <w:color w:val="auto"/>
              </w:rPr>
              <w:t>Cash from Financing Activities</w:t>
            </w:r>
          </w:p>
        </w:tc>
        <w:tc>
          <w:tcPr>
            <w:tcW w:w="196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color w:val="auto"/>
              </w:rPr>
              <w:t>160.2</w:t>
            </w:r>
          </w:p>
        </w:tc>
        <w:tc>
          <w:tcPr>
            <w:tcW w:w="150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color w:val="auto"/>
              </w:rPr>
              <w:t>55.4</w:t>
            </w: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41.4</w:t>
            </w:r>
          </w:p>
        </w:tc>
      </w:tr>
      <w:tr>
        <w:trPr>
          <w:trHeight w:val="27"/>
        </w:trPr>
        <w:tc>
          <w:tcPr>
            <w:tcW w:w="20" w:type="dxa"/>
            <w:vAlign w:val="bottom"/>
          </w:tcPr>
          <w:p>
            <w:pPr>
              <w:spacing w:after="0"/>
              <w:rPr>
                <w:sz w:val="2"/>
                <w:szCs w:val="2"/>
                <w:color w:val="auto"/>
              </w:rPr>
            </w:pPr>
          </w:p>
        </w:tc>
        <w:tc>
          <w:tcPr>
            <w:tcW w:w="69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6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Change in Cash and Cash Equivalents</w:t>
            </w:r>
          </w:p>
        </w:tc>
        <w:tc>
          <w:tcPr>
            <w:tcW w:w="19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(20.3)</w:t>
            </w:r>
          </w:p>
        </w:tc>
        <w:tc>
          <w:tcPr>
            <w:tcW w:w="150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56.2</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19.2</w:t>
            </w:r>
          </w:p>
        </w:tc>
      </w:tr>
      <w:tr>
        <w:trPr>
          <w:trHeight w:val="243"/>
        </w:trPr>
        <w:tc>
          <w:tcPr>
            <w:tcW w:w="20" w:type="dxa"/>
            <w:vAlign w:val="bottom"/>
          </w:tcPr>
          <w:p>
            <w:pPr>
              <w:spacing w:after="0"/>
              <w:rPr>
                <w:sz w:val="21"/>
                <w:szCs w:val="21"/>
                <w:color w:val="auto"/>
              </w:rPr>
            </w:pPr>
          </w:p>
        </w:tc>
        <w:tc>
          <w:tcPr>
            <w:tcW w:w="6900" w:type="dxa"/>
            <w:vAlign w:val="bottom"/>
          </w:tcPr>
          <w:p>
            <w:pPr>
              <w:ind w:left="20"/>
              <w:spacing w:after="0"/>
              <w:rPr>
                <w:sz w:val="20"/>
                <w:szCs w:val="20"/>
                <w:color w:val="auto"/>
              </w:rPr>
            </w:pPr>
            <w:r>
              <w:rPr>
                <w:rFonts w:ascii="Arial" w:cs="Arial" w:eastAsia="Arial" w:hAnsi="Arial"/>
                <w:sz w:val="18"/>
                <w:szCs w:val="18"/>
                <w:b w:val="1"/>
                <w:bCs w:val="1"/>
                <w:color w:val="auto"/>
              </w:rPr>
              <w:t>Cash and Cash Equivalents at Beginning of Period</w:t>
            </w:r>
          </w:p>
        </w:tc>
        <w:tc>
          <w:tcPr>
            <w:tcW w:w="1960" w:type="dxa"/>
            <w:vAlign w:val="bottom"/>
          </w:tcPr>
          <w:p>
            <w:pPr>
              <w:jc w:val="right"/>
              <w:ind w:right="430"/>
              <w:spacing w:after="0"/>
              <w:rPr>
                <w:sz w:val="20"/>
                <w:szCs w:val="20"/>
                <w:color w:val="auto"/>
              </w:rPr>
            </w:pPr>
            <w:r>
              <w:rPr>
                <w:rFonts w:ascii="Arial" w:cs="Arial" w:eastAsia="Arial" w:hAnsi="Arial"/>
                <w:sz w:val="18"/>
                <w:szCs w:val="18"/>
                <w:color w:val="auto"/>
              </w:rPr>
              <w:t>101.1</w:t>
            </w:r>
          </w:p>
        </w:tc>
        <w:tc>
          <w:tcPr>
            <w:tcW w:w="1500" w:type="dxa"/>
            <w:vAlign w:val="bottom"/>
          </w:tcPr>
          <w:p>
            <w:pPr>
              <w:jc w:val="right"/>
              <w:ind w:right="430"/>
              <w:spacing w:after="0"/>
              <w:rPr>
                <w:sz w:val="20"/>
                <w:szCs w:val="20"/>
                <w:color w:val="auto"/>
              </w:rPr>
            </w:pPr>
            <w:r>
              <w:rPr>
                <w:rFonts w:ascii="Arial" w:cs="Arial" w:eastAsia="Arial" w:hAnsi="Arial"/>
                <w:sz w:val="18"/>
                <w:szCs w:val="18"/>
                <w:color w:val="auto"/>
              </w:rPr>
              <w:t>44.9</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25.7</w:t>
            </w:r>
          </w:p>
        </w:tc>
      </w:tr>
      <w:tr>
        <w:trPr>
          <w:trHeight w:val="27"/>
        </w:trPr>
        <w:tc>
          <w:tcPr>
            <w:tcW w:w="20" w:type="dxa"/>
            <w:vAlign w:val="bottom"/>
          </w:tcPr>
          <w:p>
            <w:pPr>
              <w:spacing w:after="0"/>
              <w:rPr>
                <w:sz w:val="2"/>
                <w:szCs w:val="2"/>
                <w:color w:val="auto"/>
              </w:rPr>
            </w:pPr>
          </w:p>
        </w:tc>
        <w:tc>
          <w:tcPr>
            <w:tcW w:w="69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20" w:type="dxa"/>
            <w:vAlign w:val="bottom"/>
          </w:tcPr>
          <w:p>
            <w:pPr>
              <w:spacing w:after="0"/>
              <w:rPr>
                <w:sz w:val="22"/>
                <w:szCs w:val="22"/>
                <w:color w:val="auto"/>
              </w:rPr>
            </w:pPr>
          </w:p>
        </w:tc>
        <w:tc>
          <w:tcPr>
            <w:tcW w:w="6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and Cash Equivalents at End of Period</w:t>
            </w:r>
          </w:p>
        </w:tc>
        <w:tc>
          <w:tcPr>
            <w:tcW w:w="196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$80.8</w:t>
            </w:r>
          </w:p>
        </w:tc>
        <w:tc>
          <w:tcPr>
            <w:tcW w:w="150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$101.1</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$44.9</w:t>
            </w:r>
          </w:p>
        </w:tc>
      </w:tr>
      <w:tr>
        <w:trPr>
          <w:trHeight w:val="195"/>
        </w:trPr>
        <w:tc>
          <w:tcPr>
            <w:tcW w:w="20" w:type="dxa"/>
            <w:vAlign w:val="bottom"/>
          </w:tcPr>
          <w:p>
            <w:pPr>
              <w:spacing w:after="0"/>
              <w:rPr>
                <w:sz w:val="16"/>
                <w:szCs w:val="16"/>
                <w:color w:val="auto"/>
              </w:rPr>
            </w:pPr>
          </w:p>
        </w:tc>
        <w:tc>
          <w:tcPr>
            <w:tcW w:w="69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t>
            </w:r>
          </w:p>
        </w:tc>
        <w:tc>
          <w:tcPr>
            <w:tcW w:w="196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r>
      <w:tr>
        <w:trPr>
          <w:trHeight w:val="230"/>
        </w:trPr>
        <w:tc>
          <w:tcPr>
            <w:tcW w:w="20" w:type="dxa"/>
            <w:vAlign w:val="bottom"/>
          </w:tcPr>
          <w:p>
            <w:pPr>
              <w:spacing w:after="0"/>
              <w:rPr>
                <w:sz w:val="20"/>
                <w:szCs w:val="20"/>
                <w:color w:val="auto"/>
              </w:rPr>
            </w:pPr>
          </w:p>
        </w:tc>
        <w:tc>
          <w:tcPr>
            <w:tcW w:w="8860" w:type="dxa"/>
            <w:vAlign w:val="bottom"/>
            <w:gridSpan w:val="2"/>
          </w:tcPr>
          <w:p>
            <w:pPr>
              <w:ind w:left="3360"/>
              <w:spacing w:after="0"/>
              <w:rPr>
                <w:sz w:val="20"/>
                <w:szCs w:val="20"/>
                <w:color w:val="auto"/>
              </w:rPr>
            </w:pPr>
            <w:r>
              <w:rPr>
                <w:rFonts w:ascii="Arial" w:cs="Arial" w:eastAsia="Arial" w:hAnsi="Arial"/>
                <w:sz w:val="18"/>
                <w:szCs w:val="18"/>
                <w:color w:val="auto"/>
              </w:rPr>
              <w:t>The accompanying notes are an integral part of these statements.</w:t>
            </w:r>
          </w:p>
        </w:tc>
        <w:tc>
          <w:tcPr>
            <w:tcW w:w="1500" w:type="dxa"/>
            <w:vAlign w:val="bottom"/>
          </w:tcPr>
          <w:p>
            <w:pPr>
              <w:spacing w:after="0"/>
              <w:rPr>
                <w:sz w:val="20"/>
                <w:szCs w:val="20"/>
                <w:color w:val="auto"/>
              </w:rPr>
            </w:pPr>
          </w:p>
        </w:tc>
        <w:tc>
          <w:tcPr>
            <w:tcW w:w="1040" w:type="dxa"/>
            <w:vAlign w:val="bottom"/>
          </w:tcPr>
          <w:p>
            <w:pPr>
              <w:spacing w:after="0"/>
              <w:rPr>
                <w:sz w:val="20"/>
                <w:szCs w:val="20"/>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2012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364" w:right="23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color w:val="auto"/>
        </w:rPr>
        <w:t>ALLETE Consolidated Statement of Shareholders’ Equity</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9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560" w:type="dxa"/>
            <w:vAlign w:val="bottom"/>
          </w:tcPr>
          <w:p>
            <w:pPr>
              <w:jc w:val="center"/>
              <w:ind w:right="159"/>
              <w:spacing w:after="0"/>
              <w:rPr>
                <w:sz w:val="20"/>
                <w:szCs w:val="20"/>
                <w:color w:val="auto"/>
              </w:rPr>
            </w:pPr>
            <w:r>
              <w:rPr>
                <w:rFonts w:ascii="Arial" w:cs="Arial" w:eastAsia="Arial" w:hAnsi="Arial"/>
                <w:sz w:val="16"/>
                <w:szCs w:val="16"/>
                <w:b w:val="1"/>
                <w:bCs w:val="1"/>
                <w:color w:val="auto"/>
                <w:w w:val="91"/>
              </w:rPr>
              <w:t>Accumulated</w:t>
            </w:r>
          </w:p>
        </w:tc>
        <w:tc>
          <w:tcPr>
            <w:tcW w:w="14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3920" w:type="dxa"/>
            <w:vAlign w:val="bottom"/>
          </w:tcPr>
          <w:p>
            <w:pPr>
              <w:spacing w:after="0"/>
              <w:rPr>
                <w:sz w:val="17"/>
                <w:szCs w:val="17"/>
                <w:color w:val="auto"/>
              </w:rPr>
            </w:pPr>
          </w:p>
        </w:tc>
        <w:tc>
          <w:tcPr>
            <w:tcW w:w="1500" w:type="dxa"/>
            <w:vAlign w:val="bottom"/>
          </w:tcPr>
          <w:p>
            <w:pPr>
              <w:jc w:val="center"/>
              <w:spacing w:after="0"/>
              <w:rPr>
                <w:sz w:val="20"/>
                <w:szCs w:val="20"/>
                <w:color w:val="auto"/>
              </w:rPr>
            </w:pPr>
            <w:r>
              <w:rPr>
                <w:rFonts w:ascii="Arial" w:cs="Arial" w:eastAsia="Arial" w:hAnsi="Arial"/>
                <w:sz w:val="16"/>
                <w:szCs w:val="16"/>
                <w:b w:val="1"/>
                <w:bCs w:val="1"/>
                <w:color w:val="auto"/>
                <w:w w:val="88"/>
              </w:rPr>
              <w:t>Total</w:t>
            </w:r>
          </w:p>
        </w:tc>
        <w:tc>
          <w:tcPr>
            <w:tcW w:w="1500" w:type="dxa"/>
            <w:vAlign w:val="bottom"/>
          </w:tcPr>
          <w:p>
            <w:pPr>
              <w:spacing w:after="0"/>
              <w:rPr>
                <w:sz w:val="17"/>
                <w:szCs w:val="17"/>
                <w:color w:val="auto"/>
              </w:rPr>
            </w:pPr>
          </w:p>
        </w:tc>
        <w:tc>
          <w:tcPr>
            <w:tcW w:w="1560" w:type="dxa"/>
            <w:vAlign w:val="bottom"/>
          </w:tcPr>
          <w:p>
            <w:pPr>
              <w:jc w:val="center"/>
              <w:ind w:right="159"/>
              <w:spacing w:after="0"/>
              <w:rPr>
                <w:sz w:val="20"/>
                <w:szCs w:val="20"/>
                <w:color w:val="auto"/>
              </w:rPr>
            </w:pPr>
            <w:r>
              <w:rPr>
                <w:rFonts w:ascii="Arial" w:cs="Arial" w:eastAsia="Arial" w:hAnsi="Arial"/>
                <w:sz w:val="16"/>
                <w:szCs w:val="16"/>
                <w:b w:val="1"/>
                <w:bCs w:val="1"/>
                <w:color w:val="auto"/>
                <w:w w:val="93"/>
              </w:rPr>
              <w:t>Other</w:t>
            </w:r>
          </w:p>
        </w:tc>
        <w:tc>
          <w:tcPr>
            <w:tcW w:w="1460" w:type="dxa"/>
            <w:vAlign w:val="bottom"/>
          </w:tcPr>
          <w:p>
            <w:pPr>
              <w:jc w:val="center"/>
              <w:ind w:right="299"/>
              <w:spacing w:after="0"/>
              <w:rPr>
                <w:sz w:val="20"/>
                <w:szCs w:val="20"/>
                <w:color w:val="auto"/>
              </w:rPr>
            </w:pPr>
            <w:r>
              <w:rPr>
                <w:rFonts w:ascii="Arial" w:cs="Arial" w:eastAsia="Arial" w:hAnsi="Arial"/>
                <w:sz w:val="16"/>
                <w:szCs w:val="16"/>
                <w:b w:val="1"/>
                <w:bCs w:val="1"/>
                <w:color w:val="auto"/>
                <w:w w:val="92"/>
              </w:rPr>
              <w:t>Unearned</w:t>
            </w:r>
          </w:p>
        </w:tc>
        <w:tc>
          <w:tcPr>
            <w:tcW w:w="1260" w:type="dxa"/>
            <w:vAlign w:val="bottom"/>
          </w:tcPr>
          <w:p>
            <w:pPr>
              <w:spacing w:after="0"/>
              <w:rPr>
                <w:sz w:val="17"/>
                <w:szCs w:val="17"/>
                <w:color w:val="auto"/>
              </w:rPr>
            </w:pPr>
          </w:p>
        </w:tc>
      </w:tr>
      <w:tr>
        <w:trPr>
          <w:trHeight w:val="203"/>
        </w:trPr>
        <w:tc>
          <w:tcPr>
            <w:tcW w:w="3920" w:type="dxa"/>
            <w:vAlign w:val="bottom"/>
          </w:tcPr>
          <w:p>
            <w:pPr>
              <w:spacing w:after="0"/>
              <w:rPr>
                <w:sz w:val="17"/>
                <w:szCs w:val="17"/>
                <w:color w:val="auto"/>
              </w:rPr>
            </w:pPr>
          </w:p>
        </w:tc>
        <w:tc>
          <w:tcPr>
            <w:tcW w:w="1500" w:type="dxa"/>
            <w:vAlign w:val="bottom"/>
          </w:tcPr>
          <w:p>
            <w:pPr>
              <w:jc w:val="center"/>
              <w:spacing w:after="0"/>
              <w:rPr>
                <w:sz w:val="20"/>
                <w:szCs w:val="20"/>
                <w:color w:val="auto"/>
              </w:rPr>
            </w:pPr>
            <w:r>
              <w:rPr>
                <w:rFonts w:ascii="Arial" w:cs="Arial" w:eastAsia="Arial" w:hAnsi="Arial"/>
                <w:sz w:val="16"/>
                <w:szCs w:val="16"/>
                <w:b w:val="1"/>
                <w:bCs w:val="1"/>
                <w:color w:val="auto"/>
                <w:w w:val="91"/>
              </w:rPr>
              <w:t>Shareholders’</w:t>
            </w:r>
          </w:p>
        </w:tc>
        <w:tc>
          <w:tcPr>
            <w:tcW w:w="1500" w:type="dxa"/>
            <w:vAlign w:val="bottom"/>
          </w:tcPr>
          <w:p>
            <w:pPr>
              <w:jc w:val="right"/>
              <w:ind w:right="399"/>
              <w:spacing w:after="0"/>
              <w:rPr>
                <w:sz w:val="20"/>
                <w:szCs w:val="20"/>
                <w:color w:val="auto"/>
              </w:rPr>
            </w:pPr>
            <w:r>
              <w:rPr>
                <w:rFonts w:ascii="Arial" w:cs="Arial" w:eastAsia="Arial" w:hAnsi="Arial"/>
                <w:sz w:val="16"/>
                <w:szCs w:val="16"/>
                <w:b w:val="1"/>
                <w:bCs w:val="1"/>
                <w:color w:val="auto"/>
              </w:rPr>
              <w:t>Retained</w:t>
            </w:r>
          </w:p>
        </w:tc>
        <w:tc>
          <w:tcPr>
            <w:tcW w:w="1560" w:type="dxa"/>
            <w:vAlign w:val="bottom"/>
          </w:tcPr>
          <w:p>
            <w:pPr>
              <w:jc w:val="center"/>
              <w:ind w:right="159"/>
              <w:spacing w:after="0"/>
              <w:rPr>
                <w:sz w:val="20"/>
                <w:szCs w:val="20"/>
                <w:color w:val="auto"/>
              </w:rPr>
            </w:pPr>
            <w:r>
              <w:rPr>
                <w:rFonts w:ascii="Arial" w:cs="Arial" w:eastAsia="Arial" w:hAnsi="Arial"/>
                <w:sz w:val="16"/>
                <w:szCs w:val="16"/>
                <w:b w:val="1"/>
                <w:bCs w:val="1"/>
                <w:color w:val="auto"/>
                <w:w w:val="89"/>
              </w:rPr>
              <w:t>Comprehensive</w:t>
            </w:r>
          </w:p>
        </w:tc>
        <w:tc>
          <w:tcPr>
            <w:tcW w:w="1460" w:type="dxa"/>
            <w:vAlign w:val="bottom"/>
          </w:tcPr>
          <w:p>
            <w:pPr>
              <w:jc w:val="center"/>
              <w:ind w:right="279"/>
              <w:spacing w:after="0"/>
              <w:rPr>
                <w:sz w:val="20"/>
                <w:szCs w:val="20"/>
                <w:color w:val="auto"/>
              </w:rPr>
            </w:pPr>
            <w:r>
              <w:rPr>
                <w:rFonts w:ascii="Arial" w:cs="Arial" w:eastAsia="Arial" w:hAnsi="Arial"/>
                <w:sz w:val="16"/>
                <w:szCs w:val="16"/>
                <w:b w:val="1"/>
                <w:bCs w:val="1"/>
                <w:color w:val="auto"/>
                <w:w w:val="94"/>
              </w:rPr>
              <w:t>ESOP</w:t>
            </w:r>
          </w:p>
        </w:tc>
        <w:tc>
          <w:tcPr>
            <w:tcW w:w="1260" w:type="dxa"/>
            <w:vAlign w:val="bottom"/>
          </w:tcPr>
          <w:p>
            <w:pPr>
              <w:jc w:val="right"/>
              <w:ind w:right="339"/>
              <w:spacing w:after="0"/>
              <w:rPr>
                <w:sz w:val="20"/>
                <w:szCs w:val="20"/>
                <w:color w:val="auto"/>
              </w:rPr>
            </w:pPr>
            <w:r>
              <w:rPr>
                <w:rFonts w:ascii="Arial" w:cs="Arial" w:eastAsia="Arial" w:hAnsi="Arial"/>
                <w:sz w:val="16"/>
                <w:szCs w:val="16"/>
                <w:b w:val="1"/>
                <w:bCs w:val="1"/>
                <w:color w:val="auto"/>
              </w:rPr>
              <w:t>Common</w:t>
            </w:r>
          </w:p>
        </w:tc>
      </w:tr>
      <w:tr>
        <w:trPr>
          <w:trHeight w:val="210"/>
        </w:trPr>
        <w:tc>
          <w:tcPr>
            <w:tcW w:w="392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6"/>
                <w:szCs w:val="16"/>
                <w:b w:val="1"/>
                <w:bCs w:val="1"/>
                <w:color w:val="auto"/>
                <w:w w:val="93"/>
              </w:rPr>
              <w:t>Equity</w:t>
            </w:r>
          </w:p>
        </w:tc>
        <w:tc>
          <w:tcPr>
            <w:tcW w:w="1500" w:type="dxa"/>
            <w:vAlign w:val="bottom"/>
          </w:tcPr>
          <w:p>
            <w:pPr>
              <w:jc w:val="right"/>
              <w:ind w:right="399"/>
              <w:spacing w:after="0"/>
              <w:rPr>
                <w:sz w:val="20"/>
                <w:szCs w:val="20"/>
                <w:color w:val="auto"/>
              </w:rPr>
            </w:pPr>
            <w:r>
              <w:rPr>
                <w:rFonts w:ascii="Arial" w:cs="Arial" w:eastAsia="Arial" w:hAnsi="Arial"/>
                <w:sz w:val="16"/>
                <w:szCs w:val="16"/>
                <w:b w:val="1"/>
                <w:bCs w:val="1"/>
                <w:color w:val="auto"/>
              </w:rPr>
              <w:t>Earnings</w:t>
            </w:r>
          </w:p>
        </w:tc>
        <w:tc>
          <w:tcPr>
            <w:tcW w:w="1560" w:type="dxa"/>
            <w:vAlign w:val="bottom"/>
          </w:tcPr>
          <w:p>
            <w:pPr>
              <w:jc w:val="center"/>
              <w:ind w:right="179"/>
              <w:spacing w:after="0"/>
              <w:rPr>
                <w:sz w:val="20"/>
                <w:szCs w:val="20"/>
                <w:color w:val="auto"/>
              </w:rPr>
            </w:pPr>
            <w:r>
              <w:rPr>
                <w:rFonts w:ascii="Arial" w:cs="Arial" w:eastAsia="Arial" w:hAnsi="Arial"/>
                <w:sz w:val="16"/>
                <w:szCs w:val="16"/>
                <w:b w:val="1"/>
                <w:bCs w:val="1"/>
                <w:color w:val="auto"/>
                <w:w w:val="90"/>
              </w:rPr>
              <w:t>Income (Loss)</w:t>
            </w:r>
          </w:p>
        </w:tc>
        <w:tc>
          <w:tcPr>
            <w:tcW w:w="1460" w:type="dxa"/>
            <w:vAlign w:val="bottom"/>
          </w:tcPr>
          <w:p>
            <w:pPr>
              <w:jc w:val="center"/>
              <w:ind w:right="279"/>
              <w:spacing w:after="0"/>
              <w:rPr>
                <w:sz w:val="20"/>
                <w:szCs w:val="20"/>
                <w:color w:val="auto"/>
              </w:rPr>
            </w:pPr>
            <w:r>
              <w:rPr>
                <w:rFonts w:ascii="Arial" w:cs="Arial" w:eastAsia="Arial" w:hAnsi="Arial"/>
                <w:sz w:val="16"/>
                <w:szCs w:val="16"/>
                <w:b w:val="1"/>
                <w:bCs w:val="1"/>
                <w:color w:val="auto"/>
                <w:w w:val="86"/>
              </w:rPr>
              <w:t>Shares</w:t>
            </w:r>
          </w:p>
        </w:tc>
        <w:tc>
          <w:tcPr>
            <w:tcW w:w="1260" w:type="dxa"/>
            <w:vAlign w:val="bottom"/>
          </w:tcPr>
          <w:p>
            <w:pPr>
              <w:jc w:val="right"/>
              <w:ind w:right="459"/>
              <w:spacing w:after="0"/>
              <w:rPr>
                <w:sz w:val="20"/>
                <w:szCs w:val="20"/>
                <w:color w:val="auto"/>
              </w:rPr>
            </w:pPr>
            <w:r>
              <w:rPr>
                <w:rFonts w:ascii="Arial" w:cs="Arial" w:eastAsia="Arial" w:hAnsi="Arial"/>
                <w:sz w:val="16"/>
                <w:szCs w:val="16"/>
                <w:b w:val="1"/>
                <w:bCs w:val="1"/>
                <w:color w:val="auto"/>
              </w:rPr>
              <w:t>Stock</w:t>
            </w:r>
          </w:p>
        </w:tc>
      </w:tr>
      <w:tr>
        <w:trPr>
          <w:trHeight w:val="33"/>
        </w:trPr>
        <w:tc>
          <w:tcPr>
            <w:tcW w:w="39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17"/>
        </w:trPr>
        <w:tc>
          <w:tcPr>
            <w:tcW w:w="3920" w:type="dxa"/>
            <w:vAlign w:val="bottom"/>
          </w:tcPr>
          <w:p>
            <w:pPr>
              <w:ind w:left="40"/>
              <w:spacing w:after="0"/>
              <w:rPr>
                <w:sz w:val="20"/>
                <w:szCs w:val="20"/>
                <w:color w:val="auto"/>
              </w:rPr>
            </w:pPr>
            <w:r>
              <w:rPr>
                <w:rFonts w:ascii="Arial" w:cs="Arial" w:eastAsia="Arial" w:hAnsi="Arial"/>
                <w:sz w:val="16"/>
                <w:szCs w:val="16"/>
                <w:b w:val="1"/>
                <w:bCs w:val="1"/>
                <w:color w:val="auto"/>
              </w:rPr>
              <w:t>Millions</w:t>
            </w:r>
          </w:p>
        </w:tc>
        <w:tc>
          <w:tcPr>
            <w:tcW w:w="15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33"/>
        </w:trPr>
        <w:tc>
          <w:tcPr>
            <w:tcW w:w="39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5"/>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as of December 31, 2009</w:t>
            </w:r>
          </w:p>
        </w:tc>
        <w:tc>
          <w:tcPr>
            <w:tcW w:w="15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$929.5</w:t>
            </w:r>
          </w:p>
        </w:tc>
        <w:tc>
          <w:tcPr>
            <w:tcW w:w="15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$385.4</w:t>
            </w:r>
          </w:p>
        </w:tc>
        <w:tc>
          <w:tcPr>
            <w:tcW w:w="15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$(24.0)</w:t>
            </w:r>
          </w:p>
        </w:tc>
        <w:tc>
          <w:tcPr>
            <w:tcW w:w="14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$(45.3)</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$613.4</w:t>
            </w:r>
          </w:p>
        </w:tc>
      </w:tr>
      <w:tr>
        <w:trPr>
          <w:trHeight w:val="217"/>
        </w:trPr>
        <w:tc>
          <w:tcPr>
            <w:tcW w:w="392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Comprehensive Income</w:t>
            </w:r>
          </w:p>
        </w:tc>
        <w:tc>
          <w:tcPr>
            <w:tcW w:w="150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r>
      <w:tr>
        <w:trPr>
          <w:trHeight w:val="33"/>
        </w:trPr>
        <w:tc>
          <w:tcPr>
            <w:tcW w:w="39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7"/>
        </w:trPr>
        <w:tc>
          <w:tcPr>
            <w:tcW w:w="3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Income</w:t>
            </w:r>
          </w:p>
        </w:tc>
        <w:tc>
          <w:tcPr>
            <w:tcW w:w="15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74.8</w:t>
            </w:r>
          </w:p>
        </w:tc>
        <w:tc>
          <w:tcPr>
            <w:tcW w:w="15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74.8</w:t>
            </w:r>
          </w:p>
        </w:tc>
        <w:tc>
          <w:tcPr>
            <w:tcW w:w="15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r>
      <w:tr>
        <w:trPr>
          <w:trHeight w:val="224"/>
        </w:trPr>
        <w:tc>
          <w:tcPr>
            <w:tcW w:w="3920" w:type="dxa"/>
            <w:vAlign w:val="bottom"/>
          </w:tcPr>
          <w:p>
            <w:pPr>
              <w:ind w:left="180"/>
              <w:spacing w:after="0"/>
              <w:rPr>
                <w:sz w:val="20"/>
                <w:szCs w:val="20"/>
                <w:color w:val="auto"/>
              </w:rPr>
            </w:pPr>
            <w:r>
              <w:rPr>
                <w:rFonts w:ascii="Arial" w:cs="Arial" w:eastAsia="Arial" w:hAnsi="Arial"/>
                <w:sz w:val="16"/>
                <w:szCs w:val="16"/>
                <w:color w:val="auto"/>
              </w:rPr>
              <w:t>Other Comprehensive Income – Net of Tax</w:t>
            </w:r>
          </w:p>
        </w:tc>
        <w:tc>
          <w:tcPr>
            <w:tcW w:w="15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33"/>
        </w:trPr>
        <w:tc>
          <w:tcPr>
            <w:tcW w:w="39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7"/>
        </w:trPr>
        <w:tc>
          <w:tcPr>
            <w:tcW w:w="39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Unrealized Gain on Securities – Net</w:t>
            </w:r>
          </w:p>
        </w:tc>
        <w:tc>
          <w:tcPr>
            <w:tcW w:w="15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0.8</w:t>
            </w:r>
          </w:p>
        </w:tc>
        <w:tc>
          <w:tcPr>
            <w:tcW w:w="15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0.8</w:t>
            </w:r>
          </w:p>
        </w:tc>
        <w:tc>
          <w:tcPr>
            <w:tcW w:w="146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r>
      <w:tr>
        <w:trPr>
          <w:trHeight w:val="217"/>
        </w:trPr>
        <w:tc>
          <w:tcPr>
            <w:tcW w:w="3920" w:type="dxa"/>
            <w:vAlign w:val="bottom"/>
          </w:tcPr>
          <w:p>
            <w:pPr>
              <w:ind w:left="500"/>
              <w:spacing w:after="0"/>
              <w:rPr>
                <w:sz w:val="20"/>
                <w:szCs w:val="20"/>
                <w:color w:val="auto"/>
              </w:rPr>
            </w:pPr>
            <w:r>
              <w:rPr>
                <w:rFonts w:ascii="Arial" w:cs="Arial" w:eastAsia="Arial" w:hAnsi="Arial"/>
                <w:sz w:val="16"/>
                <w:szCs w:val="16"/>
                <w:color w:val="auto"/>
              </w:rPr>
              <w:t>Total Comprehensive Income</w:t>
            </w:r>
          </w:p>
        </w:tc>
        <w:tc>
          <w:tcPr>
            <w:tcW w:w="15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75.6</w:t>
            </w:r>
          </w:p>
        </w:tc>
        <w:tc>
          <w:tcPr>
            <w:tcW w:w="15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33"/>
        </w:trPr>
        <w:tc>
          <w:tcPr>
            <w:tcW w:w="39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7"/>
        </w:trPr>
        <w:tc>
          <w:tcPr>
            <w:tcW w:w="39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Non-Controlling Interest in Subsidiaries</w:t>
            </w:r>
          </w:p>
        </w:tc>
        <w:tc>
          <w:tcPr>
            <w:tcW w:w="15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0.5</w:t>
            </w:r>
          </w:p>
        </w:tc>
        <w:tc>
          <w:tcPr>
            <w:tcW w:w="15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0.5</w:t>
            </w:r>
          </w:p>
        </w:tc>
        <w:tc>
          <w:tcPr>
            <w:tcW w:w="156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r>
      <w:tr>
        <w:trPr>
          <w:trHeight w:val="217"/>
        </w:trPr>
        <w:tc>
          <w:tcPr>
            <w:tcW w:w="3920" w:type="dxa"/>
            <w:vAlign w:val="bottom"/>
          </w:tcPr>
          <w:p>
            <w:pPr>
              <w:ind w:left="180"/>
              <w:spacing w:after="0"/>
              <w:rPr>
                <w:sz w:val="20"/>
                <w:szCs w:val="20"/>
                <w:color w:val="auto"/>
              </w:rPr>
            </w:pPr>
            <w:r>
              <w:rPr>
                <w:rFonts w:ascii="Arial" w:cs="Arial" w:eastAsia="Arial" w:hAnsi="Arial"/>
                <w:sz w:val="16"/>
                <w:szCs w:val="16"/>
                <w:color w:val="auto"/>
              </w:rPr>
              <w:t>Comprehensive Income Attributable to ALLETE</w:t>
            </w:r>
          </w:p>
        </w:tc>
        <w:tc>
          <w:tcPr>
            <w:tcW w:w="15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76.1</w:t>
            </w:r>
          </w:p>
        </w:tc>
        <w:tc>
          <w:tcPr>
            <w:tcW w:w="15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33"/>
        </w:trPr>
        <w:tc>
          <w:tcPr>
            <w:tcW w:w="39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7"/>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Common Stock Issued – Net</w:t>
            </w:r>
          </w:p>
        </w:tc>
        <w:tc>
          <w:tcPr>
            <w:tcW w:w="15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22.7</w:t>
            </w:r>
          </w:p>
        </w:tc>
        <w:tc>
          <w:tcPr>
            <w:tcW w:w="150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22.7</w:t>
            </w:r>
          </w:p>
        </w:tc>
      </w:tr>
      <w:tr>
        <w:trPr>
          <w:trHeight w:val="224"/>
        </w:trPr>
        <w:tc>
          <w:tcPr>
            <w:tcW w:w="3920" w:type="dxa"/>
            <w:vAlign w:val="bottom"/>
          </w:tcPr>
          <w:p>
            <w:pPr>
              <w:ind w:left="40"/>
              <w:spacing w:after="0"/>
              <w:rPr>
                <w:sz w:val="20"/>
                <w:szCs w:val="20"/>
                <w:color w:val="auto"/>
              </w:rPr>
            </w:pPr>
            <w:r>
              <w:rPr>
                <w:rFonts w:ascii="Arial" w:cs="Arial" w:eastAsia="Arial" w:hAnsi="Arial"/>
                <w:sz w:val="16"/>
                <w:szCs w:val="16"/>
                <w:color w:val="auto"/>
              </w:rPr>
              <w:t>Dividends Declared</w:t>
            </w:r>
          </w:p>
        </w:tc>
        <w:tc>
          <w:tcPr>
            <w:tcW w:w="1500" w:type="dxa"/>
            <w:vAlign w:val="bottom"/>
          </w:tcPr>
          <w:p>
            <w:pPr>
              <w:jc w:val="right"/>
              <w:spacing w:after="0"/>
              <w:rPr>
                <w:sz w:val="20"/>
                <w:szCs w:val="20"/>
                <w:color w:val="auto"/>
              </w:rPr>
            </w:pPr>
            <w:r>
              <w:rPr>
                <w:rFonts w:ascii="Arial" w:cs="Arial" w:eastAsia="Arial" w:hAnsi="Arial"/>
                <w:sz w:val="16"/>
                <w:szCs w:val="16"/>
                <w:color w:val="auto"/>
              </w:rPr>
              <w:t>(60.8)</w:t>
            </w: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(60.8)</w:t>
            </w:r>
          </w:p>
        </w:tc>
        <w:tc>
          <w:tcPr>
            <w:tcW w:w="15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33"/>
        </w:trPr>
        <w:tc>
          <w:tcPr>
            <w:tcW w:w="39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62"/>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ESOP Shares Earned</w:t>
            </w:r>
          </w:p>
        </w:tc>
        <w:tc>
          <w:tcPr>
            <w:tcW w:w="15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8.5</w:t>
            </w:r>
          </w:p>
        </w:tc>
        <w:tc>
          <w:tcPr>
            <w:tcW w:w="15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8.5</w:t>
            </w:r>
          </w:p>
        </w:tc>
        <w:tc>
          <w:tcPr>
            <w:tcW w:w="1260" w:type="dxa"/>
            <w:vAlign w:val="bottom"/>
            <w:tcBorders>
              <w:bottom w:val="single" w:sz="8" w:color="CCEEFF"/>
            </w:tcBorders>
            <w:shd w:val="clear" w:color="auto" w:fill="CCEEFF"/>
          </w:tcPr>
          <w:p>
            <w:pPr>
              <w:spacing w:after="0"/>
              <w:rPr>
                <w:sz w:val="22"/>
                <w:szCs w:val="22"/>
                <w:color w:val="auto"/>
              </w:rPr>
            </w:pPr>
          </w:p>
        </w:tc>
      </w:tr>
      <w:tr>
        <w:trPr>
          <w:trHeight w:val="217"/>
        </w:trPr>
        <w:tc>
          <w:tcPr>
            <w:tcW w:w="392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Balance as of December 31, 2010</w:t>
            </w:r>
          </w:p>
        </w:tc>
        <w:tc>
          <w:tcPr>
            <w:tcW w:w="15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976.0</w:t>
            </w:r>
          </w:p>
        </w:tc>
        <w:tc>
          <w:tcPr>
            <w:tcW w:w="15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399.9</w:t>
            </w:r>
          </w:p>
        </w:tc>
        <w:tc>
          <w:tcPr>
            <w:tcW w:w="156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rPr>
              <w:t>(23.2)</w:t>
            </w:r>
          </w:p>
        </w:tc>
        <w:tc>
          <w:tcPr>
            <w:tcW w:w="146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rPr>
              <w:t>(36.8)</w:t>
            </w:r>
          </w:p>
        </w:tc>
        <w:tc>
          <w:tcPr>
            <w:tcW w:w="12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636.1</w:t>
            </w:r>
          </w:p>
        </w:tc>
      </w:tr>
      <w:tr>
        <w:trPr>
          <w:trHeight w:val="33"/>
        </w:trPr>
        <w:tc>
          <w:tcPr>
            <w:tcW w:w="39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0"/>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Comprehensive Income</w:t>
            </w:r>
          </w:p>
        </w:tc>
        <w:tc>
          <w:tcPr>
            <w:tcW w:w="15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r>
      <w:tr>
        <w:trPr>
          <w:trHeight w:val="224"/>
        </w:trPr>
        <w:tc>
          <w:tcPr>
            <w:tcW w:w="3920" w:type="dxa"/>
            <w:vAlign w:val="bottom"/>
          </w:tcPr>
          <w:p>
            <w:pPr>
              <w:ind w:left="180"/>
              <w:spacing w:after="0"/>
              <w:rPr>
                <w:sz w:val="20"/>
                <w:szCs w:val="20"/>
                <w:color w:val="auto"/>
              </w:rPr>
            </w:pPr>
            <w:r>
              <w:rPr>
                <w:rFonts w:ascii="Arial" w:cs="Arial" w:eastAsia="Arial" w:hAnsi="Arial"/>
                <w:sz w:val="16"/>
                <w:szCs w:val="16"/>
                <w:color w:val="auto"/>
              </w:rPr>
              <w:t>Net Income</w:t>
            </w:r>
          </w:p>
        </w:tc>
        <w:tc>
          <w:tcPr>
            <w:tcW w:w="1500" w:type="dxa"/>
            <w:vAlign w:val="bottom"/>
          </w:tcPr>
          <w:p>
            <w:pPr>
              <w:jc w:val="right"/>
              <w:ind w:right="59"/>
              <w:spacing w:after="0"/>
              <w:rPr>
                <w:sz w:val="20"/>
                <w:szCs w:val="20"/>
                <w:color w:val="auto"/>
              </w:rPr>
            </w:pPr>
            <w:r>
              <w:rPr>
                <w:rFonts w:ascii="Arial" w:cs="Arial" w:eastAsia="Arial" w:hAnsi="Arial"/>
                <w:sz w:val="16"/>
                <w:szCs w:val="16"/>
                <w:color w:val="auto"/>
              </w:rPr>
              <w:t>93.6</w:t>
            </w:r>
          </w:p>
        </w:tc>
        <w:tc>
          <w:tcPr>
            <w:tcW w:w="1500" w:type="dxa"/>
            <w:vAlign w:val="bottom"/>
          </w:tcPr>
          <w:p>
            <w:pPr>
              <w:jc w:val="right"/>
              <w:ind w:right="99"/>
              <w:spacing w:after="0"/>
              <w:rPr>
                <w:sz w:val="20"/>
                <w:szCs w:val="20"/>
                <w:color w:val="auto"/>
              </w:rPr>
            </w:pPr>
            <w:r>
              <w:rPr>
                <w:rFonts w:ascii="Arial" w:cs="Arial" w:eastAsia="Arial" w:hAnsi="Arial"/>
                <w:sz w:val="16"/>
                <w:szCs w:val="16"/>
                <w:color w:val="auto"/>
              </w:rPr>
              <w:t>93.6</w:t>
            </w:r>
          </w:p>
        </w:tc>
        <w:tc>
          <w:tcPr>
            <w:tcW w:w="15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33"/>
        </w:trPr>
        <w:tc>
          <w:tcPr>
            <w:tcW w:w="39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7"/>
        </w:trPr>
        <w:tc>
          <w:tcPr>
            <w:tcW w:w="3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Comprehensive Income – Net of Tax</w:t>
            </w:r>
          </w:p>
        </w:tc>
        <w:tc>
          <w:tcPr>
            <w:tcW w:w="15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r>
      <w:tr>
        <w:trPr>
          <w:trHeight w:val="224"/>
        </w:trPr>
        <w:tc>
          <w:tcPr>
            <w:tcW w:w="3920" w:type="dxa"/>
            <w:vAlign w:val="bottom"/>
          </w:tcPr>
          <w:p>
            <w:pPr>
              <w:ind w:left="380"/>
              <w:spacing w:after="0"/>
              <w:rPr>
                <w:sz w:val="20"/>
                <w:szCs w:val="20"/>
                <w:color w:val="auto"/>
              </w:rPr>
            </w:pPr>
            <w:r>
              <w:rPr>
                <w:rFonts w:ascii="Arial" w:cs="Arial" w:eastAsia="Arial" w:hAnsi="Arial"/>
                <w:sz w:val="16"/>
                <w:szCs w:val="16"/>
                <w:color w:val="auto"/>
              </w:rPr>
              <w:t>Unrealized Loss on Securities – Net</w:t>
            </w:r>
          </w:p>
        </w:tc>
        <w:tc>
          <w:tcPr>
            <w:tcW w:w="1500" w:type="dxa"/>
            <w:vAlign w:val="bottom"/>
          </w:tcPr>
          <w:p>
            <w:pPr>
              <w:jc w:val="right"/>
              <w:spacing w:after="0"/>
              <w:rPr>
                <w:sz w:val="20"/>
                <w:szCs w:val="20"/>
                <w:color w:val="auto"/>
              </w:rPr>
            </w:pPr>
            <w:r>
              <w:rPr>
                <w:rFonts w:ascii="Arial" w:cs="Arial" w:eastAsia="Arial" w:hAnsi="Arial"/>
                <w:sz w:val="16"/>
                <w:szCs w:val="16"/>
                <w:color w:val="auto"/>
              </w:rPr>
              <w:t>(0.3)</w:t>
            </w:r>
          </w:p>
        </w:tc>
        <w:tc>
          <w:tcPr>
            <w:tcW w:w="1500" w:type="dxa"/>
            <w:vAlign w:val="bottom"/>
          </w:tcPr>
          <w:p>
            <w:pPr>
              <w:spacing w:after="0"/>
              <w:rPr>
                <w:sz w:val="19"/>
                <w:szCs w:val="19"/>
                <w:color w:val="auto"/>
              </w:rPr>
            </w:pPr>
          </w:p>
        </w:tc>
        <w:tc>
          <w:tcPr>
            <w:tcW w:w="1560" w:type="dxa"/>
            <w:vAlign w:val="bottom"/>
          </w:tcPr>
          <w:p>
            <w:pPr>
              <w:jc w:val="right"/>
              <w:ind w:right="159"/>
              <w:spacing w:after="0"/>
              <w:rPr>
                <w:sz w:val="20"/>
                <w:szCs w:val="20"/>
                <w:color w:val="auto"/>
              </w:rPr>
            </w:pPr>
            <w:r>
              <w:rPr>
                <w:rFonts w:ascii="Arial" w:cs="Arial" w:eastAsia="Arial" w:hAnsi="Arial"/>
                <w:sz w:val="16"/>
                <w:szCs w:val="16"/>
                <w:color w:val="auto"/>
              </w:rPr>
              <w:t>(0.3)</w:t>
            </w:r>
          </w:p>
        </w:tc>
        <w:tc>
          <w:tcPr>
            <w:tcW w:w="146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33"/>
        </w:trPr>
        <w:tc>
          <w:tcPr>
            <w:tcW w:w="39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9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Unrealized Loss on Derivatives – Net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5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(0.3)</w:t>
            </w:r>
          </w:p>
        </w:tc>
        <w:tc>
          <w:tcPr>
            <w:tcW w:w="14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20"/>
        </w:trPr>
        <w:tc>
          <w:tcPr>
            <w:tcW w:w="3920" w:type="dxa"/>
            <w:vAlign w:val="bottom"/>
          </w:tcPr>
          <w:p>
            <w:pPr>
              <w:ind w:left="380"/>
              <w:spacing w:after="0"/>
              <w:rPr>
                <w:sz w:val="20"/>
                <w:szCs w:val="20"/>
                <w:color w:val="auto"/>
              </w:rPr>
            </w:pPr>
            <w:r>
              <w:rPr>
                <w:rFonts w:ascii="Arial" w:cs="Arial" w:eastAsia="Arial" w:hAnsi="Arial"/>
                <w:sz w:val="16"/>
                <w:szCs w:val="16"/>
                <w:color w:val="auto"/>
                <w:w w:val="98"/>
              </w:rPr>
              <w:t>Defined Benefit Pension and Other Postretirement</w:t>
            </w:r>
          </w:p>
        </w:tc>
        <w:tc>
          <w:tcPr>
            <w:tcW w:w="15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06"/>
        </w:trPr>
        <w:tc>
          <w:tcPr>
            <w:tcW w:w="3920" w:type="dxa"/>
            <w:vAlign w:val="bottom"/>
          </w:tcPr>
          <w:p>
            <w:pPr>
              <w:ind w:left="380"/>
              <w:spacing w:after="0"/>
              <w:rPr>
                <w:sz w:val="20"/>
                <w:szCs w:val="20"/>
                <w:color w:val="auto"/>
              </w:rPr>
            </w:pPr>
            <w:r>
              <w:rPr>
                <w:rFonts w:ascii="Arial" w:cs="Arial" w:eastAsia="Arial" w:hAnsi="Arial"/>
                <w:sz w:val="16"/>
                <w:szCs w:val="16"/>
                <w:color w:val="auto"/>
              </w:rPr>
              <w:t>Plans – Net</w:t>
            </w:r>
          </w:p>
        </w:tc>
        <w:tc>
          <w:tcPr>
            <w:tcW w:w="1500" w:type="dxa"/>
            <w:vAlign w:val="bottom"/>
          </w:tcPr>
          <w:p>
            <w:pPr>
              <w:jc w:val="right"/>
              <w:spacing w:after="0"/>
              <w:rPr>
                <w:sz w:val="20"/>
                <w:szCs w:val="20"/>
                <w:color w:val="auto"/>
              </w:rPr>
            </w:pPr>
            <w:r>
              <w:rPr>
                <w:rFonts w:ascii="Arial" w:cs="Arial" w:eastAsia="Arial" w:hAnsi="Arial"/>
                <w:sz w:val="16"/>
                <w:szCs w:val="16"/>
                <w:color w:val="auto"/>
              </w:rPr>
              <w:t>(5.1)</w:t>
            </w:r>
          </w:p>
        </w:tc>
        <w:tc>
          <w:tcPr>
            <w:tcW w:w="1500" w:type="dxa"/>
            <w:vAlign w:val="bottom"/>
          </w:tcPr>
          <w:p>
            <w:pPr>
              <w:spacing w:after="0"/>
              <w:rPr>
                <w:sz w:val="17"/>
                <w:szCs w:val="17"/>
                <w:color w:val="auto"/>
              </w:rPr>
            </w:pPr>
          </w:p>
        </w:tc>
        <w:tc>
          <w:tcPr>
            <w:tcW w:w="1560" w:type="dxa"/>
            <w:vAlign w:val="bottom"/>
          </w:tcPr>
          <w:p>
            <w:pPr>
              <w:jc w:val="right"/>
              <w:ind w:right="159"/>
              <w:spacing w:after="0"/>
              <w:rPr>
                <w:sz w:val="20"/>
                <w:szCs w:val="20"/>
                <w:color w:val="auto"/>
              </w:rPr>
            </w:pPr>
            <w:r>
              <w:rPr>
                <w:rFonts w:ascii="Arial" w:cs="Arial" w:eastAsia="Arial" w:hAnsi="Arial"/>
                <w:sz w:val="16"/>
                <w:szCs w:val="16"/>
                <w:color w:val="auto"/>
              </w:rPr>
              <w:t>(5.1)</w:t>
            </w:r>
          </w:p>
        </w:tc>
        <w:tc>
          <w:tcPr>
            <w:tcW w:w="14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33"/>
        </w:trPr>
        <w:tc>
          <w:tcPr>
            <w:tcW w:w="39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r>
      <w:tr>
        <w:trPr>
          <w:trHeight w:val="230"/>
        </w:trPr>
        <w:tc>
          <w:tcPr>
            <w:tcW w:w="39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Comprehensive Income</w:t>
            </w:r>
          </w:p>
        </w:tc>
        <w:tc>
          <w:tcPr>
            <w:tcW w:w="15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87.9</w:t>
            </w:r>
          </w:p>
        </w:tc>
        <w:tc>
          <w:tcPr>
            <w:tcW w:w="150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r>
      <w:tr>
        <w:trPr>
          <w:trHeight w:val="224"/>
        </w:trPr>
        <w:tc>
          <w:tcPr>
            <w:tcW w:w="3920" w:type="dxa"/>
            <w:vAlign w:val="bottom"/>
          </w:tcPr>
          <w:p>
            <w:pPr>
              <w:ind w:left="380"/>
              <w:spacing w:after="0"/>
              <w:rPr>
                <w:sz w:val="20"/>
                <w:szCs w:val="20"/>
                <w:color w:val="auto"/>
              </w:rPr>
            </w:pPr>
            <w:r>
              <w:rPr>
                <w:rFonts w:ascii="Arial" w:cs="Arial" w:eastAsia="Arial" w:hAnsi="Arial"/>
                <w:sz w:val="16"/>
                <w:szCs w:val="16"/>
                <w:color w:val="auto"/>
              </w:rPr>
              <w:t>Non-Controlling Interest in Subsidiaries</w:t>
            </w:r>
          </w:p>
        </w:tc>
        <w:tc>
          <w:tcPr>
            <w:tcW w:w="1500" w:type="dxa"/>
            <w:vAlign w:val="bottom"/>
          </w:tcPr>
          <w:p>
            <w:pPr>
              <w:jc w:val="right"/>
              <w:ind w:right="59"/>
              <w:spacing w:after="0"/>
              <w:rPr>
                <w:sz w:val="20"/>
                <w:szCs w:val="20"/>
                <w:color w:val="auto"/>
              </w:rPr>
            </w:pPr>
            <w:r>
              <w:rPr>
                <w:rFonts w:ascii="Arial" w:cs="Arial" w:eastAsia="Arial" w:hAnsi="Arial"/>
                <w:sz w:val="16"/>
                <w:szCs w:val="16"/>
                <w:color w:val="auto"/>
              </w:rPr>
              <w:t>0.2</w:t>
            </w:r>
          </w:p>
        </w:tc>
        <w:tc>
          <w:tcPr>
            <w:tcW w:w="1500" w:type="dxa"/>
            <w:vAlign w:val="bottom"/>
          </w:tcPr>
          <w:p>
            <w:pPr>
              <w:jc w:val="right"/>
              <w:ind w:right="99"/>
              <w:spacing w:after="0"/>
              <w:rPr>
                <w:sz w:val="20"/>
                <w:szCs w:val="20"/>
                <w:color w:val="auto"/>
              </w:rPr>
            </w:pPr>
            <w:r>
              <w:rPr>
                <w:rFonts w:ascii="Arial" w:cs="Arial" w:eastAsia="Arial" w:hAnsi="Arial"/>
                <w:sz w:val="16"/>
                <w:szCs w:val="16"/>
                <w:color w:val="auto"/>
              </w:rPr>
              <w:t>0.2</w:t>
            </w:r>
          </w:p>
        </w:tc>
        <w:tc>
          <w:tcPr>
            <w:tcW w:w="15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33"/>
        </w:trPr>
        <w:tc>
          <w:tcPr>
            <w:tcW w:w="39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r>
      <w:tr>
        <w:trPr>
          <w:trHeight w:val="230"/>
        </w:trPr>
        <w:tc>
          <w:tcPr>
            <w:tcW w:w="3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Comprehensive Income Attributable to ALLETE</w:t>
            </w:r>
          </w:p>
        </w:tc>
        <w:tc>
          <w:tcPr>
            <w:tcW w:w="15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88.1</w:t>
            </w:r>
          </w:p>
        </w:tc>
        <w:tc>
          <w:tcPr>
            <w:tcW w:w="150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r>
      <w:tr>
        <w:trPr>
          <w:trHeight w:val="224"/>
        </w:trPr>
        <w:tc>
          <w:tcPr>
            <w:tcW w:w="3920" w:type="dxa"/>
            <w:vAlign w:val="bottom"/>
          </w:tcPr>
          <w:p>
            <w:pPr>
              <w:ind w:left="40"/>
              <w:spacing w:after="0"/>
              <w:rPr>
                <w:sz w:val="20"/>
                <w:szCs w:val="20"/>
                <w:color w:val="auto"/>
              </w:rPr>
            </w:pPr>
            <w:r>
              <w:rPr>
                <w:rFonts w:ascii="Arial" w:cs="Arial" w:eastAsia="Arial" w:hAnsi="Arial"/>
                <w:sz w:val="16"/>
                <w:szCs w:val="16"/>
                <w:color w:val="auto"/>
              </w:rPr>
              <w:t>Common Stock Issued – Net</w:t>
            </w:r>
          </w:p>
        </w:tc>
        <w:tc>
          <w:tcPr>
            <w:tcW w:w="1500" w:type="dxa"/>
            <w:vAlign w:val="bottom"/>
          </w:tcPr>
          <w:p>
            <w:pPr>
              <w:jc w:val="right"/>
              <w:ind w:right="59"/>
              <w:spacing w:after="0"/>
              <w:rPr>
                <w:sz w:val="20"/>
                <w:szCs w:val="20"/>
                <w:color w:val="auto"/>
              </w:rPr>
            </w:pPr>
            <w:r>
              <w:rPr>
                <w:rFonts w:ascii="Arial" w:cs="Arial" w:eastAsia="Arial" w:hAnsi="Arial"/>
                <w:sz w:val="16"/>
                <w:szCs w:val="16"/>
                <w:color w:val="auto"/>
              </w:rPr>
              <w:t>69.5</w:t>
            </w:r>
          </w:p>
        </w:tc>
        <w:tc>
          <w:tcPr>
            <w:tcW w:w="15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69.5</w:t>
            </w:r>
          </w:p>
        </w:tc>
      </w:tr>
      <w:tr>
        <w:trPr>
          <w:trHeight w:val="33"/>
        </w:trPr>
        <w:tc>
          <w:tcPr>
            <w:tcW w:w="39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7"/>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Dividends Declared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(62.1)</w:t>
            </w: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(62.1)</w:t>
            </w:r>
          </w:p>
        </w:tc>
        <w:tc>
          <w:tcPr>
            <w:tcW w:w="15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r>
      <w:tr>
        <w:trPr>
          <w:trHeight w:val="224"/>
        </w:trPr>
        <w:tc>
          <w:tcPr>
            <w:tcW w:w="3920" w:type="dxa"/>
            <w:vAlign w:val="bottom"/>
          </w:tcPr>
          <w:p>
            <w:pPr>
              <w:ind w:left="40"/>
              <w:spacing w:after="0"/>
              <w:rPr>
                <w:sz w:val="20"/>
                <w:szCs w:val="20"/>
                <w:color w:val="auto"/>
              </w:rPr>
            </w:pPr>
            <w:r>
              <w:rPr>
                <w:rFonts w:ascii="Arial" w:cs="Arial" w:eastAsia="Arial" w:hAnsi="Arial"/>
                <w:sz w:val="16"/>
                <w:szCs w:val="16"/>
                <w:color w:val="auto"/>
              </w:rPr>
              <w:t>ESOP Shares Earned</w:t>
            </w:r>
          </w:p>
        </w:tc>
        <w:tc>
          <w:tcPr>
            <w:tcW w:w="1500" w:type="dxa"/>
            <w:vAlign w:val="bottom"/>
          </w:tcPr>
          <w:p>
            <w:pPr>
              <w:jc w:val="right"/>
              <w:ind w:right="59"/>
              <w:spacing w:after="0"/>
              <w:rPr>
                <w:sz w:val="20"/>
                <w:szCs w:val="20"/>
                <w:color w:val="auto"/>
              </w:rPr>
            </w:pPr>
            <w:r>
              <w:rPr>
                <w:rFonts w:ascii="Arial" w:cs="Arial" w:eastAsia="Arial" w:hAnsi="Arial"/>
                <w:sz w:val="16"/>
                <w:szCs w:val="16"/>
                <w:color w:val="auto"/>
              </w:rPr>
              <w:t>7.8</w:t>
            </w:r>
          </w:p>
        </w:tc>
        <w:tc>
          <w:tcPr>
            <w:tcW w:w="15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460" w:type="dxa"/>
            <w:vAlign w:val="bottom"/>
          </w:tcPr>
          <w:p>
            <w:pPr>
              <w:jc w:val="right"/>
              <w:ind w:right="219"/>
              <w:spacing w:after="0"/>
              <w:rPr>
                <w:sz w:val="20"/>
                <w:szCs w:val="20"/>
                <w:color w:val="auto"/>
              </w:rPr>
            </w:pPr>
            <w:r>
              <w:rPr>
                <w:rFonts w:ascii="Arial" w:cs="Arial" w:eastAsia="Arial" w:hAnsi="Arial"/>
                <w:sz w:val="16"/>
                <w:szCs w:val="16"/>
                <w:color w:val="auto"/>
              </w:rPr>
              <w:t>7.8</w:t>
            </w:r>
          </w:p>
        </w:tc>
        <w:tc>
          <w:tcPr>
            <w:tcW w:w="1260" w:type="dxa"/>
            <w:vAlign w:val="bottom"/>
          </w:tcPr>
          <w:p>
            <w:pPr>
              <w:spacing w:after="0"/>
              <w:rPr>
                <w:sz w:val="19"/>
                <w:szCs w:val="19"/>
                <w:color w:val="auto"/>
              </w:rPr>
            </w:pPr>
          </w:p>
        </w:tc>
      </w:tr>
      <w:tr>
        <w:trPr>
          <w:trHeight w:val="33"/>
        </w:trPr>
        <w:tc>
          <w:tcPr>
            <w:tcW w:w="39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5"/>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as of December 31, 2011</w:t>
            </w:r>
          </w:p>
        </w:tc>
        <w:tc>
          <w:tcPr>
            <w:tcW w:w="15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1,079.3</w:t>
            </w:r>
          </w:p>
        </w:tc>
        <w:tc>
          <w:tcPr>
            <w:tcW w:w="15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431.6</w:t>
            </w:r>
          </w:p>
        </w:tc>
        <w:tc>
          <w:tcPr>
            <w:tcW w:w="15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(28.9)</w:t>
            </w:r>
          </w:p>
        </w:tc>
        <w:tc>
          <w:tcPr>
            <w:tcW w:w="14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(29.0)</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705.6</w:t>
            </w:r>
          </w:p>
        </w:tc>
      </w:tr>
      <w:tr>
        <w:trPr>
          <w:trHeight w:val="217"/>
        </w:trPr>
        <w:tc>
          <w:tcPr>
            <w:tcW w:w="392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Comprehensive Income</w:t>
            </w:r>
          </w:p>
        </w:tc>
        <w:tc>
          <w:tcPr>
            <w:tcW w:w="150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r>
      <w:tr>
        <w:trPr>
          <w:trHeight w:val="33"/>
        </w:trPr>
        <w:tc>
          <w:tcPr>
            <w:tcW w:w="39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7"/>
        </w:trPr>
        <w:tc>
          <w:tcPr>
            <w:tcW w:w="3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Income</w:t>
            </w:r>
          </w:p>
        </w:tc>
        <w:tc>
          <w:tcPr>
            <w:tcW w:w="15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97.1</w:t>
            </w:r>
          </w:p>
        </w:tc>
        <w:tc>
          <w:tcPr>
            <w:tcW w:w="15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97.1</w:t>
            </w:r>
          </w:p>
        </w:tc>
        <w:tc>
          <w:tcPr>
            <w:tcW w:w="15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r>
      <w:tr>
        <w:trPr>
          <w:trHeight w:val="224"/>
        </w:trPr>
        <w:tc>
          <w:tcPr>
            <w:tcW w:w="3920" w:type="dxa"/>
            <w:vAlign w:val="bottom"/>
          </w:tcPr>
          <w:p>
            <w:pPr>
              <w:ind w:left="180"/>
              <w:spacing w:after="0"/>
              <w:rPr>
                <w:sz w:val="20"/>
                <w:szCs w:val="20"/>
                <w:color w:val="auto"/>
              </w:rPr>
            </w:pPr>
            <w:r>
              <w:rPr>
                <w:rFonts w:ascii="Arial" w:cs="Arial" w:eastAsia="Arial" w:hAnsi="Arial"/>
                <w:sz w:val="16"/>
                <w:szCs w:val="16"/>
                <w:color w:val="auto"/>
              </w:rPr>
              <w:t>Other Comprehensive Income – Net of Tax</w:t>
            </w:r>
          </w:p>
        </w:tc>
        <w:tc>
          <w:tcPr>
            <w:tcW w:w="15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33"/>
        </w:trPr>
        <w:tc>
          <w:tcPr>
            <w:tcW w:w="39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9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Unrealized Gain on Securities – Net</w:t>
            </w:r>
          </w:p>
        </w:tc>
        <w:tc>
          <w:tcPr>
            <w:tcW w:w="15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1.2</w:t>
            </w:r>
          </w:p>
        </w:tc>
        <w:tc>
          <w:tcPr>
            <w:tcW w:w="15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1.2</w:t>
            </w:r>
          </w:p>
        </w:tc>
        <w:tc>
          <w:tcPr>
            <w:tcW w:w="14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24"/>
        </w:trPr>
        <w:tc>
          <w:tcPr>
            <w:tcW w:w="3920" w:type="dxa"/>
            <w:vAlign w:val="bottom"/>
          </w:tcPr>
          <w:p>
            <w:pPr>
              <w:ind w:left="380"/>
              <w:spacing w:after="0"/>
              <w:rPr>
                <w:sz w:val="20"/>
                <w:szCs w:val="20"/>
                <w:color w:val="auto"/>
              </w:rPr>
            </w:pPr>
            <w:r>
              <w:rPr>
                <w:rFonts w:ascii="Arial" w:cs="Arial" w:eastAsia="Arial" w:hAnsi="Arial"/>
                <w:sz w:val="16"/>
                <w:szCs w:val="16"/>
                <w:color w:val="auto"/>
              </w:rPr>
              <w:t>Unrealized Loss on Derivatives – Net</w:t>
            </w:r>
          </w:p>
        </w:tc>
        <w:tc>
          <w:tcPr>
            <w:tcW w:w="1500" w:type="dxa"/>
            <w:vAlign w:val="bottom"/>
          </w:tcPr>
          <w:p>
            <w:pPr>
              <w:jc w:val="right"/>
              <w:spacing w:after="0"/>
              <w:rPr>
                <w:sz w:val="20"/>
                <w:szCs w:val="20"/>
                <w:color w:val="auto"/>
              </w:rPr>
            </w:pPr>
            <w:r>
              <w:rPr>
                <w:rFonts w:ascii="Arial" w:cs="Arial" w:eastAsia="Arial" w:hAnsi="Arial"/>
                <w:sz w:val="16"/>
                <w:szCs w:val="16"/>
                <w:color w:val="auto"/>
              </w:rPr>
              <w:t>(0.2)</w:t>
            </w:r>
          </w:p>
        </w:tc>
        <w:tc>
          <w:tcPr>
            <w:tcW w:w="1500" w:type="dxa"/>
            <w:vAlign w:val="bottom"/>
          </w:tcPr>
          <w:p>
            <w:pPr>
              <w:spacing w:after="0"/>
              <w:rPr>
                <w:sz w:val="19"/>
                <w:szCs w:val="19"/>
                <w:color w:val="auto"/>
              </w:rPr>
            </w:pPr>
          </w:p>
        </w:tc>
        <w:tc>
          <w:tcPr>
            <w:tcW w:w="1560" w:type="dxa"/>
            <w:vAlign w:val="bottom"/>
          </w:tcPr>
          <w:p>
            <w:pPr>
              <w:jc w:val="right"/>
              <w:ind w:right="159"/>
              <w:spacing w:after="0"/>
              <w:rPr>
                <w:sz w:val="20"/>
                <w:szCs w:val="20"/>
                <w:color w:val="auto"/>
              </w:rPr>
            </w:pPr>
            <w:r>
              <w:rPr>
                <w:rFonts w:ascii="Arial" w:cs="Arial" w:eastAsia="Arial" w:hAnsi="Arial"/>
                <w:sz w:val="16"/>
                <w:szCs w:val="16"/>
                <w:color w:val="auto"/>
              </w:rPr>
              <w:t>(0.2)</w:t>
            </w:r>
          </w:p>
        </w:tc>
        <w:tc>
          <w:tcPr>
            <w:tcW w:w="146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33"/>
        </w:trPr>
        <w:tc>
          <w:tcPr>
            <w:tcW w:w="39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0"/>
        </w:trPr>
        <w:tc>
          <w:tcPr>
            <w:tcW w:w="3920" w:type="dxa"/>
            <w:vAlign w:val="bottom"/>
            <w:shd w:val="clear" w:color="auto" w:fill="CCEEFF"/>
          </w:tcPr>
          <w:p>
            <w:pPr>
              <w:ind w:left="380"/>
              <w:spacing w:after="0"/>
              <w:rPr>
                <w:sz w:val="20"/>
                <w:szCs w:val="20"/>
                <w:color w:val="auto"/>
              </w:rPr>
            </w:pPr>
            <w:r>
              <w:rPr>
                <w:rFonts w:ascii="Arial" w:cs="Arial" w:eastAsia="Arial" w:hAnsi="Arial"/>
                <w:sz w:val="16"/>
                <w:szCs w:val="16"/>
                <w:color w:val="auto"/>
                <w:w w:val="98"/>
              </w:rPr>
              <w:t>Defined Benefit Pension and Other Postretirement</w:t>
            </w:r>
          </w:p>
        </w:tc>
        <w:tc>
          <w:tcPr>
            <w:tcW w:w="15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39"/>
        </w:trPr>
        <w:tc>
          <w:tcPr>
            <w:tcW w:w="39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Plans – Net</w:t>
            </w:r>
          </w:p>
        </w:tc>
        <w:tc>
          <w:tcPr>
            <w:tcW w:w="15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5.9</w:t>
            </w:r>
          </w:p>
        </w:tc>
        <w:tc>
          <w:tcPr>
            <w:tcW w:w="150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5.9</w:t>
            </w:r>
          </w:p>
        </w:tc>
        <w:tc>
          <w:tcPr>
            <w:tcW w:w="14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r>
      <w:tr>
        <w:trPr>
          <w:trHeight w:val="217"/>
        </w:trPr>
        <w:tc>
          <w:tcPr>
            <w:tcW w:w="3920" w:type="dxa"/>
            <w:vAlign w:val="bottom"/>
          </w:tcPr>
          <w:p>
            <w:pPr>
              <w:ind w:left="180"/>
              <w:spacing w:after="0"/>
              <w:rPr>
                <w:sz w:val="20"/>
                <w:szCs w:val="20"/>
                <w:color w:val="auto"/>
              </w:rPr>
            </w:pPr>
            <w:r>
              <w:rPr>
                <w:rFonts w:ascii="Arial" w:cs="Arial" w:eastAsia="Arial" w:hAnsi="Arial"/>
                <w:sz w:val="16"/>
                <w:szCs w:val="16"/>
                <w:color w:val="auto"/>
                <w:w w:val="98"/>
              </w:rPr>
              <w:t>Total Comprehensive Income Attributable to ALLETE</w:t>
            </w:r>
          </w:p>
        </w:tc>
        <w:tc>
          <w:tcPr>
            <w:tcW w:w="15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104.0</w:t>
            </w:r>
          </w:p>
        </w:tc>
        <w:tc>
          <w:tcPr>
            <w:tcW w:w="15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33"/>
        </w:trPr>
        <w:tc>
          <w:tcPr>
            <w:tcW w:w="39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7"/>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Common Stock Issued – Net</w:t>
            </w:r>
          </w:p>
        </w:tc>
        <w:tc>
          <w:tcPr>
            <w:tcW w:w="15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79.1</w:t>
            </w:r>
          </w:p>
        </w:tc>
        <w:tc>
          <w:tcPr>
            <w:tcW w:w="150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79.1</w:t>
            </w:r>
          </w:p>
        </w:tc>
      </w:tr>
      <w:tr>
        <w:trPr>
          <w:trHeight w:val="224"/>
        </w:trPr>
        <w:tc>
          <w:tcPr>
            <w:tcW w:w="3920" w:type="dxa"/>
            <w:vAlign w:val="bottom"/>
          </w:tcPr>
          <w:p>
            <w:pPr>
              <w:ind w:left="40"/>
              <w:spacing w:after="0"/>
              <w:rPr>
                <w:sz w:val="20"/>
                <w:szCs w:val="20"/>
                <w:color w:val="auto"/>
              </w:rPr>
            </w:pPr>
            <w:r>
              <w:rPr>
                <w:rFonts w:ascii="Arial" w:cs="Arial" w:eastAsia="Arial" w:hAnsi="Arial"/>
                <w:sz w:val="16"/>
                <w:szCs w:val="16"/>
                <w:color w:val="auto"/>
              </w:rPr>
              <w:t>Dividends Declared</w:t>
            </w:r>
          </w:p>
        </w:tc>
        <w:tc>
          <w:tcPr>
            <w:tcW w:w="1500" w:type="dxa"/>
            <w:vAlign w:val="bottom"/>
          </w:tcPr>
          <w:p>
            <w:pPr>
              <w:jc w:val="right"/>
              <w:spacing w:after="0"/>
              <w:rPr>
                <w:sz w:val="20"/>
                <w:szCs w:val="20"/>
                <w:color w:val="auto"/>
              </w:rPr>
            </w:pPr>
            <w:r>
              <w:rPr>
                <w:rFonts w:ascii="Arial" w:cs="Arial" w:eastAsia="Arial" w:hAnsi="Arial"/>
                <w:sz w:val="16"/>
                <w:szCs w:val="16"/>
                <w:color w:val="auto"/>
              </w:rPr>
              <w:t>(69.1)</w:t>
            </w: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(69.1)</w:t>
            </w:r>
          </w:p>
        </w:tc>
        <w:tc>
          <w:tcPr>
            <w:tcW w:w="15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33"/>
        </w:trPr>
        <w:tc>
          <w:tcPr>
            <w:tcW w:w="39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62"/>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ESOP Shares Earned</w:t>
            </w:r>
          </w:p>
        </w:tc>
        <w:tc>
          <w:tcPr>
            <w:tcW w:w="15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7.7</w:t>
            </w:r>
          </w:p>
        </w:tc>
        <w:tc>
          <w:tcPr>
            <w:tcW w:w="15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7.7</w:t>
            </w:r>
          </w:p>
        </w:tc>
        <w:tc>
          <w:tcPr>
            <w:tcW w:w="1260" w:type="dxa"/>
            <w:vAlign w:val="bottom"/>
            <w:tcBorders>
              <w:bottom w:val="single" w:sz="8" w:color="CCEEFF"/>
            </w:tcBorders>
            <w:shd w:val="clear" w:color="auto" w:fill="CCEEFF"/>
          </w:tcPr>
          <w:p>
            <w:pPr>
              <w:spacing w:after="0"/>
              <w:rPr>
                <w:sz w:val="22"/>
                <w:szCs w:val="22"/>
                <w:color w:val="auto"/>
              </w:rPr>
            </w:pPr>
          </w:p>
        </w:tc>
      </w:tr>
      <w:tr>
        <w:trPr>
          <w:trHeight w:val="231"/>
        </w:trPr>
        <w:tc>
          <w:tcPr>
            <w:tcW w:w="392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Balance as of December 31, 2012</w:t>
            </w:r>
          </w:p>
        </w:tc>
        <w:tc>
          <w:tcPr>
            <w:tcW w:w="15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$1,201.0</w:t>
            </w:r>
          </w:p>
        </w:tc>
        <w:tc>
          <w:tcPr>
            <w:tcW w:w="15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$459.6</w:t>
            </w:r>
          </w:p>
        </w:tc>
        <w:tc>
          <w:tcPr>
            <w:tcW w:w="156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$(22.0)</w:t>
            </w:r>
          </w:p>
        </w:tc>
        <w:tc>
          <w:tcPr>
            <w:tcW w:w="146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$(21.3)</w:t>
            </w:r>
          </w:p>
        </w:tc>
        <w:tc>
          <w:tcPr>
            <w:tcW w:w="12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$784.7</w:t>
            </w:r>
          </w:p>
        </w:tc>
      </w:tr>
      <w:tr>
        <w:trPr>
          <w:trHeight w:val="33"/>
        </w:trPr>
        <w:tc>
          <w:tcPr>
            <w:tcW w:w="39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5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ALLETE 2012 Form 10-K</w:t>
      </w:r>
    </w:p>
    <w:p>
      <w:pPr>
        <w:spacing w:after="0" w:line="2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200"/>
          </w:cols>
          <w:pgMar w:left="240" w:top="364" w:right="45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OPERATIONS AND SIGNIFICANT ACCOUNTING POLICIES</w:t>
      </w:r>
    </w:p>
    <w:p>
      <w:pPr>
        <w:spacing w:after="0" w:line="22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Financial Statement Preparation. </w:t>
      </w:r>
      <w:r>
        <w:rPr>
          <w:rFonts w:ascii="Arial" w:cs="Arial" w:eastAsia="Arial" w:hAnsi="Arial"/>
          <w:sz w:val="18"/>
          <w:szCs w:val="18"/>
          <w:color w:val="auto"/>
        </w:rPr>
        <w:t>References in this report to “we,” “us,” and “our” are to ALLETE and its subsidiaries, collectively. We prepare our</w:t>
      </w:r>
      <w:r>
        <w:rPr>
          <w:rFonts w:ascii="Arial" w:cs="Arial" w:eastAsia="Arial" w:hAnsi="Arial"/>
          <w:sz w:val="18"/>
          <w:szCs w:val="18"/>
          <w:b w:val="1"/>
          <w:bCs w:val="1"/>
          <w:color w:val="auto"/>
        </w:rPr>
        <w:t xml:space="preserve"> </w:t>
      </w:r>
      <w:r>
        <w:rPr>
          <w:rFonts w:ascii="Arial" w:cs="Arial" w:eastAsia="Arial" w:hAnsi="Arial"/>
          <w:sz w:val="18"/>
          <w:szCs w:val="18"/>
          <w:color w:val="auto"/>
        </w:rPr>
        <w:t>financial statements in conformity with accounting principles generally accepted in the United States of America. These principles require management to make informed judgments, best estimates, and assumptions that affect the reported amounts of assets, liabilities, revenue, and expenses. Actual results could differ from those estimates.</w:t>
      </w:r>
    </w:p>
    <w:p>
      <w:pPr>
        <w:spacing w:after="0" w:line="18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Subsequent Events. </w:t>
      </w:r>
      <w:r>
        <w:rPr>
          <w:rFonts w:ascii="Arial" w:cs="Arial" w:eastAsia="Arial" w:hAnsi="Arial"/>
          <w:sz w:val="18"/>
          <w:szCs w:val="18"/>
          <w:color w:val="auto"/>
        </w:rPr>
        <w:t>The Company performed an evaluation of subsequent events for potential recognition and disclosure through the time of the financial</w:t>
      </w:r>
      <w:r>
        <w:rPr>
          <w:rFonts w:ascii="Arial" w:cs="Arial" w:eastAsia="Arial" w:hAnsi="Arial"/>
          <w:sz w:val="18"/>
          <w:szCs w:val="18"/>
          <w:b w:val="1"/>
          <w:bCs w:val="1"/>
          <w:color w:val="auto"/>
        </w:rPr>
        <w:t xml:space="preserve"> </w:t>
      </w:r>
      <w:r>
        <w:rPr>
          <w:rFonts w:ascii="Arial" w:cs="Arial" w:eastAsia="Arial" w:hAnsi="Arial"/>
          <w:sz w:val="18"/>
          <w:szCs w:val="18"/>
          <w:color w:val="auto"/>
        </w:rPr>
        <w:t>statements issuance.</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Principles of Consolidation. </w:t>
      </w:r>
      <w:r>
        <w:rPr>
          <w:rFonts w:ascii="Arial" w:cs="Arial" w:eastAsia="Arial" w:hAnsi="Arial"/>
          <w:sz w:val="16"/>
          <w:szCs w:val="16"/>
          <w:color w:val="auto"/>
        </w:rPr>
        <w:t>Our consolidated financial statements include the accounts of ALLETE and all of our majority-owned subsidiary companies.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All material intercompany balances and transactions have been eliminated in consolidation.</w:t>
      </w:r>
    </w:p>
    <w:p>
      <w:pPr>
        <w:spacing w:after="0" w:line="20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Business Segments. </w:t>
      </w:r>
      <w:r>
        <w:rPr>
          <w:rFonts w:ascii="Arial" w:cs="Arial" w:eastAsia="Arial" w:hAnsi="Arial"/>
          <w:sz w:val="18"/>
          <w:szCs w:val="18"/>
          <w:color w:val="auto"/>
        </w:rPr>
        <w:t>Our Regulated Operations and Investments and Other segments were determined in accordance with the guidance on segment reporting.</w:t>
      </w:r>
      <w:r>
        <w:rPr>
          <w:rFonts w:ascii="Arial" w:cs="Arial" w:eastAsia="Arial" w:hAnsi="Arial"/>
          <w:sz w:val="18"/>
          <w:szCs w:val="18"/>
          <w:b w:val="1"/>
          <w:bCs w:val="1"/>
          <w:color w:val="auto"/>
        </w:rPr>
        <w:t xml:space="preserve"> </w:t>
      </w:r>
      <w:r>
        <w:rPr>
          <w:rFonts w:ascii="Arial" w:cs="Arial" w:eastAsia="Arial" w:hAnsi="Arial"/>
          <w:sz w:val="18"/>
          <w:szCs w:val="18"/>
          <w:color w:val="auto"/>
        </w:rPr>
        <w:t>Segmentation is based on the manner in which we operate, assess, and allocate resources to the business. We measure performance of our operations through budgeting and monitoring of contributions to consolidated net income by each business segment.</w:t>
      </w:r>
    </w:p>
    <w:p>
      <w:pPr>
        <w:spacing w:after="0" w:line="17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Regulated Operations </w:t>
      </w:r>
      <w:r>
        <w:rPr>
          <w:rFonts w:ascii="Arial" w:cs="Arial" w:eastAsia="Arial" w:hAnsi="Arial"/>
          <w:sz w:val="18"/>
          <w:szCs w:val="18"/>
          <w:color w:val="auto"/>
        </w:rPr>
        <w:t>includes our regulated utilities, Minnesota Power and SWL&amp;P, as well as our investment in ATC, a Wisconsin-based regulated utility</w:t>
      </w:r>
      <w:r>
        <w:rPr>
          <w:rFonts w:ascii="Arial" w:cs="Arial" w:eastAsia="Arial" w:hAnsi="Arial"/>
          <w:sz w:val="18"/>
          <w:szCs w:val="18"/>
          <w:b w:val="1"/>
          <w:bCs w:val="1"/>
          <w:color w:val="auto"/>
        </w:rPr>
        <w:t xml:space="preserve"> </w:t>
      </w:r>
      <w:r>
        <w:rPr>
          <w:rFonts w:ascii="Arial" w:cs="Arial" w:eastAsia="Arial" w:hAnsi="Arial"/>
          <w:sz w:val="18"/>
          <w:szCs w:val="18"/>
          <w:color w:val="auto"/>
        </w:rPr>
        <w:t>that owns and maintains electric transmission assets in parts of Wisconsin, Michigan, Minnesota and Illinois. Minnesota Power provides regulated utility electric service in northeastern Minnesota to approximately 143,000 retail customers. Minnesota Power’s non-affiliated municipal customers consist of 16 municipalities in Minnesota and 1 private utility in Wisconsin. SWL&amp;P is also a private utility in Wisconsin and a customer of Minnesota Power. SWL&amp;P provides regulated electric, natural gas and water service in northwestern Wisconsin to approximately 15,000 electric customers, 12,000 natural gas customers and 10,000 water customers. Our regulated utility operations include retail and wholesale activities under the jurisdiction of state and federal regulatory authorities</w:t>
      </w:r>
      <w:r>
        <w:rPr>
          <w:rFonts w:ascii="Arial" w:cs="Arial" w:eastAsia="Arial" w:hAnsi="Arial"/>
          <w:sz w:val="18"/>
          <w:szCs w:val="18"/>
          <w:i w:val="1"/>
          <w:iCs w:val="1"/>
          <w:color w:val="auto"/>
        </w:rPr>
        <w:t>.</w:t>
      </w:r>
    </w:p>
    <w:p>
      <w:pPr>
        <w:spacing w:after="0" w:line="189"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color w:val="auto"/>
        </w:rPr>
        <w:t xml:space="preserve">Investments and Other </w:t>
      </w:r>
      <w:r>
        <w:rPr>
          <w:rFonts w:ascii="Arial" w:cs="Arial" w:eastAsia="Arial" w:hAnsi="Arial"/>
          <w:sz w:val="16"/>
          <w:szCs w:val="16"/>
          <w:color w:val="auto"/>
        </w:rPr>
        <w:t>is comprised primarily of BNI Coal, our coal mining operations in North Dakota, ALLETE Properties, our Florida real estate</w:t>
      </w:r>
      <w:r>
        <w:rPr>
          <w:rFonts w:ascii="Arial" w:cs="Arial" w:eastAsia="Arial" w:hAnsi="Arial"/>
          <w:sz w:val="16"/>
          <w:szCs w:val="16"/>
          <w:b w:val="1"/>
          <w:bCs w:val="1"/>
          <w:color w:val="auto"/>
        </w:rPr>
        <w:t xml:space="preserve"> </w:t>
      </w:r>
      <w:r>
        <w:rPr>
          <w:rFonts w:ascii="Arial" w:cs="Arial" w:eastAsia="Arial" w:hAnsi="Arial"/>
          <w:sz w:val="16"/>
          <w:szCs w:val="16"/>
          <w:color w:val="auto"/>
        </w:rPr>
        <w:t>investment, and ALLETE Clean Energy, our business aimed at developing or acquiring capital projects that create energy solutions via wind, solar, biomass, hydro, natural gas/liquids, shale resources, clean coal and other clean energy innovations. This segment also includes other business development and corporate expenditures, a small amount of non-rate base generation, approximately 6,100 acres of land in Minnesota, and earnings on cash and investments.</w:t>
      </w:r>
    </w:p>
    <w:p>
      <w:pPr>
        <w:spacing w:after="0" w:line="15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BNI Coal, a wholly-owned subsidiary, mines and sells lignite coal to two North Dakota mine-mouth generating units, one of which is Square Butte. In 2012, Square Butte supplied 50 percent (227.5 MW) of its output to Minnesota Power under a long-term contract. (See Note 11. Commitments, Guarantees and Contingencies.) Coal sales are recognized when delivered at the cost of production plus a specified profit per ton of coal delivered.</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ALLETE Properties represents our Florida real estate investment. Our current strategy for the assets is to complete and maintain key entitlements and infrastructure improvements without requiring significant additional investment, sell the portfolio when opportunities arise and reinvest the proceeds in our growth initiatives. ALLETE does not intend to acquire additional Florida real estate.</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Full profit recognition is recorded on sales upon closing, provided that cash collections are at least 20 percent of the contract price and the other requirements under the guidance for sales of real estate are met. In certain cases, where there are obligations to perform significant development activities after the date of sale, we recognize profit on a percentage-of-completion basis. From time to time, certain contracts with customers allow us to receive participation revenue from land sales to third parties if various formula-based criteria are achieved.</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certain cases, we pay fees or construct improvements to mitigate offsite traffic impacts. In return, we receive traffic impact fee credits as a result of some of these expenditures. We recognize revenue from the sale of traffic impact fee credits when payment is received.</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2012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364" w:right="23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color w:val="auto"/>
        </w:rPr>
        <w:t>NOTE 1. OPERATIONS AND SIGNIFICANT ACCOUNTING POLICIES (Continued)</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Land inventories are accounted for in accordance with the accounting standards for property, plant and equipment, and are included in Other Investments on our Consolidated Balance Sheet. Real estate costs include the cost of land acquired, subsequent development costs and costs of improvements, capitalized development period interest, real estate taxes and payroll costs of certain employees devoted directly to the development effort. These real estate costs incurred are capitalized to the cost of real estate parcels based upon the relative sales value of parcels within each development project in accordance with the accounting standards for real estate. The cost of real estate sold includes the actual costs incurred and the estimate of future completion costs allocated to the real estate sold based upon the relative sales value method. Whenever events or circumstances indicate that the carrying value of the real estate may not be recoverable, impairments are recorded and the related assets are adjusted to their estimated fair value. (See Note 7. Investments.)</w:t>
      </w:r>
    </w:p>
    <w:p>
      <w:pPr>
        <w:spacing w:after="0" w:line="16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ALLETE Clean Energy, a wholly-owned subsidiary of ALLETE, operates independently of Minnesota Power to develop or acquire capital projects aimed at creating energy solutions via wind, solar, biomass, hydro, natural gas/liquids, shale resources, clean coal and other clean energy innovations. ALLETE Clean Energy intends to market to electric utilities, cooperatives, municipalities, independent power marketers and large end-users across North America through long-term contracts or other sale arrangements, and will be subject to applicable state and federal regulatory approvals.</w:t>
      </w:r>
    </w:p>
    <w:p>
      <w:pPr>
        <w:spacing w:after="0" w:line="16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Non-Controlling Interest in Subsidiaries. </w:t>
      </w:r>
      <w:r>
        <w:rPr>
          <w:rFonts w:ascii="Arial" w:cs="Arial" w:eastAsia="Arial" w:hAnsi="Arial"/>
          <w:sz w:val="18"/>
          <w:szCs w:val="18"/>
          <w:color w:val="auto"/>
        </w:rPr>
        <w:t>In August 2011, ALLETE purchased the remaining shares of the ALLETE Properties non-controlling interest at</w:t>
      </w:r>
      <w:r>
        <w:rPr>
          <w:rFonts w:ascii="Arial" w:cs="Arial" w:eastAsia="Arial" w:hAnsi="Arial"/>
          <w:sz w:val="18"/>
          <w:szCs w:val="18"/>
          <w:b w:val="1"/>
          <w:bCs w:val="1"/>
          <w:color w:val="auto"/>
        </w:rPr>
        <w:t xml:space="preserve"> </w:t>
      </w:r>
      <w:r>
        <w:rPr>
          <w:rFonts w:ascii="Arial" w:cs="Arial" w:eastAsia="Arial" w:hAnsi="Arial"/>
          <w:sz w:val="18"/>
          <w:szCs w:val="18"/>
          <w:color w:val="auto"/>
        </w:rPr>
        <w:t>book value for $8.8 million by issuing 0.2 million shares of ALLETE common stock. This was accounted for as an equity transaction, and no gain or loss was recognized in net income or comprehensive income.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Cash and Cash Equivalents. </w:t>
      </w:r>
      <w:r>
        <w:rPr>
          <w:rFonts w:ascii="Arial" w:cs="Arial" w:eastAsia="Arial" w:hAnsi="Arial"/>
          <w:sz w:val="18"/>
          <w:szCs w:val="18"/>
          <w:color w:val="auto"/>
        </w:rPr>
        <w:t>We consider all investments purchased with original maturities of three months or less to be cash equivalents.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20" w:type="dxa"/>
            <w:vAlign w:val="bottom"/>
          </w:tcPr>
          <w:p>
            <w:pPr>
              <w:spacing w:after="0"/>
              <w:rPr>
                <w:sz w:val="20"/>
                <w:szCs w:val="20"/>
                <w:color w:val="auto"/>
              </w:rPr>
            </w:pPr>
            <w:r>
              <w:rPr>
                <w:rFonts w:ascii="Arial" w:cs="Arial" w:eastAsia="Arial" w:hAnsi="Arial"/>
                <w:sz w:val="18"/>
                <w:szCs w:val="18"/>
                <w:b w:val="1"/>
                <w:bCs w:val="1"/>
                <w:color w:val="auto"/>
              </w:rPr>
              <w:t>Supplemental Statement of Cash Flow Information</w:t>
            </w:r>
          </w:p>
        </w:tc>
        <w:tc>
          <w:tcPr>
            <w:tcW w:w="18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378"/>
        </w:trPr>
        <w:tc>
          <w:tcPr>
            <w:tcW w:w="7420" w:type="dxa"/>
            <w:vAlign w:val="bottom"/>
          </w:tcPr>
          <w:p>
            <w:pPr>
              <w:ind w:left="40"/>
              <w:spacing w:after="0"/>
              <w:rPr>
                <w:sz w:val="20"/>
                <w:szCs w:val="20"/>
                <w:color w:val="auto"/>
              </w:rPr>
            </w:pPr>
            <w:r>
              <w:rPr>
                <w:rFonts w:ascii="Arial" w:cs="Arial" w:eastAsia="Arial" w:hAnsi="Arial"/>
                <w:sz w:val="18"/>
                <w:szCs w:val="18"/>
                <w:b w:val="1"/>
                <w:bCs w:val="1"/>
                <w:color w:val="auto"/>
              </w:rPr>
              <w:t>Consolidated Statement of Cash Flows</w:t>
            </w:r>
          </w:p>
        </w:tc>
        <w:tc>
          <w:tcPr>
            <w:tcW w:w="18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70"/>
        </w:trPr>
        <w:tc>
          <w:tcPr>
            <w:tcW w:w="7420" w:type="dxa"/>
            <w:vAlign w:val="bottom"/>
          </w:tcPr>
          <w:p>
            <w:pPr>
              <w:ind w:left="40"/>
              <w:spacing w:after="0"/>
              <w:rPr>
                <w:sz w:val="20"/>
                <w:szCs w:val="20"/>
                <w:color w:val="auto"/>
              </w:rPr>
            </w:pPr>
            <w:r>
              <w:rPr>
                <w:rFonts w:ascii="Arial" w:cs="Arial" w:eastAsia="Arial" w:hAnsi="Arial"/>
                <w:sz w:val="18"/>
                <w:szCs w:val="18"/>
                <w:b w:val="1"/>
                <w:bCs w:val="1"/>
                <w:color w:val="auto"/>
              </w:rPr>
              <w:t>Year Ended December 31</w:t>
            </w:r>
          </w:p>
        </w:tc>
        <w:tc>
          <w:tcPr>
            <w:tcW w:w="18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12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2011</w:t>
            </w:r>
          </w:p>
        </w:tc>
        <w:tc>
          <w:tcPr>
            <w:tcW w:w="920" w:type="dxa"/>
            <w:vAlign w:val="bottom"/>
          </w:tcPr>
          <w:p>
            <w:pPr>
              <w:jc w:val="right"/>
              <w:ind w:right="10"/>
              <w:spacing w:after="0"/>
              <w:rPr>
                <w:sz w:val="20"/>
                <w:szCs w:val="20"/>
                <w:color w:val="auto"/>
              </w:rPr>
            </w:pPr>
            <w:r>
              <w:rPr>
                <w:rFonts w:ascii="Arial" w:cs="Arial" w:eastAsia="Arial" w:hAnsi="Arial"/>
                <w:sz w:val="18"/>
                <w:szCs w:val="18"/>
                <w:b w:val="1"/>
                <w:bCs w:val="1"/>
                <w:color w:val="auto"/>
              </w:rPr>
              <w:t>2010</w:t>
            </w:r>
          </w:p>
        </w:tc>
      </w:tr>
      <w:tr>
        <w:trPr>
          <w:trHeight w:val="27"/>
        </w:trPr>
        <w:tc>
          <w:tcPr>
            <w:tcW w:w="74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742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18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7"/>
        </w:trPr>
        <w:tc>
          <w:tcPr>
            <w:tcW w:w="74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Paid During the Period for Interest – Net of Amounts Capitalized</w:t>
            </w:r>
          </w:p>
        </w:tc>
        <w:tc>
          <w:tcPr>
            <w:tcW w:w="18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$42.7</w:t>
            </w:r>
          </w:p>
        </w:tc>
        <w:tc>
          <w:tcPr>
            <w:tcW w:w="128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$43.2</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$35.7</w:t>
            </w:r>
          </w:p>
        </w:tc>
      </w:tr>
      <w:tr>
        <w:trPr>
          <w:trHeight w:val="243"/>
        </w:trPr>
        <w:tc>
          <w:tcPr>
            <w:tcW w:w="7420" w:type="dxa"/>
            <w:vAlign w:val="bottom"/>
          </w:tcPr>
          <w:p>
            <w:pPr>
              <w:ind w:left="40"/>
              <w:spacing w:after="0"/>
              <w:rPr>
                <w:sz w:val="20"/>
                <w:szCs w:val="20"/>
                <w:color w:val="auto"/>
              </w:rPr>
            </w:pPr>
            <w:r>
              <w:rPr>
                <w:rFonts w:ascii="Arial" w:cs="Arial" w:eastAsia="Arial" w:hAnsi="Arial"/>
                <w:sz w:val="18"/>
                <w:szCs w:val="18"/>
                <w:color w:val="auto"/>
              </w:rPr>
              <w:t xml:space="preserve">Cash Received During the Period for Income Taxes </w:t>
            </w:r>
            <w:r>
              <w:rPr>
                <w:rFonts w:ascii="Arial" w:cs="Arial" w:eastAsia="Arial" w:hAnsi="Arial"/>
                <w:sz w:val="18"/>
                <w:szCs w:val="18"/>
                <w:i w:val="1"/>
                <w:iCs w:val="1"/>
                <w:color w:val="auto"/>
              </w:rPr>
              <w:t>(a)</w:t>
            </w:r>
          </w:p>
        </w:tc>
        <w:tc>
          <w:tcPr>
            <w:tcW w:w="18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250"/>
              <w:spacing w:after="0"/>
              <w:rPr>
                <w:sz w:val="20"/>
                <w:szCs w:val="20"/>
                <w:color w:val="auto"/>
              </w:rPr>
            </w:pPr>
            <w:r>
              <w:rPr>
                <w:rFonts w:ascii="Arial" w:cs="Arial" w:eastAsia="Arial" w:hAnsi="Arial"/>
                <w:sz w:val="18"/>
                <w:szCs w:val="18"/>
                <w:color w:val="auto"/>
              </w:rPr>
              <w:t>$(11.4)</w:t>
            </w:r>
          </w:p>
        </w:tc>
        <w:tc>
          <w:tcPr>
            <w:tcW w:w="920" w:type="dxa"/>
            <w:vAlign w:val="bottom"/>
          </w:tcPr>
          <w:p>
            <w:pPr>
              <w:jc w:val="right"/>
              <w:spacing w:after="0"/>
              <w:rPr>
                <w:sz w:val="20"/>
                <w:szCs w:val="20"/>
                <w:color w:val="auto"/>
              </w:rPr>
            </w:pPr>
            <w:r>
              <w:rPr>
                <w:rFonts w:ascii="Arial" w:cs="Arial" w:eastAsia="Arial" w:hAnsi="Arial"/>
                <w:sz w:val="18"/>
                <w:szCs w:val="18"/>
                <w:color w:val="auto"/>
              </w:rPr>
              <w:t>$(54.2)</w:t>
            </w:r>
          </w:p>
        </w:tc>
      </w:tr>
      <w:tr>
        <w:trPr>
          <w:trHeight w:val="27"/>
        </w:trPr>
        <w:tc>
          <w:tcPr>
            <w:tcW w:w="74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Noncash Investing and Financing Activities</w:t>
            </w:r>
          </w:p>
        </w:tc>
        <w:tc>
          <w:tcPr>
            <w:tcW w:w="18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7420" w:type="dxa"/>
            <w:vAlign w:val="bottom"/>
          </w:tcPr>
          <w:p>
            <w:pPr>
              <w:ind w:left="280"/>
              <w:spacing w:after="0"/>
              <w:rPr>
                <w:sz w:val="20"/>
                <w:szCs w:val="20"/>
                <w:color w:val="auto"/>
              </w:rPr>
            </w:pPr>
            <w:r>
              <w:rPr>
                <w:rFonts w:ascii="Arial" w:cs="Arial" w:eastAsia="Arial" w:hAnsi="Arial"/>
                <w:sz w:val="18"/>
                <w:szCs w:val="18"/>
                <w:color w:val="auto"/>
              </w:rPr>
              <w:t>Increase in Accounts Payable for Capital Additions to Property, Plant and Equipment</w:t>
            </w:r>
          </w:p>
        </w:tc>
        <w:tc>
          <w:tcPr>
            <w:tcW w:w="1800" w:type="dxa"/>
            <w:vAlign w:val="bottom"/>
          </w:tcPr>
          <w:p>
            <w:pPr>
              <w:jc w:val="right"/>
              <w:ind w:right="310"/>
              <w:spacing w:after="0"/>
              <w:rPr>
                <w:sz w:val="20"/>
                <w:szCs w:val="20"/>
                <w:color w:val="auto"/>
              </w:rPr>
            </w:pPr>
            <w:r>
              <w:rPr>
                <w:rFonts w:ascii="Arial" w:cs="Arial" w:eastAsia="Arial" w:hAnsi="Arial"/>
                <w:sz w:val="18"/>
                <w:szCs w:val="18"/>
                <w:color w:val="auto"/>
              </w:rPr>
              <w:t>$20.2</w:t>
            </w:r>
          </w:p>
        </w:tc>
        <w:tc>
          <w:tcPr>
            <w:tcW w:w="1280" w:type="dxa"/>
            <w:vAlign w:val="bottom"/>
          </w:tcPr>
          <w:p>
            <w:pPr>
              <w:jc w:val="right"/>
              <w:ind w:right="350"/>
              <w:spacing w:after="0"/>
              <w:rPr>
                <w:sz w:val="20"/>
                <w:szCs w:val="20"/>
                <w:color w:val="auto"/>
              </w:rPr>
            </w:pPr>
            <w:r>
              <w:rPr>
                <w:rFonts w:ascii="Arial" w:cs="Arial" w:eastAsia="Arial" w:hAnsi="Arial"/>
                <w:sz w:val="18"/>
                <w:szCs w:val="18"/>
                <w:color w:val="auto"/>
              </w:rPr>
              <w:t>$5.9</w:t>
            </w:r>
          </w:p>
        </w:tc>
        <w:tc>
          <w:tcPr>
            <w:tcW w:w="92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7"/>
        </w:trPr>
        <w:tc>
          <w:tcPr>
            <w:tcW w:w="74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Capitalized Asset Retirement Costs</w:t>
            </w:r>
          </w:p>
        </w:tc>
        <w:tc>
          <w:tcPr>
            <w:tcW w:w="18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$17.1</w:t>
            </w:r>
          </w:p>
        </w:tc>
        <w:tc>
          <w:tcPr>
            <w:tcW w:w="128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$0.3</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w:t>
            </w:r>
          </w:p>
        </w:tc>
      </w:tr>
      <w:tr>
        <w:trPr>
          <w:trHeight w:val="243"/>
        </w:trPr>
        <w:tc>
          <w:tcPr>
            <w:tcW w:w="7420" w:type="dxa"/>
            <w:vAlign w:val="bottom"/>
          </w:tcPr>
          <w:p>
            <w:pPr>
              <w:ind w:left="280"/>
              <w:spacing w:after="0"/>
              <w:rPr>
                <w:sz w:val="20"/>
                <w:szCs w:val="20"/>
                <w:color w:val="auto"/>
              </w:rPr>
            </w:pPr>
            <w:r>
              <w:rPr>
                <w:rFonts w:ascii="Arial" w:cs="Arial" w:eastAsia="Arial" w:hAnsi="Arial"/>
                <w:sz w:val="18"/>
                <w:szCs w:val="18"/>
                <w:color w:val="auto"/>
              </w:rPr>
              <w:t>AFUDC – Equity</w:t>
            </w:r>
          </w:p>
        </w:tc>
        <w:tc>
          <w:tcPr>
            <w:tcW w:w="1800" w:type="dxa"/>
            <w:vAlign w:val="bottom"/>
          </w:tcPr>
          <w:p>
            <w:pPr>
              <w:jc w:val="right"/>
              <w:ind w:right="310"/>
              <w:spacing w:after="0"/>
              <w:rPr>
                <w:sz w:val="20"/>
                <w:szCs w:val="20"/>
                <w:color w:val="auto"/>
              </w:rPr>
            </w:pPr>
            <w:r>
              <w:rPr>
                <w:rFonts w:ascii="Arial" w:cs="Arial" w:eastAsia="Arial" w:hAnsi="Arial"/>
                <w:sz w:val="18"/>
                <w:szCs w:val="18"/>
                <w:color w:val="auto"/>
              </w:rPr>
              <w:t>$5.1</w:t>
            </w:r>
          </w:p>
        </w:tc>
        <w:tc>
          <w:tcPr>
            <w:tcW w:w="1280" w:type="dxa"/>
            <w:vAlign w:val="bottom"/>
          </w:tcPr>
          <w:p>
            <w:pPr>
              <w:jc w:val="right"/>
              <w:ind w:right="350"/>
              <w:spacing w:after="0"/>
              <w:rPr>
                <w:sz w:val="20"/>
                <w:szCs w:val="20"/>
                <w:color w:val="auto"/>
              </w:rPr>
            </w:pPr>
            <w:r>
              <w:rPr>
                <w:rFonts w:ascii="Arial" w:cs="Arial" w:eastAsia="Arial" w:hAnsi="Arial"/>
                <w:sz w:val="18"/>
                <w:szCs w:val="18"/>
                <w:color w:val="auto"/>
              </w:rPr>
              <w:t>$2.5</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$4.2</w:t>
            </w:r>
          </w:p>
        </w:tc>
      </w:tr>
      <w:tr>
        <w:trPr>
          <w:trHeight w:val="27"/>
        </w:trPr>
        <w:tc>
          <w:tcPr>
            <w:tcW w:w="74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ALLETE Common Stock Contributed to the Pension Plan</w:t>
            </w:r>
          </w:p>
        </w:tc>
        <w:tc>
          <w:tcPr>
            <w:tcW w:w="18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$(20.0)</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0"/>
        </w:trPr>
        <w:tc>
          <w:tcPr>
            <w:tcW w:w="7420" w:type="dxa"/>
            <w:vAlign w:val="bottom"/>
            <w:shd w:val="clear" w:color="auto" w:fill="000000"/>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r>
    </w:tbl>
    <w:p>
      <w:pPr>
        <w:ind w:left="340" w:hanging="332"/>
        <w:spacing w:after="0" w:line="263" w:lineRule="auto"/>
        <w:tabs>
          <w:tab w:leader="none" w:pos="340" w:val="left"/>
        </w:tabs>
        <w:numPr>
          <w:ilvl w:val="0"/>
          <w:numId w:val="28"/>
        </w:numPr>
        <w:rPr>
          <w:rFonts w:ascii="Arial" w:cs="Arial" w:eastAsia="Arial" w:hAnsi="Arial"/>
          <w:sz w:val="16"/>
          <w:szCs w:val="16"/>
          <w:i w:val="1"/>
          <w:iCs w:val="1"/>
          <w:color w:val="auto"/>
        </w:rPr>
      </w:pPr>
      <w:r>
        <w:rPr>
          <w:rFonts w:ascii="Arial" w:cs="Arial" w:eastAsia="Arial" w:hAnsi="Arial"/>
          <w:sz w:val="16"/>
          <w:szCs w:val="16"/>
          <w:i w:val="1"/>
          <w:iCs w:val="1"/>
          <w:color w:val="auto"/>
        </w:rPr>
        <w:t>Due to bonus depreciation provisions in 2009 and 2010 federal legislation, NOLs were generated which resulted in little or no estimated tax payments, and refunds were received from NOL carrybacks against prior years’ taxable income.</w:t>
      </w:r>
    </w:p>
    <w:p>
      <w:pPr>
        <w:spacing w:after="0" w:line="173"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Accounts Receivable. </w:t>
      </w:r>
      <w:r>
        <w:rPr>
          <w:rFonts w:ascii="Arial" w:cs="Arial" w:eastAsia="Arial" w:hAnsi="Arial"/>
          <w:sz w:val="18"/>
          <w:szCs w:val="18"/>
          <w:color w:val="auto"/>
        </w:rPr>
        <w:t>Accounts receivable are reported on the balance sheet net of an allowance for doubtful accounts. The allowance is based on our</w:t>
      </w:r>
      <w:r>
        <w:rPr>
          <w:rFonts w:ascii="Arial" w:cs="Arial" w:eastAsia="Arial" w:hAnsi="Arial"/>
          <w:sz w:val="18"/>
          <w:szCs w:val="18"/>
          <w:b w:val="1"/>
          <w:bCs w:val="1"/>
          <w:color w:val="auto"/>
        </w:rPr>
        <w:t xml:space="preserve"> </w:t>
      </w:r>
      <w:r>
        <w:rPr>
          <w:rFonts w:ascii="Arial" w:cs="Arial" w:eastAsia="Arial" w:hAnsi="Arial"/>
          <w:sz w:val="18"/>
          <w:szCs w:val="18"/>
          <w:color w:val="auto"/>
        </w:rPr>
        <w:t>evaluation of the receivable portfolio under current conditions, overall portfolio quality, review of specific problems and such other factors that, in our judgment, deserve recognition in estimating losses.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80" w:type="dxa"/>
            <w:vAlign w:val="bottom"/>
          </w:tcPr>
          <w:p>
            <w:pPr>
              <w:ind w:left="40"/>
              <w:spacing w:after="0"/>
              <w:rPr>
                <w:sz w:val="20"/>
                <w:szCs w:val="20"/>
                <w:color w:val="auto"/>
              </w:rPr>
            </w:pPr>
            <w:r>
              <w:rPr>
                <w:rFonts w:ascii="Arial" w:cs="Arial" w:eastAsia="Arial" w:hAnsi="Arial"/>
                <w:sz w:val="18"/>
                <w:szCs w:val="18"/>
                <w:b w:val="1"/>
                <w:bCs w:val="1"/>
                <w:color w:val="auto"/>
              </w:rPr>
              <w:t>Accounts Receivable</w:t>
            </w:r>
          </w:p>
        </w:tc>
        <w:tc>
          <w:tcPr>
            <w:tcW w:w="414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70"/>
        </w:trPr>
        <w:tc>
          <w:tcPr>
            <w:tcW w:w="6180" w:type="dxa"/>
            <w:vAlign w:val="bottom"/>
          </w:tcPr>
          <w:p>
            <w:pPr>
              <w:ind w:left="40"/>
              <w:spacing w:after="0"/>
              <w:rPr>
                <w:sz w:val="20"/>
                <w:szCs w:val="20"/>
                <w:color w:val="auto"/>
              </w:rPr>
            </w:pPr>
            <w:r>
              <w:rPr>
                <w:rFonts w:ascii="Arial" w:cs="Arial" w:eastAsia="Arial" w:hAnsi="Arial"/>
                <w:sz w:val="18"/>
                <w:szCs w:val="18"/>
                <w:b w:val="1"/>
                <w:bCs w:val="1"/>
                <w:color w:val="auto"/>
              </w:rPr>
              <w:t>As of December 31</w:t>
            </w:r>
          </w:p>
        </w:tc>
        <w:tc>
          <w:tcPr>
            <w:tcW w:w="4140" w:type="dxa"/>
            <w:vAlign w:val="bottom"/>
          </w:tcPr>
          <w:p>
            <w:pPr>
              <w:jc w:val="right"/>
              <w:ind w:right="510"/>
              <w:spacing w:after="0"/>
              <w:rPr>
                <w:sz w:val="20"/>
                <w:szCs w:val="20"/>
                <w:color w:val="auto"/>
              </w:rPr>
            </w:pPr>
            <w:r>
              <w:rPr>
                <w:rFonts w:ascii="Arial" w:cs="Arial" w:eastAsia="Arial" w:hAnsi="Arial"/>
                <w:sz w:val="18"/>
                <w:szCs w:val="18"/>
                <w:b w:val="1"/>
                <w:bCs w:val="1"/>
                <w:color w:val="auto"/>
              </w:rPr>
              <w:t>2012</w:t>
            </w: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rPr>
              <w:t>2011</w:t>
            </w:r>
          </w:p>
        </w:tc>
      </w:tr>
      <w:tr>
        <w:trPr>
          <w:trHeight w:val="27"/>
        </w:trPr>
        <w:tc>
          <w:tcPr>
            <w:tcW w:w="6180" w:type="dxa"/>
            <w:vAlign w:val="bottom"/>
            <w:tcBorders>
              <w:bottom w:val="single" w:sz="8" w:color="auto"/>
            </w:tcBorders>
          </w:tcPr>
          <w:p>
            <w:pPr>
              <w:spacing w:after="0"/>
              <w:rPr>
                <w:sz w:val="2"/>
                <w:szCs w:val="2"/>
                <w:color w:val="auto"/>
              </w:rPr>
            </w:pPr>
          </w:p>
        </w:tc>
        <w:tc>
          <w:tcPr>
            <w:tcW w:w="4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618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414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7"/>
        </w:trPr>
        <w:tc>
          <w:tcPr>
            <w:tcW w:w="6180" w:type="dxa"/>
            <w:vAlign w:val="bottom"/>
          </w:tcPr>
          <w:p>
            <w:pPr>
              <w:spacing w:after="0"/>
              <w:rPr>
                <w:sz w:val="2"/>
                <w:szCs w:val="2"/>
                <w:color w:val="auto"/>
              </w:rPr>
            </w:pPr>
          </w:p>
        </w:tc>
        <w:tc>
          <w:tcPr>
            <w:tcW w:w="4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Accounts Receivable</w:t>
            </w:r>
          </w:p>
        </w:tc>
        <w:tc>
          <w:tcPr>
            <w:tcW w:w="4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6180" w:type="dxa"/>
            <w:vAlign w:val="bottom"/>
          </w:tcPr>
          <w:p>
            <w:pPr>
              <w:ind w:left="180"/>
              <w:spacing w:after="0"/>
              <w:rPr>
                <w:sz w:val="20"/>
                <w:szCs w:val="20"/>
                <w:color w:val="auto"/>
              </w:rPr>
            </w:pPr>
            <w:r>
              <w:rPr>
                <w:rFonts w:ascii="Arial" w:cs="Arial" w:eastAsia="Arial" w:hAnsi="Arial"/>
                <w:sz w:val="18"/>
                <w:szCs w:val="18"/>
                <w:color w:val="auto"/>
              </w:rPr>
              <w:t>Billed</w:t>
            </w:r>
          </w:p>
        </w:tc>
        <w:tc>
          <w:tcPr>
            <w:tcW w:w="4140" w:type="dxa"/>
            <w:vAlign w:val="bottom"/>
          </w:tcPr>
          <w:p>
            <w:pPr>
              <w:jc w:val="right"/>
              <w:ind w:right="510"/>
              <w:spacing w:after="0"/>
              <w:rPr>
                <w:sz w:val="20"/>
                <w:szCs w:val="20"/>
                <w:color w:val="auto"/>
              </w:rPr>
            </w:pPr>
            <w:r>
              <w:rPr>
                <w:rFonts w:ascii="Arial" w:cs="Arial" w:eastAsia="Arial" w:hAnsi="Arial"/>
                <w:sz w:val="18"/>
                <w:szCs w:val="18"/>
                <w:color w:val="auto"/>
              </w:rPr>
              <w:t>$70.4</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$63.7</w:t>
            </w:r>
          </w:p>
        </w:tc>
      </w:tr>
      <w:tr>
        <w:trPr>
          <w:trHeight w:val="27"/>
        </w:trPr>
        <w:tc>
          <w:tcPr>
            <w:tcW w:w="6180" w:type="dxa"/>
            <w:vAlign w:val="bottom"/>
          </w:tcPr>
          <w:p>
            <w:pPr>
              <w:spacing w:after="0"/>
              <w:rPr>
                <w:sz w:val="2"/>
                <w:szCs w:val="2"/>
                <w:color w:val="auto"/>
              </w:rPr>
            </w:pPr>
          </w:p>
        </w:tc>
        <w:tc>
          <w:tcPr>
            <w:tcW w:w="4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Unbilled</w:t>
            </w:r>
          </w:p>
        </w:tc>
        <w:tc>
          <w:tcPr>
            <w:tcW w:w="414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rPr>
              <w:t>17.4</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15.6</w:t>
            </w:r>
          </w:p>
        </w:tc>
      </w:tr>
      <w:tr>
        <w:trPr>
          <w:trHeight w:val="243"/>
        </w:trPr>
        <w:tc>
          <w:tcPr>
            <w:tcW w:w="6180" w:type="dxa"/>
            <w:vAlign w:val="bottom"/>
          </w:tcPr>
          <w:p>
            <w:pPr>
              <w:ind w:left="180"/>
              <w:spacing w:after="0"/>
              <w:rPr>
                <w:sz w:val="20"/>
                <w:szCs w:val="20"/>
                <w:color w:val="auto"/>
              </w:rPr>
            </w:pPr>
            <w:r>
              <w:rPr>
                <w:rFonts w:ascii="Arial" w:cs="Arial" w:eastAsia="Arial" w:hAnsi="Arial"/>
                <w:sz w:val="18"/>
                <w:szCs w:val="18"/>
                <w:color w:val="auto"/>
              </w:rPr>
              <w:t>Less: Allowance for Doubtful Accounts</w:t>
            </w:r>
          </w:p>
        </w:tc>
        <w:tc>
          <w:tcPr>
            <w:tcW w:w="4140" w:type="dxa"/>
            <w:vAlign w:val="bottom"/>
          </w:tcPr>
          <w:p>
            <w:pPr>
              <w:jc w:val="right"/>
              <w:ind w:right="510"/>
              <w:spacing w:after="0"/>
              <w:rPr>
                <w:sz w:val="20"/>
                <w:szCs w:val="20"/>
                <w:color w:val="auto"/>
              </w:rPr>
            </w:pPr>
            <w:r>
              <w:rPr>
                <w:rFonts w:ascii="Arial" w:cs="Arial" w:eastAsia="Arial" w:hAnsi="Arial"/>
                <w:sz w:val="18"/>
                <w:szCs w:val="18"/>
                <w:color w:val="auto"/>
              </w:rPr>
              <w:t>1.0</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0.9</w:t>
            </w:r>
          </w:p>
        </w:tc>
      </w:tr>
      <w:tr>
        <w:trPr>
          <w:trHeight w:val="27"/>
        </w:trPr>
        <w:tc>
          <w:tcPr>
            <w:tcW w:w="6180" w:type="dxa"/>
            <w:vAlign w:val="bottom"/>
            <w:tcBorders>
              <w:bottom w:val="single" w:sz="8" w:color="auto"/>
            </w:tcBorders>
          </w:tcPr>
          <w:p>
            <w:pPr>
              <w:spacing w:after="0"/>
              <w:rPr>
                <w:sz w:val="2"/>
                <w:szCs w:val="2"/>
                <w:color w:val="auto"/>
              </w:rPr>
            </w:pPr>
          </w:p>
        </w:tc>
        <w:tc>
          <w:tcPr>
            <w:tcW w:w="4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9"/>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Trade Accounts Receivable</w:t>
            </w:r>
          </w:p>
        </w:tc>
        <w:tc>
          <w:tcPr>
            <w:tcW w:w="414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rPr>
              <w:t>86.8</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78.4</w:t>
            </w:r>
          </w:p>
        </w:tc>
      </w:tr>
      <w:tr>
        <w:trPr>
          <w:trHeight w:val="237"/>
        </w:trPr>
        <w:tc>
          <w:tcPr>
            <w:tcW w:w="61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Income Taxes Receivable</w:t>
            </w:r>
          </w:p>
        </w:tc>
        <w:tc>
          <w:tcPr>
            <w:tcW w:w="4140" w:type="dxa"/>
            <w:vAlign w:val="bottom"/>
            <w:tcBorders>
              <w:top w:val="single" w:sz="8" w:color="auto"/>
            </w:tcBorders>
          </w:tcPr>
          <w:p>
            <w:pPr>
              <w:jc w:val="right"/>
              <w:ind w:right="510"/>
              <w:spacing w:after="0"/>
              <w:rPr>
                <w:sz w:val="20"/>
                <w:szCs w:val="20"/>
                <w:color w:val="auto"/>
              </w:rPr>
            </w:pPr>
            <w:r>
              <w:rPr>
                <w:rFonts w:ascii="Arial" w:cs="Arial" w:eastAsia="Arial" w:hAnsi="Arial"/>
                <w:sz w:val="18"/>
                <w:szCs w:val="18"/>
                <w:color w:val="auto"/>
              </w:rPr>
              <w:t>2.2</w:t>
            </w: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w:t>
            </w:r>
          </w:p>
        </w:tc>
      </w:tr>
      <w:tr>
        <w:trPr>
          <w:trHeight w:val="27"/>
        </w:trPr>
        <w:tc>
          <w:tcPr>
            <w:tcW w:w="6180" w:type="dxa"/>
            <w:vAlign w:val="bottom"/>
            <w:tcBorders>
              <w:bottom w:val="single" w:sz="8" w:color="auto"/>
            </w:tcBorders>
          </w:tcPr>
          <w:p>
            <w:pPr>
              <w:spacing w:after="0"/>
              <w:rPr>
                <w:sz w:val="2"/>
                <w:szCs w:val="2"/>
                <w:color w:val="auto"/>
              </w:rPr>
            </w:pPr>
          </w:p>
        </w:tc>
        <w:tc>
          <w:tcPr>
            <w:tcW w:w="4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Accounts Receivable - Net</w:t>
            </w:r>
          </w:p>
        </w:tc>
        <w:tc>
          <w:tcPr>
            <w:tcW w:w="414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rPr>
              <w:t>$89.0</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$79.7</w:t>
            </w:r>
          </w:p>
        </w:tc>
      </w:tr>
      <w:tr>
        <w:trPr>
          <w:trHeight w:val="20"/>
        </w:trPr>
        <w:tc>
          <w:tcPr>
            <w:tcW w:w="6180" w:type="dxa"/>
            <w:vAlign w:val="bottom"/>
            <w:shd w:val="clear" w:color="auto" w:fill="000000"/>
          </w:tcPr>
          <w:p>
            <w:pPr>
              <w:spacing w:after="0" w:line="20" w:lineRule="exact"/>
              <w:rPr>
                <w:sz w:val="1"/>
                <w:szCs w:val="1"/>
                <w:color w:val="auto"/>
              </w:rPr>
            </w:pPr>
          </w:p>
        </w:tc>
        <w:tc>
          <w:tcPr>
            <w:tcW w:w="4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2012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364" w:right="23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color w:val="auto"/>
        </w:rPr>
        <w:t>NOTE 1. OPERATIONS AND SIGNIFICANT ACCOUNTING POLICIES (Continued)</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b w:val="1"/>
          <w:bCs w:val="1"/>
          <w:color w:val="auto"/>
        </w:rPr>
        <w:t xml:space="preserve">Concentration of Credit Risk. </w:t>
      </w:r>
      <w:r>
        <w:rPr>
          <w:rFonts w:ascii="Arial" w:cs="Arial" w:eastAsia="Arial" w:hAnsi="Arial"/>
          <w:sz w:val="16"/>
          <w:szCs w:val="16"/>
          <w:color w:val="auto"/>
        </w:rPr>
        <w:t>Financial instruments that subject us to concentrations of credit risk consist primarily of accounts receivable. Minnesota</w:t>
      </w:r>
      <w:r>
        <w:rPr>
          <w:rFonts w:ascii="Arial" w:cs="Arial" w:eastAsia="Arial" w:hAnsi="Arial"/>
          <w:sz w:val="16"/>
          <w:szCs w:val="16"/>
          <w:b w:val="1"/>
          <w:bCs w:val="1"/>
          <w:color w:val="auto"/>
        </w:rPr>
        <w:t xml:space="preserve"> </w:t>
      </w:r>
      <w:r>
        <w:rPr>
          <w:rFonts w:ascii="Arial" w:cs="Arial" w:eastAsia="Arial" w:hAnsi="Arial"/>
          <w:sz w:val="16"/>
          <w:szCs w:val="16"/>
          <w:color w:val="auto"/>
        </w:rPr>
        <w:t>Power sells electricity to 9 Large Power Customers. Receivables from these customers totaled $11.6 million at December 31, 2012 ($9.3 million at December 31, 2011). Minnesota Power does not obtain collateral to support utility receivables, but monitors the credit standing of major customers. In addition, our taconite-producing Large Power Customers, which are a part of our Regulated Operations segment, are on a weekly billing cycle, which allows us to closely manage collection of amounts due. One of these customers accounted for 12.3 percent of consolidated revenue in 2012 (12.8 percent in 2011; 12.5 percent in 2010). In the third quarter of 2011, one of Minnesota Power’s Large Power Customers, NewPage Corporation (NewPage), filed for Chapter 11 bankruptcy protection. In September 2012, NewPage submitted a motion to the bankruptcy court to approve amended and restated service agreements and payment of the pre-petition amount, which was approved on October 16, 2012. The agreement was subsequently approved by the MPUC in a December 10, 2012 order, which resulted in the pre-petition receivable of $3.2 million being paid as of December 31, 2012. Throughout the bankruptcy proceedings this customer’s operations continued without interruption and we continued to provide electric and steam service to this customer.</w:t>
      </w:r>
    </w:p>
    <w:p>
      <w:pPr>
        <w:spacing w:after="0" w:line="161"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color w:val="auto"/>
        </w:rPr>
        <w:t xml:space="preserve">Long-Term Finance Receivables. </w:t>
      </w:r>
      <w:r>
        <w:rPr>
          <w:rFonts w:ascii="Arial" w:cs="Arial" w:eastAsia="Arial" w:hAnsi="Arial"/>
          <w:sz w:val="16"/>
          <w:szCs w:val="16"/>
          <w:color w:val="auto"/>
        </w:rPr>
        <w:t>Long-term finance receivables relating to our real estate operations are collateralized by property sold, accrue interest at</w:t>
      </w:r>
      <w:r>
        <w:rPr>
          <w:rFonts w:ascii="Arial" w:cs="Arial" w:eastAsia="Arial" w:hAnsi="Arial"/>
          <w:sz w:val="16"/>
          <w:szCs w:val="16"/>
          <w:b w:val="1"/>
          <w:bCs w:val="1"/>
          <w:color w:val="auto"/>
        </w:rPr>
        <w:t xml:space="preserve"> </w:t>
      </w:r>
      <w:r>
        <w:rPr>
          <w:rFonts w:ascii="Arial" w:cs="Arial" w:eastAsia="Arial" w:hAnsi="Arial"/>
          <w:sz w:val="16"/>
          <w:szCs w:val="16"/>
          <w:color w:val="auto"/>
        </w:rPr>
        <w:t>market-based rates and are net of an allowance for doubtful accounts. We assess delinquent finance receivables by comparing the balance of such receivables to the estimated fair value of the collateralized property. If the fair value of the property is less than the finance receivable, we record a reserve for the difference. We estimate fair value based on recent property tax assessed values or current appraisals. (See Note 7. Investments.)</w:t>
      </w:r>
    </w:p>
    <w:p>
      <w:pPr>
        <w:spacing w:after="0" w:line="151"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 xml:space="preserve">Available-for-Sale Securities. </w:t>
      </w:r>
      <w:r>
        <w:rPr>
          <w:rFonts w:ascii="Arial" w:cs="Arial" w:eastAsia="Arial" w:hAnsi="Arial"/>
          <w:sz w:val="17"/>
          <w:szCs w:val="17"/>
          <w:color w:val="auto"/>
        </w:rPr>
        <w:t>Available-for-sale securities are recorded at fair value with unrealized gains and losses included in accumulated other</w:t>
      </w:r>
      <w:r>
        <w:rPr>
          <w:rFonts w:ascii="Arial" w:cs="Arial" w:eastAsia="Arial" w:hAnsi="Arial"/>
          <w:sz w:val="17"/>
          <w:szCs w:val="17"/>
          <w:b w:val="1"/>
          <w:bCs w:val="1"/>
          <w:color w:val="auto"/>
        </w:rPr>
        <w:t xml:space="preserve"> </w:t>
      </w:r>
      <w:r>
        <w:rPr>
          <w:rFonts w:ascii="Arial" w:cs="Arial" w:eastAsia="Arial" w:hAnsi="Arial"/>
          <w:sz w:val="17"/>
          <w:szCs w:val="17"/>
          <w:color w:val="auto"/>
        </w:rPr>
        <w:t>comprehensive income (loss), net of tax. Unrealized losses that are other than temporary are recognized in earnings. We use the specific identification method as the basis for determining the cost of securities sold. Our policy is to review available-for-sale securities for other than temporary impairment on a quarterly basis by assessing such factors as the share price trends and the impact of overall market conditions. (See Note 7. Investments.)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Inventories. </w:t>
      </w:r>
      <w:r>
        <w:rPr>
          <w:rFonts w:ascii="Arial" w:cs="Arial" w:eastAsia="Arial" w:hAnsi="Arial"/>
          <w:sz w:val="18"/>
          <w:szCs w:val="18"/>
          <w:color w:val="auto"/>
        </w:rPr>
        <w:t>Inventories are stated at the lower of cost or market. Amounts removed from inventory are recorded on an average cost basis.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00" w:type="dxa"/>
            <w:vAlign w:val="bottom"/>
          </w:tcPr>
          <w:p>
            <w:pPr>
              <w:ind w:left="40"/>
              <w:spacing w:after="0"/>
              <w:rPr>
                <w:sz w:val="20"/>
                <w:szCs w:val="20"/>
                <w:color w:val="auto"/>
              </w:rPr>
            </w:pPr>
            <w:r>
              <w:rPr>
                <w:rFonts w:ascii="Arial" w:cs="Arial" w:eastAsia="Arial" w:hAnsi="Arial"/>
                <w:sz w:val="18"/>
                <w:szCs w:val="18"/>
                <w:b w:val="1"/>
                <w:bCs w:val="1"/>
                <w:color w:val="auto"/>
              </w:rPr>
              <w:t>Inventories</w:t>
            </w:r>
          </w:p>
        </w:tc>
        <w:tc>
          <w:tcPr>
            <w:tcW w:w="482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70"/>
        </w:trPr>
        <w:tc>
          <w:tcPr>
            <w:tcW w:w="5500" w:type="dxa"/>
            <w:vAlign w:val="bottom"/>
          </w:tcPr>
          <w:p>
            <w:pPr>
              <w:ind w:left="40"/>
              <w:spacing w:after="0"/>
              <w:rPr>
                <w:sz w:val="20"/>
                <w:szCs w:val="20"/>
                <w:color w:val="auto"/>
              </w:rPr>
            </w:pPr>
            <w:r>
              <w:rPr>
                <w:rFonts w:ascii="Arial" w:cs="Arial" w:eastAsia="Arial" w:hAnsi="Arial"/>
                <w:sz w:val="18"/>
                <w:szCs w:val="18"/>
                <w:b w:val="1"/>
                <w:bCs w:val="1"/>
                <w:color w:val="auto"/>
              </w:rPr>
              <w:t>As of December 31</w:t>
            </w:r>
          </w:p>
        </w:tc>
        <w:tc>
          <w:tcPr>
            <w:tcW w:w="4820" w:type="dxa"/>
            <w:vAlign w:val="bottom"/>
          </w:tcPr>
          <w:p>
            <w:pPr>
              <w:jc w:val="right"/>
              <w:ind w:right="510"/>
              <w:spacing w:after="0"/>
              <w:rPr>
                <w:sz w:val="20"/>
                <w:szCs w:val="20"/>
                <w:color w:val="auto"/>
              </w:rPr>
            </w:pPr>
            <w:r>
              <w:rPr>
                <w:rFonts w:ascii="Arial" w:cs="Arial" w:eastAsia="Arial" w:hAnsi="Arial"/>
                <w:sz w:val="18"/>
                <w:szCs w:val="18"/>
                <w:b w:val="1"/>
                <w:bCs w:val="1"/>
                <w:color w:val="auto"/>
              </w:rPr>
              <w:t>2012</w:t>
            </w: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rPr>
              <w:t>2011</w:t>
            </w:r>
          </w:p>
        </w:tc>
      </w:tr>
      <w:tr>
        <w:trPr>
          <w:trHeight w:val="27"/>
        </w:trPr>
        <w:tc>
          <w:tcPr>
            <w:tcW w:w="5500" w:type="dxa"/>
            <w:vAlign w:val="bottom"/>
            <w:tcBorders>
              <w:bottom w:val="single" w:sz="8" w:color="auto"/>
            </w:tcBorders>
          </w:tcPr>
          <w:p>
            <w:pPr>
              <w:spacing w:after="0"/>
              <w:rPr>
                <w:sz w:val="2"/>
                <w:szCs w:val="2"/>
                <w:color w:val="auto"/>
              </w:rPr>
            </w:pPr>
          </w:p>
        </w:tc>
        <w:tc>
          <w:tcPr>
            <w:tcW w:w="48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550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482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7"/>
        </w:trPr>
        <w:tc>
          <w:tcPr>
            <w:tcW w:w="5500" w:type="dxa"/>
            <w:vAlign w:val="bottom"/>
          </w:tcPr>
          <w:p>
            <w:pPr>
              <w:spacing w:after="0"/>
              <w:rPr>
                <w:sz w:val="2"/>
                <w:szCs w:val="2"/>
                <w:color w:val="auto"/>
              </w:rPr>
            </w:pPr>
          </w:p>
        </w:tc>
        <w:tc>
          <w:tcPr>
            <w:tcW w:w="48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Fuel</w:t>
            </w:r>
          </w:p>
        </w:tc>
        <w:tc>
          <w:tcPr>
            <w:tcW w:w="482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rPr>
              <w:t>$28.0</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$28.6</w:t>
            </w: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Materials and Supplies</w:t>
            </w:r>
          </w:p>
        </w:tc>
        <w:tc>
          <w:tcPr>
            <w:tcW w:w="4820" w:type="dxa"/>
            <w:vAlign w:val="bottom"/>
          </w:tcPr>
          <w:p>
            <w:pPr>
              <w:jc w:val="right"/>
              <w:ind w:right="510"/>
              <w:spacing w:after="0"/>
              <w:rPr>
                <w:sz w:val="20"/>
                <w:szCs w:val="20"/>
                <w:color w:val="auto"/>
              </w:rPr>
            </w:pPr>
            <w:r>
              <w:rPr>
                <w:rFonts w:ascii="Arial" w:cs="Arial" w:eastAsia="Arial" w:hAnsi="Arial"/>
                <w:sz w:val="18"/>
                <w:szCs w:val="18"/>
                <w:color w:val="auto"/>
              </w:rPr>
              <w:t>41.8</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40.5</w:t>
            </w:r>
          </w:p>
        </w:tc>
      </w:tr>
      <w:tr>
        <w:trPr>
          <w:trHeight w:val="27"/>
        </w:trPr>
        <w:tc>
          <w:tcPr>
            <w:tcW w:w="5500" w:type="dxa"/>
            <w:vAlign w:val="bottom"/>
            <w:tcBorders>
              <w:bottom w:val="single" w:sz="8" w:color="auto"/>
            </w:tcBorders>
          </w:tcPr>
          <w:p>
            <w:pPr>
              <w:spacing w:after="0"/>
              <w:rPr>
                <w:sz w:val="2"/>
                <w:szCs w:val="2"/>
                <w:color w:val="auto"/>
              </w:rPr>
            </w:pPr>
          </w:p>
        </w:tc>
        <w:tc>
          <w:tcPr>
            <w:tcW w:w="48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Inventories</w:t>
            </w:r>
          </w:p>
        </w:tc>
        <w:tc>
          <w:tcPr>
            <w:tcW w:w="482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rPr>
              <w:t>$69.8</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$69.1</w:t>
            </w:r>
          </w:p>
        </w:tc>
      </w:tr>
      <w:tr>
        <w:trPr>
          <w:trHeight w:val="20"/>
        </w:trPr>
        <w:tc>
          <w:tcPr>
            <w:tcW w:w="5500" w:type="dxa"/>
            <w:vAlign w:val="bottom"/>
            <w:shd w:val="clear" w:color="auto" w:fill="000000"/>
          </w:tcPr>
          <w:p>
            <w:pPr>
              <w:spacing w:after="0" w:line="20" w:lineRule="exact"/>
              <w:rPr>
                <w:sz w:val="1"/>
                <w:szCs w:val="1"/>
                <w:color w:val="auto"/>
              </w:rPr>
            </w:pPr>
          </w:p>
        </w:tc>
        <w:tc>
          <w:tcPr>
            <w:tcW w:w="48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r>
    </w:tbl>
    <w:p>
      <w:pPr>
        <w:spacing w:after="0" w:line="19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color w:val="auto"/>
        </w:rPr>
        <w:t xml:space="preserve">Property, Plant and Equipment. </w:t>
      </w:r>
      <w:r>
        <w:rPr>
          <w:rFonts w:ascii="Arial" w:cs="Arial" w:eastAsia="Arial" w:hAnsi="Arial"/>
          <w:sz w:val="17"/>
          <w:szCs w:val="17"/>
          <w:color w:val="auto"/>
        </w:rPr>
        <w:t>Property, plant and equipment are recorded at original cost and are reported on the balance sheet net of accumulated</w:t>
      </w:r>
      <w:r>
        <w:rPr>
          <w:rFonts w:ascii="Arial" w:cs="Arial" w:eastAsia="Arial" w:hAnsi="Arial"/>
          <w:sz w:val="17"/>
          <w:szCs w:val="17"/>
          <w:b w:val="1"/>
          <w:bCs w:val="1"/>
          <w:color w:val="auto"/>
        </w:rPr>
        <w:t xml:space="preserve"> </w:t>
      </w:r>
      <w:r>
        <w:rPr>
          <w:rFonts w:ascii="Arial" w:cs="Arial" w:eastAsia="Arial" w:hAnsi="Arial"/>
          <w:sz w:val="17"/>
          <w:szCs w:val="17"/>
          <w:color w:val="auto"/>
        </w:rPr>
        <w:t>depreciation. Expenditures for additions, significant replacements, improvements and major plant overhauls are capitalized; maintenance and repair costs are expensed as incurred. Gains or losses on non-rate base property, plant and equipment are recognized when they are retired or otherwise disposed. When regulated utility property, plant and equipment are retired or otherwise disposed, no gain or loss is recognized in accordance with the accounting standards for Regulated Operations. Our Regulated Operations capitalize AFUDC, which includes both an interest and equity component. AFUDC represents the cost of both debt and equity funds used to finance utility plant additions during construction periods. AFUDC amounts capitalized are included in rate base and are recovered from customers as the related property is depreciated. The MPUC has approved cost recovery for several large capital projects recently, at which time the recognition of AFUDC ceases. (See Note 3. Property, Plant and Equipment.)</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believe that long-standing ratemaking practices approved by applicable state and federal regulatory commissions have allowed for the recovery of the remaining basis of retired plant assets. In January 2013 we announced the retirement of Taconite Harbor Unit 3 and conversion of Laskin Energy Center to natural gas in 2015, which is subject to MPUC approval. Accordingly, we do not expect any loss as a result of the retirement of Taconite Harbor Unit 3 or conversion of Laskin Energy Center.</w:t>
      </w:r>
    </w:p>
    <w:p>
      <w:pPr>
        <w:spacing w:after="0" w:line="18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Impairment of Long-Lived Assets. </w:t>
      </w:r>
      <w:r>
        <w:rPr>
          <w:rFonts w:ascii="Arial" w:cs="Arial" w:eastAsia="Arial" w:hAnsi="Arial"/>
          <w:sz w:val="18"/>
          <w:szCs w:val="18"/>
          <w:color w:val="auto"/>
        </w:rPr>
        <w:t>We review our long-lived assets, which include the real estate assets of ALLETE Properties, for indicators of</w:t>
      </w:r>
      <w:r>
        <w:rPr>
          <w:rFonts w:ascii="Arial" w:cs="Arial" w:eastAsia="Arial" w:hAnsi="Arial"/>
          <w:sz w:val="18"/>
          <w:szCs w:val="18"/>
          <w:b w:val="1"/>
          <w:bCs w:val="1"/>
          <w:color w:val="auto"/>
        </w:rPr>
        <w:t xml:space="preserve"> </w:t>
      </w:r>
      <w:r>
        <w:rPr>
          <w:rFonts w:ascii="Arial" w:cs="Arial" w:eastAsia="Arial" w:hAnsi="Arial"/>
          <w:sz w:val="18"/>
          <w:szCs w:val="18"/>
          <w:color w:val="auto"/>
        </w:rPr>
        <w:t>impairment in accordance with the accounting standards for property, plant and equipment on a quarterly basis.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2012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364" w:right="23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color w:val="auto"/>
        </w:rPr>
        <w:t>NOTE 1. OPERATIONS AND SIGNIFICANT ACCOUNTING POLICIES (Continued)</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accordance with the accounting standards for property, plant and equipment, if indicators of impairment exist, we test our real estate assets for recoverability by comparing the carrying amount of the asset to the undiscounted future net cash flows expected to be generated by the asset. Cash flows are assessed at the lowest level of identifiable cash flows, which may be by each land parcel, combining various parcels into bulk sales, or other combinations thereof. Our consideration of possible impairment for our real estate assets requires us to make estimates of future cash flows on an undiscounted basis. The undiscounted future net cash flows are impacted by trends and factors known to us at the time they are calculated and our expectations related to: management’s best estimate of future sales prices; holding period and timing of sales; method of disposition; and future expenditures necessary to develop and maintain the operations, including community development district assessments, property taxes and normal operation and maintenance costs. These estimates and expectations are specific to each land parcel or various bulk sales, and may vary among each land parcel or bulk sale. If the excess of undiscounted cash flows over the carrying value of a property is small, there is a greater risk of future impairment in the event of such changes and any resulting impairment charges could be material.</w:t>
      </w:r>
    </w:p>
    <w:p>
      <w:pPr>
        <w:spacing w:after="0" w:line="17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Weak market conditions for real estate in Florida have required us to review our land inventories for impairment. Our undiscounted cash flow analysis was estimated using management’s current intent for disposition of each property, which is an estimated selling period of five to ten years based on a December 2011 asset management and disposition plan (“Plan”). The Plan is reviewed annually for adjustment or modification and we have concluded that the estimates and assumptions remain appropriate in 2012. As such, we continue to utilize the Plan when evaluating our land inventory for impairment. Future selling prices have been estimated through management’s best estimate of future sales prices in collaboration and consultation with outside advisors, and based on the best use of the properties over the expected period of sale. The undiscounted cash flow analysis assumes two scenarios: retail land sales followed by project bulk sales over a five year period and retail land sales over a ten year period. Our analysis assumes the most likely case of retail land sales followed by project bulk sales over a five year period; however, under both scenarios, except as noted below, the undiscounted cash flows exceeded carrying values. If our major development projects are sold in one bulk sale or if the properties are sold differently than anticipated in the Plan, the actual results could be materially different from our undiscounted cash flow analysis.</w:t>
      </w:r>
    </w:p>
    <w:p>
      <w:pPr>
        <w:spacing w:after="0" w:line="17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results of the impairment analysis are particularly dependent on the estimated future sales prices, method of disposition, and holding period for each property. The estimated holding period is based on management’s current intent for the use and disposition of each property, which could be subject to change in future periods if the intentions of the Company as set by management and approved by the Board of Directors were to change.</w:t>
      </w:r>
    </w:p>
    <w:p>
      <w:pPr>
        <w:spacing w:after="0" w:line="16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the event that projected future undiscounted cash flows are not adequate to recover the carrying value of an asset, impairment is indicated and may require a write down to the asset’s fair value. Fair value is determined based on best available evidence including comparable sales, current appraised values, property tax assessed values, and discounted cash flow analysis. If fair value is less than cost, the carrying value of our investments is reduced and an impairment charge is recorded in the current period. In 2012, impairment analysis’ of estimated future undiscounted cash flows were conducted and indicated that the cash flows were adequate to recover the carrying basis of our land inventory. As a result, there was no impairment recorded for the year ended December 31, 2012. For the year ended December 31, 2011, a $1.7 million impairment charge was recorded.</w:t>
      </w:r>
    </w:p>
    <w:p>
      <w:pPr>
        <w:spacing w:after="0" w:line="17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Derivatives. </w:t>
      </w:r>
      <w:r>
        <w:rPr>
          <w:rFonts w:ascii="Arial" w:cs="Arial" w:eastAsia="Arial" w:hAnsi="Arial"/>
          <w:sz w:val="18"/>
          <w:szCs w:val="18"/>
          <w:color w:val="auto"/>
        </w:rPr>
        <w:t>ALLETE is exposed to certain risks relating to its business operations that can be managed through the use of derivative instruments. ALLETE</w:t>
      </w:r>
      <w:r>
        <w:rPr>
          <w:rFonts w:ascii="Arial" w:cs="Arial" w:eastAsia="Arial" w:hAnsi="Arial"/>
          <w:sz w:val="18"/>
          <w:szCs w:val="18"/>
          <w:b w:val="1"/>
          <w:bCs w:val="1"/>
          <w:color w:val="auto"/>
        </w:rPr>
        <w:t xml:space="preserve"> </w:t>
      </w:r>
      <w:r>
        <w:rPr>
          <w:rFonts w:ascii="Arial" w:cs="Arial" w:eastAsia="Arial" w:hAnsi="Arial"/>
          <w:sz w:val="18"/>
          <w:szCs w:val="18"/>
          <w:color w:val="auto"/>
        </w:rPr>
        <w:t>may enter into derivative instruments to manage interest rate risk related to certain variable-rate borrowings.</w:t>
      </w:r>
    </w:p>
    <w:p>
      <w:pPr>
        <w:spacing w:after="0" w:line="16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Accounting for Stock-Based Compensation. </w:t>
      </w:r>
      <w:r>
        <w:rPr>
          <w:rFonts w:ascii="Arial" w:cs="Arial" w:eastAsia="Arial" w:hAnsi="Arial"/>
          <w:sz w:val="18"/>
          <w:szCs w:val="18"/>
          <w:color w:val="auto"/>
        </w:rPr>
        <w:t>We apply the fair value recognition guidance for share-based payments. Under this guidance, we recognize</w:t>
      </w:r>
      <w:r>
        <w:rPr>
          <w:rFonts w:ascii="Arial" w:cs="Arial" w:eastAsia="Arial" w:hAnsi="Arial"/>
          <w:sz w:val="18"/>
          <w:szCs w:val="18"/>
          <w:b w:val="1"/>
          <w:bCs w:val="1"/>
          <w:color w:val="auto"/>
        </w:rPr>
        <w:t xml:space="preserve"> </w:t>
      </w:r>
      <w:r>
        <w:rPr>
          <w:rFonts w:ascii="Arial" w:cs="Arial" w:eastAsia="Arial" w:hAnsi="Arial"/>
          <w:sz w:val="18"/>
          <w:szCs w:val="18"/>
          <w:color w:val="auto"/>
        </w:rPr>
        <w:t>stock-based compensation expense for all share-based payments granted, net of an estimated forfeiture rate. (See Note 16. Employee Stock and Incentive Plans.)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80" w:type="dxa"/>
            <w:vAlign w:val="bottom"/>
          </w:tcPr>
          <w:p>
            <w:pPr>
              <w:ind w:left="40"/>
              <w:spacing w:after="0"/>
              <w:rPr>
                <w:sz w:val="20"/>
                <w:szCs w:val="20"/>
                <w:color w:val="auto"/>
              </w:rPr>
            </w:pPr>
            <w:r>
              <w:rPr>
                <w:rFonts w:ascii="Arial" w:cs="Arial" w:eastAsia="Arial" w:hAnsi="Arial"/>
                <w:sz w:val="18"/>
                <w:szCs w:val="18"/>
                <w:b w:val="1"/>
                <w:bCs w:val="1"/>
                <w:color w:val="auto"/>
              </w:rPr>
              <w:t>Prepayments and Other Current Assets</w:t>
            </w:r>
          </w:p>
        </w:tc>
        <w:tc>
          <w:tcPr>
            <w:tcW w:w="404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70"/>
        </w:trPr>
        <w:tc>
          <w:tcPr>
            <w:tcW w:w="6280" w:type="dxa"/>
            <w:vAlign w:val="bottom"/>
          </w:tcPr>
          <w:p>
            <w:pPr>
              <w:ind w:left="40"/>
              <w:spacing w:after="0"/>
              <w:rPr>
                <w:sz w:val="20"/>
                <w:szCs w:val="20"/>
                <w:color w:val="auto"/>
              </w:rPr>
            </w:pPr>
            <w:r>
              <w:rPr>
                <w:rFonts w:ascii="Arial" w:cs="Arial" w:eastAsia="Arial" w:hAnsi="Arial"/>
                <w:sz w:val="18"/>
                <w:szCs w:val="18"/>
                <w:b w:val="1"/>
                <w:bCs w:val="1"/>
                <w:color w:val="auto"/>
              </w:rPr>
              <w:t>As of December 31</w:t>
            </w:r>
          </w:p>
        </w:tc>
        <w:tc>
          <w:tcPr>
            <w:tcW w:w="4040" w:type="dxa"/>
            <w:vAlign w:val="bottom"/>
          </w:tcPr>
          <w:p>
            <w:pPr>
              <w:jc w:val="right"/>
              <w:ind w:right="510"/>
              <w:spacing w:after="0"/>
              <w:rPr>
                <w:sz w:val="20"/>
                <w:szCs w:val="20"/>
                <w:color w:val="auto"/>
              </w:rPr>
            </w:pPr>
            <w:r>
              <w:rPr>
                <w:rFonts w:ascii="Arial" w:cs="Arial" w:eastAsia="Arial" w:hAnsi="Arial"/>
                <w:sz w:val="18"/>
                <w:szCs w:val="18"/>
                <w:b w:val="1"/>
                <w:bCs w:val="1"/>
                <w:color w:val="auto"/>
              </w:rPr>
              <w:t>2012</w:t>
            </w: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rPr>
              <w:t>2011</w:t>
            </w:r>
          </w:p>
        </w:tc>
      </w:tr>
      <w:tr>
        <w:trPr>
          <w:trHeight w:val="27"/>
        </w:trPr>
        <w:tc>
          <w:tcPr>
            <w:tcW w:w="6280" w:type="dxa"/>
            <w:vAlign w:val="bottom"/>
            <w:tcBorders>
              <w:bottom w:val="single" w:sz="8" w:color="auto"/>
            </w:tcBorders>
          </w:tcPr>
          <w:p>
            <w:pPr>
              <w:spacing w:after="0"/>
              <w:rPr>
                <w:sz w:val="2"/>
                <w:szCs w:val="2"/>
                <w:color w:val="auto"/>
              </w:rPr>
            </w:pPr>
          </w:p>
        </w:tc>
        <w:tc>
          <w:tcPr>
            <w:tcW w:w="40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628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404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7"/>
        </w:trPr>
        <w:tc>
          <w:tcPr>
            <w:tcW w:w="6280" w:type="dxa"/>
            <w:vAlign w:val="bottom"/>
          </w:tcPr>
          <w:p>
            <w:pPr>
              <w:spacing w:after="0"/>
              <w:rPr>
                <w:sz w:val="2"/>
                <w:szCs w:val="2"/>
                <w:color w:val="auto"/>
              </w:rPr>
            </w:pPr>
          </w:p>
        </w:tc>
        <w:tc>
          <w:tcPr>
            <w:tcW w:w="40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Fuel Adjustment Clause</w:t>
            </w:r>
          </w:p>
        </w:tc>
        <w:tc>
          <w:tcPr>
            <w:tcW w:w="404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rPr>
              <w:t>$22.5</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$17.5</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Other</w:t>
            </w:r>
          </w:p>
        </w:tc>
        <w:tc>
          <w:tcPr>
            <w:tcW w:w="4040" w:type="dxa"/>
            <w:vAlign w:val="bottom"/>
          </w:tcPr>
          <w:p>
            <w:pPr>
              <w:jc w:val="right"/>
              <w:ind w:right="510"/>
              <w:spacing w:after="0"/>
              <w:rPr>
                <w:sz w:val="20"/>
                <w:szCs w:val="20"/>
                <w:color w:val="auto"/>
              </w:rPr>
            </w:pPr>
            <w:r>
              <w:rPr>
                <w:rFonts w:ascii="Arial" w:cs="Arial" w:eastAsia="Arial" w:hAnsi="Arial"/>
                <w:sz w:val="18"/>
                <w:szCs w:val="18"/>
                <w:color w:val="auto"/>
              </w:rPr>
              <w:t>11.1</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9.6</w:t>
            </w:r>
          </w:p>
        </w:tc>
      </w:tr>
      <w:tr>
        <w:trPr>
          <w:trHeight w:val="27"/>
        </w:trPr>
        <w:tc>
          <w:tcPr>
            <w:tcW w:w="6280" w:type="dxa"/>
            <w:vAlign w:val="bottom"/>
            <w:tcBorders>
              <w:bottom w:val="single" w:sz="8" w:color="auto"/>
            </w:tcBorders>
          </w:tcPr>
          <w:p>
            <w:pPr>
              <w:spacing w:after="0"/>
              <w:rPr>
                <w:sz w:val="2"/>
                <w:szCs w:val="2"/>
                <w:color w:val="auto"/>
              </w:rPr>
            </w:pPr>
          </w:p>
        </w:tc>
        <w:tc>
          <w:tcPr>
            <w:tcW w:w="40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Prepayments and Other Current Assets</w:t>
            </w:r>
          </w:p>
        </w:tc>
        <w:tc>
          <w:tcPr>
            <w:tcW w:w="404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rPr>
              <w:t>$33.6</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$27.1</w:t>
            </w:r>
          </w:p>
        </w:tc>
      </w:tr>
      <w:tr>
        <w:trPr>
          <w:trHeight w:val="20"/>
        </w:trPr>
        <w:tc>
          <w:tcPr>
            <w:tcW w:w="6280" w:type="dxa"/>
            <w:vAlign w:val="bottom"/>
            <w:shd w:val="clear" w:color="auto" w:fill="000000"/>
          </w:tcPr>
          <w:p>
            <w:pPr>
              <w:spacing w:after="0" w:line="20" w:lineRule="exact"/>
              <w:rPr>
                <w:sz w:val="1"/>
                <w:szCs w:val="1"/>
                <w:color w:val="auto"/>
              </w:rPr>
            </w:pPr>
          </w:p>
        </w:tc>
        <w:tc>
          <w:tcPr>
            <w:tcW w:w="40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2012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364" w:right="239" w:bottom="1440" w:gutter="0" w:footer="0" w:header="0"/>
        </w:sectPr>
      </w:pPr>
    </w:p>
    <w:bookmarkStart w:id="73" w:name="page74"/>
    <w:bookmarkEnd w:id="73"/>
    <w:tbl>
      <w:tblPr>
        <w:tblLayout w:type="fixed"/>
        <w:tblInd w:w="0" w:type="dxa"/>
        <w:tblCellMar>
          <w:top w:w="0" w:type="dxa"/>
          <w:left w:w="0" w:type="dxa"/>
          <w:bottom w:w="0" w:type="dxa"/>
          <w:right w:w="0" w:type="dxa"/>
        </w:tblCellMar>
      </w:tblPr>
      <w:tr>
        <w:trPr>
          <w:trHeight w:val="234"/>
        </w:trPr>
        <w:tc>
          <w:tcPr>
            <w:tcW w:w="8040" w:type="dxa"/>
            <w:vAlign w:val="bottom"/>
          </w:tcPr>
          <w:p>
            <w:pPr>
              <w:spacing w:after="0"/>
              <w:rPr>
                <w:sz w:val="20"/>
                <w:szCs w:val="20"/>
                <w:color w:val="auto"/>
              </w:rPr>
            </w:pPr>
            <w:r>
              <w:rPr>
                <w:rFonts w:ascii="Arial" w:cs="Arial" w:eastAsia="Arial" w:hAnsi="Arial"/>
                <w:sz w:val="18"/>
                <w:szCs w:val="18"/>
                <w:b w:val="1"/>
                <w:bCs w:val="1"/>
                <w:color w:val="auto"/>
              </w:rPr>
              <w:t>NOTE 1. OPERATIONS AND SIGNIFICANT ACCOUNTING POLICIES (Continued)</w:t>
            </w:r>
          </w:p>
        </w:tc>
        <w:tc>
          <w:tcPr>
            <w:tcW w:w="228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554"/>
        </w:trPr>
        <w:tc>
          <w:tcPr>
            <w:tcW w:w="8040" w:type="dxa"/>
            <w:vAlign w:val="bottom"/>
          </w:tcPr>
          <w:p>
            <w:pPr>
              <w:ind w:left="40"/>
              <w:spacing w:after="0"/>
              <w:rPr>
                <w:sz w:val="20"/>
                <w:szCs w:val="20"/>
                <w:color w:val="auto"/>
              </w:rPr>
            </w:pPr>
            <w:r>
              <w:rPr>
                <w:rFonts w:ascii="Arial" w:cs="Arial" w:eastAsia="Arial" w:hAnsi="Arial"/>
                <w:sz w:val="18"/>
                <w:szCs w:val="18"/>
                <w:b w:val="1"/>
                <w:bCs w:val="1"/>
                <w:color w:val="auto"/>
              </w:rPr>
              <w:t>Other Current Liabilities</w:t>
            </w:r>
          </w:p>
        </w:tc>
        <w:tc>
          <w:tcPr>
            <w:tcW w:w="22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70"/>
        </w:trPr>
        <w:tc>
          <w:tcPr>
            <w:tcW w:w="8040" w:type="dxa"/>
            <w:vAlign w:val="bottom"/>
          </w:tcPr>
          <w:p>
            <w:pPr>
              <w:ind w:left="40"/>
              <w:spacing w:after="0"/>
              <w:rPr>
                <w:sz w:val="20"/>
                <w:szCs w:val="20"/>
                <w:color w:val="auto"/>
              </w:rPr>
            </w:pPr>
            <w:r>
              <w:rPr>
                <w:rFonts w:ascii="Arial" w:cs="Arial" w:eastAsia="Arial" w:hAnsi="Arial"/>
                <w:sz w:val="18"/>
                <w:szCs w:val="18"/>
                <w:b w:val="1"/>
                <w:bCs w:val="1"/>
                <w:color w:val="auto"/>
              </w:rPr>
              <w:t>As of December 31</w:t>
            </w:r>
          </w:p>
        </w:tc>
        <w:tc>
          <w:tcPr>
            <w:tcW w:w="2280" w:type="dxa"/>
            <w:vAlign w:val="bottom"/>
          </w:tcPr>
          <w:p>
            <w:pPr>
              <w:jc w:val="right"/>
              <w:ind w:right="510"/>
              <w:spacing w:after="0"/>
              <w:rPr>
                <w:sz w:val="20"/>
                <w:szCs w:val="20"/>
                <w:color w:val="auto"/>
              </w:rPr>
            </w:pPr>
            <w:r>
              <w:rPr>
                <w:rFonts w:ascii="Arial" w:cs="Arial" w:eastAsia="Arial" w:hAnsi="Arial"/>
                <w:sz w:val="18"/>
                <w:szCs w:val="18"/>
                <w:b w:val="1"/>
                <w:bCs w:val="1"/>
                <w:color w:val="auto"/>
              </w:rPr>
              <w:t>2012</w:t>
            </w: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rPr>
              <w:t>2011</w:t>
            </w:r>
          </w:p>
        </w:tc>
      </w:tr>
      <w:tr>
        <w:trPr>
          <w:trHeight w:val="27"/>
        </w:trPr>
        <w:tc>
          <w:tcPr>
            <w:tcW w:w="804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804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28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7"/>
        </w:trPr>
        <w:tc>
          <w:tcPr>
            <w:tcW w:w="80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Customer Deposits </w:t>
            </w:r>
            <w:r>
              <w:rPr>
                <w:rFonts w:ascii="Arial" w:cs="Arial" w:eastAsia="Arial" w:hAnsi="Arial"/>
                <w:sz w:val="18"/>
                <w:szCs w:val="18"/>
                <w:i w:val="1"/>
                <w:iCs w:val="1"/>
                <w:color w:val="auto"/>
              </w:rPr>
              <w:t>(a)</w:t>
            </w:r>
          </w:p>
        </w:tc>
        <w:tc>
          <w:tcPr>
            <w:tcW w:w="228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rPr>
              <w:t>$28.8</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$16.3</w:t>
            </w:r>
          </w:p>
        </w:tc>
      </w:tr>
      <w:tr>
        <w:trPr>
          <w:trHeight w:val="243"/>
        </w:trPr>
        <w:tc>
          <w:tcPr>
            <w:tcW w:w="8040" w:type="dxa"/>
            <w:vAlign w:val="bottom"/>
          </w:tcPr>
          <w:p>
            <w:pPr>
              <w:ind w:left="40"/>
              <w:spacing w:after="0"/>
              <w:rPr>
                <w:sz w:val="20"/>
                <w:szCs w:val="20"/>
                <w:color w:val="auto"/>
              </w:rPr>
            </w:pPr>
            <w:r>
              <w:rPr>
                <w:rFonts w:ascii="Arial" w:cs="Arial" w:eastAsia="Arial" w:hAnsi="Arial"/>
                <w:sz w:val="18"/>
                <w:szCs w:val="18"/>
                <w:color w:val="auto"/>
              </w:rPr>
              <w:t>Other</w:t>
            </w:r>
          </w:p>
        </w:tc>
        <w:tc>
          <w:tcPr>
            <w:tcW w:w="2280" w:type="dxa"/>
            <w:vAlign w:val="bottom"/>
          </w:tcPr>
          <w:p>
            <w:pPr>
              <w:jc w:val="right"/>
              <w:ind w:right="510"/>
              <w:spacing w:after="0"/>
              <w:rPr>
                <w:sz w:val="20"/>
                <w:szCs w:val="20"/>
                <w:color w:val="auto"/>
              </w:rPr>
            </w:pPr>
            <w:r>
              <w:rPr>
                <w:rFonts w:ascii="Arial" w:cs="Arial" w:eastAsia="Arial" w:hAnsi="Arial"/>
                <w:sz w:val="18"/>
                <w:szCs w:val="18"/>
                <w:color w:val="auto"/>
              </w:rPr>
              <w:t>33.8</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29.3</w:t>
            </w:r>
          </w:p>
        </w:tc>
      </w:tr>
      <w:tr>
        <w:trPr>
          <w:trHeight w:val="27"/>
        </w:trPr>
        <w:tc>
          <w:tcPr>
            <w:tcW w:w="804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8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Other Current Liabilities</w:t>
            </w:r>
          </w:p>
        </w:tc>
        <w:tc>
          <w:tcPr>
            <w:tcW w:w="228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$62.6</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$45.6</w:t>
            </w:r>
          </w:p>
        </w:tc>
      </w:tr>
      <w:tr>
        <w:trPr>
          <w:trHeight w:val="27"/>
        </w:trPr>
        <w:tc>
          <w:tcPr>
            <w:tcW w:w="8040" w:type="dxa"/>
            <w:vAlign w:val="bottom"/>
            <w:shd w:val="clear" w:color="auto" w:fill="CCEEFF"/>
          </w:tcPr>
          <w:p>
            <w:pPr>
              <w:spacing w:after="0"/>
              <w:rPr>
                <w:sz w:val="2"/>
                <w:szCs w:val="2"/>
                <w:color w:val="auto"/>
              </w:rPr>
            </w:pPr>
          </w:p>
        </w:tc>
        <w:tc>
          <w:tcPr>
            <w:tcW w:w="228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tabs>
          <w:tab w:leader="none" w:pos="320" w:val="left"/>
        </w:tabs>
        <w:rPr>
          <w:sz w:val="20"/>
          <w:szCs w:val="20"/>
          <w:color w:val="auto"/>
        </w:rPr>
      </w:pPr>
      <w:r>
        <w:rPr>
          <w:rFonts w:ascii="Arial" w:cs="Arial" w:eastAsia="Arial" w:hAnsi="Arial"/>
          <w:sz w:val="16"/>
          <w:szCs w:val="16"/>
          <w:i w:val="1"/>
          <w:iCs w:val="1"/>
          <w:color w:val="auto"/>
        </w:rPr>
        <w:t>(a)</w:t>
      </w:r>
      <w:r>
        <w:rPr>
          <w:sz w:val="20"/>
          <w:szCs w:val="20"/>
          <w:color w:val="auto"/>
        </w:rPr>
        <w:tab/>
      </w:r>
      <w:r>
        <w:rPr>
          <w:rFonts w:ascii="Arial" w:cs="Arial" w:eastAsia="Arial" w:hAnsi="Arial"/>
          <w:sz w:val="14"/>
          <w:szCs w:val="14"/>
          <w:i w:val="1"/>
          <w:iCs w:val="1"/>
          <w:color w:val="auto"/>
        </w:rPr>
        <w:t>Customer deposits were higher in 2012 primarily due to customer security deposits for capital expenditures relating to a transmission project.</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20" w:type="dxa"/>
            <w:vAlign w:val="bottom"/>
          </w:tcPr>
          <w:p>
            <w:pPr>
              <w:ind w:left="40"/>
              <w:spacing w:after="0"/>
              <w:rPr>
                <w:sz w:val="20"/>
                <w:szCs w:val="20"/>
                <w:color w:val="auto"/>
              </w:rPr>
            </w:pPr>
            <w:r>
              <w:rPr>
                <w:rFonts w:ascii="Arial" w:cs="Arial" w:eastAsia="Arial" w:hAnsi="Arial"/>
                <w:sz w:val="18"/>
                <w:szCs w:val="18"/>
                <w:b w:val="1"/>
                <w:bCs w:val="1"/>
                <w:color w:val="auto"/>
              </w:rPr>
              <w:t>Other Non-Current Liabilities</w:t>
            </w:r>
          </w:p>
        </w:tc>
        <w:tc>
          <w:tcPr>
            <w:tcW w:w="434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70"/>
        </w:trPr>
        <w:tc>
          <w:tcPr>
            <w:tcW w:w="5920" w:type="dxa"/>
            <w:vAlign w:val="bottom"/>
          </w:tcPr>
          <w:p>
            <w:pPr>
              <w:ind w:left="40"/>
              <w:spacing w:after="0"/>
              <w:rPr>
                <w:sz w:val="20"/>
                <w:szCs w:val="20"/>
                <w:color w:val="auto"/>
              </w:rPr>
            </w:pPr>
            <w:r>
              <w:rPr>
                <w:rFonts w:ascii="Arial" w:cs="Arial" w:eastAsia="Arial" w:hAnsi="Arial"/>
                <w:sz w:val="18"/>
                <w:szCs w:val="18"/>
                <w:b w:val="1"/>
                <w:bCs w:val="1"/>
                <w:color w:val="auto"/>
              </w:rPr>
              <w:t>As of December 31</w:t>
            </w:r>
          </w:p>
        </w:tc>
        <w:tc>
          <w:tcPr>
            <w:tcW w:w="4340" w:type="dxa"/>
            <w:vAlign w:val="bottom"/>
          </w:tcPr>
          <w:p>
            <w:pPr>
              <w:jc w:val="right"/>
              <w:ind w:right="450"/>
              <w:spacing w:after="0"/>
              <w:rPr>
                <w:sz w:val="20"/>
                <w:szCs w:val="20"/>
                <w:color w:val="auto"/>
              </w:rPr>
            </w:pPr>
            <w:r>
              <w:rPr>
                <w:rFonts w:ascii="Arial" w:cs="Arial" w:eastAsia="Arial" w:hAnsi="Arial"/>
                <w:sz w:val="18"/>
                <w:szCs w:val="18"/>
                <w:b w:val="1"/>
                <w:bCs w:val="1"/>
                <w:color w:val="auto"/>
              </w:rPr>
              <w:t>2012</w:t>
            </w:r>
          </w:p>
        </w:tc>
        <w:tc>
          <w:tcPr>
            <w:tcW w:w="1160" w:type="dxa"/>
            <w:vAlign w:val="bottom"/>
          </w:tcPr>
          <w:p>
            <w:pPr>
              <w:jc w:val="right"/>
              <w:ind w:right="10"/>
              <w:spacing w:after="0"/>
              <w:rPr>
                <w:sz w:val="20"/>
                <w:szCs w:val="20"/>
                <w:color w:val="auto"/>
              </w:rPr>
            </w:pPr>
            <w:r>
              <w:rPr>
                <w:rFonts w:ascii="Arial" w:cs="Arial" w:eastAsia="Arial" w:hAnsi="Arial"/>
                <w:sz w:val="18"/>
                <w:szCs w:val="18"/>
                <w:b w:val="1"/>
                <w:bCs w:val="1"/>
                <w:color w:val="auto"/>
              </w:rPr>
              <w:t>2011</w:t>
            </w:r>
          </w:p>
        </w:tc>
      </w:tr>
      <w:tr>
        <w:trPr>
          <w:trHeight w:val="27"/>
        </w:trPr>
        <w:tc>
          <w:tcPr>
            <w:tcW w:w="5920" w:type="dxa"/>
            <w:vAlign w:val="bottom"/>
            <w:tcBorders>
              <w:bottom w:val="single" w:sz="8" w:color="auto"/>
            </w:tcBorders>
          </w:tcPr>
          <w:p>
            <w:pPr>
              <w:spacing w:after="0"/>
              <w:rPr>
                <w:sz w:val="2"/>
                <w:szCs w:val="2"/>
                <w:color w:val="auto"/>
              </w:rPr>
            </w:pPr>
          </w:p>
        </w:tc>
        <w:tc>
          <w:tcPr>
            <w:tcW w:w="4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7"/>
        </w:trPr>
        <w:tc>
          <w:tcPr>
            <w:tcW w:w="592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434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7"/>
        </w:trPr>
        <w:tc>
          <w:tcPr>
            <w:tcW w:w="5920" w:type="dxa"/>
            <w:vAlign w:val="bottom"/>
          </w:tcPr>
          <w:p>
            <w:pPr>
              <w:spacing w:after="0"/>
              <w:rPr>
                <w:sz w:val="2"/>
                <w:szCs w:val="2"/>
                <w:color w:val="auto"/>
              </w:rPr>
            </w:pPr>
          </w:p>
        </w:tc>
        <w:tc>
          <w:tcPr>
            <w:tcW w:w="43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 Retirement Obligation</w:t>
            </w:r>
          </w:p>
        </w:tc>
        <w:tc>
          <w:tcPr>
            <w:tcW w:w="434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$77.9</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$57.0</w:t>
            </w:r>
          </w:p>
        </w:tc>
      </w:tr>
      <w:tr>
        <w:trPr>
          <w:trHeight w:val="243"/>
        </w:trPr>
        <w:tc>
          <w:tcPr>
            <w:tcW w:w="5920" w:type="dxa"/>
            <w:vAlign w:val="bottom"/>
          </w:tcPr>
          <w:p>
            <w:pPr>
              <w:ind w:left="40"/>
              <w:spacing w:after="0"/>
              <w:rPr>
                <w:sz w:val="20"/>
                <w:szCs w:val="20"/>
                <w:color w:val="auto"/>
              </w:rPr>
            </w:pPr>
            <w:r>
              <w:rPr>
                <w:rFonts w:ascii="Arial" w:cs="Arial" w:eastAsia="Arial" w:hAnsi="Arial"/>
                <w:sz w:val="18"/>
                <w:szCs w:val="18"/>
                <w:color w:val="auto"/>
              </w:rPr>
              <w:t>Other</w:t>
            </w:r>
          </w:p>
        </w:tc>
        <w:tc>
          <w:tcPr>
            <w:tcW w:w="4340" w:type="dxa"/>
            <w:vAlign w:val="bottom"/>
          </w:tcPr>
          <w:p>
            <w:pPr>
              <w:jc w:val="right"/>
              <w:ind w:right="450"/>
              <w:spacing w:after="0"/>
              <w:rPr>
                <w:sz w:val="20"/>
                <w:szCs w:val="20"/>
                <w:color w:val="auto"/>
              </w:rPr>
            </w:pPr>
            <w:r>
              <w:rPr>
                <w:rFonts w:ascii="Arial" w:cs="Arial" w:eastAsia="Arial" w:hAnsi="Arial"/>
                <w:sz w:val="18"/>
                <w:szCs w:val="18"/>
                <w:color w:val="auto"/>
              </w:rPr>
              <w:t>45.4</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48.1</w:t>
            </w:r>
          </w:p>
        </w:tc>
      </w:tr>
      <w:tr>
        <w:trPr>
          <w:trHeight w:val="27"/>
        </w:trPr>
        <w:tc>
          <w:tcPr>
            <w:tcW w:w="5920" w:type="dxa"/>
            <w:vAlign w:val="bottom"/>
            <w:tcBorders>
              <w:bottom w:val="single" w:sz="8" w:color="auto"/>
            </w:tcBorders>
          </w:tcPr>
          <w:p>
            <w:pPr>
              <w:spacing w:after="0"/>
              <w:rPr>
                <w:sz w:val="2"/>
                <w:szCs w:val="2"/>
                <w:color w:val="auto"/>
              </w:rPr>
            </w:pPr>
          </w:p>
        </w:tc>
        <w:tc>
          <w:tcPr>
            <w:tcW w:w="4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5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Other Non-Current Liabilities</w:t>
            </w:r>
          </w:p>
        </w:tc>
        <w:tc>
          <w:tcPr>
            <w:tcW w:w="434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$123.3</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$105.1</w:t>
            </w:r>
          </w:p>
        </w:tc>
      </w:tr>
      <w:tr>
        <w:trPr>
          <w:trHeight w:val="20"/>
        </w:trPr>
        <w:tc>
          <w:tcPr>
            <w:tcW w:w="5920" w:type="dxa"/>
            <w:vAlign w:val="bottom"/>
            <w:shd w:val="clear" w:color="auto" w:fill="000000"/>
          </w:tcPr>
          <w:p>
            <w:pPr>
              <w:spacing w:after="0" w:line="20" w:lineRule="exact"/>
              <w:rPr>
                <w:sz w:val="1"/>
                <w:szCs w:val="1"/>
                <w:color w:val="auto"/>
              </w:rPr>
            </w:pPr>
          </w:p>
        </w:tc>
        <w:tc>
          <w:tcPr>
            <w:tcW w:w="4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r>
    </w:tbl>
    <w:p>
      <w:pPr>
        <w:spacing w:after="0" w:line="19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Environmental Liabilities. </w:t>
      </w:r>
      <w:r>
        <w:rPr>
          <w:rFonts w:ascii="Arial" w:cs="Arial" w:eastAsia="Arial" w:hAnsi="Arial"/>
          <w:sz w:val="18"/>
          <w:szCs w:val="18"/>
          <w:color w:val="auto"/>
        </w:rPr>
        <w:t>We review environmental matters for disclosure on a quarterly basis. Accruals for environmental matters are recorded when it is</w:t>
      </w:r>
      <w:r>
        <w:rPr>
          <w:rFonts w:ascii="Arial" w:cs="Arial" w:eastAsia="Arial" w:hAnsi="Arial"/>
          <w:sz w:val="18"/>
          <w:szCs w:val="18"/>
          <w:b w:val="1"/>
          <w:bCs w:val="1"/>
          <w:color w:val="auto"/>
        </w:rPr>
        <w:t xml:space="preserve"> </w:t>
      </w:r>
      <w:r>
        <w:rPr>
          <w:rFonts w:ascii="Arial" w:cs="Arial" w:eastAsia="Arial" w:hAnsi="Arial"/>
          <w:sz w:val="18"/>
          <w:szCs w:val="18"/>
          <w:color w:val="auto"/>
        </w:rPr>
        <w:t>probable that a liability has been incurred and the amount of the liability can be reasonably estimated, based on current law and existing technologies. These accruals are adjusted periodically as assessment and remediation efforts progress or as additional technical or legal information becomes available. Accruals for environmental liabilities are included in the balance sheet at undiscounted amounts and exclude claims for recoveries from insurance or other third parties. Costs related to environmental contamination treatment and cleanup are charged to operating expense unless recoverable in rates from customers. (See Note 11. Commitments, Guarantees and Contingencies.)</w:t>
      </w:r>
    </w:p>
    <w:p>
      <w:pPr>
        <w:spacing w:after="0" w:line="188"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 xml:space="preserve">Revenue Recognition. </w:t>
      </w:r>
      <w:r>
        <w:rPr>
          <w:rFonts w:ascii="Arial" w:cs="Arial" w:eastAsia="Arial" w:hAnsi="Arial"/>
          <w:sz w:val="17"/>
          <w:szCs w:val="17"/>
          <w:color w:val="auto"/>
        </w:rPr>
        <w:t>Regulated utility rates are under the jurisdiction of Minnesota, Wisconsin and federal regulatory authorities. Customers are billed on a</w:t>
      </w:r>
      <w:r>
        <w:rPr>
          <w:rFonts w:ascii="Arial" w:cs="Arial" w:eastAsia="Arial" w:hAnsi="Arial"/>
          <w:sz w:val="17"/>
          <w:szCs w:val="17"/>
          <w:b w:val="1"/>
          <w:bCs w:val="1"/>
          <w:color w:val="auto"/>
        </w:rPr>
        <w:t xml:space="preserve"> </w:t>
      </w:r>
      <w:r>
        <w:rPr>
          <w:rFonts w:ascii="Arial" w:cs="Arial" w:eastAsia="Arial" w:hAnsi="Arial"/>
          <w:sz w:val="17"/>
          <w:szCs w:val="17"/>
          <w:color w:val="auto"/>
        </w:rPr>
        <w:t>cycle basis. Revenue is accrued for service provided but not billed. Regulated utility electric rates include adjustment clauses that: (1) bill or credit customers for fuel and purchased energy costs above or below the base levels in rate schedules; (2) bill retail customers for the recovery of conservation improvement program expenditures not collected in base rates; and (3) bill customers for the recovery of certain transmission and renewable energy expenditures. Fuel and purchased power expense is deferred to match the period in which the revenue for fuel and purchased power expense is collected from customers pursuant to the fuel adjustment clause. BNI recognizes revenue when coal is delivered.</w:t>
      </w:r>
    </w:p>
    <w:p>
      <w:pPr>
        <w:spacing w:after="0" w:line="17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Minnesota Power participates in MISO. MISO transactions are accounted for on a net hourly basis in each of the day-ahead and real-time markets. Minnesota Power records net sales in Operating Revenue and net purchases in Fuel and Purchased Power Expense on our Consolidated Statement of Income. The revenues and charges from MISO related to serving retail and municipal electric customers are recorded on a net basis as Fuel and Purchased Power Expense.</w:t>
      </w:r>
    </w:p>
    <w:p>
      <w:pPr>
        <w:spacing w:after="0" w:line="143"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 xml:space="preserve">Unamortized Discount and Premium on Debt. </w:t>
      </w:r>
      <w:r>
        <w:rPr>
          <w:rFonts w:ascii="Arial" w:cs="Arial" w:eastAsia="Arial" w:hAnsi="Arial"/>
          <w:sz w:val="18"/>
          <w:szCs w:val="18"/>
          <w:color w:val="auto"/>
        </w:rPr>
        <w:t>Discount and premium on debt are deferred and amortized over the terms of the related debt instruments</w:t>
      </w:r>
      <w:r>
        <w:rPr>
          <w:rFonts w:ascii="Arial" w:cs="Arial" w:eastAsia="Arial" w:hAnsi="Arial"/>
          <w:sz w:val="18"/>
          <w:szCs w:val="18"/>
          <w:b w:val="1"/>
          <w:bCs w:val="1"/>
          <w:color w:val="auto"/>
        </w:rPr>
        <w:t xml:space="preserve"> </w:t>
      </w:r>
      <w:r>
        <w:rPr>
          <w:rFonts w:ascii="Arial" w:cs="Arial" w:eastAsia="Arial" w:hAnsi="Arial"/>
          <w:sz w:val="18"/>
          <w:szCs w:val="18"/>
          <w:color w:val="auto"/>
        </w:rPr>
        <w:t>using the straight-line method which approximates the effective interest method.</w:t>
      </w:r>
    </w:p>
    <w:p>
      <w:pPr>
        <w:spacing w:after="0" w:line="16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color w:val="auto"/>
        </w:rPr>
        <w:t xml:space="preserve">Income Taxes. </w:t>
      </w:r>
      <w:r>
        <w:rPr>
          <w:rFonts w:ascii="Arial" w:cs="Arial" w:eastAsia="Arial" w:hAnsi="Arial"/>
          <w:sz w:val="18"/>
          <w:szCs w:val="18"/>
          <w:color w:val="auto"/>
        </w:rPr>
        <w:t>ALLETE and its subsidiaries file a consolidated federal income tax return and combined and separate state income tax returns. We account for</w:t>
      </w:r>
      <w:r>
        <w:rPr>
          <w:rFonts w:ascii="Arial" w:cs="Arial" w:eastAsia="Arial" w:hAnsi="Arial"/>
          <w:sz w:val="18"/>
          <w:szCs w:val="18"/>
          <w:b w:val="1"/>
          <w:bCs w:val="1"/>
          <w:color w:val="auto"/>
        </w:rPr>
        <w:t xml:space="preserve"> </w:t>
      </w:r>
      <w:r>
        <w:rPr>
          <w:rFonts w:ascii="Arial" w:cs="Arial" w:eastAsia="Arial" w:hAnsi="Arial"/>
          <w:sz w:val="18"/>
          <w:szCs w:val="18"/>
          <w:color w:val="auto"/>
        </w:rPr>
        <w:t>income taxes using the liability method in accordance with the accounting standards for income taxes. Under the liability method, deferred income tax assets and liabilities are established for all temporary differences in the book and tax basis of assets and liabilities, based upon enacted tax laws and rates applicable to the periods in which the taxes become payable. Due to the effects of regulation on Minnesota Power and SWL&amp;P, certain adjustments made to deferred income taxes are, in turn, recorded as regulatory assets or liabilities. Federal investment tax credits have been recorded as deferred credits and are being amortized to income tax expense over the service lives of the related property. In accordance with the accounting standards for uncertainty in income taxes, we are required to recognize in our financial statements the largest tax benefit of a tax position that is “more-likely-than-not” to be sustained on audit, based solely on the technical merits of the position as of the reporting date. The term “more-likely-than-not” means more than 50 percent likely. (See Note 14. Income Tax Expense.)</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2012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364" w:right="23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color w:val="auto"/>
        </w:rPr>
        <w:t>NOTE 1. OPERATIONS AND SIGNIFICANT ACCOUNTING POLICIES (Continued)</w:t>
      </w:r>
    </w:p>
    <w:p>
      <w:pPr>
        <w:spacing w:after="0" w:line="225" w:lineRule="exact"/>
        <w:rPr>
          <w:sz w:val="20"/>
          <w:szCs w:val="20"/>
          <w:color w:val="auto"/>
        </w:rPr>
      </w:pPr>
    </w:p>
    <w:p>
      <w:pPr>
        <w:jc w:val="both"/>
        <w:ind w:right="20"/>
        <w:spacing w:after="0" w:line="313" w:lineRule="auto"/>
        <w:rPr>
          <w:sz w:val="20"/>
          <w:szCs w:val="20"/>
          <w:color w:val="auto"/>
        </w:rPr>
      </w:pPr>
      <w:r>
        <w:rPr>
          <w:rFonts w:ascii="Arial" w:cs="Arial" w:eastAsia="Arial" w:hAnsi="Arial"/>
          <w:sz w:val="17"/>
          <w:szCs w:val="17"/>
          <w:b w:val="1"/>
          <w:bCs w:val="1"/>
          <w:color w:val="auto"/>
        </w:rPr>
        <w:t xml:space="preserve">Excise Taxes. </w:t>
      </w:r>
      <w:r>
        <w:rPr>
          <w:rFonts w:ascii="Arial" w:cs="Arial" w:eastAsia="Arial" w:hAnsi="Arial"/>
          <w:sz w:val="17"/>
          <w:szCs w:val="17"/>
          <w:color w:val="auto"/>
        </w:rPr>
        <w:t>We collect excise taxes from our customers levied by government entities. These taxes are stated separately on the billing to the customer and</w:t>
      </w:r>
      <w:r>
        <w:rPr>
          <w:rFonts w:ascii="Arial" w:cs="Arial" w:eastAsia="Arial" w:hAnsi="Arial"/>
          <w:sz w:val="17"/>
          <w:szCs w:val="17"/>
          <w:b w:val="1"/>
          <w:bCs w:val="1"/>
          <w:color w:val="auto"/>
        </w:rPr>
        <w:t xml:space="preserve"> </w:t>
      </w:r>
      <w:r>
        <w:rPr>
          <w:rFonts w:ascii="Arial" w:cs="Arial" w:eastAsia="Arial" w:hAnsi="Arial"/>
          <w:sz w:val="17"/>
          <w:szCs w:val="17"/>
          <w:color w:val="auto"/>
        </w:rPr>
        <w:t>recorded as a liability to be remitted to the government entity. We account for the collection and payment of these taxes on a net basis.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Standards.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There are no recently issued accounting standard updates applicable for our adoption in future periods.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BUSINESS SEGMENTS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Regulated Operations includes our regulated utilities, Minnesota Power and SWL&amp;P, as well as our investment in ATC, a Wisconsin-based regulated utility that owns and maintains electric transmission assets in parts of Wisconsin, Michigan, Minnesota and Illinois. Investments and Other is comprised primarily of BNI Coal, our coal mining operations in North Dakota, ALLETE Properties, our Florida real estate investment, and ALLETE Clean Energy, our business aimed at developing or acquiring capital projects that create energy solutions via wind, solar, biomass, hydro, natural gas/liquids, shale resources, clean coal and other clean energy innovations. This segment also includes other business development and corporate expenditures, a small amount of non-rate base generation, approximately 6,100 acres of land in Minnesota, and earnings on cash and investments. For a description of our reportable business segments, see Item 1. Business.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8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260" w:type="dxa"/>
            <w:vAlign w:val="bottom"/>
          </w:tcPr>
          <w:p>
            <w:pPr>
              <w:jc w:val="right"/>
              <w:ind w:right="190"/>
              <w:spacing w:after="0"/>
              <w:rPr>
                <w:sz w:val="20"/>
                <w:szCs w:val="20"/>
                <w:color w:val="auto"/>
              </w:rPr>
            </w:pPr>
            <w:r>
              <w:rPr>
                <w:rFonts w:ascii="Arial" w:cs="Arial" w:eastAsia="Arial" w:hAnsi="Arial"/>
                <w:sz w:val="18"/>
                <w:szCs w:val="18"/>
                <w:b w:val="1"/>
                <w:bCs w:val="1"/>
                <w:color w:val="auto"/>
              </w:rPr>
              <w:t>Regulated</w:t>
            </w: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w w:val="91"/>
              </w:rPr>
              <w:t>Investments and</w:t>
            </w:r>
          </w:p>
        </w:tc>
      </w:tr>
      <w:tr>
        <w:trPr>
          <w:trHeight w:val="234"/>
        </w:trPr>
        <w:tc>
          <w:tcPr>
            <w:tcW w:w="6280" w:type="dxa"/>
            <w:vAlign w:val="bottom"/>
          </w:tcPr>
          <w:p>
            <w:pPr>
              <w:spacing w:after="0"/>
              <w:rPr>
                <w:sz w:val="20"/>
                <w:szCs w:val="20"/>
                <w:color w:val="auto"/>
              </w:rPr>
            </w:pPr>
          </w:p>
        </w:tc>
        <w:tc>
          <w:tcPr>
            <w:tcW w:w="2520" w:type="dxa"/>
            <w:vAlign w:val="bottom"/>
          </w:tcPr>
          <w:p>
            <w:pPr>
              <w:jc w:val="right"/>
              <w:ind w:right="190"/>
              <w:spacing w:after="0"/>
              <w:rPr>
                <w:sz w:val="20"/>
                <w:szCs w:val="20"/>
                <w:color w:val="auto"/>
              </w:rPr>
            </w:pPr>
            <w:r>
              <w:rPr>
                <w:rFonts w:ascii="Arial" w:cs="Arial" w:eastAsia="Arial" w:hAnsi="Arial"/>
                <w:sz w:val="18"/>
                <w:szCs w:val="18"/>
                <w:b w:val="1"/>
                <w:bCs w:val="1"/>
                <w:color w:val="auto"/>
              </w:rPr>
              <w:t>Consolidated</w:t>
            </w:r>
          </w:p>
        </w:tc>
        <w:tc>
          <w:tcPr>
            <w:tcW w:w="1260" w:type="dxa"/>
            <w:vAlign w:val="bottom"/>
          </w:tcPr>
          <w:p>
            <w:pPr>
              <w:jc w:val="right"/>
              <w:ind w:right="150"/>
              <w:spacing w:after="0"/>
              <w:rPr>
                <w:sz w:val="20"/>
                <w:szCs w:val="20"/>
                <w:color w:val="auto"/>
              </w:rPr>
            </w:pPr>
            <w:r>
              <w:rPr>
                <w:rFonts w:ascii="Arial" w:cs="Arial" w:eastAsia="Arial" w:hAnsi="Arial"/>
                <w:sz w:val="18"/>
                <w:szCs w:val="18"/>
                <w:b w:val="1"/>
                <w:bCs w:val="1"/>
                <w:color w:val="auto"/>
              </w:rPr>
              <w:t>Operations</w:t>
            </w:r>
          </w:p>
        </w:tc>
        <w:tc>
          <w:tcPr>
            <w:tcW w:w="1360" w:type="dxa"/>
            <w:vAlign w:val="bottom"/>
          </w:tcPr>
          <w:p>
            <w:pPr>
              <w:jc w:val="right"/>
              <w:ind w:right="350"/>
              <w:spacing w:after="0"/>
              <w:rPr>
                <w:sz w:val="20"/>
                <w:szCs w:val="20"/>
                <w:color w:val="auto"/>
              </w:rPr>
            </w:pPr>
            <w:r>
              <w:rPr>
                <w:rFonts w:ascii="Arial" w:cs="Arial" w:eastAsia="Arial" w:hAnsi="Arial"/>
                <w:sz w:val="18"/>
                <w:szCs w:val="18"/>
                <w:b w:val="1"/>
                <w:bCs w:val="1"/>
                <w:color w:val="auto"/>
              </w:rPr>
              <w:t>Other</w:t>
            </w:r>
          </w:p>
        </w:tc>
      </w:tr>
      <w:tr>
        <w:trPr>
          <w:trHeight w:val="27"/>
        </w:trPr>
        <w:tc>
          <w:tcPr>
            <w:tcW w:w="628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7"/>
        </w:trPr>
        <w:tc>
          <w:tcPr>
            <w:tcW w:w="628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5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7"/>
        </w:trPr>
        <w:tc>
          <w:tcPr>
            <w:tcW w:w="628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2012</w:t>
            </w:r>
          </w:p>
        </w:tc>
        <w:tc>
          <w:tcPr>
            <w:tcW w:w="25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Operating Revenue</w:t>
            </w:r>
          </w:p>
        </w:tc>
        <w:tc>
          <w:tcPr>
            <w:tcW w:w="2520" w:type="dxa"/>
            <w:vAlign w:val="bottom"/>
          </w:tcPr>
          <w:p>
            <w:pPr>
              <w:jc w:val="right"/>
              <w:ind w:right="130"/>
              <w:spacing w:after="0"/>
              <w:rPr>
                <w:sz w:val="20"/>
                <w:szCs w:val="20"/>
                <w:color w:val="auto"/>
              </w:rPr>
            </w:pPr>
            <w:r>
              <w:rPr>
                <w:rFonts w:ascii="Arial" w:cs="Arial" w:eastAsia="Arial" w:hAnsi="Arial"/>
                <w:sz w:val="18"/>
                <w:szCs w:val="18"/>
                <w:color w:val="auto"/>
              </w:rPr>
              <w:t>$961.2</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$874.4</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$86.8</w:t>
            </w:r>
          </w:p>
        </w:tc>
      </w:tr>
      <w:tr>
        <w:trPr>
          <w:trHeight w:val="27"/>
        </w:trPr>
        <w:tc>
          <w:tcPr>
            <w:tcW w:w="628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Fuel and Purchased Power Expense</w:t>
            </w:r>
          </w:p>
        </w:tc>
        <w:tc>
          <w:tcPr>
            <w:tcW w:w="25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308.7</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308.7</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Operating and Maintenance Expense</w:t>
            </w:r>
          </w:p>
        </w:tc>
        <w:tc>
          <w:tcPr>
            <w:tcW w:w="2520" w:type="dxa"/>
            <w:vAlign w:val="bottom"/>
          </w:tcPr>
          <w:p>
            <w:pPr>
              <w:jc w:val="right"/>
              <w:ind w:right="130"/>
              <w:spacing w:after="0"/>
              <w:rPr>
                <w:sz w:val="20"/>
                <w:szCs w:val="20"/>
                <w:color w:val="auto"/>
              </w:rPr>
            </w:pPr>
            <w:r>
              <w:rPr>
                <w:rFonts w:ascii="Arial" w:cs="Arial" w:eastAsia="Arial" w:hAnsi="Arial"/>
                <w:sz w:val="18"/>
                <w:szCs w:val="18"/>
                <w:color w:val="auto"/>
              </w:rPr>
              <w:t>397.1</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310.0</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87.1</w:t>
            </w:r>
          </w:p>
        </w:tc>
      </w:tr>
      <w:tr>
        <w:trPr>
          <w:trHeight w:val="27"/>
        </w:trPr>
        <w:tc>
          <w:tcPr>
            <w:tcW w:w="628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5"/>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Expense</w:t>
            </w:r>
          </w:p>
        </w:tc>
        <w:tc>
          <w:tcPr>
            <w:tcW w:w="25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100.2</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93.9</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w:t>
            </w:r>
          </w:p>
        </w:tc>
      </w:tr>
      <w:tr>
        <w:trPr>
          <w:trHeight w:val="237"/>
        </w:trPr>
        <w:tc>
          <w:tcPr>
            <w:tcW w:w="628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Operating Income (Loss)</w:t>
            </w:r>
          </w:p>
        </w:tc>
        <w:tc>
          <w:tcPr>
            <w:tcW w:w="25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155.2</w:t>
            </w: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161.8</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w:t>
            </w:r>
          </w:p>
        </w:tc>
      </w:tr>
      <w:tr>
        <w:trPr>
          <w:trHeight w:val="27"/>
        </w:trPr>
        <w:tc>
          <w:tcPr>
            <w:tcW w:w="628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5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(45.5)</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Equity Earnings in ATC</w:t>
            </w:r>
          </w:p>
        </w:tc>
        <w:tc>
          <w:tcPr>
            <w:tcW w:w="2520" w:type="dxa"/>
            <w:vAlign w:val="bottom"/>
          </w:tcPr>
          <w:p>
            <w:pPr>
              <w:jc w:val="right"/>
              <w:ind w:right="130"/>
              <w:spacing w:after="0"/>
              <w:rPr>
                <w:sz w:val="20"/>
                <w:szCs w:val="20"/>
                <w:color w:val="auto"/>
              </w:rPr>
            </w:pPr>
            <w:r>
              <w:rPr>
                <w:rFonts w:ascii="Arial" w:cs="Arial" w:eastAsia="Arial" w:hAnsi="Arial"/>
                <w:sz w:val="18"/>
                <w:szCs w:val="18"/>
                <w:color w:val="auto"/>
              </w:rPr>
              <w:t>19.4</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19.4</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28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5"/>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w:t>
            </w:r>
          </w:p>
        </w:tc>
        <w:tc>
          <w:tcPr>
            <w:tcW w:w="25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6.0</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0.9</w:t>
            </w:r>
          </w:p>
        </w:tc>
      </w:tr>
      <w:tr>
        <w:trPr>
          <w:trHeight w:val="237"/>
        </w:trPr>
        <w:tc>
          <w:tcPr>
            <w:tcW w:w="628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Income (Loss) Before Non-Controlling Interest and Income Taxes</w:t>
            </w:r>
          </w:p>
        </w:tc>
        <w:tc>
          <w:tcPr>
            <w:tcW w:w="25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135.1</w:t>
            </w: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146.5</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(11.4)</w:t>
            </w:r>
          </w:p>
        </w:tc>
      </w:tr>
      <w:tr>
        <w:trPr>
          <w:trHeight w:val="27"/>
        </w:trPr>
        <w:tc>
          <w:tcPr>
            <w:tcW w:w="628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5"/>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 (Benefit)</w:t>
            </w:r>
          </w:p>
        </w:tc>
        <w:tc>
          <w:tcPr>
            <w:tcW w:w="25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38.0</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50.4</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w:t>
            </w:r>
          </w:p>
        </w:tc>
      </w:tr>
      <w:tr>
        <w:trPr>
          <w:trHeight w:val="237"/>
        </w:trPr>
        <w:tc>
          <w:tcPr>
            <w:tcW w:w="628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Net Income</w:t>
            </w:r>
          </w:p>
        </w:tc>
        <w:tc>
          <w:tcPr>
            <w:tcW w:w="25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97.1</w:t>
            </w: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96.1</w:t>
            </w: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w:t>
            </w:r>
          </w:p>
        </w:tc>
      </w:tr>
      <w:tr>
        <w:trPr>
          <w:trHeight w:val="27"/>
        </w:trPr>
        <w:tc>
          <w:tcPr>
            <w:tcW w:w="628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9"/>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Non-Controlling Interest in Subsidiaries</w:t>
            </w:r>
          </w:p>
        </w:tc>
        <w:tc>
          <w:tcPr>
            <w:tcW w:w="25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628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Net Income Attributable to ALLETE</w:t>
            </w:r>
          </w:p>
        </w:tc>
        <w:tc>
          <w:tcPr>
            <w:tcW w:w="25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$97.1</w:t>
            </w: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$96.1</w:t>
            </w: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w:t>
            </w:r>
          </w:p>
        </w:tc>
      </w:tr>
      <w:tr>
        <w:trPr>
          <w:trHeight w:val="27"/>
        </w:trPr>
        <w:tc>
          <w:tcPr>
            <w:tcW w:w="628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9"/>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25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$3,253.4</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$2,962.4</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$291.0</w:t>
            </w:r>
          </w:p>
        </w:tc>
      </w:tr>
      <w:tr>
        <w:trPr>
          <w:trHeight w:val="237"/>
        </w:trPr>
        <w:tc>
          <w:tcPr>
            <w:tcW w:w="62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Capital Additions</w:t>
            </w:r>
          </w:p>
        </w:tc>
        <w:tc>
          <w:tcPr>
            <w:tcW w:w="25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$432.2</w:t>
            </w: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$418.2</w:t>
            </w: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$14.0</w:t>
            </w:r>
          </w:p>
        </w:tc>
      </w:tr>
      <w:tr>
        <w:trPr>
          <w:trHeight w:val="27"/>
        </w:trPr>
        <w:tc>
          <w:tcPr>
            <w:tcW w:w="628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2012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364" w:right="239" w:bottom="1440" w:gutter="0" w:footer="0" w:header="0"/>
        </w:sectPr>
      </w:pPr>
    </w:p>
    <w:bookmarkStart w:id="75" w:name="page76"/>
    <w:bookmarkEnd w:id="75"/>
    <w:tbl>
      <w:tblPr>
        <w:tblLayout w:type="fixed"/>
        <w:tblInd w:w="0" w:type="dxa"/>
        <w:tblCellMar>
          <w:top w:w="0" w:type="dxa"/>
          <w:left w:w="0" w:type="dxa"/>
          <w:bottom w:w="0" w:type="dxa"/>
          <w:right w:w="0" w:type="dxa"/>
        </w:tblCellMar>
      </w:tblPr>
      <w:tr>
        <w:trPr>
          <w:trHeight w:val="234"/>
        </w:trPr>
        <w:tc>
          <w:tcPr>
            <w:tcW w:w="6140" w:type="dxa"/>
            <w:vAlign w:val="bottom"/>
          </w:tcPr>
          <w:p>
            <w:pPr>
              <w:spacing w:after="0"/>
              <w:rPr>
                <w:sz w:val="20"/>
                <w:szCs w:val="20"/>
                <w:color w:val="auto"/>
              </w:rPr>
            </w:pPr>
            <w:r>
              <w:rPr>
                <w:rFonts w:ascii="Arial" w:cs="Arial" w:eastAsia="Arial" w:hAnsi="Arial"/>
                <w:sz w:val="18"/>
                <w:szCs w:val="18"/>
                <w:b w:val="1"/>
                <w:bCs w:val="1"/>
                <w:color w:val="auto"/>
              </w:rPr>
              <w:t>NOTE 2. BUSINESS SEGMENTS (Continued)</w:t>
            </w:r>
          </w:p>
        </w:tc>
        <w:tc>
          <w:tcPr>
            <w:tcW w:w="24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576"/>
        </w:trPr>
        <w:tc>
          <w:tcPr>
            <w:tcW w:w="614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380" w:type="dxa"/>
            <w:vAlign w:val="bottom"/>
          </w:tcPr>
          <w:p>
            <w:pPr>
              <w:jc w:val="right"/>
              <w:ind w:right="290"/>
              <w:spacing w:after="0"/>
              <w:rPr>
                <w:sz w:val="20"/>
                <w:szCs w:val="20"/>
                <w:color w:val="auto"/>
              </w:rPr>
            </w:pPr>
            <w:r>
              <w:rPr>
                <w:rFonts w:ascii="Arial" w:cs="Arial" w:eastAsia="Arial" w:hAnsi="Arial"/>
                <w:sz w:val="18"/>
                <w:szCs w:val="18"/>
                <w:b w:val="1"/>
                <w:bCs w:val="1"/>
                <w:color w:val="auto"/>
              </w:rPr>
              <w:t>Regulated</w:t>
            </w:r>
          </w:p>
        </w:tc>
        <w:tc>
          <w:tcPr>
            <w:tcW w:w="1440" w:type="dxa"/>
            <w:vAlign w:val="bottom"/>
          </w:tcPr>
          <w:p>
            <w:pPr>
              <w:jc w:val="right"/>
              <w:ind w:right="10"/>
              <w:spacing w:after="0"/>
              <w:rPr>
                <w:sz w:val="20"/>
                <w:szCs w:val="20"/>
                <w:color w:val="auto"/>
              </w:rPr>
            </w:pPr>
            <w:r>
              <w:rPr>
                <w:rFonts w:ascii="Arial" w:cs="Arial" w:eastAsia="Arial" w:hAnsi="Arial"/>
                <w:sz w:val="18"/>
                <w:szCs w:val="18"/>
                <w:b w:val="1"/>
                <w:bCs w:val="1"/>
                <w:color w:val="auto"/>
                <w:w w:val="92"/>
              </w:rPr>
              <w:t>Investments and</w:t>
            </w:r>
          </w:p>
        </w:tc>
      </w:tr>
      <w:tr>
        <w:trPr>
          <w:trHeight w:val="234"/>
        </w:trPr>
        <w:tc>
          <w:tcPr>
            <w:tcW w:w="6140" w:type="dxa"/>
            <w:vAlign w:val="bottom"/>
          </w:tcPr>
          <w:p>
            <w:pPr>
              <w:spacing w:after="0"/>
              <w:rPr>
                <w:sz w:val="20"/>
                <w:szCs w:val="20"/>
                <w:color w:val="auto"/>
              </w:rPr>
            </w:pPr>
          </w:p>
        </w:tc>
        <w:tc>
          <w:tcPr>
            <w:tcW w:w="2460" w:type="dxa"/>
            <w:vAlign w:val="bottom"/>
          </w:tcPr>
          <w:p>
            <w:pPr>
              <w:jc w:val="right"/>
              <w:ind w:right="270"/>
              <w:spacing w:after="0"/>
              <w:rPr>
                <w:sz w:val="20"/>
                <w:szCs w:val="20"/>
                <w:color w:val="auto"/>
              </w:rPr>
            </w:pPr>
            <w:r>
              <w:rPr>
                <w:rFonts w:ascii="Arial" w:cs="Arial" w:eastAsia="Arial" w:hAnsi="Arial"/>
                <w:sz w:val="18"/>
                <w:szCs w:val="18"/>
                <w:b w:val="1"/>
                <w:bCs w:val="1"/>
                <w:color w:val="auto"/>
              </w:rPr>
              <w:t>Consolidated</w:t>
            </w:r>
          </w:p>
        </w:tc>
        <w:tc>
          <w:tcPr>
            <w:tcW w:w="1380" w:type="dxa"/>
            <w:vAlign w:val="bottom"/>
          </w:tcPr>
          <w:p>
            <w:pPr>
              <w:jc w:val="right"/>
              <w:ind w:right="250"/>
              <w:spacing w:after="0"/>
              <w:rPr>
                <w:sz w:val="20"/>
                <w:szCs w:val="20"/>
                <w:color w:val="auto"/>
              </w:rPr>
            </w:pPr>
            <w:r>
              <w:rPr>
                <w:rFonts w:ascii="Arial" w:cs="Arial" w:eastAsia="Arial" w:hAnsi="Arial"/>
                <w:sz w:val="18"/>
                <w:szCs w:val="18"/>
                <w:b w:val="1"/>
                <w:bCs w:val="1"/>
                <w:color w:val="auto"/>
              </w:rPr>
              <w:t>Operations</w:t>
            </w:r>
          </w:p>
        </w:tc>
        <w:tc>
          <w:tcPr>
            <w:tcW w:w="1440" w:type="dxa"/>
            <w:vAlign w:val="bottom"/>
          </w:tcPr>
          <w:p>
            <w:pPr>
              <w:jc w:val="right"/>
              <w:ind w:right="410"/>
              <w:spacing w:after="0"/>
              <w:rPr>
                <w:sz w:val="20"/>
                <w:szCs w:val="20"/>
                <w:color w:val="auto"/>
              </w:rPr>
            </w:pPr>
            <w:r>
              <w:rPr>
                <w:rFonts w:ascii="Arial" w:cs="Arial" w:eastAsia="Arial" w:hAnsi="Arial"/>
                <w:sz w:val="18"/>
                <w:szCs w:val="18"/>
                <w:b w:val="1"/>
                <w:bCs w:val="1"/>
                <w:color w:val="auto"/>
              </w:rPr>
              <w:t>Other</w:t>
            </w:r>
          </w:p>
        </w:tc>
      </w:tr>
      <w:tr>
        <w:trPr>
          <w:trHeight w:val="27"/>
        </w:trPr>
        <w:tc>
          <w:tcPr>
            <w:tcW w:w="614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7"/>
        </w:trPr>
        <w:tc>
          <w:tcPr>
            <w:tcW w:w="614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4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7"/>
        </w:trPr>
        <w:tc>
          <w:tcPr>
            <w:tcW w:w="614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6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2011</w:t>
            </w:r>
          </w:p>
        </w:tc>
        <w:tc>
          <w:tcPr>
            <w:tcW w:w="24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43"/>
        </w:trPr>
        <w:tc>
          <w:tcPr>
            <w:tcW w:w="6140" w:type="dxa"/>
            <w:vAlign w:val="bottom"/>
          </w:tcPr>
          <w:p>
            <w:pPr>
              <w:ind w:left="40"/>
              <w:spacing w:after="0"/>
              <w:rPr>
                <w:sz w:val="20"/>
                <w:szCs w:val="20"/>
                <w:color w:val="auto"/>
              </w:rPr>
            </w:pPr>
            <w:r>
              <w:rPr>
                <w:rFonts w:ascii="Arial" w:cs="Arial" w:eastAsia="Arial" w:hAnsi="Arial"/>
                <w:sz w:val="18"/>
                <w:szCs w:val="18"/>
                <w:color w:val="auto"/>
              </w:rPr>
              <w:t>Operating Revenue</w:t>
            </w:r>
          </w:p>
        </w:tc>
        <w:tc>
          <w:tcPr>
            <w:tcW w:w="2460" w:type="dxa"/>
            <w:vAlign w:val="bottom"/>
          </w:tcPr>
          <w:p>
            <w:pPr>
              <w:jc w:val="right"/>
              <w:ind w:right="150"/>
              <w:spacing w:after="0"/>
              <w:rPr>
                <w:sz w:val="20"/>
                <w:szCs w:val="20"/>
                <w:color w:val="auto"/>
              </w:rPr>
            </w:pPr>
            <w:r>
              <w:rPr>
                <w:rFonts w:ascii="Arial" w:cs="Arial" w:eastAsia="Arial" w:hAnsi="Arial"/>
                <w:sz w:val="18"/>
                <w:szCs w:val="18"/>
                <w:color w:val="auto"/>
              </w:rPr>
              <w:t>$928.2</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$851.9</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$76.3</w:t>
            </w:r>
          </w:p>
        </w:tc>
      </w:tr>
      <w:tr>
        <w:trPr>
          <w:trHeight w:val="27"/>
        </w:trPr>
        <w:tc>
          <w:tcPr>
            <w:tcW w:w="614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6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Fuel and Purchased Power Expense</w:t>
            </w:r>
          </w:p>
        </w:tc>
        <w:tc>
          <w:tcPr>
            <w:tcW w:w="24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306.6</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306.6</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140" w:type="dxa"/>
            <w:vAlign w:val="bottom"/>
          </w:tcPr>
          <w:p>
            <w:pPr>
              <w:ind w:left="40"/>
              <w:spacing w:after="0"/>
              <w:rPr>
                <w:sz w:val="20"/>
                <w:szCs w:val="20"/>
                <w:color w:val="auto"/>
              </w:rPr>
            </w:pPr>
            <w:r>
              <w:rPr>
                <w:rFonts w:ascii="Arial" w:cs="Arial" w:eastAsia="Arial" w:hAnsi="Arial"/>
                <w:sz w:val="18"/>
                <w:szCs w:val="18"/>
                <w:color w:val="auto"/>
              </w:rPr>
              <w:t>Operating and Maintenance Expense</w:t>
            </w:r>
          </w:p>
        </w:tc>
        <w:tc>
          <w:tcPr>
            <w:tcW w:w="2460" w:type="dxa"/>
            <w:vAlign w:val="bottom"/>
          </w:tcPr>
          <w:p>
            <w:pPr>
              <w:jc w:val="right"/>
              <w:ind w:right="150"/>
              <w:spacing w:after="0"/>
              <w:rPr>
                <w:sz w:val="20"/>
                <w:szCs w:val="20"/>
                <w:color w:val="auto"/>
              </w:rPr>
            </w:pPr>
            <w:r>
              <w:rPr>
                <w:rFonts w:ascii="Arial" w:cs="Arial" w:eastAsia="Arial" w:hAnsi="Arial"/>
                <w:sz w:val="18"/>
                <w:szCs w:val="18"/>
                <w:color w:val="auto"/>
              </w:rPr>
              <w:t>381.2</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301.5</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79.7</w:t>
            </w:r>
          </w:p>
        </w:tc>
      </w:tr>
      <w:tr>
        <w:trPr>
          <w:trHeight w:val="27"/>
        </w:trPr>
        <w:tc>
          <w:tcPr>
            <w:tcW w:w="614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5"/>
        </w:trPr>
        <w:tc>
          <w:tcPr>
            <w:tcW w:w="6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Expense</w:t>
            </w:r>
          </w:p>
        </w:tc>
        <w:tc>
          <w:tcPr>
            <w:tcW w:w="24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90.4</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85.4</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w:t>
            </w:r>
          </w:p>
        </w:tc>
      </w:tr>
      <w:tr>
        <w:trPr>
          <w:trHeight w:val="237"/>
        </w:trPr>
        <w:tc>
          <w:tcPr>
            <w:tcW w:w="614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Operating Income (Loss)</w:t>
            </w:r>
          </w:p>
        </w:tc>
        <w:tc>
          <w:tcPr>
            <w:tcW w:w="24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150.0</w:t>
            </w:r>
          </w:p>
        </w:tc>
        <w:tc>
          <w:tcPr>
            <w:tcW w:w="13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158.4</w:t>
            </w: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w:t>
            </w:r>
          </w:p>
        </w:tc>
      </w:tr>
      <w:tr>
        <w:trPr>
          <w:trHeight w:val="27"/>
        </w:trPr>
        <w:tc>
          <w:tcPr>
            <w:tcW w:w="614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6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4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(43.6)</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r>
      <w:tr>
        <w:trPr>
          <w:trHeight w:val="243"/>
        </w:trPr>
        <w:tc>
          <w:tcPr>
            <w:tcW w:w="6140" w:type="dxa"/>
            <w:vAlign w:val="bottom"/>
          </w:tcPr>
          <w:p>
            <w:pPr>
              <w:ind w:left="40"/>
              <w:spacing w:after="0"/>
              <w:rPr>
                <w:sz w:val="20"/>
                <w:szCs w:val="20"/>
                <w:color w:val="auto"/>
              </w:rPr>
            </w:pPr>
            <w:r>
              <w:rPr>
                <w:rFonts w:ascii="Arial" w:cs="Arial" w:eastAsia="Arial" w:hAnsi="Arial"/>
                <w:sz w:val="18"/>
                <w:szCs w:val="18"/>
                <w:color w:val="auto"/>
              </w:rPr>
              <w:t>Equity Earnings in ATC</w:t>
            </w:r>
          </w:p>
        </w:tc>
        <w:tc>
          <w:tcPr>
            <w:tcW w:w="2460" w:type="dxa"/>
            <w:vAlign w:val="bottom"/>
          </w:tcPr>
          <w:p>
            <w:pPr>
              <w:jc w:val="right"/>
              <w:ind w:right="150"/>
              <w:spacing w:after="0"/>
              <w:rPr>
                <w:sz w:val="20"/>
                <w:szCs w:val="20"/>
                <w:color w:val="auto"/>
              </w:rPr>
            </w:pPr>
            <w:r>
              <w:rPr>
                <w:rFonts w:ascii="Arial" w:cs="Arial" w:eastAsia="Arial" w:hAnsi="Arial"/>
                <w:sz w:val="18"/>
                <w:szCs w:val="18"/>
                <w:color w:val="auto"/>
              </w:rPr>
              <w:t>18.4</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18.4</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14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5"/>
        </w:trPr>
        <w:tc>
          <w:tcPr>
            <w:tcW w:w="6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w:t>
            </w:r>
          </w:p>
        </w:tc>
        <w:tc>
          <w:tcPr>
            <w:tcW w:w="24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4.4</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r>
      <w:tr>
        <w:trPr>
          <w:trHeight w:val="237"/>
        </w:trPr>
        <w:tc>
          <w:tcPr>
            <w:tcW w:w="614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Income (Loss) Before Non-Controlling Interest and Income Taxes</w:t>
            </w:r>
          </w:p>
        </w:tc>
        <w:tc>
          <w:tcPr>
            <w:tcW w:w="24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129.2</w:t>
            </w:r>
          </w:p>
        </w:tc>
        <w:tc>
          <w:tcPr>
            <w:tcW w:w="13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143.6</w:t>
            </w: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(14.4)</w:t>
            </w:r>
          </w:p>
        </w:tc>
      </w:tr>
      <w:tr>
        <w:trPr>
          <w:trHeight w:val="27"/>
        </w:trPr>
        <w:tc>
          <w:tcPr>
            <w:tcW w:w="614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5"/>
        </w:trPr>
        <w:tc>
          <w:tcPr>
            <w:tcW w:w="6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 (Benefit)</w:t>
            </w:r>
          </w:p>
        </w:tc>
        <w:tc>
          <w:tcPr>
            <w:tcW w:w="24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35.6</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43.2</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w:t>
            </w:r>
          </w:p>
        </w:tc>
      </w:tr>
      <w:tr>
        <w:trPr>
          <w:trHeight w:val="237"/>
        </w:trPr>
        <w:tc>
          <w:tcPr>
            <w:tcW w:w="614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Net Income (Loss)</w:t>
            </w:r>
          </w:p>
        </w:tc>
        <w:tc>
          <w:tcPr>
            <w:tcW w:w="24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93.6</w:t>
            </w:r>
          </w:p>
        </w:tc>
        <w:tc>
          <w:tcPr>
            <w:tcW w:w="13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100.4</w:t>
            </w: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w:t>
            </w:r>
          </w:p>
        </w:tc>
      </w:tr>
      <w:tr>
        <w:trPr>
          <w:trHeight w:val="27"/>
        </w:trPr>
        <w:tc>
          <w:tcPr>
            <w:tcW w:w="614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69"/>
        </w:trPr>
        <w:tc>
          <w:tcPr>
            <w:tcW w:w="6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Non-Controlling Interest in Subsidiaries</w:t>
            </w:r>
          </w:p>
        </w:tc>
        <w:tc>
          <w:tcPr>
            <w:tcW w:w="24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(0.2)</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37"/>
        </w:trPr>
        <w:tc>
          <w:tcPr>
            <w:tcW w:w="614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Net Income (Loss) Attributable to ALLETE</w:t>
            </w:r>
          </w:p>
        </w:tc>
        <w:tc>
          <w:tcPr>
            <w:tcW w:w="24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$93.8</w:t>
            </w:r>
          </w:p>
        </w:tc>
        <w:tc>
          <w:tcPr>
            <w:tcW w:w="13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$100.4</w:t>
            </w: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w:t>
            </w:r>
          </w:p>
        </w:tc>
      </w:tr>
      <w:tr>
        <w:trPr>
          <w:trHeight w:val="27"/>
        </w:trPr>
        <w:tc>
          <w:tcPr>
            <w:tcW w:w="614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69"/>
        </w:trPr>
        <w:tc>
          <w:tcPr>
            <w:tcW w:w="6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24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$2,876.0</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$2,579.8</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$296.2</w:t>
            </w:r>
          </w:p>
        </w:tc>
      </w:tr>
      <w:tr>
        <w:trPr>
          <w:trHeight w:val="237"/>
        </w:trPr>
        <w:tc>
          <w:tcPr>
            <w:tcW w:w="61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Capital Additions</w:t>
            </w:r>
          </w:p>
        </w:tc>
        <w:tc>
          <w:tcPr>
            <w:tcW w:w="24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$246.8</w:t>
            </w:r>
          </w:p>
        </w:tc>
        <w:tc>
          <w:tcPr>
            <w:tcW w:w="13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$228.0</w:t>
            </w:r>
          </w:p>
        </w:tc>
        <w:tc>
          <w:tcPr>
            <w:tcW w:w="14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$18.8</w:t>
            </w:r>
          </w:p>
        </w:tc>
      </w:tr>
      <w:tr>
        <w:trPr>
          <w:trHeight w:val="27"/>
        </w:trPr>
        <w:tc>
          <w:tcPr>
            <w:tcW w:w="614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bl>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8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260" w:type="dxa"/>
            <w:vAlign w:val="bottom"/>
          </w:tcPr>
          <w:p>
            <w:pPr>
              <w:jc w:val="right"/>
              <w:ind w:right="190"/>
              <w:spacing w:after="0"/>
              <w:rPr>
                <w:sz w:val="20"/>
                <w:szCs w:val="20"/>
                <w:color w:val="auto"/>
              </w:rPr>
            </w:pPr>
            <w:r>
              <w:rPr>
                <w:rFonts w:ascii="Arial" w:cs="Arial" w:eastAsia="Arial" w:hAnsi="Arial"/>
                <w:sz w:val="18"/>
                <w:szCs w:val="18"/>
                <w:b w:val="1"/>
                <w:bCs w:val="1"/>
                <w:color w:val="auto"/>
              </w:rPr>
              <w:t>Regulated</w:t>
            </w: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w w:val="91"/>
              </w:rPr>
              <w:t>Investments and</w:t>
            </w:r>
          </w:p>
        </w:tc>
      </w:tr>
      <w:tr>
        <w:trPr>
          <w:trHeight w:val="234"/>
        </w:trPr>
        <w:tc>
          <w:tcPr>
            <w:tcW w:w="6280" w:type="dxa"/>
            <w:vAlign w:val="bottom"/>
          </w:tcPr>
          <w:p>
            <w:pPr>
              <w:spacing w:after="0"/>
              <w:rPr>
                <w:sz w:val="20"/>
                <w:szCs w:val="20"/>
                <w:color w:val="auto"/>
              </w:rPr>
            </w:pPr>
          </w:p>
        </w:tc>
        <w:tc>
          <w:tcPr>
            <w:tcW w:w="2520" w:type="dxa"/>
            <w:vAlign w:val="bottom"/>
          </w:tcPr>
          <w:p>
            <w:pPr>
              <w:jc w:val="right"/>
              <w:ind w:right="190"/>
              <w:spacing w:after="0"/>
              <w:rPr>
                <w:sz w:val="20"/>
                <w:szCs w:val="20"/>
                <w:color w:val="auto"/>
              </w:rPr>
            </w:pPr>
            <w:r>
              <w:rPr>
                <w:rFonts w:ascii="Arial" w:cs="Arial" w:eastAsia="Arial" w:hAnsi="Arial"/>
                <w:sz w:val="18"/>
                <w:szCs w:val="18"/>
                <w:b w:val="1"/>
                <w:bCs w:val="1"/>
                <w:color w:val="auto"/>
              </w:rPr>
              <w:t>Consolidated</w:t>
            </w:r>
          </w:p>
        </w:tc>
        <w:tc>
          <w:tcPr>
            <w:tcW w:w="1260" w:type="dxa"/>
            <w:vAlign w:val="bottom"/>
          </w:tcPr>
          <w:p>
            <w:pPr>
              <w:jc w:val="right"/>
              <w:ind w:right="150"/>
              <w:spacing w:after="0"/>
              <w:rPr>
                <w:sz w:val="20"/>
                <w:szCs w:val="20"/>
                <w:color w:val="auto"/>
              </w:rPr>
            </w:pPr>
            <w:r>
              <w:rPr>
                <w:rFonts w:ascii="Arial" w:cs="Arial" w:eastAsia="Arial" w:hAnsi="Arial"/>
                <w:sz w:val="18"/>
                <w:szCs w:val="18"/>
                <w:b w:val="1"/>
                <w:bCs w:val="1"/>
                <w:color w:val="auto"/>
              </w:rPr>
              <w:t>Operations</w:t>
            </w:r>
          </w:p>
        </w:tc>
        <w:tc>
          <w:tcPr>
            <w:tcW w:w="1360" w:type="dxa"/>
            <w:vAlign w:val="bottom"/>
          </w:tcPr>
          <w:p>
            <w:pPr>
              <w:jc w:val="right"/>
              <w:ind w:right="350"/>
              <w:spacing w:after="0"/>
              <w:rPr>
                <w:sz w:val="20"/>
                <w:szCs w:val="20"/>
                <w:color w:val="auto"/>
              </w:rPr>
            </w:pPr>
            <w:r>
              <w:rPr>
                <w:rFonts w:ascii="Arial" w:cs="Arial" w:eastAsia="Arial" w:hAnsi="Arial"/>
                <w:sz w:val="18"/>
                <w:szCs w:val="18"/>
                <w:b w:val="1"/>
                <w:bCs w:val="1"/>
                <w:color w:val="auto"/>
              </w:rPr>
              <w:t>Other</w:t>
            </w:r>
          </w:p>
        </w:tc>
      </w:tr>
      <w:tr>
        <w:trPr>
          <w:trHeight w:val="27"/>
        </w:trPr>
        <w:tc>
          <w:tcPr>
            <w:tcW w:w="628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7"/>
        </w:trPr>
        <w:tc>
          <w:tcPr>
            <w:tcW w:w="628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5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7"/>
        </w:trPr>
        <w:tc>
          <w:tcPr>
            <w:tcW w:w="628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2010</w:t>
            </w:r>
          </w:p>
        </w:tc>
        <w:tc>
          <w:tcPr>
            <w:tcW w:w="25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Operating Revenue</w:t>
            </w:r>
          </w:p>
        </w:tc>
        <w:tc>
          <w:tcPr>
            <w:tcW w:w="2520" w:type="dxa"/>
            <w:vAlign w:val="bottom"/>
          </w:tcPr>
          <w:p>
            <w:pPr>
              <w:jc w:val="right"/>
              <w:ind w:right="130"/>
              <w:spacing w:after="0"/>
              <w:rPr>
                <w:sz w:val="20"/>
                <w:szCs w:val="20"/>
                <w:color w:val="auto"/>
              </w:rPr>
            </w:pPr>
            <w:r>
              <w:rPr>
                <w:rFonts w:ascii="Arial" w:cs="Arial" w:eastAsia="Arial" w:hAnsi="Arial"/>
                <w:sz w:val="18"/>
                <w:szCs w:val="18"/>
                <w:color w:val="auto"/>
              </w:rPr>
              <w:t>$907.0</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$835.5</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$71.5</w:t>
            </w:r>
          </w:p>
        </w:tc>
      </w:tr>
      <w:tr>
        <w:trPr>
          <w:trHeight w:val="27"/>
        </w:trPr>
        <w:tc>
          <w:tcPr>
            <w:tcW w:w="628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Fuel and Purchased Power Expense</w:t>
            </w:r>
          </w:p>
        </w:tc>
        <w:tc>
          <w:tcPr>
            <w:tcW w:w="25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325.1</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325.1</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Operating and Maintenance Expense</w:t>
            </w:r>
          </w:p>
        </w:tc>
        <w:tc>
          <w:tcPr>
            <w:tcW w:w="2520" w:type="dxa"/>
            <w:vAlign w:val="bottom"/>
          </w:tcPr>
          <w:p>
            <w:pPr>
              <w:jc w:val="right"/>
              <w:ind w:right="130"/>
              <w:spacing w:after="0"/>
              <w:rPr>
                <w:sz w:val="20"/>
                <w:szCs w:val="20"/>
                <w:color w:val="auto"/>
              </w:rPr>
            </w:pPr>
            <w:r>
              <w:rPr>
                <w:rFonts w:ascii="Arial" w:cs="Arial" w:eastAsia="Arial" w:hAnsi="Arial"/>
                <w:sz w:val="18"/>
                <w:szCs w:val="18"/>
                <w:color w:val="auto"/>
              </w:rPr>
              <w:t>365.6</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292.3</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73.3</w:t>
            </w:r>
          </w:p>
        </w:tc>
      </w:tr>
      <w:tr>
        <w:trPr>
          <w:trHeight w:val="27"/>
        </w:trPr>
        <w:tc>
          <w:tcPr>
            <w:tcW w:w="628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5"/>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Expense</w:t>
            </w:r>
          </w:p>
        </w:tc>
        <w:tc>
          <w:tcPr>
            <w:tcW w:w="25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80.5</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76.1</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w:t>
            </w:r>
          </w:p>
        </w:tc>
      </w:tr>
      <w:tr>
        <w:trPr>
          <w:trHeight w:val="237"/>
        </w:trPr>
        <w:tc>
          <w:tcPr>
            <w:tcW w:w="628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Operating Income (Loss)</w:t>
            </w:r>
          </w:p>
        </w:tc>
        <w:tc>
          <w:tcPr>
            <w:tcW w:w="25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135.8</w:t>
            </w: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142.0</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w:t>
            </w:r>
          </w:p>
        </w:tc>
      </w:tr>
      <w:tr>
        <w:trPr>
          <w:trHeight w:val="27"/>
        </w:trPr>
        <w:tc>
          <w:tcPr>
            <w:tcW w:w="628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5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(39.2)</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Equity Earnings in ATC</w:t>
            </w:r>
          </w:p>
        </w:tc>
        <w:tc>
          <w:tcPr>
            <w:tcW w:w="2520" w:type="dxa"/>
            <w:vAlign w:val="bottom"/>
          </w:tcPr>
          <w:p>
            <w:pPr>
              <w:jc w:val="right"/>
              <w:ind w:right="130"/>
              <w:spacing w:after="0"/>
              <w:rPr>
                <w:sz w:val="20"/>
                <w:szCs w:val="20"/>
                <w:color w:val="auto"/>
              </w:rPr>
            </w:pPr>
            <w:r>
              <w:rPr>
                <w:rFonts w:ascii="Arial" w:cs="Arial" w:eastAsia="Arial" w:hAnsi="Arial"/>
                <w:sz w:val="18"/>
                <w:szCs w:val="18"/>
                <w:color w:val="auto"/>
              </w:rPr>
              <w:t>17.9</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17.9</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28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5"/>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w:t>
            </w:r>
          </w:p>
        </w:tc>
        <w:tc>
          <w:tcPr>
            <w:tcW w:w="25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4.6</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0.8</w:t>
            </w:r>
          </w:p>
        </w:tc>
      </w:tr>
      <w:tr>
        <w:trPr>
          <w:trHeight w:val="237"/>
        </w:trPr>
        <w:tc>
          <w:tcPr>
            <w:tcW w:w="628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Income (Loss) Before Non-Controlling Interest and Income Taxes</w:t>
            </w:r>
          </w:p>
        </w:tc>
        <w:tc>
          <w:tcPr>
            <w:tcW w:w="25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119.1</w:t>
            </w: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131.4</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(12.3)</w:t>
            </w:r>
          </w:p>
        </w:tc>
      </w:tr>
      <w:tr>
        <w:trPr>
          <w:trHeight w:val="27"/>
        </w:trPr>
        <w:tc>
          <w:tcPr>
            <w:tcW w:w="628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5"/>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 (Benefit)</w:t>
            </w:r>
          </w:p>
        </w:tc>
        <w:tc>
          <w:tcPr>
            <w:tcW w:w="25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44.3</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51.6</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r>
      <w:tr>
        <w:trPr>
          <w:trHeight w:val="237"/>
        </w:trPr>
        <w:tc>
          <w:tcPr>
            <w:tcW w:w="628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Net Income (Loss)</w:t>
            </w:r>
          </w:p>
        </w:tc>
        <w:tc>
          <w:tcPr>
            <w:tcW w:w="25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74.8</w:t>
            </w: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79.8</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w:t>
            </w:r>
          </w:p>
        </w:tc>
      </w:tr>
      <w:tr>
        <w:trPr>
          <w:trHeight w:val="27"/>
        </w:trPr>
        <w:tc>
          <w:tcPr>
            <w:tcW w:w="628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9"/>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Non-Controlling Interest in Subsidiaries</w:t>
            </w:r>
          </w:p>
        </w:tc>
        <w:tc>
          <w:tcPr>
            <w:tcW w:w="25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(0.5)</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r>
      <w:tr>
        <w:trPr>
          <w:trHeight w:val="237"/>
        </w:trPr>
        <w:tc>
          <w:tcPr>
            <w:tcW w:w="628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Net Income (Loss) Attributable to ALLETE</w:t>
            </w:r>
          </w:p>
        </w:tc>
        <w:tc>
          <w:tcPr>
            <w:tcW w:w="25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$75.3</w:t>
            </w: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$79.8</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w:t>
            </w:r>
          </w:p>
        </w:tc>
      </w:tr>
      <w:tr>
        <w:trPr>
          <w:trHeight w:val="27"/>
        </w:trPr>
        <w:tc>
          <w:tcPr>
            <w:tcW w:w="628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9"/>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25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$2,609.1</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$2,375.4</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$233.7</w:t>
            </w:r>
          </w:p>
        </w:tc>
      </w:tr>
      <w:tr>
        <w:trPr>
          <w:trHeight w:val="237"/>
        </w:trPr>
        <w:tc>
          <w:tcPr>
            <w:tcW w:w="62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Capital Additions</w:t>
            </w:r>
          </w:p>
        </w:tc>
        <w:tc>
          <w:tcPr>
            <w:tcW w:w="25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$260.0</w:t>
            </w: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$256.4</w:t>
            </w: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$3.6</w:t>
            </w:r>
          </w:p>
        </w:tc>
      </w:tr>
      <w:tr>
        <w:trPr>
          <w:trHeight w:val="27"/>
        </w:trPr>
        <w:tc>
          <w:tcPr>
            <w:tcW w:w="628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2012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364" w:right="239" w:bottom="1440" w:gutter="0" w:footer="0" w:header="0"/>
        </w:sectPr>
      </w:pPr>
    </w:p>
    <w:bookmarkStart w:id="76" w:name="page77"/>
    <w:bookmarkEnd w:id="76"/>
    <w:tbl>
      <w:tblPr>
        <w:tblLayout w:type="fixed"/>
        <w:tblInd w:w="0" w:type="dxa"/>
        <w:tblCellMar>
          <w:top w:w="0" w:type="dxa"/>
          <w:left w:w="0" w:type="dxa"/>
          <w:bottom w:w="0" w:type="dxa"/>
          <w:right w:w="0" w:type="dxa"/>
        </w:tblCellMar>
      </w:tblPr>
      <w:tr>
        <w:trPr>
          <w:trHeight w:val="234"/>
        </w:trPr>
        <w:tc>
          <w:tcPr>
            <w:tcW w:w="6460" w:type="dxa"/>
            <w:vAlign w:val="bottom"/>
          </w:tcPr>
          <w:p>
            <w:pPr>
              <w:spacing w:after="0"/>
              <w:rPr>
                <w:sz w:val="20"/>
                <w:szCs w:val="20"/>
                <w:color w:val="auto"/>
              </w:rPr>
            </w:pPr>
            <w:r>
              <w:rPr>
                <w:rFonts w:ascii="Arial" w:cs="Arial" w:eastAsia="Arial" w:hAnsi="Arial"/>
                <w:sz w:val="18"/>
                <w:szCs w:val="18"/>
                <w:b w:val="1"/>
                <w:bCs w:val="1"/>
                <w:color w:val="auto"/>
              </w:rPr>
              <w:t>NOTE 3. PROPERTY, PLANT AND EQUIPMENT</w:t>
            </w:r>
          </w:p>
        </w:tc>
        <w:tc>
          <w:tcPr>
            <w:tcW w:w="370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594"/>
        </w:trPr>
        <w:tc>
          <w:tcPr>
            <w:tcW w:w="6460" w:type="dxa"/>
            <w:vAlign w:val="bottom"/>
          </w:tcPr>
          <w:p>
            <w:pPr>
              <w:ind w:left="40"/>
              <w:spacing w:after="0"/>
              <w:rPr>
                <w:sz w:val="20"/>
                <w:szCs w:val="20"/>
                <w:color w:val="auto"/>
              </w:rPr>
            </w:pPr>
            <w:r>
              <w:rPr>
                <w:rFonts w:ascii="Arial" w:cs="Arial" w:eastAsia="Arial" w:hAnsi="Arial"/>
                <w:sz w:val="18"/>
                <w:szCs w:val="18"/>
                <w:b w:val="1"/>
                <w:bCs w:val="1"/>
                <w:color w:val="auto"/>
              </w:rPr>
              <w:t>Property, Plant and Equipment</w:t>
            </w:r>
          </w:p>
        </w:tc>
        <w:tc>
          <w:tcPr>
            <w:tcW w:w="37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70"/>
        </w:trPr>
        <w:tc>
          <w:tcPr>
            <w:tcW w:w="6460" w:type="dxa"/>
            <w:vAlign w:val="bottom"/>
          </w:tcPr>
          <w:p>
            <w:pPr>
              <w:ind w:left="40"/>
              <w:spacing w:after="0"/>
              <w:rPr>
                <w:sz w:val="20"/>
                <w:szCs w:val="20"/>
                <w:color w:val="auto"/>
              </w:rPr>
            </w:pPr>
            <w:r>
              <w:rPr>
                <w:rFonts w:ascii="Arial" w:cs="Arial" w:eastAsia="Arial" w:hAnsi="Arial"/>
                <w:sz w:val="18"/>
                <w:szCs w:val="18"/>
                <w:b w:val="1"/>
                <w:bCs w:val="1"/>
                <w:color w:val="auto"/>
              </w:rPr>
              <w:t>As of December 31</w:t>
            </w:r>
          </w:p>
        </w:tc>
        <w:tc>
          <w:tcPr>
            <w:tcW w:w="3700" w:type="dxa"/>
            <w:vAlign w:val="bottom"/>
          </w:tcPr>
          <w:p>
            <w:pPr>
              <w:jc w:val="right"/>
              <w:ind w:right="770"/>
              <w:spacing w:after="0"/>
              <w:rPr>
                <w:sz w:val="20"/>
                <w:szCs w:val="20"/>
                <w:color w:val="auto"/>
              </w:rPr>
            </w:pPr>
            <w:r>
              <w:rPr>
                <w:rFonts w:ascii="Arial" w:cs="Arial" w:eastAsia="Arial" w:hAnsi="Arial"/>
                <w:sz w:val="18"/>
                <w:szCs w:val="18"/>
                <w:b w:val="1"/>
                <w:bCs w:val="1"/>
                <w:color w:val="auto"/>
              </w:rPr>
              <w:t>2012</w:t>
            </w:r>
          </w:p>
        </w:tc>
        <w:tc>
          <w:tcPr>
            <w:tcW w:w="1260" w:type="dxa"/>
            <w:vAlign w:val="bottom"/>
          </w:tcPr>
          <w:p>
            <w:pPr>
              <w:jc w:val="right"/>
              <w:ind w:right="430"/>
              <w:spacing w:after="0"/>
              <w:rPr>
                <w:sz w:val="20"/>
                <w:szCs w:val="20"/>
                <w:color w:val="auto"/>
              </w:rPr>
            </w:pPr>
            <w:r>
              <w:rPr>
                <w:rFonts w:ascii="Arial" w:cs="Arial" w:eastAsia="Arial" w:hAnsi="Arial"/>
                <w:sz w:val="18"/>
                <w:szCs w:val="18"/>
                <w:b w:val="1"/>
                <w:bCs w:val="1"/>
                <w:color w:val="auto"/>
              </w:rPr>
              <w:t>2011</w:t>
            </w:r>
          </w:p>
        </w:tc>
      </w:tr>
      <w:tr>
        <w:trPr>
          <w:trHeight w:val="27"/>
        </w:trPr>
        <w:tc>
          <w:tcPr>
            <w:tcW w:w="6460" w:type="dxa"/>
            <w:vAlign w:val="bottom"/>
            <w:tcBorders>
              <w:bottom w:val="single" w:sz="8" w:color="auto"/>
            </w:tcBorders>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646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370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7"/>
        </w:trPr>
        <w:tc>
          <w:tcPr>
            <w:tcW w:w="6460" w:type="dxa"/>
            <w:vAlign w:val="bottom"/>
          </w:tcPr>
          <w:p>
            <w:pPr>
              <w:spacing w:after="0"/>
              <w:rPr>
                <w:sz w:val="2"/>
                <w:szCs w:val="2"/>
                <w:color w:val="auto"/>
              </w:rPr>
            </w:pPr>
          </w:p>
        </w:tc>
        <w:tc>
          <w:tcPr>
            <w:tcW w:w="37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Regulated Utility</w:t>
            </w:r>
          </w:p>
        </w:tc>
        <w:tc>
          <w:tcPr>
            <w:tcW w:w="370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$3,232.9</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$2,794.8</w:t>
            </w:r>
          </w:p>
        </w:tc>
      </w:tr>
      <w:tr>
        <w:trPr>
          <w:trHeight w:val="243"/>
        </w:trPr>
        <w:tc>
          <w:tcPr>
            <w:tcW w:w="6460" w:type="dxa"/>
            <w:vAlign w:val="bottom"/>
          </w:tcPr>
          <w:p>
            <w:pPr>
              <w:ind w:left="40"/>
              <w:spacing w:after="0"/>
              <w:rPr>
                <w:sz w:val="20"/>
                <w:szCs w:val="20"/>
                <w:color w:val="auto"/>
              </w:rPr>
            </w:pPr>
            <w:r>
              <w:rPr>
                <w:rFonts w:ascii="Arial" w:cs="Arial" w:eastAsia="Arial" w:hAnsi="Arial"/>
                <w:sz w:val="18"/>
                <w:szCs w:val="18"/>
                <w:color w:val="auto"/>
              </w:rPr>
              <w:t>Construction Work in Progress</w:t>
            </w:r>
          </w:p>
        </w:tc>
        <w:tc>
          <w:tcPr>
            <w:tcW w:w="3700" w:type="dxa"/>
            <w:vAlign w:val="bottom"/>
          </w:tcPr>
          <w:p>
            <w:pPr>
              <w:jc w:val="right"/>
              <w:ind w:right="350"/>
              <w:spacing w:after="0"/>
              <w:rPr>
                <w:sz w:val="20"/>
                <w:szCs w:val="20"/>
                <w:color w:val="auto"/>
              </w:rPr>
            </w:pPr>
            <w:r>
              <w:rPr>
                <w:rFonts w:ascii="Arial" w:cs="Arial" w:eastAsia="Arial" w:hAnsi="Arial"/>
                <w:sz w:val="18"/>
                <w:szCs w:val="18"/>
                <w:color w:val="auto"/>
              </w:rPr>
              <w:t>151.8</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155.0</w:t>
            </w:r>
          </w:p>
        </w:tc>
      </w:tr>
      <w:tr>
        <w:trPr>
          <w:trHeight w:val="27"/>
        </w:trPr>
        <w:tc>
          <w:tcPr>
            <w:tcW w:w="6460" w:type="dxa"/>
            <w:vAlign w:val="bottom"/>
          </w:tcPr>
          <w:p>
            <w:pPr>
              <w:spacing w:after="0"/>
              <w:rPr>
                <w:sz w:val="2"/>
                <w:szCs w:val="2"/>
                <w:color w:val="auto"/>
              </w:rPr>
            </w:pPr>
          </w:p>
        </w:tc>
        <w:tc>
          <w:tcPr>
            <w:tcW w:w="37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5"/>
        </w:trPr>
        <w:tc>
          <w:tcPr>
            <w:tcW w:w="6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Depreciation</w:t>
            </w:r>
          </w:p>
        </w:tc>
        <w:tc>
          <w:tcPr>
            <w:tcW w:w="37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(1,102.8)</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(1,024.6)</w:t>
            </w:r>
          </w:p>
        </w:tc>
      </w:tr>
      <w:tr>
        <w:trPr>
          <w:trHeight w:val="237"/>
        </w:trPr>
        <w:tc>
          <w:tcPr>
            <w:tcW w:w="646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Regulated Utility Plant - Net</w:t>
            </w:r>
          </w:p>
        </w:tc>
        <w:tc>
          <w:tcPr>
            <w:tcW w:w="370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rPr>
              <w:t>2,281.9</w:t>
            </w: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1,925.2</w:t>
            </w:r>
          </w:p>
        </w:tc>
      </w:tr>
      <w:tr>
        <w:trPr>
          <w:trHeight w:val="27"/>
        </w:trPr>
        <w:tc>
          <w:tcPr>
            <w:tcW w:w="6460" w:type="dxa"/>
            <w:vAlign w:val="bottom"/>
            <w:tcBorders>
              <w:bottom w:val="single" w:sz="8" w:color="auto"/>
            </w:tcBorders>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6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Non-Rate Base Energy Operations</w:t>
            </w:r>
          </w:p>
        </w:tc>
        <w:tc>
          <w:tcPr>
            <w:tcW w:w="370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118.0</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106.4</w:t>
            </w:r>
          </w:p>
        </w:tc>
      </w:tr>
      <w:tr>
        <w:trPr>
          <w:trHeight w:val="243"/>
        </w:trPr>
        <w:tc>
          <w:tcPr>
            <w:tcW w:w="6460" w:type="dxa"/>
            <w:vAlign w:val="bottom"/>
          </w:tcPr>
          <w:p>
            <w:pPr>
              <w:ind w:left="40"/>
              <w:spacing w:after="0"/>
              <w:rPr>
                <w:sz w:val="20"/>
                <w:szCs w:val="20"/>
                <w:color w:val="auto"/>
              </w:rPr>
            </w:pPr>
            <w:r>
              <w:rPr>
                <w:rFonts w:ascii="Arial" w:cs="Arial" w:eastAsia="Arial" w:hAnsi="Arial"/>
                <w:sz w:val="18"/>
                <w:szCs w:val="18"/>
                <w:color w:val="auto"/>
              </w:rPr>
              <w:t>Construction Work in Progress</w:t>
            </w:r>
          </w:p>
        </w:tc>
        <w:tc>
          <w:tcPr>
            <w:tcW w:w="3700" w:type="dxa"/>
            <w:vAlign w:val="bottom"/>
          </w:tcPr>
          <w:p>
            <w:pPr>
              <w:jc w:val="right"/>
              <w:ind w:right="350"/>
              <w:spacing w:after="0"/>
              <w:rPr>
                <w:sz w:val="20"/>
                <w:szCs w:val="20"/>
                <w:color w:val="auto"/>
              </w:rPr>
            </w:pPr>
            <w:r>
              <w:rPr>
                <w:rFonts w:ascii="Arial" w:cs="Arial" w:eastAsia="Arial" w:hAnsi="Arial"/>
                <w:sz w:val="18"/>
                <w:szCs w:val="18"/>
                <w:color w:val="auto"/>
              </w:rPr>
              <w:t>4.2</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2.3</w:t>
            </w:r>
          </w:p>
        </w:tc>
      </w:tr>
      <w:tr>
        <w:trPr>
          <w:trHeight w:val="27"/>
        </w:trPr>
        <w:tc>
          <w:tcPr>
            <w:tcW w:w="6460" w:type="dxa"/>
            <w:vAlign w:val="bottom"/>
          </w:tcPr>
          <w:p>
            <w:pPr>
              <w:spacing w:after="0"/>
              <w:rPr>
                <w:sz w:val="2"/>
                <w:szCs w:val="2"/>
                <w:color w:val="auto"/>
              </w:rPr>
            </w:pPr>
          </w:p>
        </w:tc>
        <w:tc>
          <w:tcPr>
            <w:tcW w:w="37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5"/>
        </w:trPr>
        <w:tc>
          <w:tcPr>
            <w:tcW w:w="6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Depreciation</w:t>
            </w:r>
          </w:p>
        </w:tc>
        <w:tc>
          <w:tcPr>
            <w:tcW w:w="37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(56.7)</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(51.4)</w:t>
            </w:r>
          </w:p>
        </w:tc>
      </w:tr>
      <w:tr>
        <w:trPr>
          <w:trHeight w:val="237"/>
        </w:trPr>
        <w:tc>
          <w:tcPr>
            <w:tcW w:w="646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Non-Rate Base Energy Operations Plant - Net</w:t>
            </w:r>
          </w:p>
        </w:tc>
        <w:tc>
          <w:tcPr>
            <w:tcW w:w="370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rPr>
              <w:t>65.5</w:t>
            </w: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57.3</w:t>
            </w:r>
          </w:p>
        </w:tc>
      </w:tr>
      <w:tr>
        <w:trPr>
          <w:trHeight w:val="27"/>
        </w:trPr>
        <w:tc>
          <w:tcPr>
            <w:tcW w:w="6460" w:type="dxa"/>
            <w:vAlign w:val="bottom"/>
            <w:tcBorders>
              <w:bottom w:val="single" w:sz="8" w:color="auto"/>
            </w:tcBorders>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9"/>
        </w:trPr>
        <w:tc>
          <w:tcPr>
            <w:tcW w:w="6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Plant - Net</w:t>
            </w:r>
          </w:p>
        </w:tc>
        <w:tc>
          <w:tcPr>
            <w:tcW w:w="370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0.2</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w:t>
            </w:r>
          </w:p>
        </w:tc>
      </w:tr>
      <w:tr>
        <w:trPr>
          <w:trHeight w:val="237"/>
        </w:trPr>
        <w:tc>
          <w:tcPr>
            <w:tcW w:w="646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Property, Plant and Equipment - Net</w:t>
            </w:r>
          </w:p>
        </w:tc>
        <w:tc>
          <w:tcPr>
            <w:tcW w:w="370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rPr>
              <w:t>$2,347.6</w:t>
            </w: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$1,982.7</w:t>
            </w:r>
          </w:p>
        </w:tc>
      </w:tr>
      <w:tr>
        <w:trPr>
          <w:trHeight w:val="27"/>
        </w:trPr>
        <w:tc>
          <w:tcPr>
            <w:tcW w:w="6460" w:type="dxa"/>
            <w:vAlign w:val="bottom"/>
            <w:tcBorders>
              <w:bottom w:val="single" w:sz="8" w:color="auto"/>
            </w:tcBorders>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Depreciation is computed using the straight-line method over the estimated useful lives of the various classes of assets.</w:t>
      </w:r>
    </w:p>
    <w:p>
      <w:pPr>
        <w:spacing w:after="0" w:line="38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Estimated Useful Lives of Property, Plant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803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00" w:type="dxa"/>
            <w:vAlign w:val="bottom"/>
          </w:tcPr>
          <w:p>
            <w:pPr>
              <w:ind w:left="40"/>
              <w:spacing w:after="0"/>
              <w:rPr>
                <w:sz w:val="20"/>
                <w:szCs w:val="20"/>
                <w:color w:val="auto"/>
              </w:rPr>
            </w:pPr>
            <w:r>
              <w:rPr>
                <w:rFonts w:ascii="Arial" w:cs="Arial" w:eastAsia="Arial" w:hAnsi="Arial"/>
                <w:sz w:val="18"/>
                <w:szCs w:val="18"/>
                <w:color w:val="auto"/>
              </w:rPr>
              <w:t>Regulated Utility –</w:t>
            </w:r>
          </w:p>
        </w:tc>
        <w:tc>
          <w:tcPr>
            <w:tcW w:w="1620" w:type="dxa"/>
            <w:vAlign w:val="bottom"/>
          </w:tcPr>
          <w:p>
            <w:pPr>
              <w:ind w:left="280"/>
              <w:spacing w:after="0"/>
              <w:rPr>
                <w:sz w:val="20"/>
                <w:szCs w:val="20"/>
                <w:color w:val="auto"/>
              </w:rPr>
            </w:pPr>
            <w:r>
              <w:rPr>
                <w:rFonts w:ascii="Arial" w:cs="Arial" w:eastAsia="Arial" w:hAnsi="Arial"/>
                <w:sz w:val="18"/>
                <w:szCs w:val="18"/>
                <w:color w:val="auto"/>
              </w:rPr>
              <w:t>Generation</w:t>
            </w:r>
          </w:p>
        </w:tc>
        <w:tc>
          <w:tcPr>
            <w:tcW w:w="2020" w:type="dxa"/>
            <w:vAlign w:val="bottom"/>
          </w:tcPr>
          <w:p>
            <w:pPr>
              <w:ind w:left="380"/>
              <w:spacing w:after="0"/>
              <w:rPr>
                <w:sz w:val="20"/>
                <w:szCs w:val="20"/>
                <w:color w:val="auto"/>
              </w:rPr>
            </w:pPr>
            <w:r>
              <w:rPr>
                <w:rFonts w:ascii="Arial" w:cs="Arial" w:eastAsia="Arial" w:hAnsi="Arial"/>
                <w:sz w:val="18"/>
                <w:szCs w:val="18"/>
                <w:color w:val="auto"/>
              </w:rPr>
              <w:t>3 to 35 years</w:t>
            </w:r>
          </w:p>
        </w:tc>
        <w:tc>
          <w:tcPr>
            <w:tcW w:w="3140" w:type="dxa"/>
            <w:vAlign w:val="bottom"/>
          </w:tcPr>
          <w:p>
            <w:pPr>
              <w:ind w:left="640"/>
              <w:spacing w:after="0"/>
              <w:rPr>
                <w:sz w:val="20"/>
                <w:szCs w:val="20"/>
                <w:color w:val="auto"/>
              </w:rPr>
            </w:pPr>
            <w:r>
              <w:rPr>
                <w:rFonts w:ascii="Arial" w:cs="Arial" w:eastAsia="Arial" w:hAnsi="Arial"/>
                <w:sz w:val="18"/>
                <w:szCs w:val="18"/>
                <w:color w:val="auto"/>
              </w:rPr>
              <w:t>Non-Rate Base Operations</w:t>
            </w:r>
          </w:p>
        </w:tc>
        <w:tc>
          <w:tcPr>
            <w:tcW w:w="2940" w:type="dxa"/>
            <w:vAlign w:val="bottom"/>
          </w:tcPr>
          <w:p>
            <w:pPr>
              <w:ind w:left="580"/>
              <w:spacing w:after="0"/>
              <w:rPr>
                <w:sz w:val="20"/>
                <w:szCs w:val="20"/>
                <w:color w:val="auto"/>
              </w:rPr>
            </w:pPr>
            <w:r>
              <w:rPr>
                <w:rFonts w:ascii="Arial" w:cs="Arial" w:eastAsia="Arial" w:hAnsi="Arial"/>
                <w:sz w:val="18"/>
                <w:szCs w:val="18"/>
                <w:color w:val="auto"/>
              </w:rPr>
              <w:t>3 to 61 years</w:t>
            </w:r>
          </w:p>
        </w:tc>
      </w:tr>
      <w:tr>
        <w:trPr>
          <w:trHeight w:val="27"/>
        </w:trPr>
        <w:tc>
          <w:tcPr>
            <w:tcW w:w="17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3140" w:type="dxa"/>
            <w:vAlign w:val="bottom"/>
          </w:tcPr>
          <w:p>
            <w:pPr>
              <w:spacing w:after="0"/>
              <w:rPr>
                <w:sz w:val="2"/>
                <w:szCs w:val="2"/>
                <w:color w:val="auto"/>
              </w:rPr>
            </w:pPr>
          </w:p>
        </w:tc>
        <w:tc>
          <w:tcPr>
            <w:tcW w:w="2940" w:type="dxa"/>
            <w:vAlign w:val="bottom"/>
          </w:tcPr>
          <w:p>
            <w:pPr>
              <w:spacing w:after="0"/>
              <w:rPr>
                <w:sz w:val="2"/>
                <w:szCs w:val="2"/>
                <w:color w:val="auto"/>
              </w:rPr>
            </w:pPr>
          </w:p>
        </w:tc>
      </w:tr>
      <w:tr>
        <w:trPr>
          <w:trHeight w:val="250"/>
        </w:trPr>
        <w:tc>
          <w:tcPr>
            <w:tcW w:w="17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Transmission</w:t>
            </w:r>
          </w:p>
        </w:tc>
        <w:tc>
          <w:tcPr>
            <w:tcW w:w="20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42 to 61 years</w:t>
            </w:r>
          </w:p>
        </w:tc>
        <w:tc>
          <w:tcPr>
            <w:tcW w:w="314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Other Plant</w:t>
            </w:r>
          </w:p>
        </w:tc>
        <w:tc>
          <w:tcPr>
            <w:tcW w:w="294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5 to 25 years</w:t>
            </w:r>
          </w:p>
        </w:tc>
      </w:tr>
      <w:tr>
        <w:trPr>
          <w:trHeight w:val="243"/>
        </w:trPr>
        <w:tc>
          <w:tcPr>
            <w:tcW w:w="1700" w:type="dxa"/>
            <w:vAlign w:val="bottom"/>
          </w:tcPr>
          <w:p>
            <w:pPr>
              <w:spacing w:after="0"/>
              <w:rPr>
                <w:sz w:val="21"/>
                <w:szCs w:val="21"/>
                <w:color w:val="auto"/>
              </w:rPr>
            </w:pPr>
          </w:p>
        </w:tc>
        <w:tc>
          <w:tcPr>
            <w:tcW w:w="1620" w:type="dxa"/>
            <w:vAlign w:val="bottom"/>
          </w:tcPr>
          <w:p>
            <w:pPr>
              <w:ind w:left="280"/>
              <w:spacing w:after="0"/>
              <w:rPr>
                <w:sz w:val="20"/>
                <w:szCs w:val="20"/>
                <w:color w:val="auto"/>
              </w:rPr>
            </w:pPr>
            <w:r>
              <w:rPr>
                <w:rFonts w:ascii="Arial" w:cs="Arial" w:eastAsia="Arial" w:hAnsi="Arial"/>
                <w:sz w:val="18"/>
                <w:szCs w:val="18"/>
                <w:color w:val="auto"/>
              </w:rPr>
              <w:t>Distribution</w:t>
            </w:r>
          </w:p>
        </w:tc>
        <w:tc>
          <w:tcPr>
            <w:tcW w:w="2020" w:type="dxa"/>
            <w:vAlign w:val="bottom"/>
          </w:tcPr>
          <w:p>
            <w:pPr>
              <w:ind w:left="380"/>
              <w:spacing w:after="0"/>
              <w:rPr>
                <w:sz w:val="20"/>
                <w:szCs w:val="20"/>
                <w:color w:val="auto"/>
              </w:rPr>
            </w:pPr>
            <w:r>
              <w:rPr>
                <w:rFonts w:ascii="Arial" w:cs="Arial" w:eastAsia="Arial" w:hAnsi="Arial"/>
                <w:sz w:val="18"/>
                <w:szCs w:val="18"/>
                <w:color w:val="auto"/>
              </w:rPr>
              <w:t>14 to 65 years</w:t>
            </w:r>
          </w:p>
        </w:tc>
        <w:tc>
          <w:tcPr>
            <w:tcW w:w="3140" w:type="dxa"/>
            <w:vAlign w:val="bottom"/>
          </w:tcPr>
          <w:p>
            <w:pPr>
              <w:spacing w:after="0"/>
              <w:rPr>
                <w:sz w:val="21"/>
                <w:szCs w:val="21"/>
                <w:color w:val="auto"/>
              </w:rPr>
            </w:pPr>
          </w:p>
        </w:tc>
        <w:tc>
          <w:tcPr>
            <w:tcW w:w="2940" w:type="dxa"/>
            <w:vAlign w:val="bottom"/>
          </w:tcPr>
          <w:p>
            <w:pPr>
              <w:spacing w:after="0"/>
              <w:rPr>
                <w:sz w:val="21"/>
                <w:szCs w:val="21"/>
                <w:color w:val="auto"/>
              </w:rPr>
            </w:pPr>
          </w:p>
        </w:tc>
      </w:tr>
      <w:tr>
        <w:trPr>
          <w:trHeight w:val="27"/>
        </w:trPr>
        <w:tc>
          <w:tcPr>
            <w:tcW w:w="17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314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r>
    </w:tbl>
    <w:p>
      <w:pPr>
        <w:spacing w:after="0" w:line="198" w:lineRule="exact"/>
        <w:rPr>
          <w:sz w:val="20"/>
          <w:szCs w:val="20"/>
          <w:color w:val="auto"/>
        </w:rPr>
      </w:pPr>
    </w:p>
    <w:p>
      <w:pPr>
        <w:jc w:val="both"/>
        <w:spacing w:after="0" w:line="298" w:lineRule="auto"/>
        <w:rPr>
          <w:sz w:val="20"/>
          <w:szCs w:val="20"/>
          <w:color w:val="auto"/>
        </w:rPr>
      </w:pPr>
      <w:r>
        <w:rPr>
          <w:rFonts w:ascii="Arial" w:cs="Arial" w:eastAsia="Arial" w:hAnsi="Arial"/>
          <w:sz w:val="16"/>
          <w:szCs w:val="16"/>
          <w:b w:val="1"/>
          <w:bCs w:val="1"/>
          <w:color w:val="auto"/>
        </w:rPr>
        <w:t xml:space="preserve">Asset Retirement Obligations. </w:t>
      </w:r>
      <w:r>
        <w:rPr>
          <w:rFonts w:ascii="Arial" w:cs="Arial" w:eastAsia="Arial" w:hAnsi="Arial"/>
          <w:sz w:val="16"/>
          <w:szCs w:val="16"/>
          <w:color w:val="auto"/>
        </w:rPr>
        <w:t>We recognize, at fair value, obligations associated with the retirement of certain tangible, long-lived assets that result from</w:t>
      </w:r>
      <w:r>
        <w:rPr>
          <w:rFonts w:ascii="Arial" w:cs="Arial" w:eastAsia="Arial" w:hAnsi="Arial"/>
          <w:sz w:val="16"/>
          <w:szCs w:val="16"/>
          <w:b w:val="1"/>
          <w:bCs w:val="1"/>
          <w:color w:val="auto"/>
        </w:rPr>
        <w:t xml:space="preserve"> </w:t>
      </w:r>
      <w:r>
        <w:rPr>
          <w:rFonts w:ascii="Arial" w:cs="Arial" w:eastAsia="Arial" w:hAnsi="Arial"/>
          <w:sz w:val="16"/>
          <w:szCs w:val="16"/>
          <w:color w:val="auto"/>
        </w:rPr>
        <w:t>the acquisition, construction or development and/or normal operation of the asset. Asset retirement obligations (ARO) relate primarily to the decommissioning of our coal-fired and wind generating facilities and land reclamation at BNI Coal, and are included in other non-current liabilities on our Consolidated Balance Sheet. The associated retirement costs are capitalized as part of the related long-lived asset and depreciated over the useful life of the asset. Removal costs associated with certain distribution and transmission assets have not been recognized, as these facilities have indeterminate useful lives.</w:t>
      </w:r>
    </w:p>
    <w:p>
      <w:pPr>
        <w:spacing w:after="0" w:line="158"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Conditional asset retirement obligations have been identified for treated wood poles and remaining polychlorinated biphenyl and asbestos-containing assets; however, removal costs have not been recognized because they are considered immaterial to our consolidated financial statements.</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Long-standing ratemaking practices approved by applicable state and federal regulatory commissions have allowed provisions for future plant removal costs in depreciation rates. These plant removal cost recoveries are classified either as AROs or as a regulatory liability for non-ARO obligations. To the extent annual accruals for plant removal costs differ from accruals under approved depreciation rates, a regulatory asset has been established in accordance with the guidance for AROs. (See Note 5. Regulatory Matters.)</w:t>
      </w:r>
    </w:p>
    <w:p>
      <w:pPr>
        <w:spacing w:after="0" w:line="34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Asset Retirement Obligation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6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4560" w:type="dxa"/>
            <w:vAlign w:val="bottom"/>
          </w:tcPr>
          <w:p>
            <w:pPr>
              <w:spacing w:after="0"/>
              <w:rPr>
                <w:sz w:val="20"/>
                <w:szCs w:val="20"/>
                <w:color w:val="auto"/>
              </w:rPr>
            </w:pPr>
          </w:p>
        </w:tc>
      </w:tr>
      <w:tr>
        <w:trPr>
          <w:trHeight w:val="27"/>
        </w:trPr>
        <w:tc>
          <w:tcPr>
            <w:tcW w:w="6860" w:type="dxa"/>
            <w:vAlign w:val="bottom"/>
          </w:tcPr>
          <w:p>
            <w:pPr>
              <w:spacing w:after="0"/>
              <w:rPr>
                <w:sz w:val="2"/>
                <w:szCs w:val="2"/>
                <w:color w:val="auto"/>
              </w:rPr>
            </w:pPr>
          </w:p>
        </w:tc>
        <w:tc>
          <w:tcPr>
            <w:tcW w:w="456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Obligation as of December 31, 2010</w:t>
            </w:r>
          </w:p>
        </w:tc>
        <w:tc>
          <w:tcPr>
            <w:tcW w:w="4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$50.3</w:t>
            </w: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Accretion Expense</w:t>
            </w:r>
          </w:p>
        </w:tc>
        <w:tc>
          <w:tcPr>
            <w:tcW w:w="4560" w:type="dxa"/>
            <w:vAlign w:val="bottom"/>
          </w:tcPr>
          <w:p>
            <w:pPr>
              <w:jc w:val="right"/>
              <w:ind w:right="10"/>
              <w:spacing w:after="0"/>
              <w:rPr>
                <w:sz w:val="20"/>
                <w:szCs w:val="20"/>
                <w:color w:val="auto"/>
              </w:rPr>
            </w:pPr>
            <w:r>
              <w:rPr>
                <w:rFonts w:ascii="Arial" w:cs="Arial" w:eastAsia="Arial" w:hAnsi="Arial"/>
                <w:sz w:val="18"/>
                <w:szCs w:val="18"/>
                <w:color w:val="auto"/>
              </w:rPr>
              <w:t>6.4</w:t>
            </w:r>
          </w:p>
        </w:tc>
      </w:tr>
      <w:tr>
        <w:trPr>
          <w:trHeight w:val="27"/>
        </w:trPr>
        <w:tc>
          <w:tcPr>
            <w:tcW w:w="6860" w:type="dxa"/>
            <w:vAlign w:val="bottom"/>
          </w:tcPr>
          <w:p>
            <w:pPr>
              <w:spacing w:after="0"/>
              <w:rPr>
                <w:sz w:val="2"/>
                <w:szCs w:val="2"/>
                <w:color w:val="auto"/>
              </w:rPr>
            </w:pPr>
          </w:p>
        </w:tc>
        <w:tc>
          <w:tcPr>
            <w:tcW w:w="4560" w:type="dxa"/>
            <w:vAlign w:val="bottom"/>
          </w:tcPr>
          <w:p>
            <w:pPr>
              <w:spacing w:after="0"/>
              <w:rPr>
                <w:sz w:val="2"/>
                <w:szCs w:val="2"/>
                <w:color w:val="auto"/>
              </w:rPr>
            </w:pPr>
          </w:p>
        </w:tc>
      </w:tr>
      <w:tr>
        <w:trPr>
          <w:trHeight w:val="275"/>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Additional Liabilities Incurred in 2011</w:t>
            </w:r>
          </w:p>
        </w:tc>
        <w:tc>
          <w:tcPr>
            <w:tcW w:w="4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w:t>
            </w:r>
          </w:p>
        </w:tc>
      </w:tr>
      <w:tr>
        <w:trPr>
          <w:trHeight w:val="237"/>
        </w:trPr>
        <w:tc>
          <w:tcPr>
            <w:tcW w:w="68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Obligation as of December 31, 2011</w:t>
            </w:r>
          </w:p>
        </w:tc>
        <w:tc>
          <w:tcPr>
            <w:tcW w:w="45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57.0</w:t>
            </w:r>
          </w:p>
        </w:tc>
      </w:tr>
      <w:tr>
        <w:trPr>
          <w:trHeight w:val="27"/>
        </w:trPr>
        <w:tc>
          <w:tcPr>
            <w:tcW w:w="6860" w:type="dxa"/>
            <w:vAlign w:val="bottom"/>
          </w:tcPr>
          <w:p>
            <w:pPr>
              <w:spacing w:after="0"/>
              <w:rPr>
                <w:sz w:val="2"/>
                <w:szCs w:val="2"/>
                <w:color w:val="auto"/>
              </w:rPr>
            </w:pPr>
          </w:p>
        </w:tc>
        <w:tc>
          <w:tcPr>
            <w:tcW w:w="456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Accretion Expense</w:t>
            </w:r>
          </w:p>
        </w:tc>
        <w:tc>
          <w:tcPr>
            <w:tcW w:w="4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w:t>
            </w: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Additional Liabilities Incurred in 2012</w:t>
            </w:r>
          </w:p>
        </w:tc>
        <w:tc>
          <w:tcPr>
            <w:tcW w:w="4560" w:type="dxa"/>
            <w:vAlign w:val="bottom"/>
          </w:tcPr>
          <w:p>
            <w:pPr>
              <w:jc w:val="right"/>
              <w:ind w:right="10"/>
              <w:spacing w:after="0"/>
              <w:rPr>
                <w:sz w:val="20"/>
                <w:szCs w:val="20"/>
                <w:color w:val="auto"/>
              </w:rPr>
            </w:pPr>
            <w:r>
              <w:rPr>
                <w:rFonts w:ascii="Arial" w:cs="Arial" w:eastAsia="Arial" w:hAnsi="Arial"/>
                <w:sz w:val="18"/>
                <w:szCs w:val="18"/>
                <w:color w:val="auto"/>
              </w:rPr>
              <w:t>17.1</w:t>
            </w:r>
          </w:p>
        </w:tc>
      </w:tr>
      <w:tr>
        <w:trPr>
          <w:trHeight w:val="27"/>
        </w:trPr>
        <w:tc>
          <w:tcPr>
            <w:tcW w:w="6860" w:type="dxa"/>
            <w:vAlign w:val="bottom"/>
            <w:tcBorders>
              <w:bottom w:val="single" w:sz="8" w:color="auto"/>
            </w:tcBorders>
          </w:tcPr>
          <w:p>
            <w:pPr>
              <w:spacing w:after="0"/>
              <w:rPr>
                <w:sz w:val="2"/>
                <w:szCs w:val="2"/>
                <w:color w:val="auto"/>
              </w:rPr>
            </w:pPr>
          </w:p>
        </w:tc>
        <w:tc>
          <w:tcPr>
            <w:tcW w:w="4560" w:type="dxa"/>
            <w:vAlign w:val="bottom"/>
            <w:tcBorders>
              <w:bottom w:val="single" w:sz="8" w:color="auto"/>
            </w:tcBorders>
          </w:tcPr>
          <w:p>
            <w:pPr>
              <w:spacing w:after="0"/>
              <w:rPr>
                <w:sz w:val="2"/>
                <w:szCs w:val="2"/>
                <w:color w:val="auto"/>
              </w:rPr>
            </w:pPr>
          </w:p>
        </w:tc>
      </w:tr>
      <w:tr>
        <w:trPr>
          <w:trHeight w:val="244"/>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Obligation as of December 31, 2012</w:t>
            </w:r>
          </w:p>
        </w:tc>
        <w:tc>
          <w:tcPr>
            <w:tcW w:w="4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$77.9</w:t>
            </w:r>
          </w:p>
        </w:tc>
      </w:tr>
      <w:tr>
        <w:trPr>
          <w:trHeight w:val="20"/>
        </w:trPr>
        <w:tc>
          <w:tcPr>
            <w:tcW w:w="6860" w:type="dxa"/>
            <w:vAlign w:val="bottom"/>
            <w:shd w:val="clear" w:color="auto" w:fill="000000"/>
          </w:tcPr>
          <w:p>
            <w:pPr>
              <w:spacing w:after="0" w:line="20" w:lineRule="exact"/>
              <w:rPr>
                <w:sz w:val="1"/>
                <w:szCs w:val="1"/>
                <w:color w:val="auto"/>
              </w:rPr>
            </w:pPr>
          </w:p>
        </w:tc>
        <w:tc>
          <w:tcPr>
            <w:tcW w:w="456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2012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364" w:right="239" w:bottom="1440" w:gutter="0" w:footer="0" w:header="0"/>
        </w:sectPr>
      </w:pPr>
    </w:p>
    <w:bookmarkStart w:id="77" w:name="page78"/>
    <w:bookmarkEnd w:id="77"/>
    <w:tbl>
      <w:tblPr>
        <w:tblLayout w:type="fixed"/>
        <w:tblInd w:w="0" w:type="dxa"/>
        <w:tblCellMar>
          <w:top w:w="0" w:type="dxa"/>
          <w:left w:w="0" w:type="dxa"/>
          <w:bottom w:w="0" w:type="dxa"/>
          <w:right w:w="0" w:type="dxa"/>
        </w:tblCellMar>
      </w:tblPr>
      <w:tr>
        <w:trPr>
          <w:trHeight w:val="234"/>
        </w:trPr>
        <w:tc>
          <w:tcPr>
            <w:tcW w:w="4120" w:type="dxa"/>
            <w:vAlign w:val="bottom"/>
          </w:tcPr>
          <w:p>
            <w:pPr>
              <w:spacing w:after="0"/>
              <w:rPr>
                <w:sz w:val="20"/>
                <w:szCs w:val="20"/>
                <w:color w:val="auto"/>
              </w:rPr>
            </w:pPr>
            <w:r>
              <w:rPr>
                <w:rFonts w:ascii="Arial" w:cs="Arial" w:eastAsia="Arial" w:hAnsi="Arial"/>
                <w:sz w:val="18"/>
                <w:szCs w:val="18"/>
                <w:b w:val="1"/>
                <w:bCs w:val="1"/>
                <w:color w:val="auto"/>
              </w:rPr>
              <w:t>NOTE 4. JOINTLY-OWNED FACILITIES</w:t>
            </w:r>
          </w:p>
        </w:tc>
        <w:tc>
          <w:tcPr>
            <w:tcW w:w="23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432"/>
        </w:trPr>
        <w:tc>
          <w:tcPr>
            <w:tcW w:w="9920" w:type="dxa"/>
            <w:vAlign w:val="bottom"/>
            <w:gridSpan w:val="4"/>
          </w:tcPr>
          <w:p>
            <w:pPr>
              <w:spacing w:after="0"/>
              <w:rPr>
                <w:sz w:val="20"/>
                <w:szCs w:val="20"/>
                <w:color w:val="auto"/>
              </w:rPr>
            </w:pPr>
            <w:r>
              <w:rPr>
                <w:rFonts w:ascii="Arial" w:cs="Arial" w:eastAsia="Arial" w:hAnsi="Arial"/>
                <w:sz w:val="18"/>
                <w:szCs w:val="18"/>
                <w:color w:val="auto"/>
              </w:rPr>
              <w:t>Following are our investments in jointly-owned facilities and the related ownership percentages as of December 31, 2012:</w:t>
            </w:r>
          </w:p>
        </w:tc>
        <w:tc>
          <w:tcPr>
            <w:tcW w:w="1500" w:type="dxa"/>
            <w:vAlign w:val="bottom"/>
          </w:tcPr>
          <w:p>
            <w:pPr>
              <w:spacing w:after="0"/>
              <w:rPr>
                <w:sz w:val="24"/>
                <w:szCs w:val="24"/>
                <w:color w:val="auto"/>
              </w:rPr>
            </w:pPr>
          </w:p>
        </w:tc>
      </w:tr>
      <w:tr>
        <w:trPr>
          <w:trHeight w:val="360"/>
        </w:trPr>
        <w:tc>
          <w:tcPr>
            <w:tcW w:w="41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580" w:type="dxa"/>
            <w:vAlign w:val="bottom"/>
          </w:tcPr>
          <w:p>
            <w:pPr>
              <w:jc w:val="right"/>
              <w:ind w:right="230"/>
              <w:spacing w:after="0"/>
              <w:rPr>
                <w:sz w:val="20"/>
                <w:szCs w:val="20"/>
                <w:color w:val="auto"/>
              </w:rPr>
            </w:pPr>
            <w:r>
              <w:rPr>
                <w:rFonts w:ascii="Arial" w:cs="Arial" w:eastAsia="Arial" w:hAnsi="Arial"/>
                <w:sz w:val="18"/>
                <w:szCs w:val="18"/>
                <w:b w:val="1"/>
                <w:bCs w:val="1"/>
                <w:color w:val="auto"/>
              </w:rPr>
              <w:t>Accumulated</w:t>
            </w:r>
          </w:p>
        </w:tc>
        <w:tc>
          <w:tcPr>
            <w:tcW w:w="1920" w:type="dxa"/>
            <w:vAlign w:val="bottom"/>
          </w:tcPr>
          <w:p>
            <w:pPr>
              <w:jc w:val="right"/>
              <w:ind w:right="70"/>
              <w:spacing w:after="0"/>
              <w:rPr>
                <w:sz w:val="20"/>
                <w:szCs w:val="20"/>
                <w:color w:val="auto"/>
              </w:rPr>
            </w:pPr>
            <w:r>
              <w:rPr>
                <w:rFonts w:ascii="Arial" w:cs="Arial" w:eastAsia="Arial" w:hAnsi="Arial"/>
                <w:sz w:val="18"/>
                <w:szCs w:val="18"/>
                <w:b w:val="1"/>
                <w:bCs w:val="1"/>
                <w:color w:val="auto"/>
                <w:w w:val="95"/>
              </w:rPr>
              <w:t>Construction Work in</w:t>
            </w:r>
          </w:p>
        </w:tc>
        <w:tc>
          <w:tcPr>
            <w:tcW w:w="1500" w:type="dxa"/>
            <w:vAlign w:val="bottom"/>
          </w:tcPr>
          <w:p>
            <w:pPr>
              <w:spacing w:after="0"/>
              <w:rPr>
                <w:sz w:val="24"/>
                <w:szCs w:val="24"/>
                <w:color w:val="auto"/>
              </w:rPr>
            </w:pPr>
          </w:p>
        </w:tc>
      </w:tr>
      <w:tr>
        <w:trPr>
          <w:trHeight w:val="234"/>
        </w:trPr>
        <w:tc>
          <w:tcPr>
            <w:tcW w:w="4120" w:type="dxa"/>
            <w:vAlign w:val="bottom"/>
          </w:tcPr>
          <w:p>
            <w:pPr>
              <w:ind w:left="40"/>
              <w:spacing w:after="0"/>
              <w:rPr>
                <w:sz w:val="20"/>
                <w:szCs w:val="20"/>
                <w:color w:val="auto"/>
              </w:rPr>
            </w:pPr>
            <w:r>
              <w:rPr>
                <w:rFonts w:ascii="Arial" w:cs="Arial" w:eastAsia="Arial" w:hAnsi="Arial"/>
                <w:sz w:val="18"/>
                <w:szCs w:val="18"/>
                <w:b w:val="1"/>
                <w:bCs w:val="1"/>
                <w:color w:val="auto"/>
              </w:rPr>
              <w:t>Regulated Utility Plant</w:t>
            </w:r>
          </w:p>
        </w:tc>
        <w:tc>
          <w:tcPr>
            <w:tcW w:w="2300" w:type="dxa"/>
            <w:vAlign w:val="bottom"/>
          </w:tcPr>
          <w:p>
            <w:pPr>
              <w:jc w:val="right"/>
              <w:ind w:right="230"/>
              <w:spacing w:after="0"/>
              <w:rPr>
                <w:sz w:val="20"/>
                <w:szCs w:val="20"/>
                <w:color w:val="auto"/>
              </w:rPr>
            </w:pPr>
            <w:r>
              <w:rPr>
                <w:rFonts w:ascii="Arial" w:cs="Arial" w:eastAsia="Arial" w:hAnsi="Arial"/>
                <w:sz w:val="18"/>
                <w:szCs w:val="18"/>
                <w:b w:val="1"/>
                <w:bCs w:val="1"/>
                <w:color w:val="auto"/>
              </w:rPr>
              <w:t>Plant in Service</w:t>
            </w:r>
          </w:p>
        </w:tc>
        <w:tc>
          <w:tcPr>
            <w:tcW w:w="1580" w:type="dxa"/>
            <w:vAlign w:val="bottom"/>
          </w:tcPr>
          <w:p>
            <w:pPr>
              <w:jc w:val="right"/>
              <w:ind w:right="250"/>
              <w:spacing w:after="0"/>
              <w:rPr>
                <w:sz w:val="20"/>
                <w:szCs w:val="20"/>
                <w:color w:val="auto"/>
              </w:rPr>
            </w:pPr>
            <w:r>
              <w:rPr>
                <w:rFonts w:ascii="Arial" w:cs="Arial" w:eastAsia="Arial" w:hAnsi="Arial"/>
                <w:sz w:val="18"/>
                <w:szCs w:val="18"/>
                <w:b w:val="1"/>
                <w:bCs w:val="1"/>
                <w:color w:val="auto"/>
              </w:rPr>
              <w:t>Depreciation</w:t>
            </w:r>
          </w:p>
        </w:tc>
        <w:tc>
          <w:tcPr>
            <w:tcW w:w="1920" w:type="dxa"/>
            <w:vAlign w:val="bottom"/>
          </w:tcPr>
          <w:p>
            <w:pPr>
              <w:jc w:val="right"/>
              <w:ind w:right="570"/>
              <w:spacing w:after="0"/>
              <w:rPr>
                <w:sz w:val="20"/>
                <w:szCs w:val="20"/>
                <w:color w:val="auto"/>
              </w:rPr>
            </w:pPr>
            <w:r>
              <w:rPr>
                <w:rFonts w:ascii="Arial" w:cs="Arial" w:eastAsia="Arial" w:hAnsi="Arial"/>
                <w:sz w:val="18"/>
                <w:szCs w:val="18"/>
                <w:b w:val="1"/>
                <w:bCs w:val="1"/>
                <w:color w:val="auto"/>
              </w:rPr>
              <w:t>Progress</w:t>
            </w:r>
          </w:p>
        </w:tc>
        <w:tc>
          <w:tcPr>
            <w:tcW w:w="1500" w:type="dxa"/>
            <w:vAlign w:val="bottom"/>
          </w:tcPr>
          <w:p>
            <w:pPr>
              <w:ind w:left="160"/>
              <w:spacing w:after="0"/>
              <w:rPr>
                <w:sz w:val="20"/>
                <w:szCs w:val="20"/>
                <w:color w:val="auto"/>
              </w:rPr>
            </w:pPr>
            <w:r>
              <w:rPr>
                <w:rFonts w:ascii="Arial" w:cs="Arial" w:eastAsia="Arial" w:hAnsi="Arial"/>
                <w:sz w:val="18"/>
                <w:szCs w:val="18"/>
                <w:b w:val="1"/>
                <w:bCs w:val="1"/>
                <w:color w:val="auto"/>
              </w:rPr>
              <w:t>% Ownership</w:t>
            </w:r>
          </w:p>
        </w:tc>
      </w:tr>
      <w:tr>
        <w:trPr>
          <w:trHeight w:val="27"/>
        </w:trPr>
        <w:tc>
          <w:tcPr>
            <w:tcW w:w="412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3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27"/>
        </w:trPr>
        <w:tc>
          <w:tcPr>
            <w:tcW w:w="41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Boswell Unit 4</w:t>
            </w:r>
          </w:p>
        </w:tc>
        <w:tc>
          <w:tcPr>
            <w:tcW w:w="23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$413.1</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$188.1</w:t>
            </w:r>
          </w:p>
        </w:tc>
        <w:tc>
          <w:tcPr>
            <w:tcW w:w="19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$25.0</w:t>
            </w:r>
          </w:p>
        </w:tc>
        <w:tc>
          <w:tcPr>
            <w:tcW w:w="1500" w:type="dxa"/>
            <w:vAlign w:val="bottom"/>
            <w:tcBorders>
              <w:bottom w:val="single" w:sz="8" w:color="CCEEFF"/>
            </w:tcBorders>
            <w:shd w:val="clear" w:color="auto" w:fill="CCEEFF"/>
          </w:tcPr>
          <w:p>
            <w:pPr>
              <w:jc w:val="right"/>
              <w:ind w:right="610"/>
              <w:spacing w:after="0"/>
              <w:rPr>
                <w:sz w:val="20"/>
                <w:szCs w:val="20"/>
                <w:color w:val="auto"/>
              </w:rPr>
            </w:pPr>
            <w:r>
              <w:rPr>
                <w:rFonts w:ascii="Arial" w:cs="Arial" w:eastAsia="Arial" w:hAnsi="Arial"/>
                <w:sz w:val="18"/>
                <w:szCs w:val="18"/>
                <w:color w:val="auto"/>
              </w:rPr>
              <w:t>80</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CapX2020</w:t>
            </w:r>
          </w:p>
        </w:tc>
        <w:tc>
          <w:tcPr>
            <w:tcW w:w="2300" w:type="dxa"/>
            <w:vAlign w:val="bottom"/>
          </w:tcPr>
          <w:p>
            <w:pPr>
              <w:jc w:val="right"/>
              <w:ind w:right="130"/>
              <w:spacing w:after="0"/>
              <w:rPr>
                <w:sz w:val="20"/>
                <w:szCs w:val="20"/>
                <w:color w:val="auto"/>
              </w:rPr>
            </w:pPr>
            <w:r>
              <w:rPr>
                <w:rFonts w:ascii="Arial" w:cs="Arial" w:eastAsia="Arial" w:hAnsi="Arial"/>
                <w:sz w:val="18"/>
                <w:szCs w:val="18"/>
                <w:color w:val="auto"/>
              </w:rPr>
              <w:t>22.8</w:t>
            </w: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0.4</w:t>
            </w:r>
          </w:p>
        </w:tc>
        <w:tc>
          <w:tcPr>
            <w:tcW w:w="1920" w:type="dxa"/>
            <w:vAlign w:val="bottom"/>
          </w:tcPr>
          <w:p>
            <w:pPr>
              <w:jc w:val="right"/>
              <w:ind w:right="110"/>
              <w:spacing w:after="0"/>
              <w:rPr>
                <w:sz w:val="20"/>
                <w:szCs w:val="20"/>
                <w:color w:val="auto"/>
              </w:rPr>
            </w:pPr>
            <w:r>
              <w:rPr>
                <w:rFonts w:ascii="Arial" w:cs="Arial" w:eastAsia="Arial" w:hAnsi="Arial"/>
                <w:sz w:val="18"/>
                <w:szCs w:val="18"/>
                <w:color w:val="auto"/>
              </w:rPr>
              <w:t>25.4</w:t>
            </w:r>
          </w:p>
        </w:tc>
        <w:tc>
          <w:tcPr>
            <w:tcW w:w="1500" w:type="dxa"/>
            <w:vAlign w:val="bottom"/>
          </w:tcPr>
          <w:p>
            <w:pPr>
              <w:jc w:val="right"/>
              <w:ind w:right="370"/>
              <w:spacing w:after="0"/>
              <w:rPr>
                <w:sz w:val="20"/>
                <w:szCs w:val="20"/>
                <w:color w:val="auto"/>
              </w:rPr>
            </w:pPr>
            <w:r>
              <w:rPr>
                <w:rFonts w:ascii="Arial" w:cs="Arial" w:eastAsia="Arial" w:hAnsi="Arial"/>
                <w:sz w:val="18"/>
                <w:szCs w:val="18"/>
                <w:color w:val="auto"/>
              </w:rPr>
              <w:t>9.3 - 14.7</w:t>
            </w:r>
          </w:p>
        </w:tc>
      </w:tr>
      <w:tr>
        <w:trPr>
          <w:trHeight w:val="27"/>
        </w:trPr>
        <w:tc>
          <w:tcPr>
            <w:tcW w:w="412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23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$435.9</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$188.5</w:t>
            </w:r>
          </w:p>
        </w:tc>
        <w:tc>
          <w:tcPr>
            <w:tcW w:w="19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$50.4</w:t>
            </w:r>
          </w:p>
        </w:tc>
        <w:tc>
          <w:tcPr>
            <w:tcW w:w="1500" w:type="dxa"/>
            <w:vAlign w:val="bottom"/>
            <w:tcBorders>
              <w:bottom w:val="single" w:sz="8" w:color="CCEEFF"/>
            </w:tcBorders>
            <w:shd w:val="clear" w:color="auto" w:fill="CCEEFF"/>
          </w:tcPr>
          <w:p>
            <w:pPr>
              <w:spacing w:after="0"/>
              <w:rPr>
                <w:sz w:val="21"/>
                <w:szCs w:val="21"/>
                <w:color w:val="auto"/>
              </w:rPr>
            </w:pPr>
          </w:p>
        </w:tc>
      </w:tr>
      <w:tr>
        <w:trPr>
          <w:trHeight w:val="20"/>
        </w:trPr>
        <w:tc>
          <w:tcPr>
            <w:tcW w:w="4120" w:type="dxa"/>
            <w:vAlign w:val="bottom"/>
            <w:shd w:val="clear" w:color="auto" w:fill="000000"/>
          </w:tcPr>
          <w:p>
            <w:pPr>
              <w:spacing w:after="0" w:line="20" w:lineRule="exact"/>
              <w:rPr>
                <w:sz w:val="1"/>
                <w:szCs w:val="1"/>
                <w:color w:val="auto"/>
              </w:rPr>
            </w:pPr>
          </w:p>
        </w:tc>
        <w:tc>
          <w:tcPr>
            <w:tcW w:w="230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r>
    </w:tbl>
    <w:p>
      <w:pPr>
        <w:spacing w:after="0" w:line="20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own 80 percent of the 585 MW Boswell Unit 4. While we operate the plant, certain decisions about the operations of Boswell Unit 4 are subject to the oversight of a committee on which we and WPPI Energy, the owner of the remaining 20 percent of Boswell Unit 4, have equal representation and voting rights. Each of us must provide our own financing and is obligated to pay our ownership share of operating costs. Our share of direct operating expenses of Boswell Unit 4 is included in operating expense on our Consolidated Statement of Income. We are a participant in the CapX2020 initiative to ensure reliable electric transmission and distribution in the region surrounding our rate-regulated operations in Minnesota, along with other electric cooperatives, municipals, and investor-owned utilities. We are currently participating in three CapX2020 projects with varying ownership percentages.</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REGULATORY MATTERS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Electric Rates. </w:t>
      </w:r>
      <w:r>
        <w:rPr>
          <w:rFonts w:ascii="Arial" w:cs="Arial" w:eastAsia="Arial" w:hAnsi="Arial"/>
          <w:sz w:val="18"/>
          <w:szCs w:val="18"/>
          <w:color w:val="auto"/>
        </w:rPr>
        <w:t>Entities within our Regulated Operations segment file for periodic rate revisions with the MPUC, the FERC or the PSCW.</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2010 Minnesota Rate Case. </w:t>
      </w:r>
      <w:r>
        <w:rPr>
          <w:rFonts w:ascii="Arial" w:cs="Arial" w:eastAsia="Arial" w:hAnsi="Arial"/>
          <w:sz w:val="16"/>
          <w:szCs w:val="16"/>
          <w:color w:val="auto"/>
        </w:rPr>
        <w:t>Minnesota Power’s current retail rates are based on a 2011 MPUC retail rate order, effective June 1, 2011, that allowed for 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10.38 percent return on common equity and a 54.29 percent equity ratio.</w:t>
      </w:r>
    </w:p>
    <w:p>
      <w:pPr>
        <w:spacing w:after="0" w:line="21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February 2011, Minnesota Power appealed the MPUC’s interim rate decision in the Company’s 2010 rate case to the Minnesota Court of Appeals. The Company appealed the MPUC’s finding of exigent circumstances in the interim rate decision with the primary arguments being that the MPUC exceeded its statutory authority, made its decision without the support of a body of record evidence and that the decision violated public policy. The Company desires to resolve whether the MPUC’s finding of exigent circumstances was lawful for application in future rate cases. In December 2011, the Minnesota Court of Appeals concluded that the MPUC did not err in finding exigent circumstances and properly exercised its discretion in setting interim rates. On January 4, 2012, the Company filed a petition for review at the Minnesota Supreme Court (Court). On February 14, 2012, the Court granted the petition for review and oral arguments were held before the Court on October 9, 2012. A decision is expected in early 2013; however, we cannot predict the outcome at this time.</w:t>
      </w:r>
    </w:p>
    <w:p>
      <w:pPr>
        <w:spacing w:after="0" w:line="19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 xml:space="preserve">FERC-Approved Wholesale Rates. </w:t>
      </w:r>
      <w:r>
        <w:rPr>
          <w:rFonts w:ascii="Arial" w:cs="Arial" w:eastAsia="Arial" w:hAnsi="Arial"/>
          <w:sz w:val="17"/>
          <w:szCs w:val="17"/>
          <w:color w:val="auto"/>
        </w:rPr>
        <w:t>Minnesota Power’s non-affiliated municipal customers consist of 16 municipalities in Minnesota and 1 private utility in</w:t>
      </w:r>
      <w:r>
        <w:rPr>
          <w:rFonts w:ascii="Arial" w:cs="Arial" w:eastAsia="Arial" w:hAnsi="Arial"/>
          <w:sz w:val="17"/>
          <w:szCs w:val="17"/>
          <w:i w:val="1"/>
          <w:iCs w:val="1"/>
          <w:color w:val="auto"/>
        </w:rPr>
        <w:t xml:space="preserve"> </w:t>
      </w:r>
      <w:r>
        <w:rPr>
          <w:rFonts w:ascii="Arial" w:cs="Arial" w:eastAsia="Arial" w:hAnsi="Arial"/>
          <w:sz w:val="17"/>
          <w:szCs w:val="17"/>
          <w:color w:val="auto"/>
        </w:rPr>
        <w:t>Wisconsin. SWL&amp;P, a wholly-owned subsidiary of ALLETE, is also a private utility in Wisconsin and a customer of Minnesota Power. Minnesota Power’s formula-based contract with the City of Nashwauk is effective April 1, 2013 through June 30, 2024, and the restated formula-based contracts with the remaining 15 Minnesota municipal customers and SWL&amp;P are effective through June 30, 2019. The rates included in these contracts are calculated using a cost-based formula methodology that is set each July 1, using estimated costs and a rate of return that is equal to our authorized rate of return for Minnesota retail customers (currently 10.38 percent). The formula-based rate methodology also provides for a yearly true-up calculation for actual costs incurred. The contract terms include a termination clause requiring a three-year notice to terminate. Under the City of Nashwauk contract, no termination notice may be given prior to July 1, 2021. Under the restated contracts, no termination notices may be given prior to June 30, 2016. A two-year cancellation notice is required for the one private non-affiliated utility in Wisconsin, and on December 31, 2011, this customer submitted a cancellation notice with termination effective on December 31, 2013. The 17 MW of average monthly demand provided to this customer is expected to be used to supply energy to prospective customers beginning in 2014.</w:t>
      </w:r>
    </w:p>
    <w:p>
      <w:pPr>
        <w:spacing w:after="0" w:line="18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i w:val="1"/>
          <w:iCs w:val="1"/>
          <w:color w:val="auto"/>
        </w:rPr>
        <w:t xml:space="preserve">2012 Wisconsin Rate Case. </w:t>
      </w:r>
      <w:r>
        <w:rPr>
          <w:rFonts w:ascii="Arial" w:cs="Arial" w:eastAsia="Arial" w:hAnsi="Arial"/>
          <w:sz w:val="16"/>
          <w:szCs w:val="16"/>
          <w:color w:val="auto"/>
        </w:rPr>
        <w:t>During 2012, SWL&amp;P’s retail rates were based on a 2010 PSCW retail rate order, which was effective January 1, 2011. SWL&amp;P’s</w:t>
      </w:r>
      <w:r>
        <w:rPr>
          <w:rFonts w:ascii="Arial" w:cs="Arial" w:eastAsia="Arial" w:hAnsi="Arial"/>
          <w:sz w:val="16"/>
          <w:szCs w:val="16"/>
          <w:i w:val="1"/>
          <w:iCs w:val="1"/>
          <w:color w:val="auto"/>
        </w:rPr>
        <w:t xml:space="preserve"> </w:t>
      </w:r>
      <w:r>
        <w:rPr>
          <w:rFonts w:ascii="Arial" w:cs="Arial" w:eastAsia="Arial" w:hAnsi="Arial"/>
          <w:sz w:val="16"/>
          <w:szCs w:val="16"/>
          <w:color w:val="auto"/>
        </w:rPr>
        <w:t>2013 retail rates are based on a 2012 PSCW retail rate order, effective January 1, 2013, and allows for a 10.9 percent return on common equity. The new rates reflect an average overall increase of 2.4 percent for retail customers (a 13.8 percent increase in water rates, a 1.2 percent increase in electric rates, and a 2.0 percent decrease in natural gas rates). On an annualized basis, the rate increase will generate approximately $1.7 million in additional revenue.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2012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364" w:right="239"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color w:val="auto"/>
        </w:rPr>
        <w:t>NOTE 5. REGULATORY MATTERS (Continued)</w:t>
      </w:r>
    </w:p>
    <w:p>
      <w:pPr>
        <w:spacing w:after="0" w:line="22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Rapids Energy Center. </w:t>
      </w:r>
      <w:r>
        <w:rPr>
          <w:rFonts w:ascii="Arial" w:cs="Arial" w:eastAsia="Arial" w:hAnsi="Arial"/>
          <w:sz w:val="18"/>
          <w:szCs w:val="18"/>
          <w:color w:val="auto"/>
        </w:rPr>
        <w:t>On December 19, 2012, Minnesota Power filed with the MPUC for approval to transfer the assets of Rapids Energy Center from</w:t>
      </w:r>
      <w:r>
        <w:rPr>
          <w:rFonts w:ascii="Arial" w:cs="Arial" w:eastAsia="Arial" w:hAnsi="Arial"/>
          <w:sz w:val="18"/>
          <w:szCs w:val="18"/>
          <w:b w:val="1"/>
          <w:bCs w:val="1"/>
          <w:color w:val="auto"/>
        </w:rPr>
        <w:t xml:space="preserve"> </w:t>
      </w:r>
      <w:r>
        <w:rPr>
          <w:rFonts w:ascii="Arial" w:cs="Arial" w:eastAsia="Arial" w:hAnsi="Arial"/>
          <w:sz w:val="18"/>
          <w:szCs w:val="18"/>
          <w:color w:val="auto"/>
        </w:rPr>
        <w:t>non-rate base generation to Minnesota Power’s Regulated Operations. Rapids Energy Center is a generation facility that is located at the UPM, Blandin Paper Mill (Blandin). Minnesota Power and Blandin entered into a new electric service agreement in September 2012 which is also subject to MPUC approval. We expect a decision from the MPUC on these filings in mid-2013.</w:t>
      </w:r>
    </w:p>
    <w:p>
      <w:pPr>
        <w:spacing w:after="0" w:line="180" w:lineRule="exact"/>
        <w:rPr>
          <w:sz w:val="20"/>
          <w:szCs w:val="20"/>
          <w:color w:val="auto"/>
        </w:rPr>
      </w:pPr>
    </w:p>
    <w:p>
      <w:pPr>
        <w:jc w:val="both"/>
        <w:spacing w:after="0" w:line="295" w:lineRule="auto"/>
        <w:rPr>
          <w:sz w:val="20"/>
          <w:szCs w:val="20"/>
          <w:color w:val="auto"/>
        </w:rPr>
      </w:pPr>
      <w:r>
        <w:rPr>
          <w:rFonts w:ascii="Arial" w:cs="Arial" w:eastAsia="Arial" w:hAnsi="Arial"/>
          <w:sz w:val="16"/>
          <w:szCs w:val="16"/>
          <w:b w:val="1"/>
          <w:bCs w:val="1"/>
          <w:color w:val="auto"/>
        </w:rPr>
        <w:t xml:space="preserve">ALLETE Clean Energy. </w:t>
      </w:r>
      <w:r>
        <w:rPr>
          <w:rFonts w:ascii="Arial" w:cs="Arial" w:eastAsia="Arial" w:hAnsi="Arial"/>
          <w:sz w:val="16"/>
          <w:szCs w:val="16"/>
          <w:color w:val="auto"/>
        </w:rPr>
        <w:t>In August 2011, the Company filed with the MPUC for approval of certain affiliated interest agreements between ALLETE and</w:t>
      </w:r>
      <w:r>
        <w:rPr>
          <w:rFonts w:ascii="Arial" w:cs="Arial" w:eastAsia="Arial" w:hAnsi="Arial"/>
          <w:sz w:val="16"/>
          <w:szCs w:val="16"/>
          <w:b w:val="1"/>
          <w:bCs w:val="1"/>
          <w:color w:val="auto"/>
        </w:rPr>
        <w:t xml:space="preserve"> </w:t>
      </w:r>
      <w:r>
        <w:rPr>
          <w:rFonts w:ascii="Arial" w:cs="Arial" w:eastAsia="Arial" w:hAnsi="Arial"/>
          <w:sz w:val="16"/>
          <w:szCs w:val="16"/>
          <w:color w:val="auto"/>
        </w:rPr>
        <w:t>ALLETE Clean Energy. These agreements relate to various relationships between the parties, including the accounting for certain shared services, as well as the transfer of transmission and wind development rights in North Dakota to ALLETE Clean Energy. These transmission and wind development rights are separate and distinct from those needed by Minnesota Power to meet Minnesota’s renewable energy standard requirements. On July 23, 2012, the MPUC issued an order approving certain administrative items related to accounting for shared services and the transfer of meteorological towers, while deferring decisions related to transmission and wind development rights pending the MPUC’s further review of Minnesota Power’s future retail electric service needs.</w:t>
      </w:r>
    </w:p>
    <w:p>
      <w:pPr>
        <w:spacing w:after="0" w:line="1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Boswell Mercury Emissions Reduction Plan. </w:t>
      </w:r>
      <w:r>
        <w:rPr>
          <w:rFonts w:ascii="Arial" w:cs="Arial" w:eastAsia="Arial" w:hAnsi="Arial"/>
          <w:sz w:val="18"/>
          <w:szCs w:val="18"/>
          <w:color w:val="auto"/>
        </w:rPr>
        <w:t>Minnesota Power is required to implement a mercury emissions reduction project for Boswell Unit 4 under</w:t>
      </w:r>
      <w:r>
        <w:rPr>
          <w:rFonts w:ascii="Arial" w:cs="Arial" w:eastAsia="Arial" w:hAnsi="Arial"/>
          <w:sz w:val="18"/>
          <w:szCs w:val="18"/>
          <w:b w:val="1"/>
          <w:bCs w:val="1"/>
          <w:color w:val="auto"/>
        </w:rPr>
        <w:t xml:space="preserve"> </w:t>
      </w:r>
      <w:r>
        <w:rPr>
          <w:rFonts w:ascii="Arial" w:cs="Arial" w:eastAsia="Arial" w:hAnsi="Arial"/>
          <w:sz w:val="18"/>
          <w:szCs w:val="18"/>
          <w:color w:val="auto"/>
        </w:rPr>
        <w:t>the Minnesota Mercury Emissions Reduction and the Federal MATS rule. On August 31, 2012, Minnesota Power filed its mercury emissions reduction plan for Boswell Unit 4 with the MPUC and the MPCA. The plan proposes that Minnesota Power install pollution controls by early 2016 to address both the Minnesota mercury emissions reduction requirements and the Federal MATS rule. Costs to implement the Boswell Unit 4 mercury emissions reduction plan are included in the estimated capital expenditures required for compliance with the MATS rule and are estimated to be between $350 million and $400 million. The MPCA has 180 days to comment on the mercury emissions reduction plan, which then is reviewed by the MPUC for a decision. We expect a decision by the MPUC on the plan in the third quarter of 2013. After approval by the MPUC we anticipate filing a petition to include investments and expenditures in customer billing rates.</w:t>
      </w:r>
    </w:p>
    <w:p>
      <w:pPr>
        <w:spacing w:after="0" w:line="185" w:lineRule="exact"/>
        <w:rPr>
          <w:sz w:val="20"/>
          <w:szCs w:val="20"/>
          <w:color w:val="auto"/>
        </w:rPr>
      </w:pPr>
    </w:p>
    <w:p>
      <w:pPr>
        <w:jc w:val="both"/>
        <w:spacing w:after="0" w:line="295" w:lineRule="auto"/>
        <w:rPr>
          <w:sz w:val="20"/>
          <w:szCs w:val="20"/>
          <w:color w:val="auto"/>
        </w:rPr>
      </w:pPr>
      <w:r>
        <w:rPr>
          <w:rFonts w:ascii="Arial" w:cs="Arial" w:eastAsia="Arial" w:hAnsi="Arial"/>
          <w:sz w:val="16"/>
          <w:szCs w:val="16"/>
          <w:b w:val="1"/>
          <w:bCs w:val="1"/>
          <w:color w:val="auto"/>
        </w:rPr>
        <w:t xml:space="preserve">The Patient Protection and Affordable Care Act of 2010 (PPACA). </w:t>
      </w:r>
      <w:r>
        <w:rPr>
          <w:rFonts w:ascii="Arial" w:cs="Arial" w:eastAsia="Arial" w:hAnsi="Arial"/>
          <w:sz w:val="16"/>
          <w:szCs w:val="16"/>
          <w:color w:val="auto"/>
        </w:rPr>
        <w:t>In March 2010, the PPACA was signed into law. One of the provisions changed the tax</w:t>
      </w:r>
      <w:r>
        <w:rPr>
          <w:rFonts w:ascii="Arial" w:cs="Arial" w:eastAsia="Arial" w:hAnsi="Arial"/>
          <w:sz w:val="16"/>
          <w:szCs w:val="16"/>
          <w:b w:val="1"/>
          <w:bCs w:val="1"/>
          <w:color w:val="auto"/>
        </w:rPr>
        <w:t xml:space="preserve"> </w:t>
      </w:r>
      <w:r>
        <w:rPr>
          <w:rFonts w:ascii="Arial" w:cs="Arial" w:eastAsia="Arial" w:hAnsi="Arial"/>
          <w:sz w:val="16"/>
          <w:szCs w:val="16"/>
          <w:color w:val="auto"/>
        </w:rPr>
        <w:t>treatment for retiree prescription drug expenses by eliminating the tax deduction for expenses that are reimbursed under Medicare Part D, beginning January 1, 2013. Based on this provision, we are subject to additional taxes in the future and were required to reverse previously recorded tax benefits which resulted in a non-recurring charge to net income of $4.0 million in 2010. In October 2010, we submitted a filing with the MPUC requesting deferral of the retail portion of the tax charge taken in 2010 resulting from the PPACA. In May 2011, the MPUC approved our request for deferral until the next rate case and as a result we recorded an income tax benefit of $2.9 million and a related regulatory asset of $5.0 million in the second quarter of 2011.</w:t>
      </w:r>
    </w:p>
    <w:p>
      <w:pPr>
        <w:spacing w:after="0" w:line="15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Pension. </w:t>
      </w:r>
      <w:r>
        <w:rPr>
          <w:rFonts w:ascii="Arial" w:cs="Arial" w:eastAsia="Arial" w:hAnsi="Arial"/>
          <w:sz w:val="18"/>
          <w:szCs w:val="18"/>
          <w:color w:val="auto"/>
        </w:rPr>
        <w:t>In December 2011, the Company filed a petition with the MPUC requesting a mechanism to recover the cost of capital associated with the prepaid</w:t>
      </w:r>
      <w:r>
        <w:rPr>
          <w:rFonts w:ascii="Arial" w:cs="Arial" w:eastAsia="Arial" w:hAnsi="Arial"/>
          <w:sz w:val="18"/>
          <w:szCs w:val="18"/>
          <w:b w:val="1"/>
          <w:bCs w:val="1"/>
          <w:color w:val="auto"/>
        </w:rPr>
        <w:t xml:space="preserve"> </w:t>
      </w:r>
      <w:r>
        <w:rPr>
          <w:rFonts w:ascii="Arial" w:cs="Arial" w:eastAsia="Arial" w:hAnsi="Arial"/>
          <w:sz w:val="18"/>
          <w:szCs w:val="18"/>
          <w:color w:val="auto"/>
        </w:rPr>
        <w:t>pension asset (or liability) created by the required contributions under the pension plan in excess of (or less than) annual pension expense. The Company further requested a mechanism to defer pension expenses in excess of (or less than) those currently being recovered in base rates. On February 14, 2013, the MPUC denied the Company's petition for recovery of the pension asset and deferral of expenses outside of a general rate case. The MPUC decision does not impact the results of operations for the year ended December 31, 2012.</w:t>
      </w:r>
    </w:p>
    <w:p>
      <w:pPr>
        <w:spacing w:after="0" w:line="184"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Regulatory Assets and Liabilities. </w:t>
      </w:r>
      <w:r>
        <w:rPr>
          <w:rFonts w:ascii="Arial" w:cs="Arial" w:eastAsia="Arial" w:hAnsi="Arial"/>
          <w:sz w:val="18"/>
          <w:szCs w:val="18"/>
          <w:color w:val="auto"/>
        </w:rPr>
        <w:t>Our regulated utility operations are subject to the accounting guidance for Regulated Operations. We capitalize incurred</w:t>
      </w:r>
      <w:r>
        <w:rPr>
          <w:rFonts w:ascii="Arial" w:cs="Arial" w:eastAsia="Arial" w:hAnsi="Arial"/>
          <w:sz w:val="18"/>
          <w:szCs w:val="18"/>
          <w:b w:val="1"/>
          <w:bCs w:val="1"/>
          <w:color w:val="auto"/>
        </w:rPr>
        <w:t xml:space="preserve"> </w:t>
      </w:r>
      <w:r>
        <w:rPr>
          <w:rFonts w:ascii="Arial" w:cs="Arial" w:eastAsia="Arial" w:hAnsi="Arial"/>
          <w:sz w:val="18"/>
          <w:szCs w:val="18"/>
          <w:color w:val="auto"/>
        </w:rPr>
        <w:t>costs which are probable of recovery in future utility rates as regulatory assets. Regulatory liabilities represent amounts expected to be refunded or credited to customers in rates. No regulatory assets or liabilities are currently earning a return.</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2012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364" w:right="239" w:bottom="1440" w:gutter="0" w:footer="0" w:header="0"/>
        </w:sectPr>
      </w:pPr>
    </w:p>
    <w:bookmarkStart w:id="79" w:name="page80"/>
    <w:bookmarkEnd w:id="79"/>
    <w:tbl>
      <w:tblPr>
        <w:tblLayout w:type="fixed"/>
        <w:tblInd w:w="0" w:type="dxa"/>
        <w:tblCellMar>
          <w:top w:w="0" w:type="dxa"/>
          <w:left w:w="0" w:type="dxa"/>
          <w:bottom w:w="0" w:type="dxa"/>
          <w:right w:w="0" w:type="dxa"/>
        </w:tblCellMar>
      </w:tblPr>
      <w:tr>
        <w:trPr>
          <w:trHeight w:val="234"/>
        </w:trPr>
        <w:tc>
          <w:tcPr>
            <w:tcW w:w="6800" w:type="dxa"/>
            <w:vAlign w:val="bottom"/>
          </w:tcPr>
          <w:p>
            <w:pPr>
              <w:spacing w:after="0"/>
              <w:rPr>
                <w:sz w:val="20"/>
                <w:szCs w:val="20"/>
                <w:color w:val="auto"/>
              </w:rPr>
            </w:pPr>
            <w:r>
              <w:rPr>
                <w:rFonts w:ascii="Arial" w:cs="Arial" w:eastAsia="Arial" w:hAnsi="Arial"/>
                <w:sz w:val="18"/>
                <w:szCs w:val="18"/>
                <w:b w:val="1"/>
                <w:bCs w:val="1"/>
                <w:color w:val="auto"/>
              </w:rPr>
              <w:t>NOTE 5. REGULATORY MATTERS (Continued)</w:t>
            </w:r>
          </w:p>
        </w:tc>
        <w:tc>
          <w:tcPr>
            <w:tcW w:w="346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594"/>
        </w:trPr>
        <w:tc>
          <w:tcPr>
            <w:tcW w:w="6800" w:type="dxa"/>
            <w:vAlign w:val="bottom"/>
          </w:tcPr>
          <w:p>
            <w:pPr>
              <w:ind w:left="40"/>
              <w:spacing w:after="0"/>
              <w:rPr>
                <w:sz w:val="20"/>
                <w:szCs w:val="20"/>
                <w:color w:val="auto"/>
              </w:rPr>
            </w:pPr>
            <w:r>
              <w:rPr>
                <w:rFonts w:ascii="Arial" w:cs="Arial" w:eastAsia="Arial" w:hAnsi="Arial"/>
                <w:sz w:val="18"/>
                <w:szCs w:val="18"/>
                <w:b w:val="1"/>
                <w:bCs w:val="1"/>
                <w:color w:val="auto"/>
              </w:rPr>
              <w:t>Regulatory Assets and Liabilities</w:t>
            </w:r>
          </w:p>
        </w:tc>
        <w:tc>
          <w:tcPr>
            <w:tcW w:w="34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70"/>
        </w:trPr>
        <w:tc>
          <w:tcPr>
            <w:tcW w:w="6800" w:type="dxa"/>
            <w:vAlign w:val="bottom"/>
          </w:tcPr>
          <w:p>
            <w:pPr>
              <w:ind w:left="40"/>
              <w:spacing w:after="0"/>
              <w:rPr>
                <w:sz w:val="20"/>
                <w:szCs w:val="20"/>
                <w:color w:val="auto"/>
              </w:rPr>
            </w:pPr>
            <w:r>
              <w:rPr>
                <w:rFonts w:ascii="Arial" w:cs="Arial" w:eastAsia="Arial" w:hAnsi="Arial"/>
                <w:sz w:val="18"/>
                <w:szCs w:val="18"/>
                <w:b w:val="1"/>
                <w:bCs w:val="1"/>
                <w:color w:val="auto"/>
              </w:rPr>
              <w:t>As of December 31</w:t>
            </w:r>
          </w:p>
        </w:tc>
        <w:tc>
          <w:tcPr>
            <w:tcW w:w="3460" w:type="dxa"/>
            <w:vAlign w:val="bottom"/>
          </w:tcPr>
          <w:p>
            <w:pPr>
              <w:jc w:val="right"/>
              <w:ind w:right="650"/>
              <w:spacing w:after="0"/>
              <w:rPr>
                <w:sz w:val="20"/>
                <w:szCs w:val="20"/>
                <w:color w:val="auto"/>
              </w:rPr>
            </w:pPr>
            <w:r>
              <w:rPr>
                <w:rFonts w:ascii="Arial" w:cs="Arial" w:eastAsia="Arial" w:hAnsi="Arial"/>
                <w:sz w:val="18"/>
                <w:szCs w:val="18"/>
                <w:b w:val="1"/>
                <w:bCs w:val="1"/>
                <w:color w:val="auto"/>
              </w:rPr>
              <w:t>2012</w:t>
            </w:r>
          </w:p>
        </w:tc>
        <w:tc>
          <w:tcPr>
            <w:tcW w:w="1160" w:type="dxa"/>
            <w:vAlign w:val="bottom"/>
          </w:tcPr>
          <w:p>
            <w:pPr>
              <w:jc w:val="right"/>
              <w:ind w:right="310"/>
              <w:spacing w:after="0"/>
              <w:rPr>
                <w:sz w:val="20"/>
                <w:szCs w:val="20"/>
                <w:color w:val="auto"/>
              </w:rPr>
            </w:pPr>
            <w:r>
              <w:rPr>
                <w:rFonts w:ascii="Arial" w:cs="Arial" w:eastAsia="Arial" w:hAnsi="Arial"/>
                <w:sz w:val="18"/>
                <w:szCs w:val="18"/>
                <w:b w:val="1"/>
                <w:bCs w:val="1"/>
                <w:color w:val="auto"/>
              </w:rPr>
              <w:t>2011</w:t>
            </w:r>
          </w:p>
        </w:tc>
      </w:tr>
      <w:tr>
        <w:trPr>
          <w:trHeight w:val="27"/>
        </w:trPr>
        <w:tc>
          <w:tcPr>
            <w:tcW w:w="6800" w:type="dxa"/>
            <w:vAlign w:val="bottom"/>
            <w:tcBorders>
              <w:bottom w:val="single" w:sz="8" w:color="auto"/>
            </w:tcBorders>
          </w:tcPr>
          <w:p>
            <w:pPr>
              <w:spacing w:after="0"/>
              <w:rPr>
                <w:sz w:val="2"/>
                <w:szCs w:val="2"/>
                <w:color w:val="auto"/>
              </w:rPr>
            </w:pPr>
          </w:p>
        </w:tc>
        <w:tc>
          <w:tcPr>
            <w:tcW w:w="34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7"/>
        </w:trPr>
        <w:tc>
          <w:tcPr>
            <w:tcW w:w="680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346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7"/>
        </w:trPr>
        <w:tc>
          <w:tcPr>
            <w:tcW w:w="6800" w:type="dxa"/>
            <w:vAlign w:val="bottom"/>
          </w:tcPr>
          <w:p>
            <w:pPr>
              <w:spacing w:after="0"/>
              <w:rPr>
                <w:sz w:val="2"/>
                <w:szCs w:val="2"/>
                <w:color w:val="auto"/>
              </w:rPr>
            </w:pPr>
          </w:p>
        </w:tc>
        <w:tc>
          <w:tcPr>
            <w:tcW w:w="34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 xml:space="preserve">Current Regulatory Assets </w:t>
            </w:r>
            <w:r>
              <w:rPr>
                <w:rFonts w:ascii="Arial" w:cs="Arial" w:eastAsia="Arial" w:hAnsi="Arial"/>
                <w:sz w:val="18"/>
                <w:szCs w:val="18"/>
                <w:b w:val="1"/>
                <w:bCs w:val="1"/>
                <w:i w:val="1"/>
                <w:iCs w:val="1"/>
                <w:color w:val="auto"/>
              </w:rPr>
              <w:t>(a)</w:t>
            </w:r>
          </w:p>
        </w:tc>
        <w:tc>
          <w:tcPr>
            <w:tcW w:w="34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6800" w:type="dxa"/>
            <w:vAlign w:val="bottom"/>
          </w:tcPr>
          <w:p>
            <w:pPr>
              <w:ind w:left="280"/>
              <w:spacing w:after="0"/>
              <w:rPr>
                <w:sz w:val="20"/>
                <w:szCs w:val="20"/>
                <w:color w:val="auto"/>
              </w:rPr>
            </w:pPr>
            <w:r>
              <w:rPr>
                <w:rFonts w:ascii="Arial" w:cs="Arial" w:eastAsia="Arial" w:hAnsi="Arial"/>
                <w:sz w:val="18"/>
                <w:szCs w:val="18"/>
                <w:color w:val="auto"/>
              </w:rPr>
              <w:t>Deferred Fuel</w:t>
            </w:r>
          </w:p>
        </w:tc>
        <w:tc>
          <w:tcPr>
            <w:tcW w:w="3460" w:type="dxa"/>
            <w:vAlign w:val="bottom"/>
          </w:tcPr>
          <w:p>
            <w:pPr>
              <w:jc w:val="right"/>
              <w:ind w:right="330"/>
              <w:spacing w:after="0"/>
              <w:rPr>
                <w:sz w:val="20"/>
                <w:szCs w:val="20"/>
                <w:color w:val="auto"/>
              </w:rPr>
            </w:pPr>
            <w:r>
              <w:rPr>
                <w:rFonts w:ascii="Arial" w:cs="Arial" w:eastAsia="Arial" w:hAnsi="Arial"/>
                <w:sz w:val="18"/>
                <w:szCs w:val="18"/>
                <w:color w:val="auto"/>
              </w:rPr>
              <w:t>$22.5</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$17.5</w:t>
            </w:r>
          </w:p>
        </w:tc>
      </w:tr>
      <w:tr>
        <w:trPr>
          <w:trHeight w:val="27"/>
        </w:trPr>
        <w:tc>
          <w:tcPr>
            <w:tcW w:w="6800" w:type="dxa"/>
            <w:vAlign w:val="bottom"/>
            <w:tcBorders>
              <w:bottom w:val="single" w:sz="8" w:color="auto"/>
            </w:tcBorders>
          </w:tcPr>
          <w:p>
            <w:pPr>
              <w:spacing w:after="0"/>
              <w:rPr>
                <w:sz w:val="2"/>
                <w:szCs w:val="2"/>
                <w:color w:val="auto"/>
              </w:rPr>
            </w:pPr>
          </w:p>
        </w:tc>
        <w:tc>
          <w:tcPr>
            <w:tcW w:w="34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9"/>
        </w:trPr>
        <w:tc>
          <w:tcPr>
            <w:tcW w:w="680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Total Current Regulatory Assets</w:t>
            </w:r>
          </w:p>
        </w:tc>
        <w:tc>
          <w:tcPr>
            <w:tcW w:w="346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22.5</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17.5</w:t>
            </w:r>
          </w:p>
        </w:tc>
      </w:tr>
      <w:tr>
        <w:trPr>
          <w:trHeight w:val="237"/>
        </w:trPr>
        <w:tc>
          <w:tcPr>
            <w:tcW w:w="68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Non-Current Regulatory Assets</w:t>
            </w:r>
          </w:p>
        </w:tc>
        <w:tc>
          <w:tcPr>
            <w:tcW w:w="34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r>
      <w:tr>
        <w:trPr>
          <w:trHeight w:val="27"/>
        </w:trPr>
        <w:tc>
          <w:tcPr>
            <w:tcW w:w="6800" w:type="dxa"/>
            <w:vAlign w:val="bottom"/>
          </w:tcPr>
          <w:p>
            <w:pPr>
              <w:spacing w:after="0"/>
              <w:rPr>
                <w:sz w:val="2"/>
                <w:szCs w:val="2"/>
                <w:color w:val="auto"/>
              </w:rPr>
            </w:pPr>
          </w:p>
        </w:tc>
        <w:tc>
          <w:tcPr>
            <w:tcW w:w="34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Future Benefit Obligations Under</w:t>
            </w:r>
          </w:p>
        </w:tc>
        <w:tc>
          <w:tcPr>
            <w:tcW w:w="34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6800" w:type="dxa"/>
            <w:vAlign w:val="bottom"/>
          </w:tcPr>
          <w:p>
            <w:pPr>
              <w:ind w:left="360"/>
              <w:spacing w:after="0"/>
              <w:rPr>
                <w:sz w:val="20"/>
                <w:szCs w:val="20"/>
                <w:color w:val="auto"/>
              </w:rPr>
            </w:pPr>
            <w:r>
              <w:rPr>
                <w:rFonts w:ascii="Arial" w:cs="Arial" w:eastAsia="Arial" w:hAnsi="Arial"/>
                <w:sz w:val="18"/>
                <w:szCs w:val="18"/>
                <w:color w:val="auto"/>
              </w:rPr>
              <w:t>Defined Benefit Pension and Other Postretirement Plans</w:t>
            </w:r>
          </w:p>
        </w:tc>
        <w:tc>
          <w:tcPr>
            <w:tcW w:w="3460" w:type="dxa"/>
            <w:vAlign w:val="bottom"/>
          </w:tcPr>
          <w:p>
            <w:pPr>
              <w:jc w:val="right"/>
              <w:ind w:right="330"/>
              <w:spacing w:after="0"/>
              <w:rPr>
                <w:sz w:val="20"/>
                <w:szCs w:val="20"/>
                <w:color w:val="auto"/>
              </w:rPr>
            </w:pPr>
            <w:r>
              <w:rPr>
                <w:rFonts w:ascii="Arial" w:cs="Arial" w:eastAsia="Arial" w:hAnsi="Arial"/>
                <w:sz w:val="18"/>
                <w:szCs w:val="18"/>
                <w:color w:val="auto"/>
              </w:rPr>
              <w:t>260.7</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292.8</w:t>
            </w:r>
          </w:p>
        </w:tc>
      </w:tr>
      <w:tr>
        <w:trPr>
          <w:trHeight w:val="27"/>
        </w:trPr>
        <w:tc>
          <w:tcPr>
            <w:tcW w:w="6800" w:type="dxa"/>
            <w:vAlign w:val="bottom"/>
          </w:tcPr>
          <w:p>
            <w:pPr>
              <w:spacing w:after="0"/>
              <w:rPr>
                <w:sz w:val="2"/>
                <w:szCs w:val="2"/>
                <w:color w:val="auto"/>
              </w:rPr>
            </w:pPr>
          </w:p>
        </w:tc>
        <w:tc>
          <w:tcPr>
            <w:tcW w:w="34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Taxes</w:t>
            </w:r>
          </w:p>
        </w:tc>
        <w:tc>
          <w:tcPr>
            <w:tcW w:w="346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36.0</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28.6</w:t>
            </w:r>
          </w:p>
        </w:tc>
      </w:tr>
      <w:tr>
        <w:trPr>
          <w:trHeight w:val="243"/>
        </w:trPr>
        <w:tc>
          <w:tcPr>
            <w:tcW w:w="6800" w:type="dxa"/>
            <w:vAlign w:val="bottom"/>
          </w:tcPr>
          <w:p>
            <w:pPr>
              <w:ind w:left="280"/>
              <w:spacing w:after="0"/>
              <w:rPr>
                <w:sz w:val="20"/>
                <w:szCs w:val="20"/>
                <w:color w:val="auto"/>
              </w:rPr>
            </w:pPr>
            <w:r>
              <w:rPr>
                <w:rFonts w:ascii="Arial" w:cs="Arial" w:eastAsia="Arial" w:hAnsi="Arial"/>
                <w:sz w:val="18"/>
                <w:szCs w:val="18"/>
                <w:color w:val="auto"/>
              </w:rPr>
              <w:t>Asset Retirement Obligation</w:t>
            </w:r>
          </w:p>
        </w:tc>
        <w:tc>
          <w:tcPr>
            <w:tcW w:w="3460" w:type="dxa"/>
            <w:vAlign w:val="bottom"/>
          </w:tcPr>
          <w:p>
            <w:pPr>
              <w:jc w:val="right"/>
              <w:ind w:right="330"/>
              <w:spacing w:after="0"/>
              <w:rPr>
                <w:sz w:val="20"/>
                <w:szCs w:val="20"/>
                <w:color w:val="auto"/>
              </w:rPr>
            </w:pPr>
            <w:r>
              <w:rPr>
                <w:rFonts w:ascii="Arial" w:cs="Arial" w:eastAsia="Arial" w:hAnsi="Arial"/>
                <w:sz w:val="18"/>
                <w:szCs w:val="18"/>
                <w:color w:val="auto"/>
              </w:rPr>
              <w:t>12.1</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9.8</w:t>
            </w:r>
          </w:p>
        </w:tc>
      </w:tr>
      <w:tr>
        <w:trPr>
          <w:trHeight w:val="27"/>
        </w:trPr>
        <w:tc>
          <w:tcPr>
            <w:tcW w:w="6800" w:type="dxa"/>
            <w:vAlign w:val="bottom"/>
          </w:tcPr>
          <w:p>
            <w:pPr>
              <w:spacing w:after="0"/>
              <w:rPr>
                <w:sz w:val="2"/>
                <w:szCs w:val="2"/>
                <w:color w:val="auto"/>
              </w:rPr>
            </w:pPr>
          </w:p>
        </w:tc>
        <w:tc>
          <w:tcPr>
            <w:tcW w:w="34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 xml:space="preserve">Cost Recovery Riders </w:t>
            </w:r>
            <w:r>
              <w:rPr>
                <w:rFonts w:ascii="Arial" w:cs="Arial" w:eastAsia="Arial" w:hAnsi="Arial"/>
                <w:sz w:val="18"/>
                <w:szCs w:val="18"/>
                <w:i w:val="1"/>
                <w:iCs w:val="1"/>
                <w:color w:val="auto"/>
              </w:rPr>
              <w:t>(b)</w:t>
            </w:r>
          </w:p>
        </w:tc>
        <w:tc>
          <w:tcPr>
            <w:tcW w:w="346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18.5</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0.7</w:t>
            </w:r>
          </w:p>
        </w:tc>
      </w:tr>
      <w:tr>
        <w:trPr>
          <w:trHeight w:val="243"/>
        </w:trPr>
        <w:tc>
          <w:tcPr>
            <w:tcW w:w="6800" w:type="dxa"/>
            <w:vAlign w:val="bottom"/>
          </w:tcPr>
          <w:p>
            <w:pPr>
              <w:ind w:left="280"/>
              <w:spacing w:after="0"/>
              <w:rPr>
                <w:sz w:val="20"/>
                <w:szCs w:val="20"/>
                <w:color w:val="auto"/>
              </w:rPr>
            </w:pPr>
            <w:r>
              <w:rPr>
                <w:rFonts w:ascii="Arial" w:cs="Arial" w:eastAsia="Arial" w:hAnsi="Arial"/>
                <w:sz w:val="18"/>
                <w:szCs w:val="18"/>
                <w:color w:val="auto"/>
              </w:rPr>
              <w:t>PPACA Income Tax Deferral</w:t>
            </w:r>
          </w:p>
        </w:tc>
        <w:tc>
          <w:tcPr>
            <w:tcW w:w="3460" w:type="dxa"/>
            <w:vAlign w:val="bottom"/>
          </w:tcPr>
          <w:p>
            <w:pPr>
              <w:jc w:val="right"/>
              <w:ind w:right="330"/>
              <w:spacing w:after="0"/>
              <w:rPr>
                <w:sz w:val="20"/>
                <w:szCs w:val="20"/>
                <w:color w:val="auto"/>
              </w:rPr>
            </w:pPr>
            <w:r>
              <w:rPr>
                <w:rFonts w:ascii="Arial" w:cs="Arial" w:eastAsia="Arial" w:hAnsi="Arial"/>
                <w:sz w:val="18"/>
                <w:szCs w:val="18"/>
                <w:color w:val="auto"/>
              </w:rPr>
              <w:t>5.0</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5.0</w:t>
            </w:r>
          </w:p>
        </w:tc>
      </w:tr>
      <w:tr>
        <w:trPr>
          <w:trHeight w:val="27"/>
        </w:trPr>
        <w:tc>
          <w:tcPr>
            <w:tcW w:w="6800" w:type="dxa"/>
            <w:vAlign w:val="bottom"/>
          </w:tcPr>
          <w:p>
            <w:pPr>
              <w:spacing w:after="0"/>
              <w:rPr>
                <w:sz w:val="2"/>
                <w:szCs w:val="2"/>
                <w:color w:val="auto"/>
              </w:rPr>
            </w:pPr>
          </w:p>
        </w:tc>
        <w:tc>
          <w:tcPr>
            <w:tcW w:w="34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Conservation Improvement Program</w:t>
            </w:r>
          </w:p>
        </w:tc>
        <w:tc>
          <w:tcPr>
            <w:tcW w:w="346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4.3</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w:t>
            </w:r>
          </w:p>
        </w:tc>
      </w:tr>
      <w:tr>
        <w:trPr>
          <w:trHeight w:val="243"/>
        </w:trPr>
        <w:tc>
          <w:tcPr>
            <w:tcW w:w="6800" w:type="dxa"/>
            <w:vAlign w:val="bottom"/>
          </w:tcPr>
          <w:p>
            <w:pPr>
              <w:ind w:left="280"/>
              <w:spacing w:after="0"/>
              <w:rPr>
                <w:sz w:val="20"/>
                <w:szCs w:val="20"/>
                <w:color w:val="auto"/>
              </w:rPr>
            </w:pPr>
            <w:r>
              <w:rPr>
                <w:rFonts w:ascii="Arial" w:cs="Arial" w:eastAsia="Arial" w:hAnsi="Arial"/>
                <w:sz w:val="18"/>
                <w:szCs w:val="18"/>
                <w:color w:val="auto"/>
              </w:rPr>
              <w:t>Other</w:t>
            </w:r>
          </w:p>
        </w:tc>
        <w:tc>
          <w:tcPr>
            <w:tcW w:w="3460" w:type="dxa"/>
            <w:vAlign w:val="bottom"/>
          </w:tcPr>
          <w:p>
            <w:pPr>
              <w:jc w:val="right"/>
              <w:ind w:right="330"/>
              <w:spacing w:after="0"/>
              <w:rPr>
                <w:sz w:val="20"/>
                <w:szCs w:val="20"/>
                <w:color w:val="auto"/>
              </w:rPr>
            </w:pPr>
            <w:r>
              <w:rPr>
                <w:rFonts w:ascii="Arial" w:cs="Arial" w:eastAsia="Arial" w:hAnsi="Arial"/>
                <w:sz w:val="18"/>
                <w:szCs w:val="18"/>
                <w:color w:val="auto"/>
              </w:rPr>
              <w:t>3.7</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4.4</w:t>
            </w:r>
          </w:p>
        </w:tc>
      </w:tr>
      <w:tr>
        <w:trPr>
          <w:trHeight w:val="27"/>
        </w:trPr>
        <w:tc>
          <w:tcPr>
            <w:tcW w:w="6800" w:type="dxa"/>
            <w:vAlign w:val="bottom"/>
            <w:tcBorders>
              <w:bottom w:val="single" w:sz="8" w:color="auto"/>
            </w:tcBorders>
          </w:tcPr>
          <w:p>
            <w:pPr>
              <w:spacing w:after="0"/>
              <w:rPr>
                <w:sz w:val="2"/>
                <w:szCs w:val="2"/>
                <w:color w:val="auto"/>
              </w:rPr>
            </w:pPr>
          </w:p>
        </w:tc>
        <w:tc>
          <w:tcPr>
            <w:tcW w:w="34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9"/>
        </w:trPr>
        <w:tc>
          <w:tcPr>
            <w:tcW w:w="6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Non-Current Regulatory Assets</w:t>
            </w:r>
          </w:p>
        </w:tc>
        <w:tc>
          <w:tcPr>
            <w:tcW w:w="346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340.3</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345.9</w:t>
            </w:r>
          </w:p>
        </w:tc>
      </w:tr>
      <w:tr>
        <w:trPr>
          <w:trHeight w:val="291"/>
        </w:trPr>
        <w:tc>
          <w:tcPr>
            <w:tcW w:w="6800" w:type="dxa"/>
            <w:vAlign w:val="bottom"/>
            <w:tcBorders>
              <w:top w:val="single" w:sz="8" w:color="auto"/>
            </w:tcBorders>
          </w:tcPr>
          <w:p>
            <w:pPr>
              <w:spacing w:after="0"/>
              <w:rPr>
                <w:sz w:val="24"/>
                <w:szCs w:val="24"/>
                <w:color w:val="auto"/>
              </w:rPr>
            </w:pPr>
          </w:p>
        </w:tc>
        <w:tc>
          <w:tcPr>
            <w:tcW w:w="346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r>
      <w:tr>
        <w:trPr>
          <w:trHeight w:val="275"/>
        </w:trPr>
        <w:tc>
          <w:tcPr>
            <w:tcW w:w="6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Regulatory Assets</w:t>
            </w:r>
          </w:p>
        </w:tc>
        <w:tc>
          <w:tcPr>
            <w:tcW w:w="346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$362.8</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$363.4</w:t>
            </w:r>
          </w:p>
        </w:tc>
      </w:tr>
      <w:tr>
        <w:trPr>
          <w:trHeight w:val="291"/>
        </w:trPr>
        <w:tc>
          <w:tcPr>
            <w:tcW w:w="6800" w:type="dxa"/>
            <w:vAlign w:val="bottom"/>
            <w:tcBorders>
              <w:top w:val="single" w:sz="8" w:color="auto"/>
            </w:tcBorders>
          </w:tcPr>
          <w:p>
            <w:pPr>
              <w:spacing w:after="0"/>
              <w:rPr>
                <w:sz w:val="24"/>
                <w:szCs w:val="24"/>
                <w:color w:val="auto"/>
              </w:rPr>
            </w:pPr>
          </w:p>
        </w:tc>
        <w:tc>
          <w:tcPr>
            <w:tcW w:w="346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r>
      <w:tr>
        <w:trPr>
          <w:trHeight w:val="250"/>
        </w:trPr>
        <w:tc>
          <w:tcPr>
            <w:tcW w:w="6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Non-Current Regulatory Liabilities</w:t>
            </w:r>
          </w:p>
        </w:tc>
        <w:tc>
          <w:tcPr>
            <w:tcW w:w="34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6800" w:type="dxa"/>
            <w:vAlign w:val="bottom"/>
          </w:tcPr>
          <w:p>
            <w:pPr>
              <w:ind w:left="280"/>
              <w:spacing w:after="0"/>
              <w:rPr>
                <w:sz w:val="20"/>
                <w:szCs w:val="20"/>
                <w:color w:val="auto"/>
              </w:rPr>
            </w:pPr>
            <w:r>
              <w:rPr>
                <w:rFonts w:ascii="Arial" w:cs="Arial" w:eastAsia="Arial" w:hAnsi="Arial"/>
                <w:sz w:val="18"/>
                <w:szCs w:val="18"/>
                <w:color w:val="auto"/>
              </w:rPr>
              <w:t>Income Taxes</w:t>
            </w:r>
          </w:p>
        </w:tc>
        <w:tc>
          <w:tcPr>
            <w:tcW w:w="3460" w:type="dxa"/>
            <w:vAlign w:val="bottom"/>
          </w:tcPr>
          <w:p>
            <w:pPr>
              <w:jc w:val="right"/>
              <w:ind w:right="330"/>
              <w:spacing w:after="0"/>
              <w:rPr>
                <w:sz w:val="20"/>
                <w:szCs w:val="20"/>
                <w:color w:val="auto"/>
              </w:rPr>
            </w:pPr>
            <w:r>
              <w:rPr>
                <w:rFonts w:ascii="Arial" w:cs="Arial" w:eastAsia="Arial" w:hAnsi="Arial"/>
                <w:sz w:val="18"/>
                <w:szCs w:val="18"/>
                <w:color w:val="auto"/>
              </w:rPr>
              <w:t>$19.5</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$21.9</w:t>
            </w:r>
          </w:p>
        </w:tc>
      </w:tr>
      <w:tr>
        <w:trPr>
          <w:trHeight w:val="27"/>
        </w:trPr>
        <w:tc>
          <w:tcPr>
            <w:tcW w:w="6800" w:type="dxa"/>
            <w:vAlign w:val="bottom"/>
          </w:tcPr>
          <w:p>
            <w:pPr>
              <w:spacing w:after="0"/>
              <w:rPr>
                <w:sz w:val="2"/>
                <w:szCs w:val="2"/>
                <w:color w:val="auto"/>
              </w:rPr>
            </w:pPr>
          </w:p>
        </w:tc>
        <w:tc>
          <w:tcPr>
            <w:tcW w:w="34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Plant Removal Obligations</w:t>
            </w:r>
          </w:p>
        </w:tc>
        <w:tc>
          <w:tcPr>
            <w:tcW w:w="346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18.1</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w:t>
            </w:r>
          </w:p>
        </w:tc>
      </w:tr>
      <w:tr>
        <w:trPr>
          <w:trHeight w:val="243"/>
        </w:trPr>
        <w:tc>
          <w:tcPr>
            <w:tcW w:w="6800" w:type="dxa"/>
            <w:vAlign w:val="bottom"/>
          </w:tcPr>
          <w:p>
            <w:pPr>
              <w:ind w:left="280"/>
              <w:spacing w:after="0"/>
              <w:rPr>
                <w:sz w:val="20"/>
                <w:szCs w:val="20"/>
                <w:color w:val="auto"/>
              </w:rPr>
            </w:pPr>
            <w:r>
              <w:rPr>
                <w:rFonts w:ascii="Arial" w:cs="Arial" w:eastAsia="Arial" w:hAnsi="Arial"/>
                <w:sz w:val="18"/>
                <w:szCs w:val="18"/>
                <w:color w:val="auto"/>
              </w:rPr>
              <w:t>Wholesale and Retail Contra AFUDC</w:t>
            </w:r>
          </w:p>
        </w:tc>
        <w:tc>
          <w:tcPr>
            <w:tcW w:w="3460" w:type="dxa"/>
            <w:vAlign w:val="bottom"/>
          </w:tcPr>
          <w:p>
            <w:pPr>
              <w:jc w:val="right"/>
              <w:ind w:right="330"/>
              <w:spacing w:after="0"/>
              <w:rPr>
                <w:sz w:val="20"/>
                <w:szCs w:val="20"/>
                <w:color w:val="auto"/>
              </w:rPr>
            </w:pPr>
            <w:r>
              <w:rPr>
                <w:rFonts w:ascii="Arial" w:cs="Arial" w:eastAsia="Arial" w:hAnsi="Arial"/>
                <w:sz w:val="18"/>
                <w:szCs w:val="18"/>
                <w:color w:val="auto"/>
              </w:rPr>
              <w:t>15.5</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1.5</w:t>
            </w:r>
          </w:p>
        </w:tc>
      </w:tr>
      <w:tr>
        <w:trPr>
          <w:trHeight w:val="27"/>
        </w:trPr>
        <w:tc>
          <w:tcPr>
            <w:tcW w:w="6800" w:type="dxa"/>
            <w:vAlign w:val="bottom"/>
          </w:tcPr>
          <w:p>
            <w:pPr>
              <w:spacing w:after="0"/>
              <w:rPr>
                <w:sz w:val="2"/>
                <w:szCs w:val="2"/>
                <w:color w:val="auto"/>
              </w:rPr>
            </w:pPr>
          </w:p>
        </w:tc>
        <w:tc>
          <w:tcPr>
            <w:tcW w:w="34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5"/>
        </w:trPr>
        <w:tc>
          <w:tcPr>
            <w:tcW w:w="6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346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7.0</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w:t>
            </w:r>
          </w:p>
        </w:tc>
      </w:tr>
      <w:tr>
        <w:trPr>
          <w:trHeight w:val="237"/>
        </w:trPr>
        <w:tc>
          <w:tcPr>
            <w:tcW w:w="6800" w:type="dxa"/>
            <w:vAlign w:val="bottom"/>
            <w:tcBorders>
              <w:top w:val="single" w:sz="8" w:color="auto"/>
            </w:tcBorders>
          </w:tcPr>
          <w:p>
            <w:pPr>
              <w:ind w:left="380"/>
              <w:spacing w:after="0"/>
              <w:rPr>
                <w:sz w:val="20"/>
                <w:szCs w:val="20"/>
                <w:color w:val="auto"/>
              </w:rPr>
            </w:pPr>
            <w:r>
              <w:rPr>
                <w:rFonts w:ascii="Arial" w:cs="Arial" w:eastAsia="Arial" w:hAnsi="Arial"/>
                <w:sz w:val="18"/>
                <w:szCs w:val="18"/>
                <w:color w:val="auto"/>
              </w:rPr>
              <w:t>Total Non-Current Regulatory Liabilities</w:t>
            </w:r>
          </w:p>
        </w:tc>
        <w:tc>
          <w:tcPr>
            <w:tcW w:w="346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rPr>
              <w:t>$60.1</w:t>
            </w: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$43.5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0"/>
          <w:szCs w:val="20"/>
          <w:color w:val="auto"/>
        </w:rPr>
      </w:pPr>
    </w:p>
    <w:p>
      <w:pPr>
        <w:ind w:left="340" w:hanging="332"/>
        <w:spacing w:after="0"/>
        <w:tabs>
          <w:tab w:leader="none" w:pos="340" w:val="left"/>
        </w:tabs>
        <w:numPr>
          <w:ilvl w:val="0"/>
          <w:numId w:val="29"/>
        </w:numPr>
        <w:rPr>
          <w:rFonts w:ascii="Arial" w:cs="Arial" w:eastAsia="Arial" w:hAnsi="Arial"/>
          <w:sz w:val="16"/>
          <w:szCs w:val="16"/>
          <w:i w:val="1"/>
          <w:iCs w:val="1"/>
          <w:color w:val="auto"/>
        </w:rPr>
      </w:pPr>
      <w:r>
        <w:rPr>
          <w:rFonts w:ascii="Arial" w:cs="Arial" w:eastAsia="Arial" w:hAnsi="Arial"/>
          <w:sz w:val="16"/>
          <w:szCs w:val="16"/>
          <w:i w:val="1"/>
          <w:iCs w:val="1"/>
          <w:color w:val="auto"/>
        </w:rPr>
        <w:t>Current regulatory assets are included in prepayments and other on our Consolidated Balance Sheet.</w:t>
      </w:r>
    </w:p>
    <w:p>
      <w:pPr>
        <w:spacing w:after="0" w:line="19" w:lineRule="exact"/>
        <w:rPr>
          <w:rFonts w:ascii="Arial" w:cs="Arial" w:eastAsia="Arial" w:hAnsi="Arial"/>
          <w:sz w:val="16"/>
          <w:szCs w:val="16"/>
          <w:i w:val="1"/>
          <w:iCs w:val="1"/>
          <w:color w:val="auto"/>
        </w:rPr>
      </w:pPr>
    </w:p>
    <w:p>
      <w:pPr>
        <w:ind w:left="340" w:hanging="332"/>
        <w:spacing w:after="0"/>
        <w:tabs>
          <w:tab w:leader="none" w:pos="340" w:val="left"/>
        </w:tabs>
        <w:numPr>
          <w:ilvl w:val="0"/>
          <w:numId w:val="29"/>
        </w:numPr>
        <w:rPr>
          <w:rFonts w:ascii="Arial" w:cs="Arial" w:eastAsia="Arial" w:hAnsi="Arial"/>
          <w:sz w:val="16"/>
          <w:szCs w:val="16"/>
          <w:i w:val="1"/>
          <w:iCs w:val="1"/>
          <w:color w:val="auto"/>
        </w:rPr>
      </w:pPr>
      <w:r>
        <w:rPr>
          <w:rFonts w:ascii="Arial" w:cs="Arial" w:eastAsia="Arial" w:hAnsi="Arial"/>
          <w:sz w:val="16"/>
          <w:szCs w:val="16"/>
          <w:i w:val="1"/>
          <w:iCs w:val="1"/>
          <w:color w:val="auto"/>
        </w:rPr>
        <w:t>The increase in cost recovery rider regulatory assets in 2012 is primarily due to revenues related to our Bison Wind Energy Center.</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INVESTMENT IN ATC</w:t>
      </w:r>
    </w:p>
    <w:p>
      <w:pPr>
        <w:spacing w:after="0" w:line="22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Investment in ATC. </w:t>
      </w:r>
      <w:r>
        <w:rPr>
          <w:rFonts w:ascii="Arial" w:cs="Arial" w:eastAsia="Arial" w:hAnsi="Arial"/>
          <w:sz w:val="18"/>
          <w:szCs w:val="18"/>
          <w:color w:val="auto"/>
        </w:rPr>
        <w:t>Our wholly-owned subsidiary, Rainy River Energy, owns approximately 8 percent of ATC, a Wisconsin-based utility that owns and</w:t>
      </w:r>
      <w:r>
        <w:rPr>
          <w:rFonts w:ascii="Arial" w:cs="Arial" w:eastAsia="Arial" w:hAnsi="Arial"/>
          <w:sz w:val="18"/>
          <w:szCs w:val="18"/>
          <w:b w:val="1"/>
          <w:bCs w:val="1"/>
          <w:color w:val="auto"/>
        </w:rPr>
        <w:t xml:space="preserve"> </w:t>
      </w:r>
      <w:r>
        <w:rPr>
          <w:rFonts w:ascii="Arial" w:cs="Arial" w:eastAsia="Arial" w:hAnsi="Arial"/>
          <w:sz w:val="18"/>
          <w:szCs w:val="18"/>
          <w:color w:val="auto"/>
        </w:rPr>
        <w:t>maintains electric transmission assets in parts of Wisconsin, Michigan, Minnesota, and Illinois. ATC rates are FERC-approved and are based on a 12.2 percent return on common equity dedicated to utility plant. We account for our investment in ATC under the equity method of accounting. As of December 31, 2012, our equity investment in ATC was $107.3 million ($98.9 million at December 31, 2011). On January 30, 2013, we invested an additional $0.4 million in ATC. In total, we expect to invest approximately $2.0 million throughout 2013.</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40" w:type="dxa"/>
            <w:vAlign w:val="bottom"/>
          </w:tcPr>
          <w:p>
            <w:pPr>
              <w:ind w:left="40"/>
              <w:spacing w:after="0"/>
              <w:rPr>
                <w:sz w:val="20"/>
                <w:szCs w:val="20"/>
                <w:color w:val="auto"/>
              </w:rPr>
            </w:pPr>
            <w:r>
              <w:rPr>
                <w:rFonts w:ascii="Arial" w:cs="Arial" w:eastAsia="Arial" w:hAnsi="Arial"/>
                <w:sz w:val="18"/>
                <w:szCs w:val="18"/>
                <w:b w:val="1"/>
                <w:bCs w:val="1"/>
                <w:color w:val="auto"/>
              </w:rPr>
              <w:t>ALLETE’s Interest in ATC</w:t>
            </w:r>
          </w:p>
        </w:tc>
        <w:tc>
          <w:tcPr>
            <w:tcW w:w="430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70"/>
        </w:trPr>
        <w:tc>
          <w:tcPr>
            <w:tcW w:w="6040" w:type="dxa"/>
            <w:vAlign w:val="bottom"/>
          </w:tcPr>
          <w:p>
            <w:pPr>
              <w:ind w:left="40"/>
              <w:spacing w:after="0"/>
              <w:rPr>
                <w:sz w:val="20"/>
                <w:szCs w:val="20"/>
                <w:color w:val="auto"/>
              </w:rPr>
            </w:pPr>
            <w:r>
              <w:rPr>
                <w:rFonts w:ascii="Arial" w:cs="Arial" w:eastAsia="Arial" w:hAnsi="Arial"/>
                <w:sz w:val="18"/>
                <w:szCs w:val="18"/>
                <w:b w:val="1"/>
                <w:bCs w:val="1"/>
                <w:color w:val="auto"/>
              </w:rPr>
              <w:t>Year Ended December 31</w:t>
            </w:r>
          </w:p>
        </w:tc>
        <w:tc>
          <w:tcPr>
            <w:tcW w:w="4300" w:type="dxa"/>
            <w:vAlign w:val="bottom"/>
          </w:tcPr>
          <w:p>
            <w:pPr>
              <w:jc w:val="right"/>
              <w:ind w:right="610"/>
              <w:spacing w:after="0"/>
              <w:rPr>
                <w:sz w:val="20"/>
                <w:szCs w:val="20"/>
                <w:color w:val="auto"/>
              </w:rPr>
            </w:pPr>
            <w:r>
              <w:rPr>
                <w:rFonts w:ascii="Arial" w:cs="Arial" w:eastAsia="Arial" w:hAnsi="Arial"/>
                <w:sz w:val="18"/>
                <w:szCs w:val="18"/>
                <w:b w:val="1"/>
                <w:bCs w:val="1"/>
                <w:color w:val="auto"/>
              </w:rPr>
              <w:t>2012</w:t>
            </w:r>
          </w:p>
        </w:tc>
        <w:tc>
          <w:tcPr>
            <w:tcW w:w="1080" w:type="dxa"/>
            <w:vAlign w:val="bottom"/>
          </w:tcPr>
          <w:p>
            <w:pPr>
              <w:jc w:val="right"/>
              <w:ind w:right="310"/>
              <w:spacing w:after="0"/>
              <w:rPr>
                <w:sz w:val="20"/>
                <w:szCs w:val="20"/>
                <w:color w:val="auto"/>
              </w:rPr>
            </w:pPr>
            <w:r>
              <w:rPr>
                <w:rFonts w:ascii="Arial" w:cs="Arial" w:eastAsia="Arial" w:hAnsi="Arial"/>
                <w:sz w:val="18"/>
                <w:szCs w:val="18"/>
                <w:b w:val="1"/>
                <w:bCs w:val="1"/>
                <w:color w:val="auto"/>
              </w:rPr>
              <w:t>2011</w:t>
            </w:r>
          </w:p>
        </w:tc>
      </w:tr>
      <w:tr>
        <w:trPr>
          <w:trHeight w:val="27"/>
        </w:trPr>
        <w:tc>
          <w:tcPr>
            <w:tcW w:w="6040" w:type="dxa"/>
            <w:vAlign w:val="bottom"/>
            <w:tcBorders>
              <w:bottom w:val="single" w:sz="8" w:color="auto"/>
            </w:tcBorders>
          </w:tcPr>
          <w:p>
            <w:pPr>
              <w:spacing w:after="0"/>
              <w:rPr>
                <w:sz w:val="2"/>
                <w:szCs w:val="2"/>
                <w:color w:val="auto"/>
              </w:rPr>
            </w:pPr>
          </w:p>
        </w:tc>
        <w:tc>
          <w:tcPr>
            <w:tcW w:w="4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604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430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7"/>
        </w:trPr>
        <w:tc>
          <w:tcPr>
            <w:tcW w:w="604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Investment Beginning Balance</w:t>
            </w:r>
          </w:p>
        </w:tc>
        <w:tc>
          <w:tcPr>
            <w:tcW w:w="43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$98.9</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$93.3</w:t>
            </w:r>
          </w:p>
        </w:tc>
      </w:tr>
      <w:tr>
        <w:trPr>
          <w:trHeight w:val="243"/>
        </w:trPr>
        <w:tc>
          <w:tcPr>
            <w:tcW w:w="6040" w:type="dxa"/>
            <w:vAlign w:val="bottom"/>
          </w:tcPr>
          <w:p>
            <w:pPr>
              <w:ind w:left="40"/>
              <w:spacing w:after="0"/>
              <w:rPr>
                <w:sz w:val="20"/>
                <w:szCs w:val="20"/>
                <w:color w:val="auto"/>
              </w:rPr>
            </w:pPr>
            <w:r>
              <w:rPr>
                <w:rFonts w:ascii="Arial" w:cs="Arial" w:eastAsia="Arial" w:hAnsi="Arial"/>
                <w:sz w:val="18"/>
                <w:szCs w:val="18"/>
                <w:color w:val="auto"/>
              </w:rPr>
              <w:t>Cash Investments</w:t>
            </w:r>
          </w:p>
        </w:tc>
        <w:tc>
          <w:tcPr>
            <w:tcW w:w="4300" w:type="dxa"/>
            <w:vAlign w:val="bottom"/>
          </w:tcPr>
          <w:p>
            <w:pPr>
              <w:jc w:val="right"/>
              <w:ind w:right="290"/>
              <w:spacing w:after="0"/>
              <w:rPr>
                <w:sz w:val="20"/>
                <w:szCs w:val="20"/>
                <w:color w:val="auto"/>
              </w:rPr>
            </w:pPr>
            <w:r>
              <w:rPr>
                <w:rFonts w:ascii="Arial" w:cs="Arial" w:eastAsia="Arial" w:hAnsi="Arial"/>
                <w:sz w:val="18"/>
                <w:szCs w:val="18"/>
                <w:color w:val="auto"/>
              </w:rPr>
              <w:t>4.7</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2.0</w:t>
            </w:r>
          </w:p>
        </w:tc>
      </w:tr>
      <w:tr>
        <w:trPr>
          <w:trHeight w:val="27"/>
        </w:trPr>
        <w:tc>
          <w:tcPr>
            <w:tcW w:w="604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 ATC Earnings</w:t>
            </w:r>
          </w:p>
        </w:tc>
        <w:tc>
          <w:tcPr>
            <w:tcW w:w="43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19.4</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18.4</w:t>
            </w:r>
          </w:p>
        </w:tc>
      </w:tr>
      <w:tr>
        <w:trPr>
          <w:trHeight w:val="243"/>
        </w:trPr>
        <w:tc>
          <w:tcPr>
            <w:tcW w:w="6040" w:type="dxa"/>
            <w:vAlign w:val="bottom"/>
          </w:tcPr>
          <w:p>
            <w:pPr>
              <w:ind w:left="40"/>
              <w:spacing w:after="0"/>
              <w:rPr>
                <w:sz w:val="20"/>
                <w:szCs w:val="20"/>
                <w:color w:val="auto"/>
              </w:rPr>
            </w:pPr>
            <w:r>
              <w:rPr>
                <w:rFonts w:ascii="Arial" w:cs="Arial" w:eastAsia="Arial" w:hAnsi="Arial"/>
                <w:sz w:val="18"/>
                <w:szCs w:val="18"/>
                <w:color w:val="auto"/>
              </w:rPr>
              <w:t>Distributed ATC Earnings</w:t>
            </w:r>
          </w:p>
        </w:tc>
        <w:tc>
          <w:tcPr>
            <w:tcW w:w="4300" w:type="dxa"/>
            <w:vAlign w:val="bottom"/>
          </w:tcPr>
          <w:p>
            <w:pPr>
              <w:jc w:val="right"/>
              <w:ind w:right="230"/>
              <w:spacing w:after="0"/>
              <w:rPr>
                <w:sz w:val="20"/>
                <w:szCs w:val="20"/>
                <w:color w:val="auto"/>
              </w:rPr>
            </w:pPr>
            <w:r>
              <w:rPr>
                <w:rFonts w:ascii="Arial" w:cs="Arial" w:eastAsia="Arial" w:hAnsi="Arial"/>
                <w:sz w:val="18"/>
                <w:szCs w:val="18"/>
                <w:color w:val="auto"/>
              </w:rPr>
              <w:t>(15.7)</w:t>
            </w:r>
          </w:p>
        </w:tc>
        <w:tc>
          <w:tcPr>
            <w:tcW w:w="1080" w:type="dxa"/>
            <w:vAlign w:val="bottom"/>
          </w:tcPr>
          <w:p>
            <w:pPr>
              <w:jc w:val="right"/>
              <w:spacing w:after="0"/>
              <w:rPr>
                <w:sz w:val="20"/>
                <w:szCs w:val="20"/>
                <w:color w:val="auto"/>
              </w:rPr>
            </w:pPr>
            <w:r>
              <w:rPr>
                <w:rFonts w:ascii="Arial" w:cs="Arial" w:eastAsia="Arial" w:hAnsi="Arial"/>
                <w:sz w:val="18"/>
                <w:szCs w:val="18"/>
                <w:color w:val="auto"/>
              </w:rPr>
              <w:t>(14.8)</w:t>
            </w:r>
          </w:p>
        </w:tc>
      </w:tr>
      <w:tr>
        <w:trPr>
          <w:trHeight w:val="27"/>
        </w:trPr>
        <w:tc>
          <w:tcPr>
            <w:tcW w:w="6040" w:type="dxa"/>
            <w:vAlign w:val="bottom"/>
            <w:tcBorders>
              <w:bottom w:val="single" w:sz="8" w:color="auto"/>
            </w:tcBorders>
          </w:tcPr>
          <w:p>
            <w:pPr>
              <w:spacing w:after="0"/>
              <w:rPr>
                <w:sz w:val="2"/>
                <w:szCs w:val="2"/>
                <w:color w:val="auto"/>
              </w:rPr>
            </w:pPr>
          </w:p>
        </w:tc>
        <w:tc>
          <w:tcPr>
            <w:tcW w:w="4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Investment Ending Balance</w:t>
            </w:r>
          </w:p>
        </w:tc>
        <w:tc>
          <w:tcPr>
            <w:tcW w:w="43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$107.3</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$98.9</w:t>
            </w:r>
          </w:p>
        </w:tc>
      </w:tr>
      <w:tr>
        <w:trPr>
          <w:trHeight w:val="20"/>
        </w:trPr>
        <w:tc>
          <w:tcPr>
            <w:tcW w:w="6040" w:type="dxa"/>
            <w:vAlign w:val="bottom"/>
            <w:shd w:val="clear" w:color="auto" w:fill="000000"/>
          </w:tcPr>
          <w:p>
            <w:pPr>
              <w:spacing w:after="0" w:line="20" w:lineRule="exact"/>
              <w:rPr>
                <w:sz w:val="1"/>
                <w:szCs w:val="1"/>
                <w:color w:val="auto"/>
              </w:rPr>
            </w:pPr>
          </w:p>
        </w:tc>
        <w:tc>
          <w:tcPr>
            <w:tcW w:w="43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2012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364" w:right="23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color w:val="auto"/>
        </w:rPr>
        <w:t>NOTE 6. INVESTMENT IN ATC (Continued)</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ATC Summarized Financial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60" w:type="dxa"/>
            <w:vAlign w:val="bottom"/>
          </w:tcPr>
          <w:p>
            <w:pPr>
              <w:ind w:left="40"/>
              <w:spacing w:after="0"/>
              <w:rPr>
                <w:sz w:val="20"/>
                <w:szCs w:val="20"/>
                <w:color w:val="auto"/>
              </w:rPr>
            </w:pPr>
            <w:r>
              <w:rPr>
                <w:rFonts w:ascii="Arial" w:cs="Arial" w:eastAsia="Arial" w:hAnsi="Arial"/>
                <w:sz w:val="18"/>
                <w:szCs w:val="18"/>
                <w:b w:val="1"/>
                <w:bCs w:val="1"/>
                <w:color w:val="auto"/>
              </w:rPr>
              <w:t>Balance Sheet Data</w:t>
            </w:r>
          </w:p>
        </w:tc>
        <w:tc>
          <w:tcPr>
            <w:tcW w:w="35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70"/>
        </w:trPr>
        <w:tc>
          <w:tcPr>
            <w:tcW w:w="5360" w:type="dxa"/>
            <w:vAlign w:val="bottom"/>
          </w:tcPr>
          <w:p>
            <w:pPr>
              <w:ind w:left="40"/>
              <w:spacing w:after="0"/>
              <w:rPr>
                <w:sz w:val="20"/>
                <w:szCs w:val="20"/>
                <w:color w:val="auto"/>
              </w:rPr>
            </w:pPr>
            <w:r>
              <w:rPr>
                <w:rFonts w:ascii="Arial" w:cs="Arial" w:eastAsia="Arial" w:hAnsi="Arial"/>
                <w:sz w:val="18"/>
                <w:szCs w:val="18"/>
                <w:b w:val="1"/>
                <w:bCs w:val="1"/>
                <w:color w:val="auto"/>
              </w:rPr>
              <w:t>As of December 31</w:t>
            </w:r>
          </w:p>
        </w:tc>
        <w:tc>
          <w:tcPr>
            <w:tcW w:w="3580" w:type="dxa"/>
            <w:vAlign w:val="bottom"/>
          </w:tcPr>
          <w:p>
            <w:pPr>
              <w:spacing w:after="0"/>
              <w:rPr>
                <w:sz w:val="23"/>
                <w:szCs w:val="23"/>
                <w:color w:val="auto"/>
              </w:rPr>
            </w:pPr>
          </w:p>
        </w:tc>
        <w:tc>
          <w:tcPr>
            <w:tcW w:w="1380" w:type="dxa"/>
            <w:vAlign w:val="bottom"/>
          </w:tcPr>
          <w:p>
            <w:pPr>
              <w:jc w:val="right"/>
              <w:ind w:right="590"/>
              <w:spacing w:after="0"/>
              <w:rPr>
                <w:sz w:val="20"/>
                <w:szCs w:val="20"/>
                <w:color w:val="auto"/>
              </w:rPr>
            </w:pPr>
            <w:r>
              <w:rPr>
                <w:rFonts w:ascii="Arial" w:cs="Arial" w:eastAsia="Arial" w:hAnsi="Arial"/>
                <w:sz w:val="18"/>
                <w:szCs w:val="18"/>
                <w:b w:val="1"/>
                <w:bCs w:val="1"/>
                <w:color w:val="auto"/>
              </w:rPr>
              <w:t>2012</w:t>
            </w:r>
          </w:p>
        </w:tc>
        <w:tc>
          <w:tcPr>
            <w:tcW w:w="1100" w:type="dxa"/>
            <w:vAlign w:val="bottom"/>
          </w:tcPr>
          <w:p>
            <w:pPr>
              <w:ind w:left="340"/>
              <w:spacing w:after="0"/>
              <w:rPr>
                <w:sz w:val="20"/>
                <w:szCs w:val="20"/>
                <w:color w:val="auto"/>
              </w:rPr>
            </w:pPr>
            <w:r>
              <w:rPr>
                <w:rFonts w:ascii="Arial" w:cs="Arial" w:eastAsia="Arial" w:hAnsi="Arial"/>
                <w:sz w:val="18"/>
                <w:szCs w:val="18"/>
                <w:b w:val="1"/>
                <w:bCs w:val="1"/>
                <w:color w:val="auto"/>
              </w:rPr>
              <w:t>2011</w:t>
            </w:r>
          </w:p>
        </w:tc>
      </w:tr>
      <w:tr>
        <w:trPr>
          <w:trHeight w:val="27"/>
        </w:trPr>
        <w:tc>
          <w:tcPr>
            <w:tcW w:w="5360" w:type="dxa"/>
            <w:vAlign w:val="bottom"/>
            <w:tcBorders>
              <w:bottom w:val="single" w:sz="8" w:color="auto"/>
            </w:tcBorders>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536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35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7"/>
        </w:trPr>
        <w:tc>
          <w:tcPr>
            <w:tcW w:w="5360" w:type="dxa"/>
            <w:vAlign w:val="bottom"/>
          </w:tcPr>
          <w:p>
            <w:pPr>
              <w:spacing w:after="0"/>
              <w:rPr>
                <w:sz w:val="2"/>
                <w:szCs w:val="2"/>
                <w:color w:val="auto"/>
              </w:rPr>
            </w:pPr>
          </w:p>
        </w:tc>
        <w:tc>
          <w:tcPr>
            <w:tcW w:w="35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35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$63.1</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$58.7</w:t>
            </w: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color w:val="auto"/>
              </w:rPr>
              <w:t>Non-Current Assets</w:t>
            </w:r>
          </w:p>
        </w:tc>
        <w:tc>
          <w:tcPr>
            <w:tcW w:w="3580" w:type="dxa"/>
            <w:vAlign w:val="bottom"/>
          </w:tcPr>
          <w:p>
            <w:pPr>
              <w:spacing w:after="0"/>
              <w:rPr>
                <w:sz w:val="21"/>
                <w:szCs w:val="21"/>
                <w:color w:val="auto"/>
              </w:rPr>
            </w:pPr>
          </w:p>
        </w:tc>
        <w:tc>
          <w:tcPr>
            <w:tcW w:w="1380" w:type="dxa"/>
            <w:vAlign w:val="bottom"/>
          </w:tcPr>
          <w:p>
            <w:pPr>
              <w:jc w:val="right"/>
              <w:ind w:right="270"/>
              <w:spacing w:after="0"/>
              <w:rPr>
                <w:sz w:val="20"/>
                <w:szCs w:val="20"/>
                <w:color w:val="auto"/>
              </w:rPr>
            </w:pPr>
            <w:r>
              <w:rPr>
                <w:rFonts w:ascii="Arial" w:cs="Arial" w:eastAsia="Arial" w:hAnsi="Arial"/>
                <w:sz w:val="18"/>
                <w:szCs w:val="18"/>
                <w:color w:val="auto"/>
              </w:rPr>
              <w:t>3,274.7</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3,053.7</w:t>
            </w:r>
          </w:p>
        </w:tc>
      </w:tr>
      <w:tr>
        <w:trPr>
          <w:trHeight w:val="27"/>
        </w:trPr>
        <w:tc>
          <w:tcPr>
            <w:tcW w:w="5360" w:type="dxa"/>
            <w:vAlign w:val="bottom"/>
            <w:tcBorders>
              <w:bottom w:val="single" w:sz="8" w:color="auto"/>
            </w:tcBorders>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9"/>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358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$3,337.8</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$3,112.4</w:t>
            </w:r>
          </w:p>
        </w:tc>
      </w:tr>
      <w:tr>
        <w:trPr>
          <w:trHeight w:val="237"/>
        </w:trPr>
        <w:tc>
          <w:tcPr>
            <w:tcW w:w="53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Current Liabilities</w:t>
            </w:r>
          </w:p>
        </w:tc>
        <w:tc>
          <w:tcPr>
            <w:tcW w:w="358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rPr>
              <w:t>$251.5</w:t>
            </w: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$298.5</w:t>
            </w:r>
          </w:p>
        </w:tc>
      </w:tr>
      <w:tr>
        <w:trPr>
          <w:trHeight w:val="27"/>
        </w:trPr>
        <w:tc>
          <w:tcPr>
            <w:tcW w:w="5360" w:type="dxa"/>
            <w:vAlign w:val="bottom"/>
          </w:tcPr>
          <w:p>
            <w:pPr>
              <w:spacing w:after="0"/>
              <w:rPr>
                <w:sz w:val="2"/>
                <w:szCs w:val="2"/>
                <w:color w:val="auto"/>
              </w:rPr>
            </w:pPr>
          </w:p>
        </w:tc>
        <w:tc>
          <w:tcPr>
            <w:tcW w:w="35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35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1,550.0</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1,400.0</w:t>
            </w: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color w:val="auto"/>
              </w:rPr>
              <w:t>Other Non-Current Liabilities</w:t>
            </w:r>
          </w:p>
        </w:tc>
        <w:tc>
          <w:tcPr>
            <w:tcW w:w="3580" w:type="dxa"/>
            <w:vAlign w:val="bottom"/>
          </w:tcPr>
          <w:p>
            <w:pPr>
              <w:spacing w:after="0"/>
              <w:rPr>
                <w:sz w:val="21"/>
                <w:szCs w:val="21"/>
                <w:color w:val="auto"/>
              </w:rPr>
            </w:pPr>
          </w:p>
        </w:tc>
        <w:tc>
          <w:tcPr>
            <w:tcW w:w="1380" w:type="dxa"/>
            <w:vAlign w:val="bottom"/>
          </w:tcPr>
          <w:p>
            <w:pPr>
              <w:jc w:val="right"/>
              <w:ind w:right="270"/>
              <w:spacing w:after="0"/>
              <w:rPr>
                <w:sz w:val="20"/>
                <w:szCs w:val="20"/>
                <w:color w:val="auto"/>
              </w:rPr>
            </w:pPr>
            <w:r>
              <w:rPr>
                <w:rFonts w:ascii="Arial" w:cs="Arial" w:eastAsia="Arial" w:hAnsi="Arial"/>
                <w:sz w:val="18"/>
                <w:szCs w:val="18"/>
                <w:color w:val="auto"/>
              </w:rPr>
              <w:t>95.8</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82.6</w:t>
            </w:r>
          </w:p>
        </w:tc>
      </w:tr>
      <w:tr>
        <w:trPr>
          <w:trHeight w:val="27"/>
        </w:trPr>
        <w:tc>
          <w:tcPr>
            <w:tcW w:w="5360" w:type="dxa"/>
            <w:vAlign w:val="bottom"/>
          </w:tcPr>
          <w:p>
            <w:pPr>
              <w:spacing w:after="0"/>
              <w:rPr>
                <w:sz w:val="2"/>
                <w:szCs w:val="2"/>
                <w:color w:val="auto"/>
              </w:rPr>
            </w:pPr>
          </w:p>
        </w:tc>
        <w:tc>
          <w:tcPr>
            <w:tcW w:w="35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5"/>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Members’ Equity</w:t>
            </w:r>
          </w:p>
        </w:tc>
        <w:tc>
          <w:tcPr>
            <w:tcW w:w="358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1,440.5</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1,331.3</w:t>
            </w:r>
          </w:p>
        </w:tc>
      </w:tr>
      <w:tr>
        <w:trPr>
          <w:trHeight w:val="237"/>
        </w:trPr>
        <w:tc>
          <w:tcPr>
            <w:tcW w:w="53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Liabilities and Members’ Equity</w:t>
            </w:r>
          </w:p>
        </w:tc>
        <w:tc>
          <w:tcPr>
            <w:tcW w:w="358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rPr>
              <w:t>$3,337.8</w:t>
            </w: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$3,112.4</w:t>
            </w:r>
          </w:p>
        </w:tc>
      </w:tr>
      <w:tr>
        <w:trPr>
          <w:trHeight w:val="27"/>
        </w:trPr>
        <w:tc>
          <w:tcPr>
            <w:tcW w:w="5360" w:type="dxa"/>
            <w:vAlign w:val="bottom"/>
            <w:tcBorders>
              <w:bottom w:val="single" w:sz="8" w:color="auto"/>
            </w:tcBorders>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588"/>
        </w:trPr>
        <w:tc>
          <w:tcPr>
            <w:tcW w:w="5360" w:type="dxa"/>
            <w:vAlign w:val="bottom"/>
          </w:tcPr>
          <w:p>
            <w:pPr>
              <w:ind w:left="40"/>
              <w:spacing w:after="0"/>
              <w:rPr>
                <w:sz w:val="20"/>
                <w:szCs w:val="20"/>
                <w:color w:val="auto"/>
              </w:rPr>
            </w:pPr>
            <w:r>
              <w:rPr>
                <w:rFonts w:ascii="Arial" w:cs="Arial" w:eastAsia="Arial" w:hAnsi="Arial"/>
                <w:sz w:val="18"/>
                <w:szCs w:val="18"/>
                <w:b w:val="1"/>
                <w:bCs w:val="1"/>
                <w:color w:val="auto"/>
              </w:rPr>
              <w:t>Income Statement Data</w:t>
            </w:r>
          </w:p>
        </w:tc>
        <w:tc>
          <w:tcPr>
            <w:tcW w:w="35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70"/>
        </w:trPr>
        <w:tc>
          <w:tcPr>
            <w:tcW w:w="5360" w:type="dxa"/>
            <w:vAlign w:val="bottom"/>
          </w:tcPr>
          <w:p>
            <w:pPr>
              <w:ind w:left="40"/>
              <w:spacing w:after="0"/>
              <w:rPr>
                <w:sz w:val="20"/>
                <w:szCs w:val="20"/>
                <w:color w:val="auto"/>
              </w:rPr>
            </w:pPr>
            <w:r>
              <w:rPr>
                <w:rFonts w:ascii="Arial" w:cs="Arial" w:eastAsia="Arial" w:hAnsi="Arial"/>
                <w:sz w:val="18"/>
                <w:szCs w:val="18"/>
                <w:b w:val="1"/>
                <w:bCs w:val="1"/>
                <w:color w:val="auto"/>
              </w:rPr>
              <w:t>Year Ended December 31</w:t>
            </w:r>
          </w:p>
        </w:tc>
        <w:tc>
          <w:tcPr>
            <w:tcW w:w="3580" w:type="dxa"/>
            <w:vAlign w:val="bottom"/>
          </w:tcPr>
          <w:p>
            <w:pPr>
              <w:jc w:val="right"/>
              <w:ind w:right="590"/>
              <w:spacing w:after="0"/>
              <w:rPr>
                <w:sz w:val="20"/>
                <w:szCs w:val="20"/>
                <w:color w:val="auto"/>
              </w:rPr>
            </w:pPr>
            <w:r>
              <w:rPr>
                <w:rFonts w:ascii="Arial" w:cs="Arial" w:eastAsia="Arial" w:hAnsi="Arial"/>
                <w:sz w:val="18"/>
                <w:szCs w:val="18"/>
                <w:b w:val="1"/>
                <w:bCs w:val="1"/>
                <w:color w:val="auto"/>
              </w:rPr>
              <w:t>2012</w:t>
            </w:r>
          </w:p>
        </w:tc>
        <w:tc>
          <w:tcPr>
            <w:tcW w:w="1380" w:type="dxa"/>
            <w:vAlign w:val="bottom"/>
          </w:tcPr>
          <w:p>
            <w:pPr>
              <w:jc w:val="right"/>
              <w:ind w:right="590"/>
              <w:spacing w:after="0"/>
              <w:rPr>
                <w:sz w:val="20"/>
                <w:szCs w:val="20"/>
                <w:color w:val="auto"/>
              </w:rPr>
            </w:pPr>
            <w:r>
              <w:rPr>
                <w:rFonts w:ascii="Arial" w:cs="Arial" w:eastAsia="Arial" w:hAnsi="Arial"/>
                <w:sz w:val="18"/>
                <w:szCs w:val="18"/>
                <w:b w:val="1"/>
                <w:bCs w:val="1"/>
                <w:color w:val="auto"/>
              </w:rPr>
              <w:t>2011</w:t>
            </w:r>
          </w:p>
        </w:tc>
        <w:tc>
          <w:tcPr>
            <w:tcW w:w="1100" w:type="dxa"/>
            <w:vAlign w:val="bottom"/>
          </w:tcPr>
          <w:p>
            <w:pPr>
              <w:ind w:left="340"/>
              <w:spacing w:after="0"/>
              <w:rPr>
                <w:sz w:val="20"/>
                <w:szCs w:val="20"/>
                <w:color w:val="auto"/>
              </w:rPr>
            </w:pPr>
            <w:r>
              <w:rPr>
                <w:rFonts w:ascii="Arial" w:cs="Arial" w:eastAsia="Arial" w:hAnsi="Arial"/>
                <w:sz w:val="18"/>
                <w:szCs w:val="18"/>
                <w:b w:val="1"/>
                <w:bCs w:val="1"/>
                <w:color w:val="auto"/>
              </w:rPr>
              <w:t>2010</w:t>
            </w:r>
          </w:p>
        </w:tc>
      </w:tr>
      <w:tr>
        <w:trPr>
          <w:trHeight w:val="27"/>
        </w:trPr>
        <w:tc>
          <w:tcPr>
            <w:tcW w:w="5360" w:type="dxa"/>
            <w:vAlign w:val="bottom"/>
            <w:tcBorders>
              <w:bottom w:val="single" w:sz="8" w:color="auto"/>
            </w:tcBorders>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536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35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7"/>
        </w:trPr>
        <w:tc>
          <w:tcPr>
            <w:tcW w:w="5360" w:type="dxa"/>
            <w:vAlign w:val="bottom"/>
          </w:tcPr>
          <w:p>
            <w:pPr>
              <w:spacing w:after="0"/>
              <w:rPr>
                <w:sz w:val="2"/>
                <w:szCs w:val="2"/>
                <w:color w:val="auto"/>
              </w:rPr>
            </w:pPr>
          </w:p>
        </w:tc>
        <w:tc>
          <w:tcPr>
            <w:tcW w:w="35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5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$603.2</w:t>
            </w:r>
          </w:p>
        </w:tc>
        <w:tc>
          <w:tcPr>
            <w:tcW w:w="13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$567.2</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$556.7</w:t>
            </w: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color w:val="auto"/>
              </w:rPr>
              <w:t>Operating Expense</w:t>
            </w:r>
          </w:p>
        </w:tc>
        <w:tc>
          <w:tcPr>
            <w:tcW w:w="3580" w:type="dxa"/>
            <w:vAlign w:val="bottom"/>
          </w:tcPr>
          <w:p>
            <w:pPr>
              <w:jc w:val="right"/>
              <w:ind w:right="270"/>
              <w:spacing w:after="0"/>
              <w:rPr>
                <w:sz w:val="20"/>
                <w:szCs w:val="20"/>
                <w:color w:val="auto"/>
              </w:rPr>
            </w:pPr>
            <w:r>
              <w:rPr>
                <w:rFonts w:ascii="Arial" w:cs="Arial" w:eastAsia="Arial" w:hAnsi="Arial"/>
                <w:sz w:val="18"/>
                <w:szCs w:val="18"/>
                <w:color w:val="auto"/>
              </w:rPr>
              <w:t>281.0</w:t>
            </w:r>
          </w:p>
        </w:tc>
        <w:tc>
          <w:tcPr>
            <w:tcW w:w="1380" w:type="dxa"/>
            <w:vAlign w:val="bottom"/>
          </w:tcPr>
          <w:p>
            <w:pPr>
              <w:jc w:val="right"/>
              <w:ind w:right="270"/>
              <w:spacing w:after="0"/>
              <w:rPr>
                <w:sz w:val="20"/>
                <w:szCs w:val="20"/>
                <w:color w:val="auto"/>
              </w:rPr>
            </w:pPr>
            <w:r>
              <w:rPr>
                <w:rFonts w:ascii="Arial" w:cs="Arial" w:eastAsia="Arial" w:hAnsi="Arial"/>
                <w:sz w:val="18"/>
                <w:szCs w:val="18"/>
                <w:color w:val="auto"/>
              </w:rPr>
              <w:t>261.6</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251.1</w:t>
            </w:r>
          </w:p>
        </w:tc>
      </w:tr>
      <w:tr>
        <w:trPr>
          <w:trHeight w:val="27"/>
        </w:trPr>
        <w:tc>
          <w:tcPr>
            <w:tcW w:w="5360" w:type="dxa"/>
            <w:vAlign w:val="bottom"/>
          </w:tcPr>
          <w:p>
            <w:pPr>
              <w:spacing w:after="0"/>
              <w:rPr>
                <w:sz w:val="2"/>
                <w:szCs w:val="2"/>
                <w:color w:val="auto"/>
              </w:rPr>
            </w:pPr>
          </w:p>
        </w:tc>
        <w:tc>
          <w:tcPr>
            <w:tcW w:w="35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5"/>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w:t>
            </w:r>
          </w:p>
        </w:tc>
        <w:tc>
          <w:tcPr>
            <w:tcW w:w="35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84.8</w:t>
            </w:r>
          </w:p>
        </w:tc>
        <w:tc>
          <w:tcPr>
            <w:tcW w:w="13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81.7</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85.9</w:t>
            </w:r>
          </w:p>
        </w:tc>
      </w:tr>
      <w:tr>
        <w:trPr>
          <w:trHeight w:val="237"/>
        </w:trPr>
        <w:tc>
          <w:tcPr>
            <w:tcW w:w="53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Net Income</w:t>
            </w:r>
          </w:p>
        </w:tc>
        <w:tc>
          <w:tcPr>
            <w:tcW w:w="35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rPr>
              <w:t>$237.4</w:t>
            </w:r>
          </w:p>
        </w:tc>
        <w:tc>
          <w:tcPr>
            <w:tcW w:w="13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rPr>
              <w:t>$223.9</w:t>
            </w: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$219.7</w:t>
            </w:r>
          </w:p>
        </w:tc>
      </w:tr>
      <w:tr>
        <w:trPr>
          <w:trHeight w:val="27"/>
        </w:trPr>
        <w:tc>
          <w:tcPr>
            <w:tcW w:w="5360" w:type="dxa"/>
            <w:vAlign w:val="bottom"/>
            <w:tcBorders>
              <w:bottom w:val="single" w:sz="8" w:color="auto"/>
            </w:tcBorders>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46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ALLETE’s Equity in Net Income</w:t>
            </w:r>
          </w:p>
        </w:tc>
        <w:tc>
          <w:tcPr>
            <w:tcW w:w="35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$19.4</w:t>
            </w:r>
          </w:p>
        </w:tc>
        <w:tc>
          <w:tcPr>
            <w:tcW w:w="13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$18.4</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$17.9</w:t>
            </w:r>
          </w:p>
        </w:tc>
      </w:tr>
      <w:tr>
        <w:trPr>
          <w:trHeight w:val="20"/>
        </w:trPr>
        <w:tc>
          <w:tcPr>
            <w:tcW w:w="5360" w:type="dxa"/>
            <w:vAlign w:val="bottom"/>
            <w:shd w:val="clear" w:color="auto" w:fill="000000"/>
          </w:tcPr>
          <w:p>
            <w:pPr>
              <w:spacing w:after="0" w:line="20" w:lineRule="exact"/>
              <w:rPr>
                <w:sz w:val="1"/>
                <w:szCs w:val="1"/>
                <w:color w:val="auto"/>
              </w:rPr>
            </w:pPr>
          </w:p>
        </w:tc>
        <w:tc>
          <w:tcPr>
            <w:tcW w:w="358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INVESTMENTS</w:t>
      </w:r>
    </w:p>
    <w:p>
      <w:pPr>
        <w:spacing w:after="0" w:line="225" w:lineRule="exact"/>
        <w:rPr>
          <w:sz w:val="20"/>
          <w:szCs w:val="20"/>
          <w:color w:val="auto"/>
        </w:rPr>
      </w:pPr>
    </w:p>
    <w:p>
      <w:pPr>
        <w:jc w:val="both"/>
        <w:ind w:right="20"/>
        <w:spacing w:after="0" w:line="347" w:lineRule="auto"/>
        <w:rPr>
          <w:sz w:val="20"/>
          <w:szCs w:val="20"/>
          <w:color w:val="auto"/>
        </w:rPr>
      </w:pPr>
      <w:r>
        <w:rPr>
          <w:rFonts w:ascii="Arial" w:cs="Arial" w:eastAsia="Arial" w:hAnsi="Arial"/>
          <w:sz w:val="16"/>
          <w:szCs w:val="16"/>
          <w:b w:val="1"/>
          <w:bCs w:val="1"/>
          <w:color w:val="auto"/>
        </w:rPr>
        <w:t xml:space="preserve">Investments. </w:t>
      </w:r>
      <w:r>
        <w:rPr>
          <w:rFonts w:ascii="Arial" w:cs="Arial" w:eastAsia="Arial" w:hAnsi="Arial"/>
          <w:sz w:val="16"/>
          <w:szCs w:val="16"/>
          <w:color w:val="auto"/>
        </w:rPr>
        <w:t>At December 31, 2012, our long-term investment portfolio included the real estate assets of ALLETE Properties, debt and equity securities</w:t>
      </w:r>
      <w:r>
        <w:rPr>
          <w:rFonts w:ascii="Arial" w:cs="Arial" w:eastAsia="Arial" w:hAnsi="Arial"/>
          <w:sz w:val="16"/>
          <w:szCs w:val="16"/>
          <w:b w:val="1"/>
          <w:bCs w:val="1"/>
          <w:color w:val="auto"/>
        </w:rPr>
        <w:t xml:space="preserve"> </w:t>
      </w:r>
      <w:r>
        <w:rPr>
          <w:rFonts w:ascii="Arial" w:cs="Arial" w:eastAsia="Arial" w:hAnsi="Arial"/>
          <w:sz w:val="16"/>
          <w:szCs w:val="16"/>
          <w:color w:val="auto"/>
        </w:rPr>
        <w:t>consisting primarily of securities held to fund employee benefits, and other assets consisting primarily of cash equivalents and land in Minnesota.</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00" w:type="dxa"/>
            <w:vAlign w:val="bottom"/>
          </w:tcPr>
          <w:p>
            <w:pPr>
              <w:ind w:left="40"/>
              <w:spacing w:after="0"/>
              <w:rPr>
                <w:sz w:val="20"/>
                <w:szCs w:val="20"/>
                <w:color w:val="auto"/>
              </w:rPr>
            </w:pPr>
            <w:r>
              <w:rPr>
                <w:rFonts w:ascii="Arial" w:cs="Arial" w:eastAsia="Arial" w:hAnsi="Arial"/>
                <w:sz w:val="18"/>
                <w:szCs w:val="18"/>
                <w:b w:val="1"/>
                <w:bCs w:val="1"/>
                <w:color w:val="auto"/>
              </w:rPr>
              <w:t>Investments</w:t>
            </w:r>
          </w:p>
        </w:tc>
        <w:tc>
          <w:tcPr>
            <w:tcW w:w="464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70"/>
        </w:trPr>
        <w:tc>
          <w:tcPr>
            <w:tcW w:w="5500" w:type="dxa"/>
            <w:vAlign w:val="bottom"/>
          </w:tcPr>
          <w:p>
            <w:pPr>
              <w:ind w:left="40"/>
              <w:spacing w:after="0"/>
              <w:rPr>
                <w:sz w:val="20"/>
                <w:szCs w:val="20"/>
                <w:color w:val="auto"/>
              </w:rPr>
            </w:pPr>
            <w:r>
              <w:rPr>
                <w:rFonts w:ascii="Arial" w:cs="Arial" w:eastAsia="Arial" w:hAnsi="Arial"/>
                <w:sz w:val="18"/>
                <w:szCs w:val="18"/>
                <w:b w:val="1"/>
                <w:bCs w:val="1"/>
                <w:color w:val="auto"/>
              </w:rPr>
              <w:t>As of December 31</w:t>
            </w:r>
          </w:p>
        </w:tc>
        <w:tc>
          <w:tcPr>
            <w:tcW w:w="4640" w:type="dxa"/>
            <w:vAlign w:val="bottom"/>
          </w:tcPr>
          <w:p>
            <w:pPr>
              <w:jc w:val="right"/>
              <w:ind w:right="750"/>
              <w:spacing w:after="0"/>
              <w:rPr>
                <w:sz w:val="20"/>
                <w:szCs w:val="20"/>
                <w:color w:val="auto"/>
              </w:rPr>
            </w:pPr>
            <w:r>
              <w:rPr>
                <w:rFonts w:ascii="Arial" w:cs="Arial" w:eastAsia="Arial" w:hAnsi="Arial"/>
                <w:sz w:val="18"/>
                <w:szCs w:val="18"/>
                <w:b w:val="1"/>
                <w:bCs w:val="1"/>
                <w:color w:val="auto"/>
              </w:rPr>
              <w:t>2012</w:t>
            </w:r>
          </w:p>
        </w:tc>
        <w:tc>
          <w:tcPr>
            <w:tcW w:w="12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2011</w:t>
            </w:r>
          </w:p>
        </w:tc>
      </w:tr>
      <w:tr>
        <w:trPr>
          <w:trHeight w:val="27"/>
        </w:trPr>
        <w:tc>
          <w:tcPr>
            <w:tcW w:w="5500" w:type="dxa"/>
            <w:vAlign w:val="bottom"/>
            <w:tcBorders>
              <w:bottom w:val="single" w:sz="8" w:color="auto"/>
            </w:tcBorders>
          </w:tcPr>
          <w:p>
            <w:pPr>
              <w:spacing w:after="0"/>
              <w:rPr>
                <w:sz w:val="2"/>
                <w:szCs w:val="2"/>
                <w:color w:val="auto"/>
              </w:rPr>
            </w:pPr>
          </w:p>
        </w:tc>
        <w:tc>
          <w:tcPr>
            <w:tcW w:w="46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7"/>
        </w:trPr>
        <w:tc>
          <w:tcPr>
            <w:tcW w:w="550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464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7"/>
        </w:trPr>
        <w:tc>
          <w:tcPr>
            <w:tcW w:w="5500" w:type="dxa"/>
            <w:vAlign w:val="bottom"/>
          </w:tcPr>
          <w:p>
            <w:pPr>
              <w:spacing w:after="0"/>
              <w:rPr>
                <w:sz w:val="2"/>
                <w:szCs w:val="2"/>
                <w:color w:val="auto"/>
              </w:rPr>
            </w:pPr>
          </w:p>
        </w:tc>
        <w:tc>
          <w:tcPr>
            <w:tcW w:w="46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ALLETE Properties</w:t>
            </w:r>
          </w:p>
        </w:tc>
        <w:tc>
          <w:tcPr>
            <w:tcW w:w="46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$91.1</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$91.3</w:t>
            </w: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Available-for-sale Securities</w:t>
            </w:r>
          </w:p>
        </w:tc>
        <w:tc>
          <w:tcPr>
            <w:tcW w:w="4640" w:type="dxa"/>
            <w:vAlign w:val="bottom"/>
          </w:tcPr>
          <w:p>
            <w:pPr>
              <w:jc w:val="right"/>
              <w:ind w:right="330"/>
              <w:spacing w:after="0"/>
              <w:rPr>
                <w:sz w:val="20"/>
                <w:szCs w:val="20"/>
                <w:color w:val="auto"/>
              </w:rPr>
            </w:pPr>
            <w:r>
              <w:rPr>
                <w:rFonts w:ascii="Arial" w:cs="Arial" w:eastAsia="Arial" w:hAnsi="Arial"/>
                <w:sz w:val="18"/>
                <w:szCs w:val="18"/>
                <w:color w:val="auto"/>
              </w:rPr>
              <w:t>26.8</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24.7</w:t>
            </w:r>
          </w:p>
        </w:tc>
      </w:tr>
      <w:tr>
        <w:trPr>
          <w:trHeight w:val="27"/>
        </w:trPr>
        <w:tc>
          <w:tcPr>
            <w:tcW w:w="5500" w:type="dxa"/>
            <w:vAlign w:val="bottom"/>
          </w:tcPr>
          <w:p>
            <w:pPr>
              <w:spacing w:after="0"/>
              <w:rPr>
                <w:sz w:val="2"/>
                <w:szCs w:val="2"/>
                <w:color w:val="auto"/>
              </w:rPr>
            </w:pPr>
          </w:p>
        </w:tc>
        <w:tc>
          <w:tcPr>
            <w:tcW w:w="46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5"/>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46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25.6</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16.3</w:t>
            </w:r>
          </w:p>
        </w:tc>
      </w:tr>
      <w:tr>
        <w:trPr>
          <w:trHeight w:val="237"/>
        </w:trPr>
        <w:tc>
          <w:tcPr>
            <w:tcW w:w="55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Investments</w:t>
            </w:r>
          </w:p>
        </w:tc>
        <w:tc>
          <w:tcPr>
            <w:tcW w:w="464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rPr>
              <w:t>$143.5</w:t>
            </w: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$132.3</w:t>
            </w:r>
          </w:p>
        </w:tc>
      </w:tr>
      <w:tr>
        <w:trPr>
          <w:trHeight w:val="27"/>
        </w:trPr>
        <w:tc>
          <w:tcPr>
            <w:tcW w:w="5500" w:type="dxa"/>
            <w:vAlign w:val="bottom"/>
            <w:tcBorders>
              <w:bottom w:val="single" w:sz="8" w:color="auto"/>
            </w:tcBorders>
          </w:tcPr>
          <w:p>
            <w:pPr>
              <w:spacing w:after="0"/>
              <w:rPr>
                <w:sz w:val="2"/>
                <w:szCs w:val="2"/>
                <w:color w:val="auto"/>
              </w:rPr>
            </w:pPr>
          </w:p>
        </w:tc>
        <w:tc>
          <w:tcPr>
            <w:tcW w:w="46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2012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364" w:right="239" w:bottom="1440" w:gutter="0" w:footer="0" w:header="0"/>
        </w:sectPr>
      </w:pPr>
    </w:p>
    <w:bookmarkStart w:id="81" w:name="page82"/>
    <w:bookmarkEnd w:id="81"/>
    <w:tbl>
      <w:tblPr>
        <w:tblLayout w:type="fixed"/>
        <w:tblInd w:w="0" w:type="dxa"/>
        <w:tblCellMar>
          <w:top w:w="0" w:type="dxa"/>
          <w:left w:w="0" w:type="dxa"/>
          <w:bottom w:w="0" w:type="dxa"/>
          <w:right w:w="0" w:type="dxa"/>
        </w:tblCellMar>
      </w:tblPr>
      <w:tr>
        <w:trPr>
          <w:trHeight w:val="234"/>
        </w:trPr>
        <w:tc>
          <w:tcPr>
            <w:tcW w:w="6980" w:type="dxa"/>
            <w:vAlign w:val="bottom"/>
          </w:tcPr>
          <w:p>
            <w:pPr>
              <w:spacing w:after="0"/>
              <w:rPr>
                <w:sz w:val="20"/>
                <w:szCs w:val="20"/>
                <w:color w:val="auto"/>
              </w:rPr>
            </w:pPr>
            <w:r>
              <w:rPr>
                <w:rFonts w:ascii="Arial" w:cs="Arial" w:eastAsia="Arial" w:hAnsi="Arial"/>
                <w:sz w:val="18"/>
                <w:szCs w:val="18"/>
                <w:b w:val="1"/>
                <w:bCs w:val="1"/>
                <w:color w:val="auto"/>
              </w:rPr>
              <w:t>NOTE 7. INVESTMENTS (Continued)</w:t>
            </w:r>
          </w:p>
        </w:tc>
        <w:tc>
          <w:tcPr>
            <w:tcW w:w="318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594"/>
        </w:trPr>
        <w:tc>
          <w:tcPr>
            <w:tcW w:w="6980" w:type="dxa"/>
            <w:vAlign w:val="bottom"/>
          </w:tcPr>
          <w:p>
            <w:pPr>
              <w:ind w:left="40"/>
              <w:spacing w:after="0"/>
              <w:rPr>
                <w:sz w:val="20"/>
                <w:szCs w:val="20"/>
                <w:color w:val="auto"/>
              </w:rPr>
            </w:pPr>
            <w:r>
              <w:rPr>
                <w:rFonts w:ascii="Arial" w:cs="Arial" w:eastAsia="Arial" w:hAnsi="Arial"/>
                <w:sz w:val="18"/>
                <w:szCs w:val="18"/>
                <w:b w:val="1"/>
                <w:bCs w:val="1"/>
                <w:color w:val="auto"/>
              </w:rPr>
              <w:t>ALLETE Properties</w:t>
            </w:r>
          </w:p>
        </w:tc>
        <w:tc>
          <w:tcPr>
            <w:tcW w:w="31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70"/>
        </w:trPr>
        <w:tc>
          <w:tcPr>
            <w:tcW w:w="6980" w:type="dxa"/>
            <w:vAlign w:val="bottom"/>
          </w:tcPr>
          <w:p>
            <w:pPr>
              <w:ind w:left="40"/>
              <w:spacing w:after="0"/>
              <w:rPr>
                <w:sz w:val="20"/>
                <w:szCs w:val="20"/>
                <w:color w:val="auto"/>
              </w:rPr>
            </w:pPr>
            <w:r>
              <w:rPr>
                <w:rFonts w:ascii="Arial" w:cs="Arial" w:eastAsia="Arial" w:hAnsi="Arial"/>
                <w:sz w:val="18"/>
                <w:szCs w:val="18"/>
                <w:b w:val="1"/>
                <w:bCs w:val="1"/>
                <w:color w:val="auto"/>
              </w:rPr>
              <w:t>As of December 31</w:t>
            </w:r>
          </w:p>
        </w:tc>
        <w:tc>
          <w:tcPr>
            <w:tcW w:w="3180" w:type="dxa"/>
            <w:vAlign w:val="bottom"/>
          </w:tcPr>
          <w:p>
            <w:pPr>
              <w:jc w:val="right"/>
              <w:ind w:right="770"/>
              <w:spacing w:after="0"/>
              <w:rPr>
                <w:sz w:val="20"/>
                <w:szCs w:val="20"/>
                <w:color w:val="auto"/>
              </w:rPr>
            </w:pPr>
            <w:r>
              <w:rPr>
                <w:rFonts w:ascii="Arial" w:cs="Arial" w:eastAsia="Arial" w:hAnsi="Arial"/>
                <w:sz w:val="18"/>
                <w:szCs w:val="18"/>
                <w:b w:val="1"/>
                <w:bCs w:val="1"/>
                <w:color w:val="auto"/>
              </w:rPr>
              <w:t>2012</w:t>
            </w:r>
          </w:p>
        </w:tc>
        <w:tc>
          <w:tcPr>
            <w:tcW w:w="1260" w:type="dxa"/>
            <w:vAlign w:val="bottom"/>
          </w:tcPr>
          <w:p>
            <w:pPr>
              <w:jc w:val="right"/>
              <w:ind w:right="430"/>
              <w:spacing w:after="0"/>
              <w:rPr>
                <w:sz w:val="20"/>
                <w:szCs w:val="20"/>
                <w:color w:val="auto"/>
              </w:rPr>
            </w:pPr>
            <w:r>
              <w:rPr>
                <w:rFonts w:ascii="Arial" w:cs="Arial" w:eastAsia="Arial" w:hAnsi="Arial"/>
                <w:sz w:val="18"/>
                <w:szCs w:val="18"/>
                <w:b w:val="1"/>
                <w:bCs w:val="1"/>
                <w:color w:val="auto"/>
              </w:rPr>
              <w:t>2011</w:t>
            </w:r>
          </w:p>
        </w:tc>
      </w:tr>
      <w:tr>
        <w:trPr>
          <w:trHeight w:val="27"/>
        </w:trPr>
        <w:tc>
          <w:tcPr>
            <w:tcW w:w="6980" w:type="dxa"/>
            <w:vAlign w:val="bottom"/>
            <w:tcBorders>
              <w:bottom w:val="single" w:sz="8" w:color="auto"/>
            </w:tcBorders>
          </w:tcPr>
          <w:p>
            <w:pPr>
              <w:spacing w:after="0"/>
              <w:rPr>
                <w:sz w:val="2"/>
                <w:szCs w:val="2"/>
                <w:color w:val="auto"/>
              </w:rPr>
            </w:pPr>
          </w:p>
        </w:tc>
        <w:tc>
          <w:tcPr>
            <w:tcW w:w="3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698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318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7"/>
        </w:trPr>
        <w:tc>
          <w:tcPr>
            <w:tcW w:w="698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 Inventory Beginning Balance</w:t>
            </w:r>
          </w:p>
        </w:tc>
        <w:tc>
          <w:tcPr>
            <w:tcW w:w="318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$86.0</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$86.0</w:t>
            </w:r>
          </w:p>
        </w:tc>
      </w:tr>
      <w:tr>
        <w:trPr>
          <w:trHeight w:val="243"/>
        </w:trPr>
        <w:tc>
          <w:tcPr>
            <w:tcW w:w="6980" w:type="dxa"/>
            <w:vAlign w:val="bottom"/>
          </w:tcPr>
          <w:p>
            <w:pPr>
              <w:ind w:left="280"/>
              <w:spacing w:after="0"/>
              <w:rPr>
                <w:sz w:val="20"/>
                <w:szCs w:val="20"/>
                <w:color w:val="auto"/>
              </w:rPr>
            </w:pPr>
            <w:r>
              <w:rPr>
                <w:rFonts w:ascii="Arial" w:cs="Arial" w:eastAsia="Arial" w:hAnsi="Arial"/>
                <w:sz w:val="18"/>
                <w:szCs w:val="18"/>
                <w:color w:val="auto"/>
              </w:rPr>
              <w:t>Deeds to Collateralized Property</w:t>
            </w:r>
          </w:p>
        </w:tc>
        <w:tc>
          <w:tcPr>
            <w:tcW w:w="3180" w:type="dxa"/>
            <w:vAlign w:val="bottom"/>
          </w:tcPr>
          <w:p>
            <w:pPr>
              <w:jc w:val="right"/>
              <w:ind w:right="350"/>
              <w:spacing w:after="0"/>
              <w:rPr>
                <w:sz w:val="20"/>
                <w:szCs w:val="20"/>
                <w:color w:val="auto"/>
              </w:rPr>
            </w:pPr>
            <w:r>
              <w:rPr>
                <w:rFonts w:ascii="Arial" w:cs="Arial" w:eastAsia="Arial" w:hAnsi="Arial"/>
                <w:sz w:val="18"/>
                <w:szCs w:val="18"/>
                <w:color w:val="auto"/>
              </w:rPr>
              <w:t>0.5</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1.8</w:t>
            </w:r>
          </w:p>
        </w:tc>
      </w:tr>
      <w:tr>
        <w:trPr>
          <w:trHeight w:val="27"/>
        </w:trPr>
        <w:tc>
          <w:tcPr>
            <w:tcW w:w="698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Land Impairment</w:t>
            </w:r>
          </w:p>
        </w:tc>
        <w:tc>
          <w:tcPr>
            <w:tcW w:w="318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43"/>
        </w:trPr>
        <w:tc>
          <w:tcPr>
            <w:tcW w:w="6980" w:type="dxa"/>
            <w:vAlign w:val="bottom"/>
          </w:tcPr>
          <w:p>
            <w:pPr>
              <w:ind w:left="280"/>
              <w:spacing w:after="0"/>
              <w:rPr>
                <w:sz w:val="20"/>
                <w:szCs w:val="20"/>
                <w:color w:val="auto"/>
              </w:rPr>
            </w:pPr>
            <w:r>
              <w:rPr>
                <w:rFonts w:ascii="Arial" w:cs="Arial" w:eastAsia="Arial" w:hAnsi="Arial"/>
                <w:sz w:val="18"/>
                <w:szCs w:val="18"/>
                <w:color w:val="auto"/>
              </w:rPr>
              <w:t>Cost of Sales</w:t>
            </w:r>
          </w:p>
        </w:tc>
        <w:tc>
          <w:tcPr>
            <w:tcW w:w="3180" w:type="dxa"/>
            <w:vAlign w:val="bottom"/>
          </w:tcPr>
          <w:p>
            <w:pPr>
              <w:jc w:val="right"/>
              <w:ind w:right="290"/>
              <w:spacing w:after="0"/>
              <w:rPr>
                <w:sz w:val="20"/>
                <w:szCs w:val="20"/>
                <w:color w:val="auto"/>
              </w:rPr>
            </w:pPr>
            <w:r>
              <w:rPr>
                <w:rFonts w:ascii="Arial" w:cs="Arial" w:eastAsia="Arial" w:hAnsi="Arial"/>
                <w:sz w:val="18"/>
                <w:szCs w:val="18"/>
                <w:color w:val="auto"/>
              </w:rPr>
              <w:t>(0.2)</w:t>
            </w:r>
          </w:p>
        </w:tc>
        <w:tc>
          <w:tcPr>
            <w:tcW w:w="1260" w:type="dxa"/>
            <w:vAlign w:val="bottom"/>
          </w:tcPr>
          <w:p>
            <w:pPr>
              <w:jc w:val="right"/>
              <w:spacing w:after="0"/>
              <w:rPr>
                <w:sz w:val="20"/>
                <w:szCs w:val="20"/>
                <w:color w:val="auto"/>
              </w:rPr>
            </w:pPr>
            <w:r>
              <w:rPr>
                <w:rFonts w:ascii="Arial" w:cs="Arial" w:eastAsia="Arial" w:hAnsi="Arial"/>
                <w:sz w:val="18"/>
                <w:szCs w:val="18"/>
                <w:color w:val="auto"/>
              </w:rPr>
              <w:t>(0.3)</w:t>
            </w:r>
          </w:p>
        </w:tc>
      </w:tr>
      <w:tr>
        <w:trPr>
          <w:trHeight w:val="27"/>
        </w:trPr>
        <w:tc>
          <w:tcPr>
            <w:tcW w:w="698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5"/>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Capitalized Improvements and Other</w:t>
            </w:r>
          </w:p>
        </w:tc>
        <w:tc>
          <w:tcPr>
            <w:tcW w:w="318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0.2</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w:t>
            </w:r>
          </w:p>
        </w:tc>
      </w:tr>
      <w:tr>
        <w:trPr>
          <w:trHeight w:val="237"/>
        </w:trPr>
        <w:tc>
          <w:tcPr>
            <w:tcW w:w="69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Land Inventory Ending Balance</w:t>
            </w:r>
          </w:p>
        </w:tc>
        <w:tc>
          <w:tcPr>
            <w:tcW w:w="318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rPr>
              <w:t>86.5</w:t>
            </w: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86.0</w:t>
            </w:r>
          </w:p>
        </w:tc>
      </w:tr>
      <w:tr>
        <w:trPr>
          <w:trHeight w:val="27"/>
        </w:trPr>
        <w:tc>
          <w:tcPr>
            <w:tcW w:w="698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Finance Receivables (net of allowances of $0.6 and $0.6)</w:t>
            </w:r>
          </w:p>
        </w:tc>
        <w:tc>
          <w:tcPr>
            <w:tcW w:w="318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1.4</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Other</w:t>
            </w:r>
          </w:p>
        </w:tc>
        <w:tc>
          <w:tcPr>
            <w:tcW w:w="3180" w:type="dxa"/>
            <w:vAlign w:val="bottom"/>
          </w:tcPr>
          <w:p>
            <w:pPr>
              <w:jc w:val="right"/>
              <w:ind w:right="350"/>
              <w:spacing w:after="0"/>
              <w:rPr>
                <w:sz w:val="20"/>
                <w:szCs w:val="20"/>
                <w:color w:val="auto"/>
              </w:rPr>
            </w:pPr>
            <w:r>
              <w:rPr>
                <w:rFonts w:ascii="Arial" w:cs="Arial" w:eastAsia="Arial" w:hAnsi="Arial"/>
                <w:sz w:val="18"/>
                <w:szCs w:val="18"/>
                <w:color w:val="auto"/>
              </w:rPr>
              <w:t>3.2</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3.3</w:t>
            </w:r>
          </w:p>
        </w:tc>
      </w:tr>
      <w:tr>
        <w:trPr>
          <w:trHeight w:val="27"/>
        </w:trPr>
        <w:tc>
          <w:tcPr>
            <w:tcW w:w="6980" w:type="dxa"/>
            <w:vAlign w:val="bottom"/>
            <w:tcBorders>
              <w:bottom w:val="single" w:sz="8" w:color="auto"/>
            </w:tcBorders>
          </w:tcPr>
          <w:p>
            <w:pPr>
              <w:spacing w:after="0"/>
              <w:rPr>
                <w:sz w:val="2"/>
                <w:szCs w:val="2"/>
                <w:color w:val="auto"/>
              </w:rPr>
            </w:pPr>
          </w:p>
        </w:tc>
        <w:tc>
          <w:tcPr>
            <w:tcW w:w="3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Real Estate Assets</w:t>
            </w:r>
          </w:p>
        </w:tc>
        <w:tc>
          <w:tcPr>
            <w:tcW w:w="318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$91.1</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$91.3</w:t>
            </w:r>
          </w:p>
        </w:tc>
      </w:tr>
      <w:tr>
        <w:trPr>
          <w:trHeight w:val="20"/>
        </w:trPr>
        <w:tc>
          <w:tcPr>
            <w:tcW w:w="6980" w:type="dxa"/>
            <w:vAlign w:val="bottom"/>
            <w:shd w:val="clear" w:color="auto" w:fill="000000"/>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r>
    </w:tbl>
    <w:p>
      <w:pPr>
        <w:spacing w:after="0" w:line="20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i w:val="1"/>
          <w:iCs w:val="1"/>
          <w:color w:val="auto"/>
        </w:rPr>
        <w:t xml:space="preserve">Land Inventory. </w:t>
      </w:r>
      <w:r>
        <w:rPr>
          <w:rFonts w:ascii="Arial" w:cs="Arial" w:eastAsia="Arial" w:hAnsi="Arial"/>
          <w:sz w:val="17"/>
          <w:szCs w:val="17"/>
          <w:color w:val="auto"/>
        </w:rPr>
        <w:t>Land inventory is accounted for as held for use and is recorded at cost, unless the carrying value is determined not to be recoverable in</w:t>
      </w:r>
      <w:r>
        <w:rPr>
          <w:rFonts w:ascii="Arial" w:cs="Arial" w:eastAsia="Arial" w:hAnsi="Arial"/>
          <w:sz w:val="17"/>
          <w:szCs w:val="17"/>
          <w:i w:val="1"/>
          <w:iCs w:val="1"/>
          <w:color w:val="auto"/>
        </w:rPr>
        <w:t xml:space="preserve"> </w:t>
      </w:r>
      <w:r>
        <w:rPr>
          <w:rFonts w:ascii="Arial" w:cs="Arial" w:eastAsia="Arial" w:hAnsi="Arial"/>
          <w:sz w:val="17"/>
          <w:szCs w:val="17"/>
          <w:color w:val="auto"/>
        </w:rPr>
        <w:t>accordance with the accounting standards for property, plant and equipment, in which case the land inventory is written down to fair value. Land values are reviewed for impairment on a quarterly basis. In 2012, impairment analysis’ of estimated future undiscounted cash flows was conducted and indicated that the cash flows were adequate to recover the carrying basis of our land inventory. Consequently, there was no impairment recorded for the year ended December 31, 2012. For the year ended December 31, 2011, a 1.7 million impairment charge was recorded.</w:t>
      </w:r>
    </w:p>
    <w:p>
      <w:pPr>
        <w:spacing w:after="0" w:line="1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Long-Term Finance Receivables</w:t>
      </w:r>
      <w:r>
        <w:rPr>
          <w:rFonts w:ascii="Arial" w:cs="Arial" w:eastAsia="Arial" w:hAnsi="Arial"/>
          <w:sz w:val="18"/>
          <w:szCs w:val="18"/>
          <w:color w:val="auto"/>
        </w:rPr>
        <w:t>. As of December 31, 2012, long-term finance receivables were $1.4 million net of allowance ($2.0 million net of allowance</w:t>
      </w:r>
      <w:r>
        <w:rPr>
          <w:rFonts w:ascii="Arial" w:cs="Arial" w:eastAsia="Arial" w:hAnsi="Arial"/>
          <w:sz w:val="18"/>
          <w:szCs w:val="18"/>
          <w:i w:val="1"/>
          <w:iCs w:val="1"/>
          <w:color w:val="auto"/>
        </w:rPr>
        <w:t xml:space="preserve"> </w:t>
      </w:r>
      <w:r>
        <w:rPr>
          <w:rFonts w:ascii="Arial" w:cs="Arial" w:eastAsia="Arial" w:hAnsi="Arial"/>
          <w:sz w:val="18"/>
          <w:szCs w:val="18"/>
          <w:color w:val="auto"/>
        </w:rPr>
        <w:t>as of December 31, 2011). The decrease is primarily the result of the transfer of properties back to ALLETE Properties by deed-in-lieu of foreclosure, in satisfaction of amounts previously owed under long-term finance receivables. Long-term finance receivables are collateralized by property sold, accrue interest at market-based rates and are net of an allowance for doubtful accounts. As of December 31, 2012, we had allowance for doubtful accounts of $0.6 million ($0.6 million as of December 31, 2011).</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If a purchaser defaults on a sales contract, the legal remedy is usually limited to terminating the contract and retaining the purchaser’s deposit. The property is then available for resale. Contract purchasers may incur significant costs during due diligence, planning, designing and marketing the property before the contract closes, therefore they may have substantially more at risk than the deposit.</w:t>
      </w:r>
    </w:p>
    <w:p>
      <w:pPr>
        <w:spacing w:after="0" w:line="17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Available-for-Sale Investments. </w:t>
      </w:r>
      <w:r>
        <w:rPr>
          <w:rFonts w:ascii="Arial" w:cs="Arial" w:eastAsia="Arial" w:hAnsi="Arial"/>
          <w:sz w:val="18"/>
          <w:szCs w:val="18"/>
          <w:color w:val="auto"/>
        </w:rPr>
        <w:t>We account for our available-for-sale portfolio in accordance with the guidance for certain investments in debt and equity</w:t>
      </w:r>
      <w:r>
        <w:rPr>
          <w:rFonts w:ascii="Arial" w:cs="Arial" w:eastAsia="Arial" w:hAnsi="Arial"/>
          <w:sz w:val="18"/>
          <w:szCs w:val="18"/>
          <w:b w:val="1"/>
          <w:bCs w:val="1"/>
          <w:color w:val="auto"/>
        </w:rPr>
        <w:t xml:space="preserve"> </w:t>
      </w:r>
      <w:r>
        <w:rPr>
          <w:rFonts w:ascii="Arial" w:cs="Arial" w:eastAsia="Arial" w:hAnsi="Arial"/>
          <w:sz w:val="18"/>
          <w:szCs w:val="18"/>
          <w:color w:val="auto"/>
        </w:rPr>
        <w:t>securities. Our available-for-sale securities portfolio consisted of securities established to fund certain employee benefits and auction rate securities. Our auction rate securities of $6.7 million were redeemed at carrying value on January 5, 2011.</w:t>
      </w:r>
    </w:p>
    <w:p>
      <w:pPr>
        <w:spacing w:after="0" w:line="1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Available-For-Sale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6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3080" w:type="dxa"/>
            <w:vAlign w:val="bottom"/>
          </w:tcPr>
          <w:p>
            <w:pPr>
              <w:spacing w:after="0"/>
              <w:rPr>
                <w:sz w:val="20"/>
                <w:szCs w:val="20"/>
                <w:color w:val="auto"/>
              </w:rPr>
            </w:pPr>
          </w:p>
        </w:tc>
        <w:tc>
          <w:tcPr>
            <w:tcW w:w="3100" w:type="dxa"/>
            <w:vAlign w:val="bottom"/>
            <w:gridSpan w:val="2"/>
          </w:tcPr>
          <w:p>
            <w:pPr>
              <w:ind w:left="920"/>
              <w:spacing w:after="0"/>
              <w:rPr>
                <w:sz w:val="20"/>
                <w:szCs w:val="20"/>
                <w:color w:val="auto"/>
              </w:rPr>
            </w:pPr>
            <w:r>
              <w:rPr>
                <w:rFonts w:ascii="Arial" w:cs="Arial" w:eastAsia="Arial" w:hAnsi="Arial"/>
                <w:sz w:val="18"/>
                <w:szCs w:val="18"/>
                <w:b w:val="1"/>
                <w:bCs w:val="1"/>
                <w:color w:val="auto"/>
              </w:rPr>
              <w:t>Gross Unrealized</w:t>
            </w:r>
          </w:p>
        </w:tc>
        <w:tc>
          <w:tcPr>
            <w:tcW w:w="1680" w:type="dxa"/>
            <w:vAlign w:val="bottom"/>
          </w:tcPr>
          <w:p>
            <w:pPr>
              <w:spacing w:after="0"/>
              <w:rPr>
                <w:sz w:val="20"/>
                <w:szCs w:val="20"/>
                <w:color w:val="auto"/>
              </w:rPr>
            </w:pPr>
          </w:p>
        </w:tc>
      </w:tr>
      <w:tr>
        <w:trPr>
          <w:trHeight w:val="270"/>
        </w:trPr>
        <w:tc>
          <w:tcPr>
            <w:tcW w:w="3560" w:type="dxa"/>
            <w:vAlign w:val="bottom"/>
          </w:tcPr>
          <w:p>
            <w:pPr>
              <w:ind w:left="40"/>
              <w:spacing w:after="0"/>
              <w:rPr>
                <w:sz w:val="20"/>
                <w:szCs w:val="20"/>
                <w:color w:val="auto"/>
              </w:rPr>
            </w:pPr>
            <w:r>
              <w:rPr>
                <w:rFonts w:ascii="Arial" w:cs="Arial" w:eastAsia="Arial" w:hAnsi="Arial"/>
                <w:sz w:val="18"/>
                <w:szCs w:val="18"/>
                <w:b w:val="1"/>
                <w:bCs w:val="1"/>
                <w:color w:val="auto"/>
              </w:rPr>
              <w:t>As of December 31</w:t>
            </w:r>
          </w:p>
        </w:tc>
        <w:tc>
          <w:tcPr>
            <w:tcW w:w="3080" w:type="dxa"/>
            <w:vAlign w:val="bottom"/>
          </w:tcPr>
          <w:p>
            <w:pPr>
              <w:jc w:val="center"/>
              <w:ind w:left="1390"/>
              <w:spacing w:after="0"/>
              <w:rPr>
                <w:sz w:val="20"/>
                <w:szCs w:val="20"/>
                <w:color w:val="auto"/>
              </w:rPr>
            </w:pPr>
            <w:r>
              <w:rPr>
                <w:rFonts w:ascii="Arial" w:cs="Arial" w:eastAsia="Arial" w:hAnsi="Arial"/>
                <w:sz w:val="18"/>
                <w:szCs w:val="18"/>
                <w:b w:val="1"/>
                <w:bCs w:val="1"/>
                <w:color w:val="auto"/>
                <w:w w:val="89"/>
              </w:rPr>
              <w:t>Cost</w:t>
            </w: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94"/>
              </w:rPr>
              <w:t>Gain</w:t>
            </w:r>
          </w:p>
        </w:tc>
        <w:tc>
          <w:tcPr>
            <w:tcW w:w="1520" w:type="dxa"/>
            <w:vAlign w:val="bottom"/>
          </w:tcPr>
          <w:p>
            <w:pPr>
              <w:ind w:left="580"/>
              <w:spacing w:after="0"/>
              <w:rPr>
                <w:sz w:val="20"/>
                <w:szCs w:val="20"/>
                <w:color w:val="auto"/>
              </w:rPr>
            </w:pPr>
            <w:r>
              <w:rPr>
                <w:rFonts w:ascii="Arial" w:cs="Arial" w:eastAsia="Arial" w:hAnsi="Arial"/>
                <w:sz w:val="18"/>
                <w:szCs w:val="18"/>
                <w:b w:val="1"/>
                <w:bCs w:val="1"/>
                <w:color w:val="auto"/>
              </w:rPr>
              <w:t>(Loss)</w:t>
            </w:r>
          </w:p>
        </w:tc>
        <w:tc>
          <w:tcPr>
            <w:tcW w:w="1680" w:type="dxa"/>
            <w:vAlign w:val="bottom"/>
          </w:tcPr>
          <w:p>
            <w:pPr>
              <w:jc w:val="right"/>
              <w:ind w:right="310"/>
              <w:spacing w:after="0"/>
              <w:rPr>
                <w:sz w:val="20"/>
                <w:szCs w:val="20"/>
                <w:color w:val="auto"/>
              </w:rPr>
            </w:pPr>
            <w:r>
              <w:rPr>
                <w:rFonts w:ascii="Arial" w:cs="Arial" w:eastAsia="Arial" w:hAnsi="Arial"/>
                <w:sz w:val="18"/>
                <w:szCs w:val="18"/>
                <w:b w:val="1"/>
                <w:bCs w:val="1"/>
                <w:color w:val="auto"/>
              </w:rPr>
              <w:t>Fair Value</w:t>
            </w:r>
          </w:p>
        </w:tc>
      </w:tr>
      <w:tr>
        <w:trPr>
          <w:trHeight w:val="27"/>
        </w:trPr>
        <w:tc>
          <w:tcPr>
            <w:tcW w:w="3560" w:type="dxa"/>
            <w:vAlign w:val="bottom"/>
            <w:tcBorders>
              <w:bottom w:val="single" w:sz="8" w:color="auto"/>
            </w:tcBorders>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44"/>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2012</w:t>
            </w:r>
          </w:p>
        </w:tc>
        <w:tc>
          <w:tcPr>
            <w:tcW w:w="3080" w:type="dxa"/>
            <w:vAlign w:val="bottom"/>
            <w:tcBorders>
              <w:bottom w:val="single" w:sz="8" w:color="CCEEFF"/>
            </w:tcBorders>
            <w:shd w:val="clear" w:color="auto" w:fill="CCEEFF"/>
          </w:tcPr>
          <w:p>
            <w:pPr>
              <w:jc w:val="center"/>
              <w:ind w:left="1390"/>
              <w:spacing w:after="0"/>
              <w:rPr>
                <w:sz w:val="20"/>
                <w:szCs w:val="20"/>
                <w:color w:val="auto"/>
              </w:rPr>
            </w:pPr>
            <w:r>
              <w:rPr>
                <w:rFonts w:ascii="Arial" w:cs="Arial" w:eastAsia="Arial" w:hAnsi="Arial"/>
                <w:sz w:val="18"/>
                <w:szCs w:val="18"/>
                <w:color w:val="auto"/>
                <w:w w:val="88"/>
              </w:rPr>
              <w:t>$27.4</w:t>
            </w: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$0.5</w:t>
            </w:r>
          </w:p>
        </w:tc>
        <w:tc>
          <w:tcPr>
            <w:tcW w:w="15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$(1.1)</w:t>
            </w:r>
          </w:p>
        </w:tc>
        <w:tc>
          <w:tcPr>
            <w:tcW w:w="1680" w:type="dxa"/>
            <w:vAlign w:val="bottom"/>
            <w:tcBorders>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color w:val="auto"/>
              </w:rPr>
              <w:t>$26.8</w:t>
            </w:r>
          </w:p>
        </w:tc>
      </w:tr>
      <w:tr>
        <w:trPr>
          <w:trHeight w:val="243"/>
        </w:trPr>
        <w:tc>
          <w:tcPr>
            <w:tcW w:w="3560" w:type="dxa"/>
            <w:vAlign w:val="bottom"/>
          </w:tcPr>
          <w:p>
            <w:pPr>
              <w:ind w:left="40"/>
              <w:spacing w:after="0"/>
              <w:rPr>
                <w:sz w:val="20"/>
                <w:szCs w:val="20"/>
                <w:color w:val="auto"/>
              </w:rPr>
            </w:pPr>
            <w:r>
              <w:rPr>
                <w:rFonts w:ascii="Arial" w:cs="Arial" w:eastAsia="Arial" w:hAnsi="Arial"/>
                <w:sz w:val="18"/>
                <w:szCs w:val="18"/>
                <w:color w:val="auto"/>
              </w:rPr>
              <w:t>2011</w:t>
            </w:r>
          </w:p>
        </w:tc>
        <w:tc>
          <w:tcPr>
            <w:tcW w:w="3080" w:type="dxa"/>
            <w:vAlign w:val="bottom"/>
          </w:tcPr>
          <w:p>
            <w:pPr>
              <w:jc w:val="center"/>
              <w:ind w:left="1390"/>
              <w:spacing w:after="0"/>
              <w:rPr>
                <w:sz w:val="20"/>
                <w:szCs w:val="20"/>
                <w:color w:val="auto"/>
              </w:rPr>
            </w:pPr>
            <w:r>
              <w:rPr>
                <w:rFonts w:ascii="Arial" w:cs="Arial" w:eastAsia="Arial" w:hAnsi="Arial"/>
                <w:sz w:val="18"/>
                <w:szCs w:val="18"/>
                <w:color w:val="auto"/>
                <w:w w:val="88"/>
              </w:rPr>
              <w:t>$27.3</w:t>
            </w:r>
          </w:p>
        </w:tc>
        <w:tc>
          <w:tcPr>
            <w:tcW w:w="1580" w:type="dxa"/>
            <w:vAlign w:val="bottom"/>
          </w:tcPr>
          <w:p>
            <w:pPr>
              <w:jc w:val="center"/>
              <w:spacing w:after="0"/>
              <w:rPr>
                <w:sz w:val="20"/>
                <w:szCs w:val="20"/>
                <w:color w:val="auto"/>
              </w:rPr>
            </w:pPr>
            <w:r>
              <w:rPr>
                <w:rFonts w:ascii="Arial" w:cs="Arial" w:eastAsia="Arial" w:hAnsi="Arial"/>
                <w:sz w:val="18"/>
                <w:szCs w:val="18"/>
                <w:color w:val="auto"/>
                <w:w w:val="91"/>
              </w:rPr>
              <w:t>$0.1</w:t>
            </w:r>
          </w:p>
        </w:tc>
        <w:tc>
          <w:tcPr>
            <w:tcW w:w="1520" w:type="dxa"/>
            <w:vAlign w:val="bottom"/>
          </w:tcPr>
          <w:p>
            <w:pPr>
              <w:ind w:left="600"/>
              <w:spacing w:after="0"/>
              <w:rPr>
                <w:sz w:val="20"/>
                <w:szCs w:val="20"/>
                <w:color w:val="auto"/>
              </w:rPr>
            </w:pPr>
            <w:r>
              <w:rPr>
                <w:rFonts w:ascii="Arial" w:cs="Arial" w:eastAsia="Arial" w:hAnsi="Arial"/>
                <w:sz w:val="18"/>
                <w:szCs w:val="18"/>
                <w:color w:val="auto"/>
              </w:rPr>
              <w:t>$(2.7)</w:t>
            </w:r>
          </w:p>
        </w:tc>
        <w:tc>
          <w:tcPr>
            <w:tcW w:w="1680" w:type="dxa"/>
            <w:vAlign w:val="bottom"/>
          </w:tcPr>
          <w:p>
            <w:pPr>
              <w:jc w:val="right"/>
              <w:ind w:right="570"/>
              <w:spacing w:after="0"/>
              <w:rPr>
                <w:sz w:val="20"/>
                <w:szCs w:val="20"/>
                <w:color w:val="auto"/>
              </w:rPr>
            </w:pPr>
            <w:r>
              <w:rPr>
                <w:rFonts w:ascii="Arial" w:cs="Arial" w:eastAsia="Arial" w:hAnsi="Arial"/>
                <w:sz w:val="18"/>
                <w:szCs w:val="18"/>
                <w:color w:val="auto"/>
              </w:rPr>
              <w:t>$24.7</w:t>
            </w:r>
          </w:p>
        </w:tc>
      </w:tr>
      <w:tr>
        <w:trPr>
          <w:trHeight w:val="27"/>
        </w:trPr>
        <w:tc>
          <w:tcPr>
            <w:tcW w:w="356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2010</w:t>
            </w:r>
          </w:p>
        </w:tc>
        <w:tc>
          <w:tcPr>
            <w:tcW w:w="3080" w:type="dxa"/>
            <w:vAlign w:val="bottom"/>
            <w:tcBorders>
              <w:bottom w:val="single" w:sz="8" w:color="CCEEFF"/>
            </w:tcBorders>
            <w:shd w:val="clear" w:color="auto" w:fill="CCEEFF"/>
          </w:tcPr>
          <w:p>
            <w:pPr>
              <w:jc w:val="center"/>
              <w:ind w:left="1390"/>
              <w:spacing w:after="0"/>
              <w:rPr>
                <w:sz w:val="20"/>
                <w:szCs w:val="20"/>
                <w:color w:val="auto"/>
              </w:rPr>
            </w:pPr>
            <w:r>
              <w:rPr>
                <w:rFonts w:ascii="Arial" w:cs="Arial" w:eastAsia="Arial" w:hAnsi="Arial"/>
                <w:sz w:val="18"/>
                <w:szCs w:val="18"/>
                <w:color w:val="auto"/>
                <w:w w:val="88"/>
              </w:rPr>
              <w:t>$27.4</w:t>
            </w: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$0.2</w:t>
            </w:r>
          </w:p>
        </w:tc>
        <w:tc>
          <w:tcPr>
            <w:tcW w:w="15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$(2.4)</w:t>
            </w:r>
          </w:p>
        </w:tc>
        <w:tc>
          <w:tcPr>
            <w:tcW w:w="1680" w:type="dxa"/>
            <w:vAlign w:val="bottom"/>
            <w:tcBorders>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color w:val="auto"/>
              </w:rPr>
              <w:t>$25.2</w:t>
            </w:r>
          </w:p>
        </w:tc>
      </w:tr>
      <w:tr>
        <w:trPr>
          <w:trHeight w:val="20"/>
        </w:trPr>
        <w:tc>
          <w:tcPr>
            <w:tcW w:w="3560" w:type="dxa"/>
            <w:vAlign w:val="bottom"/>
            <w:shd w:val="clear" w:color="auto" w:fill="000000"/>
          </w:tcPr>
          <w:p>
            <w:pPr>
              <w:spacing w:after="0" w:line="20" w:lineRule="exact"/>
              <w:rPr>
                <w:sz w:val="1"/>
                <w:szCs w:val="1"/>
                <w:color w:val="auto"/>
              </w:rPr>
            </w:pPr>
          </w:p>
        </w:tc>
        <w:tc>
          <w:tcPr>
            <w:tcW w:w="308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r>
    </w:tbl>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60" w:type="dxa"/>
            <w:vAlign w:val="bottom"/>
          </w:tcPr>
          <w:p>
            <w:pPr>
              <w:jc w:val="center"/>
              <w:spacing w:after="0"/>
              <w:rPr>
                <w:sz w:val="20"/>
                <w:szCs w:val="20"/>
                <w:color w:val="auto"/>
              </w:rPr>
            </w:pPr>
            <w:r>
              <w:rPr>
                <w:rFonts w:ascii="Arial" w:cs="Arial" w:eastAsia="Arial" w:hAnsi="Arial"/>
                <w:sz w:val="18"/>
                <w:szCs w:val="18"/>
                <w:b w:val="1"/>
                <w:bCs w:val="1"/>
                <w:color w:val="auto"/>
                <w:w w:val="92"/>
              </w:rPr>
              <w:t>Net Unrealized</w:t>
            </w:r>
          </w:p>
        </w:tc>
      </w:tr>
      <w:tr>
        <w:trPr>
          <w:trHeight w:val="234"/>
        </w:trPr>
        <w:tc>
          <w:tcPr>
            <w:tcW w:w="3620" w:type="dxa"/>
            <w:vAlign w:val="bottom"/>
          </w:tcPr>
          <w:p>
            <w:pPr>
              <w:spacing w:after="0"/>
              <w:rPr>
                <w:sz w:val="20"/>
                <w:szCs w:val="20"/>
                <w:color w:val="auto"/>
              </w:rPr>
            </w:pPr>
          </w:p>
        </w:tc>
        <w:tc>
          <w:tcPr>
            <w:tcW w:w="2760" w:type="dxa"/>
            <w:vAlign w:val="bottom"/>
          </w:tcPr>
          <w:p>
            <w:pPr>
              <w:jc w:val="center"/>
              <w:ind w:left="1130"/>
              <w:spacing w:after="0"/>
              <w:rPr>
                <w:sz w:val="20"/>
                <w:szCs w:val="20"/>
                <w:color w:val="auto"/>
              </w:rPr>
            </w:pPr>
            <w:r>
              <w:rPr>
                <w:rFonts w:ascii="Arial" w:cs="Arial" w:eastAsia="Arial" w:hAnsi="Arial"/>
                <w:sz w:val="18"/>
                <w:szCs w:val="18"/>
                <w:b w:val="1"/>
                <w:bCs w:val="1"/>
                <w:color w:val="auto"/>
                <w:w w:val="89"/>
              </w:rPr>
              <w:t>Net</w:t>
            </w:r>
          </w:p>
        </w:tc>
        <w:tc>
          <w:tcPr>
            <w:tcW w:w="2580" w:type="dxa"/>
            <w:vAlign w:val="bottom"/>
            <w:gridSpan w:val="2"/>
          </w:tcPr>
          <w:p>
            <w:pPr>
              <w:ind w:left="700"/>
              <w:spacing w:after="0"/>
              <w:rPr>
                <w:sz w:val="20"/>
                <w:szCs w:val="20"/>
                <w:color w:val="auto"/>
              </w:rPr>
            </w:pPr>
            <w:r>
              <w:rPr>
                <w:rFonts w:ascii="Arial" w:cs="Arial" w:eastAsia="Arial" w:hAnsi="Arial"/>
                <w:sz w:val="18"/>
                <w:szCs w:val="18"/>
                <w:b w:val="1"/>
                <w:bCs w:val="1"/>
                <w:color w:val="auto"/>
              </w:rPr>
              <w:t>Gross Realized</w:t>
            </w:r>
          </w:p>
        </w:tc>
        <w:tc>
          <w:tcPr>
            <w:tcW w:w="2460" w:type="dxa"/>
            <w:vAlign w:val="bottom"/>
          </w:tcPr>
          <w:p>
            <w:pPr>
              <w:jc w:val="center"/>
              <w:spacing w:after="0"/>
              <w:rPr>
                <w:sz w:val="20"/>
                <w:szCs w:val="20"/>
                <w:color w:val="auto"/>
              </w:rPr>
            </w:pPr>
            <w:r>
              <w:rPr>
                <w:rFonts w:ascii="Arial" w:cs="Arial" w:eastAsia="Arial" w:hAnsi="Arial"/>
                <w:sz w:val="18"/>
                <w:szCs w:val="18"/>
                <w:b w:val="1"/>
                <w:bCs w:val="1"/>
                <w:color w:val="auto"/>
                <w:w w:val="92"/>
              </w:rPr>
              <w:t>Gain (Loss) in Other</w:t>
            </w:r>
          </w:p>
        </w:tc>
      </w:tr>
      <w:tr>
        <w:trPr>
          <w:trHeight w:val="270"/>
        </w:trPr>
        <w:tc>
          <w:tcPr>
            <w:tcW w:w="3620" w:type="dxa"/>
            <w:vAlign w:val="bottom"/>
          </w:tcPr>
          <w:p>
            <w:pPr>
              <w:ind w:left="40"/>
              <w:spacing w:after="0"/>
              <w:rPr>
                <w:sz w:val="20"/>
                <w:szCs w:val="20"/>
                <w:color w:val="auto"/>
              </w:rPr>
            </w:pPr>
            <w:r>
              <w:rPr>
                <w:rFonts w:ascii="Arial" w:cs="Arial" w:eastAsia="Arial" w:hAnsi="Arial"/>
                <w:sz w:val="18"/>
                <w:szCs w:val="18"/>
                <w:b w:val="1"/>
                <w:bCs w:val="1"/>
                <w:color w:val="auto"/>
              </w:rPr>
              <w:t>Year Ended December 31</w:t>
            </w:r>
          </w:p>
        </w:tc>
        <w:tc>
          <w:tcPr>
            <w:tcW w:w="2760" w:type="dxa"/>
            <w:vAlign w:val="bottom"/>
          </w:tcPr>
          <w:p>
            <w:pPr>
              <w:jc w:val="center"/>
              <w:ind w:left="1130"/>
              <w:spacing w:after="0"/>
              <w:rPr>
                <w:sz w:val="20"/>
                <w:szCs w:val="20"/>
                <w:color w:val="auto"/>
              </w:rPr>
            </w:pPr>
            <w:r>
              <w:rPr>
                <w:rFonts w:ascii="Arial" w:cs="Arial" w:eastAsia="Arial" w:hAnsi="Arial"/>
                <w:sz w:val="18"/>
                <w:szCs w:val="18"/>
                <w:b w:val="1"/>
                <w:bCs w:val="1"/>
                <w:color w:val="auto"/>
                <w:w w:val="86"/>
              </w:rPr>
              <w:t>Proceeds</w:t>
            </w: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94"/>
              </w:rPr>
              <w:t>Gain</w:t>
            </w:r>
          </w:p>
        </w:tc>
        <w:tc>
          <w:tcPr>
            <w:tcW w:w="1320" w:type="dxa"/>
            <w:vAlign w:val="bottom"/>
          </w:tcPr>
          <w:p>
            <w:pPr>
              <w:jc w:val="center"/>
              <w:ind w:left="10"/>
              <w:spacing w:after="0"/>
              <w:rPr>
                <w:sz w:val="20"/>
                <w:szCs w:val="20"/>
                <w:color w:val="auto"/>
              </w:rPr>
            </w:pPr>
            <w:r>
              <w:rPr>
                <w:rFonts w:ascii="Arial" w:cs="Arial" w:eastAsia="Arial" w:hAnsi="Arial"/>
                <w:sz w:val="18"/>
                <w:szCs w:val="18"/>
                <w:b w:val="1"/>
                <w:bCs w:val="1"/>
                <w:color w:val="auto"/>
                <w:w w:val="85"/>
              </w:rPr>
              <w:t>(Loss)</w:t>
            </w:r>
          </w:p>
        </w:tc>
        <w:tc>
          <w:tcPr>
            <w:tcW w:w="2460" w:type="dxa"/>
            <w:vAlign w:val="bottom"/>
          </w:tcPr>
          <w:p>
            <w:pPr>
              <w:jc w:val="center"/>
              <w:spacing w:after="0"/>
              <w:rPr>
                <w:sz w:val="20"/>
                <w:szCs w:val="20"/>
                <w:color w:val="auto"/>
              </w:rPr>
            </w:pPr>
            <w:r>
              <w:rPr>
                <w:rFonts w:ascii="Arial" w:cs="Arial" w:eastAsia="Arial" w:hAnsi="Arial"/>
                <w:sz w:val="18"/>
                <w:szCs w:val="18"/>
                <w:b w:val="1"/>
                <w:bCs w:val="1"/>
                <w:color w:val="auto"/>
                <w:w w:val="89"/>
              </w:rPr>
              <w:t>Comprehensive Income</w:t>
            </w:r>
          </w:p>
        </w:tc>
      </w:tr>
      <w:tr>
        <w:trPr>
          <w:trHeight w:val="27"/>
        </w:trPr>
        <w:tc>
          <w:tcPr>
            <w:tcW w:w="3620" w:type="dxa"/>
            <w:vAlign w:val="bottom"/>
            <w:tcBorders>
              <w:bottom w:val="single" w:sz="8" w:color="auto"/>
            </w:tcBorders>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r>
      <w:tr>
        <w:trPr>
          <w:trHeight w:val="244"/>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2012</w:t>
            </w:r>
          </w:p>
        </w:tc>
        <w:tc>
          <w:tcPr>
            <w:tcW w:w="2760" w:type="dxa"/>
            <w:vAlign w:val="bottom"/>
            <w:tcBorders>
              <w:bottom w:val="single" w:sz="8" w:color="CCEEFF"/>
            </w:tcBorders>
            <w:shd w:val="clear" w:color="auto" w:fill="CCEEFF"/>
          </w:tcPr>
          <w:p>
            <w:pPr>
              <w:jc w:val="center"/>
              <w:ind w:left="1150"/>
              <w:spacing w:after="0"/>
              <w:rPr>
                <w:sz w:val="20"/>
                <w:szCs w:val="20"/>
                <w:color w:val="auto"/>
              </w:rPr>
            </w:pPr>
            <w:r>
              <w:rPr>
                <w:rFonts w:ascii="Arial" w:cs="Arial" w:eastAsia="Arial" w:hAnsi="Arial"/>
                <w:sz w:val="18"/>
                <w:szCs w:val="18"/>
                <w:color w:val="auto"/>
                <w:w w:val="91"/>
              </w:rPr>
              <w:t>$1.5</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center"/>
              <w:ind w:left="10"/>
              <w:spacing w:after="0"/>
              <w:rPr>
                <w:sz w:val="20"/>
                <w:szCs w:val="20"/>
                <w:color w:val="auto"/>
              </w:rPr>
            </w:pPr>
            <w:r>
              <w:rPr>
                <w:rFonts w:ascii="Arial" w:cs="Arial" w:eastAsia="Arial" w:hAnsi="Arial"/>
                <w:sz w:val="18"/>
                <w:szCs w:val="18"/>
                <w:color w:val="auto"/>
                <w:w w:val="99"/>
              </w:rPr>
              <w:t>—</w:t>
            </w:r>
          </w:p>
        </w:tc>
        <w:tc>
          <w:tcPr>
            <w:tcW w:w="2460" w:type="dxa"/>
            <w:vAlign w:val="bottom"/>
            <w:tcBorders>
              <w:bottom w:val="single" w:sz="8" w:color="CCEEFF"/>
            </w:tcBorders>
            <w:shd w:val="clear" w:color="auto" w:fill="CCEEFF"/>
          </w:tcPr>
          <w:p>
            <w:pPr>
              <w:jc w:val="right"/>
              <w:ind w:right="950"/>
              <w:spacing w:after="0"/>
              <w:rPr>
                <w:sz w:val="20"/>
                <w:szCs w:val="20"/>
                <w:color w:val="auto"/>
              </w:rPr>
            </w:pPr>
            <w:r>
              <w:rPr>
                <w:rFonts w:ascii="Arial" w:cs="Arial" w:eastAsia="Arial" w:hAnsi="Arial"/>
                <w:sz w:val="18"/>
                <w:szCs w:val="18"/>
                <w:color w:val="auto"/>
              </w:rPr>
              <w:t>$1.2</w:t>
            </w:r>
          </w:p>
        </w:tc>
      </w:tr>
      <w:tr>
        <w:trPr>
          <w:trHeight w:val="243"/>
        </w:trPr>
        <w:tc>
          <w:tcPr>
            <w:tcW w:w="3620" w:type="dxa"/>
            <w:vAlign w:val="bottom"/>
          </w:tcPr>
          <w:p>
            <w:pPr>
              <w:ind w:left="40"/>
              <w:spacing w:after="0"/>
              <w:rPr>
                <w:sz w:val="20"/>
                <w:szCs w:val="20"/>
                <w:color w:val="auto"/>
              </w:rPr>
            </w:pPr>
            <w:r>
              <w:rPr>
                <w:rFonts w:ascii="Arial" w:cs="Arial" w:eastAsia="Arial" w:hAnsi="Arial"/>
                <w:sz w:val="18"/>
                <w:szCs w:val="18"/>
                <w:color w:val="auto"/>
              </w:rPr>
              <w:t>2011</w:t>
            </w:r>
          </w:p>
        </w:tc>
        <w:tc>
          <w:tcPr>
            <w:tcW w:w="2760" w:type="dxa"/>
            <w:vAlign w:val="bottom"/>
          </w:tcPr>
          <w:p>
            <w:pPr>
              <w:jc w:val="center"/>
              <w:ind w:left="1150"/>
              <w:spacing w:after="0"/>
              <w:rPr>
                <w:sz w:val="20"/>
                <w:szCs w:val="20"/>
                <w:color w:val="auto"/>
              </w:rPr>
            </w:pPr>
            <w:r>
              <w:rPr>
                <w:rFonts w:ascii="Arial" w:cs="Arial" w:eastAsia="Arial" w:hAnsi="Arial"/>
                <w:sz w:val="18"/>
                <w:szCs w:val="18"/>
                <w:color w:val="auto"/>
                <w:w w:val="91"/>
              </w:rPr>
              <w:t>$7.8</w:t>
            </w:r>
          </w:p>
        </w:tc>
        <w:tc>
          <w:tcPr>
            <w:tcW w:w="12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320" w:type="dxa"/>
            <w:vAlign w:val="bottom"/>
          </w:tcPr>
          <w:p>
            <w:pPr>
              <w:jc w:val="center"/>
              <w:ind w:left="10"/>
              <w:spacing w:after="0"/>
              <w:rPr>
                <w:sz w:val="20"/>
                <w:szCs w:val="20"/>
                <w:color w:val="auto"/>
              </w:rPr>
            </w:pPr>
            <w:r>
              <w:rPr>
                <w:rFonts w:ascii="Arial" w:cs="Arial" w:eastAsia="Arial" w:hAnsi="Arial"/>
                <w:sz w:val="18"/>
                <w:szCs w:val="18"/>
                <w:color w:val="auto"/>
                <w:w w:val="99"/>
              </w:rPr>
              <w:t>—</w:t>
            </w:r>
          </w:p>
        </w:tc>
        <w:tc>
          <w:tcPr>
            <w:tcW w:w="2460" w:type="dxa"/>
            <w:vAlign w:val="bottom"/>
          </w:tcPr>
          <w:p>
            <w:pPr>
              <w:jc w:val="right"/>
              <w:ind w:right="890"/>
              <w:spacing w:after="0"/>
              <w:rPr>
                <w:sz w:val="20"/>
                <w:szCs w:val="20"/>
                <w:color w:val="auto"/>
              </w:rPr>
            </w:pPr>
            <w:r>
              <w:rPr>
                <w:rFonts w:ascii="Arial" w:cs="Arial" w:eastAsia="Arial" w:hAnsi="Arial"/>
                <w:sz w:val="18"/>
                <w:szCs w:val="18"/>
                <w:color w:val="auto"/>
              </w:rPr>
              <w:t>$(0.3)</w:t>
            </w:r>
          </w:p>
        </w:tc>
      </w:tr>
      <w:tr>
        <w:trPr>
          <w:trHeight w:val="27"/>
        </w:trPr>
        <w:tc>
          <w:tcPr>
            <w:tcW w:w="362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460" w:type="dxa"/>
            <w:vAlign w:val="bottom"/>
          </w:tcPr>
          <w:p>
            <w:pPr>
              <w:spacing w:after="0"/>
              <w:rPr>
                <w:sz w:val="2"/>
                <w:szCs w:val="2"/>
                <w:color w:val="auto"/>
              </w:rPr>
            </w:pPr>
          </w:p>
        </w:tc>
      </w:tr>
      <w:tr>
        <w:trPr>
          <w:trHeight w:val="250"/>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2010</w:t>
            </w:r>
          </w:p>
        </w:tc>
        <w:tc>
          <w:tcPr>
            <w:tcW w:w="2760" w:type="dxa"/>
            <w:vAlign w:val="bottom"/>
            <w:tcBorders>
              <w:bottom w:val="single" w:sz="8" w:color="CCEEFF"/>
            </w:tcBorders>
            <w:shd w:val="clear" w:color="auto" w:fill="CCEEFF"/>
          </w:tcPr>
          <w:p>
            <w:pPr>
              <w:jc w:val="center"/>
              <w:ind w:left="1150"/>
              <w:spacing w:after="0"/>
              <w:rPr>
                <w:sz w:val="20"/>
                <w:szCs w:val="20"/>
                <w:color w:val="auto"/>
              </w:rPr>
            </w:pPr>
            <w:r>
              <w:rPr>
                <w:rFonts w:ascii="Arial" w:cs="Arial" w:eastAsia="Arial" w:hAnsi="Arial"/>
                <w:sz w:val="18"/>
                <w:szCs w:val="18"/>
                <w:color w:val="auto"/>
                <w:w w:val="91"/>
              </w:rPr>
              <w:t>$0.6</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center"/>
              <w:ind w:left="10"/>
              <w:spacing w:after="0"/>
              <w:rPr>
                <w:sz w:val="20"/>
                <w:szCs w:val="20"/>
                <w:color w:val="auto"/>
              </w:rPr>
            </w:pPr>
            <w:r>
              <w:rPr>
                <w:rFonts w:ascii="Arial" w:cs="Arial" w:eastAsia="Arial" w:hAnsi="Arial"/>
                <w:sz w:val="18"/>
                <w:szCs w:val="18"/>
                <w:color w:val="auto"/>
                <w:w w:val="99"/>
              </w:rPr>
              <w:t>—</w:t>
            </w:r>
          </w:p>
        </w:tc>
        <w:tc>
          <w:tcPr>
            <w:tcW w:w="2460" w:type="dxa"/>
            <w:vAlign w:val="bottom"/>
            <w:tcBorders>
              <w:bottom w:val="single" w:sz="8" w:color="CCEEFF"/>
            </w:tcBorders>
            <w:shd w:val="clear" w:color="auto" w:fill="CCEEFF"/>
          </w:tcPr>
          <w:p>
            <w:pPr>
              <w:jc w:val="right"/>
              <w:ind w:right="950"/>
              <w:spacing w:after="0"/>
              <w:rPr>
                <w:sz w:val="20"/>
                <w:szCs w:val="20"/>
                <w:color w:val="auto"/>
              </w:rPr>
            </w:pPr>
            <w:r>
              <w:rPr>
                <w:rFonts w:ascii="Arial" w:cs="Arial" w:eastAsia="Arial" w:hAnsi="Arial"/>
                <w:sz w:val="18"/>
                <w:szCs w:val="18"/>
                <w:color w:val="auto"/>
              </w:rPr>
              <w:t>$0.8</w:t>
            </w:r>
          </w:p>
        </w:tc>
      </w:tr>
      <w:tr>
        <w:trPr>
          <w:trHeight w:val="20"/>
        </w:trPr>
        <w:tc>
          <w:tcPr>
            <w:tcW w:w="3620" w:type="dxa"/>
            <w:vAlign w:val="bottom"/>
            <w:shd w:val="clear" w:color="auto" w:fill="000000"/>
          </w:tcPr>
          <w:p>
            <w:pPr>
              <w:spacing w:after="0" w:line="20" w:lineRule="exact"/>
              <w:rPr>
                <w:sz w:val="1"/>
                <w:szCs w:val="1"/>
                <w:color w:val="auto"/>
              </w:rPr>
            </w:pPr>
          </w:p>
        </w:tc>
        <w:tc>
          <w:tcPr>
            <w:tcW w:w="27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46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2012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364" w:right="239" w:bottom="1440" w:gutter="0" w:footer="0" w:header="0"/>
        </w:sectPr>
      </w:pPr>
    </w:p>
    <w:bookmarkStart w:id="82" w:name="page83"/>
    <w:bookmarkEnd w:id="82"/>
    <w:p>
      <w:pPr>
        <w:spacing w:after="0"/>
        <w:rPr>
          <w:sz w:val="20"/>
          <w:szCs w:val="20"/>
          <w:color w:val="auto"/>
        </w:rPr>
      </w:pPr>
      <w:r>
        <w:rPr>
          <w:rFonts w:ascii="Arial" w:cs="Arial" w:eastAsia="Arial" w:hAnsi="Arial"/>
          <w:sz w:val="18"/>
          <w:szCs w:val="18"/>
          <w:b w:val="1"/>
          <w:bCs w:val="1"/>
          <w:color w:val="auto"/>
        </w:rPr>
        <w:t>NOTE 8. DERIVATIVES</w:t>
      </w:r>
    </w:p>
    <w:p>
      <w:pPr>
        <w:spacing w:after="0" w:line="229"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During the third quarter of 2011, we entered into a variable-to-fixed interest rate swap (Swap), designated as a cash flow hedge, in order to manage the interest rate risk associated with a $75.0 million Term Loan. The Term Loan has a variable interest rate equal to the one-month LIBOR plus 1.00 percent, has a maturity of August 25, 2014, and represents approximately 8 percent of the Company’s outstanding long-term debt as of December 31, 2012. (See Note 10. Short-Term and Long-Term Debt.) The Swap agreement has a notional amount equal to the underlying debt principal and matures on August 25, 2014. The Swap agreement involves the receipt of variable rate amounts in exchange for fixed rate interest payments over the life of the agreement without an exchange of the underlying notional amount. The variable rate of the Swap is equal to the one-month LIBOR and the fixed rate is equal to 0.825 percent. Cash flows from the interest rate swap are expected to be highly effective in offsetting the variable interest expense of the debt attributable to fluctuations in the one-month LIBOR interest rate over the life of the Swap. If it is determined that a derivative is not or has ceased to be effective as a hedge, the Company prospectively discontinues hedge accounting with respect to that derivative. The shortcut method is used to assess hedge effectiveness. At inception, all shortcut method requirements were satisfied; thus changes in value of the Swap designated as the hedging instrument will be deemed 100 percent effective. As a result, there was no ineffectiveness recorded for the year ended December 31, 2012. The mark-to-market fluctuation on the cash flow hedge was recorded in accumulated other comprehensive income on the Consolidated Balance Sheet. As of December 31, 2012, the fair value of the swap was a $0.7 million liability (a $0.4 million liability as of December 31, 2011) and is included in other non-current liabilities on the Consolidated Balance Sheet. Cash flows from derivative activities are presented in the same category as the item being hedged on the Consolidated Statement of Cash Flows. Amounts recorded in other comprehensive income related to cash flow hedges will be recognized in earnings when the hedged transactions occur or when it is probable that the hedged transactions will not occur. Gains or losses on interest rate hedging transactions are reflected as a component of interest expense on the Consolidated Statement of Income.</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FAIR VALUE</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Fair value is the price that would be received to sell an asset or paid to transfer a liability in an orderly transaction between market participants at the measurement date (exit price). We utilize market data or assumptions that market participants would use in pricing the asset or liability, including assumptions about risk and the risks inherent in the inputs to the valuation technique. These inputs can be readily observable, market corroborated, or generally unobservable. We primarily apply the market approach for recurring fair value measurements and endeavor to utilize the best available information. Accordingly, we utilize valuation techniques that maximize the use of observable inputs and minimize the use of unobservable inputs. These inputs, which are used to measure fair value, are prioritized through the fair value hierarchy. The hierarchy gives the highest priority to unadjusted quoted prices in active markets for identical assets or liabilities (Level 1 measurement) and the lowest priority to unobservable inputs (Level 3 measurement). The three levels of the fair value hierarchy are as follows:</w:t>
      </w:r>
    </w:p>
    <w:p>
      <w:pPr>
        <w:spacing w:after="0" w:line="192"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Level 1 — Quoted prices are available in active markets for identical assets or liabilities as of the reported date. Active markets are those in which transactions for the asset or liability occur in sufficient frequency and volume to provide pricing information on an ongoing basis. This category includes primarily mutual fund investments held to fund employee benefits.</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Level 2 — Pricing inputs are other than quoted prices in active markets, but are either directly or indirectly observable as of the reported date. The types of assets and liabilities included in Level 2 are typically either comparable to actively traded securities or contracts, such as treasury securities with pricing interpolated from recent trades of similar securities, or priced with models using highly observable inputs, such as commodity options priced using observable forward prices and volatilities. This category includes deferred compensation, fixed income securities, and derivative instruments consisting of cash flow hedges.</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Level 3 — Significant inputs that are generally less observable from objective sources. The types of assets and liabilities included in Level 3 are those with inputs requiring significant management judgment or estimation, such as the complex and subjective models and forecasts used to determine the fair value. This category included ARS consisting of guaranteed student loans.</w:t>
      </w:r>
    </w:p>
    <w:p>
      <w:pPr>
        <w:spacing w:after="0" w:line="18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following tables set forth by level within the fair value hierarchy, our assets and liabilities that were accounted for at fair value on a recurring basis as of December 31, 2012 and December 31, 2011. Each asset and liability is classified based on the lowest level of input that is significant to the fair value measurement. Our assessment of the significance of a particular input to the fair value measurement requires judgment, which may affect the valuation of fair value assets and liabilities and their placement within the fair value hierarchy levels. The estimated fair value of cash and cash equivalents listed on the Consolidated Balance Sheet approximates the carrying amount and therefore are excluded from the recurring fair value measures in the tables below.</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2012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364" w:right="239" w:bottom="1440" w:gutter="0" w:footer="0" w:header="0"/>
        </w:sectPr>
      </w:pPr>
    </w:p>
    <w:bookmarkStart w:id="83" w:name="page84"/>
    <w:bookmarkEnd w:id="83"/>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r>
              <w:rPr>
                <w:rFonts w:ascii="Arial" w:cs="Arial" w:eastAsia="Arial" w:hAnsi="Arial"/>
                <w:sz w:val="18"/>
                <w:szCs w:val="18"/>
                <w:b w:val="1"/>
                <w:bCs w:val="1"/>
                <w:color w:val="auto"/>
              </w:rPr>
              <w:t>NOTE 9. FAIR VALUE (Continued)</w:t>
            </w:r>
          </w:p>
        </w:tc>
        <w:tc>
          <w:tcPr>
            <w:tcW w:w="14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56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200" w:type="dxa"/>
            <w:vAlign w:val="bottom"/>
            <w:gridSpan w:val="2"/>
          </w:tcPr>
          <w:p>
            <w:pPr>
              <w:ind w:left="160"/>
              <w:spacing w:after="0"/>
              <w:rPr>
                <w:sz w:val="20"/>
                <w:szCs w:val="20"/>
                <w:color w:val="auto"/>
              </w:rPr>
            </w:pPr>
            <w:r>
              <w:rPr>
                <w:rFonts w:ascii="Arial" w:cs="Arial" w:eastAsia="Arial" w:hAnsi="Arial"/>
                <w:sz w:val="18"/>
                <w:szCs w:val="18"/>
                <w:b w:val="1"/>
                <w:bCs w:val="1"/>
                <w:color w:val="auto"/>
              </w:rPr>
              <w:t>Fair Value as of December 31, 2012</w:t>
            </w: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56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Recurring Fair Value Measures</w:t>
            </w:r>
          </w:p>
        </w:tc>
        <w:tc>
          <w:tcPr>
            <w:tcW w:w="14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620" w:type="dxa"/>
            <w:vAlign w:val="bottom"/>
            <w:vMerge w:val="continue"/>
          </w:tcPr>
          <w:p>
            <w:pPr>
              <w:spacing w:after="0"/>
              <w:rPr>
                <w:sz w:val="20"/>
                <w:szCs w:val="20"/>
                <w:color w:val="auto"/>
              </w:rPr>
            </w:pPr>
          </w:p>
        </w:tc>
        <w:tc>
          <w:tcPr>
            <w:tcW w:w="1400" w:type="dxa"/>
            <w:vAlign w:val="bottom"/>
          </w:tcPr>
          <w:p>
            <w:pPr>
              <w:jc w:val="right"/>
              <w:ind w:right="350"/>
              <w:spacing w:after="0"/>
              <w:rPr>
                <w:sz w:val="20"/>
                <w:szCs w:val="20"/>
                <w:color w:val="auto"/>
              </w:rPr>
            </w:pPr>
            <w:r>
              <w:rPr>
                <w:rFonts w:ascii="Arial" w:cs="Arial" w:eastAsia="Arial" w:hAnsi="Arial"/>
                <w:sz w:val="18"/>
                <w:szCs w:val="18"/>
                <w:b w:val="1"/>
                <w:bCs w:val="1"/>
                <w:color w:val="auto"/>
              </w:rPr>
              <w:t>Level 1</w:t>
            </w:r>
          </w:p>
        </w:tc>
        <w:tc>
          <w:tcPr>
            <w:tcW w:w="1720" w:type="dxa"/>
            <w:vAlign w:val="bottom"/>
          </w:tcPr>
          <w:p>
            <w:pPr>
              <w:jc w:val="right"/>
              <w:ind w:right="550"/>
              <w:spacing w:after="0"/>
              <w:rPr>
                <w:sz w:val="20"/>
                <w:szCs w:val="20"/>
                <w:color w:val="auto"/>
              </w:rPr>
            </w:pPr>
            <w:r>
              <w:rPr>
                <w:rFonts w:ascii="Arial" w:cs="Arial" w:eastAsia="Arial" w:hAnsi="Arial"/>
                <w:sz w:val="18"/>
                <w:szCs w:val="18"/>
                <w:b w:val="1"/>
                <w:bCs w:val="1"/>
                <w:color w:val="auto"/>
              </w:rPr>
              <w:t>Level 2</w:t>
            </w:r>
          </w:p>
        </w:tc>
        <w:tc>
          <w:tcPr>
            <w:tcW w:w="1480" w:type="dxa"/>
            <w:vAlign w:val="bottom"/>
          </w:tcPr>
          <w:p>
            <w:pPr>
              <w:ind w:left="260"/>
              <w:spacing w:after="0"/>
              <w:rPr>
                <w:sz w:val="20"/>
                <w:szCs w:val="20"/>
                <w:color w:val="auto"/>
              </w:rPr>
            </w:pPr>
            <w:r>
              <w:rPr>
                <w:rFonts w:ascii="Arial" w:cs="Arial" w:eastAsia="Arial" w:hAnsi="Arial"/>
                <w:sz w:val="18"/>
                <w:szCs w:val="18"/>
                <w:b w:val="1"/>
                <w:bCs w:val="1"/>
                <w:color w:val="auto"/>
              </w:rPr>
              <w:t>Level 3</w:t>
            </w:r>
          </w:p>
        </w:tc>
        <w:tc>
          <w:tcPr>
            <w:tcW w:w="120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56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14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4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Investments</w:t>
            </w:r>
          </w:p>
        </w:tc>
        <w:tc>
          <w:tcPr>
            <w:tcW w:w="140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Available-for-sale Securities – Equity Securities</w:t>
            </w:r>
          </w:p>
        </w:tc>
        <w:tc>
          <w:tcPr>
            <w:tcW w:w="14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$18.0</w:t>
            </w:r>
          </w:p>
        </w:tc>
        <w:tc>
          <w:tcPr>
            <w:tcW w:w="172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Available-for-sale Securities – Corporate Debt Securities</w:t>
            </w:r>
          </w:p>
        </w:tc>
        <w:tc>
          <w:tcPr>
            <w:tcW w:w="14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250"/>
              <w:spacing w:after="0"/>
              <w:rPr>
                <w:sz w:val="20"/>
                <w:szCs w:val="20"/>
                <w:color w:val="auto"/>
              </w:rPr>
            </w:pPr>
            <w:r>
              <w:rPr>
                <w:rFonts w:ascii="Arial" w:cs="Arial" w:eastAsia="Arial" w:hAnsi="Arial"/>
                <w:sz w:val="18"/>
                <w:szCs w:val="18"/>
                <w:color w:val="auto"/>
              </w:rPr>
              <w:t>$8.8</w:t>
            </w:r>
          </w:p>
        </w:tc>
        <w:tc>
          <w:tcPr>
            <w:tcW w:w="1480" w:type="dxa"/>
            <w:vAlign w:val="bottom"/>
          </w:tcPr>
          <w:p>
            <w:pPr>
              <w:ind w:left="94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Equivalents</w:t>
            </w:r>
          </w:p>
        </w:tc>
        <w:tc>
          <w:tcPr>
            <w:tcW w:w="14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20.7</w:t>
            </w:r>
          </w:p>
        </w:tc>
        <w:tc>
          <w:tcPr>
            <w:tcW w:w="172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37"/>
        </w:trPr>
        <w:tc>
          <w:tcPr>
            <w:tcW w:w="56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Fair Value of Assets</w:t>
            </w:r>
          </w:p>
        </w:tc>
        <w:tc>
          <w:tcPr>
            <w:tcW w:w="14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$38.7</w:t>
            </w:r>
          </w:p>
        </w:tc>
        <w:tc>
          <w:tcPr>
            <w:tcW w:w="172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rPr>
              <w:t>$8.8</w:t>
            </w:r>
          </w:p>
        </w:tc>
        <w:tc>
          <w:tcPr>
            <w:tcW w:w="1480" w:type="dxa"/>
            <w:vAlign w:val="bottom"/>
            <w:tcBorders>
              <w:top w:val="single" w:sz="8" w:color="auto"/>
            </w:tcBorders>
          </w:tcPr>
          <w:p>
            <w:pPr>
              <w:ind w:left="940"/>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$47.5</w:t>
            </w:r>
          </w:p>
        </w:tc>
        <w:tc>
          <w:tcPr>
            <w:tcW w:w="0" w:type="dxa"/>
            <w:vAlign w:val="bottom"/>
          </w:tcPr>
          <w:p>
            <w:pPr>
              <w:spacing w:after="0"/>
              <w:rPr>
                <w:sz w:val="1"/>
                <w:szCs w:val="1"/>
                <w:color w:val="auto"/>
              </w:rPr>
            </w:pPr>
          </w:p>
        </w:tc>
      </w:tr>
      <w:tr>
        <w:trPr>
          <w:trHeight w:val="27"/>
        </w:trPr>
        <w:tc>
          <w:tcPr>
            <w:tcW w:w="56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562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72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b w:val="1"/>
                <w:bCs w:val="1"/>
                <w:color w:val="auto"/>
              </w:rPr>
              <w:t>Liabilities:</w:t>
            </w:r>
          </w:p>
        </w:tc>
        <w:tc>
          <w:tcPr>
            <w:tcW w:w="140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Compensation</w:t>
            </w:r>
          </w:p>
        </w:tc>
        <w:tc>
          <w:tcPr>
            <w:tcW w:w="14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$14.0</w:t>
            </w:r>
          </w:p>
        </w:tc>
        <w:tc>
          <w:tcPr>
            <w:tcW w:w="148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Derivatives – Interest Rate Swap</w:t>
            </w:r>
          </w:p>
        </w:tc>
        <w:tc>
          <w:tcPr>
            <w:tcW w:w="14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250"/>
              <w:spacing w:after="0"/>
              <w:rPr>
                <w:sz w:val="20"/>
                <w:szCs w:val="20"/>
                <w:color w:val="auto"/>
              </w:rPr>
            </w:pPr>
            <w:r>
              <w:rPr>
                <w:rFonts w:ascii="Arial" w:cs="Arial" w:eastAsia="Arial" w:hAnsi="Arial"/>
                <w:sz w:val="18"/>
                <w:szCs w:val="18"/>
                <w:color w:val="auto"/>
              </w:rPr>
              <w:t>0.7</w:t>
            </w:r>
          </w:p>
        </w:tc>
        <w:tc>
          <w:tcPr>
            <w:tcW w:w="1480" w:type="dxa"/>
            <w:vAlign w:val="bottom"/>
          </w:tcPr>
          <w:p>
            <w:pPr>
              <w:ind w:left="94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7"/>
        </w:trPr>
        <w:tc>
          <w:tcPr>
            <w:tcW w:w="56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Fair Value of Liabilities</w:t>
            </w:r>
          </w:p>
        </w:tc>
        <w:tc>
          <w:tcPr>
            <w:tcW w:w="14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$14.7</w:t>
            </w:r>
          </w:p>
        </w:tc>
        <w:tc>
          <w:tcPr>
            <w:tcW w:w="148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37"/>
        </w:trPr>
        <w:tc>
          <w:tcPr>
            <w:tcW w:w="56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Net Fair Value of Assets (Liabilities)</w:t>
            </w:r>
          </w:p>
        </w:tc>
        <w:tc>
          <w:tcPr>
            <w:tcW w:w="14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$38.7</w:t>
            </w:r>
          </w:p>
        </w:tc>
        <w:tc>
          <w:tcPr>
            <w:tcW w:w="172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$(5.9)</w:t>
            </w:r>
          </w:p>
        </w:tc>
        <w:tc>
          <w:tcPr>
            <w:tcW w:w="1480" w:type="dxa"/>
            <w:vAlign w:val="bottom"/>
            <w:tcBorders>
              <w:top w:val="single" w:sz="8" w:color="auto"/>
            </w:tcBorders>
          </w:tcPr>
          <w:p>
            <w:pPr>
              <w:ind w:left="940"/>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7"/>
        </w:trPr>
        <w:tc>
          <w:tcPr>
            <w:tcW w:w="56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26"/>
        </w:trPr>
        <w:tc>
          <w:tcPr>
            <w:tcW w:w="5620" w:type="dxa"/>
            <w:vAlign w:val="bottom"/>
          </w:tcPr>
          <w:p>
            <w:pPr>
              <w:spacing w:after="0"/>
              <w:rPr>
                <w:sz w:val="20"/>
                <w:szCs w:val="20"/>
                <w:color w:val="auto"/>
              </w:rPr>
            </w:pPr>
            <w:r>
              <w:rPr>
                <w:rFonts w:ascii="Arial" w:cs="Arial" w:eastAsia="Arial" w:hAnsi="Arial"/>
                <w:sz w:val="18"/>
                <w:szCs w:val="18"/>
                <w:color w:val="auto"/>
                <w:w w:val="93"/>
              </w:rPr>
              <w:t>There was no activity in Level 3 during the year ended December 31, 2012.</w:t>
            </w:r>
          </w:p>
        </w:tc>
        <w:tc>
          <w:tcPr>
            <w:tcW w:w="14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840" w:type="dxa"/>
            <w:vAlign w:val="bottom"/>
            <w:gridSpan w:val="2"/>
          </w:tcPr>
          <w:p>
            <w:pPr>
              <w:ind w:left="140"/>
              <w:spacing w:after="0"/>
              <w:rPr>
                <w:sz w:val="20"/>
                <w:szCs w:val="20"/>
                <w:color w:val="auto"/>
              </w:rPr>
            </w:pPr>
            <w:r>
              <w:rPr>
                <w:rFonts w:ascii="Arial" w:cs="Arial" w:eastAsia="Arial" w:hAnsi="Arial"/>
                <w:sz w:val="18"/>
                <w:szCs w:val="18"/>
                <w:b w:val="1"/>
                <w:bCs w:val="1"/>
                <w:color w:val="auto"/>
                <w:w w:val="89"/>
              </w:rPr>
              <w:t>Fair Value as of December 31, 2011</w:t>
            </w: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6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Recurring Fair Value Measures</w:t>
            </w:r>
          </w:p>
        </w:tc>
        <w:tc>
          <w:tcPr>
            <w:tcW w:w="14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600" w:type="dxa"/>
            <w:vAlign w:val="bottom"/>
            <w:vMerge w:val="continue"/>
          </w:tcPr>
          <w:p>
            <w:pPr>
              <w:spacing w:after="0"/>
              <w:rPr>
                <w:sz w:val="20"/>
                <w:szCs w:val="20"/>
                <w:color w:val="auto"/>
              </w:rPr>
            </w:pPr>
          </w:p>
        </w:tc>
        <w:tc>
          <w:tcPr>
            <w:tcW w:w="1420" w:type="dxa"/>
            <w:vAlign w:val="bottom"/>
          </w:tcPr>
          <w:p>
            <w:pPr>
              <w:jc w:val="right"/>
              <w:ind w:right="370"/>
              <w:spacing w:after="0"/>
              <w:rPr>
                <w:sz w:val="20"/>
                <w:szCs w:val="20"/>
                <w:color w:val="auto"/>
              </w:rPr>
            </w:pPr>
            <w:r>
              <w:rPr>
                <w:rFonts w:ascii="Arial" w:cs="Arial" w:eastAsia="Arial" w:hAnsi="Arial"/>
                <w:sz w:val="18"/>
                <w:szCs w:val="18"/>
                <w:b w:val="1"/>
                <w:bCs w:val="1"/>
                <w:color w:val="auto"/>
              </w:rPr>
              <w:t>Level 1</w:t>
            </w:r>
          </w:p>
        </w:tc>
        <w:tc>
          <w:tcPr>
            <w:tcW w:w="1700" w:type="dxa"/>
            <w:vAlign w:val="bottom"/>
          </w:tcPr>
          <w:p>
            <w:pPr>
              <w:jc w:val="right"/>
              <w:ind w:right="550"/>
              <w:spacing w:after="0"/>
              <w:rPr>
                <w:sz w:val="20"/>
                <w:szCs w:val="20"/>
                <w:color w:val="auto"/>
              </w:rPr>
            </w:pPr>
            <w:r>
              <w:rPr>
                <w:rFonts w:ascii="Arial" w:cs="Arial" w:eastAsia="Arial" w:hAnsi="Arial"/>
                <w:sz w:val="18"/>
                <w:szCs w:val="18"/>
                <w:b w:val="1"/>
                <w:bCs w:val="1"/>
                <w:color w:val="auto"/>
              </w:rPr>
              <w:t>Level 2</w:t>
            </w:r>
          </w:p>
        </w:tc>
        <w:tc>
          <w:tcPr>
            <w:tcW w:w="1140" w:type="dxa"/>
            <w:vAlign w:val="bottom"/>
          </w:tcPr>
          <w:p>
            <w:pPr>
              <w:ind w:left="260"/>
              <w:spacing w:after="0"/>
              <w:rPr>
                <w:sz w:val="20"/>
                <w:szCs w:val="20"/>
                <w:color w:val="auto"/>
              </w:rPr>
            </w:pPr>
            <w:r>
              <w:rPr>
                <w:rFonts w:ascii="Arial" w:cs="Arial" w:eastAsia="Arial" w:hAnsi="Arial"/>
                <w:sz w:val="18"/>
                <w:szCs w:val="18"/>
                <w:b w:val="1"/>
                <w:bCs w:val="1"/>
                <w:color w:val="auto"/>
              </w:rPr>
              <w:t>Level 3</w:t>
            </w:r>
          </w:p>
        </w:tc>
        <w:tc>
          <w:tcPr>
            <w:tcW w:w="154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6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60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14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6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4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rPr>
              <w:t>Investments</w:t>
            </w:r>
          </w:p>
        </w:tc>
        <w:tc>
          <w:tcPr>
            <w:tcW w:w="14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6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6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Available-for-sale Securities – Equity Securities</w:t>
            </w:r>
          </w:p>
        </w:tc>
        <w:tc>
          <w:tcPr>
            <w:tcW w:w="14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$17.6</w:t>
            </w:r>
          </w:p>
        </w:tc>
        <w:tc>
          <w:tcPr>
            <w:tcW w:w="170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Available-for-sale Securities – Corporate Debt Securities</w:t>
            </w:r>
          </w:p>
        </w:tc>
        <w:tc>
          <w:tcPr>
            <w:tcW w:w="14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250"/>
              <w:spacing w:after="0"/>
              <w:rPr>
                <w:sz w:val="20"/>
                <w:szCs w:val="20"/>
                <w:color w:val="auto"/>
              </w:rPr>
            </w:pPr>
            <w:r>
              <w:rPr>
                <w:rFonts w:ascii="Arial" w:cs="Arial" w:eastAsia="Arial" w:hAnsi="Arial"/>
                <w:sz w:val="18"/>
                <w:szCs w:val="18"/>
                <w:color w:val="auto"/>
              </w:rPr>
              <w:t>$8.2</w:t>
            </w:r>
          </w:p>
        </w:tc>
        <w:tc>
          <w:tcPr>
            <w:tcW w:w="1140" w:type="dxa"/>
            <w:vAlign w:val="bottom"/>
          </w:tcPr>
          <w:p>
            <w:pPr>
              <w:ind w:left="94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6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20" w:type="dxa"/>
            <w:vAlign w:val="bottom"/>
          </w:tcPr>
          <w:p>
            <w:pPr>
              <w:spacing w:after="0"/>
              <w:rPr>
                <w:sz w:val="23"/>
                <w:szCs w:val="23"/>
                <w:color w:val="auto"/>
              </w:rPr>
            </w:pPr>
          </w:p>
        </w:tc>
        <w:tc>
          <w:tcPr>
            <w:tcW w:w="56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Cash Equivalents</w:t>
            </w:r>
          </w:p>
        </w:tc>
        <w:tc>
          <w:tcPr>
            <w:tcW w:w="14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11.4</w:t>
            </w:r>
          </w:p>
        </w:tc>
        <w:tc>
          <w:tcPr>
            <w:tcW w:w="170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6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Total Fair Value of Assets</w:t>
            </w:r>
          </w:p>
        </w:tc>
        <w:tc>
          <w:tcPr>
            <w:tcW w:w="14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$29.0</w:t>
            </w:r>
          </w:p>
        </w:tc>
        <w:tc>
          <w:tcPr>
            <w:tcW w:w="170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rPr>
              <w:t>$8.2</w:t>
            </w:r>
          </w:p>
        </w:tc>
        <w:tc>
          <w:tcPr>
            <w:tcW w:w="1140" w:type="dxa"/>
            <w:vAlign w:val="bottom"/>
            <w:tcBorders>
              <w:top w:val="single" w:sz="8" w:color="auto"/>
            </w:tcBorders>
          </w:tcPr>
          <w:p>
            <w:pPr>
              <w:ind w:left="94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$37.2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6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560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7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0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14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6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Compensation</w:t>
            </w:r>
          </w:p>
        </w:tc>
        <w:tc>
          <w:tcPr>
            <w:tcW w:w="14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$12.8</w:t>
            </w:r>
          </w:p>
        </w:tc>
        <w:tc>
          <w:tcPr>
            <w:tcW w:w="114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rPr>
              <w:t>Derivatives – Interest Rate Swap</w:t>
            </w:r>
          </w:p>
        </w:tc>
        <w:tc>
          <w:tcPr>
            <w:tcW w:w="14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250"/>
              <w:spacing w:after="0"/>
              <w:rPr>
                <w:sz w:val="20"/>
                <w:szCs w:val="20"/>
                <w:color w:val="auto"/>
              </w:rPr>
            </w:pPr>
            <w:r>
              <w:rPr>
                <w:rFonts w:ascii="Arial" w:cs="Arial" w:eastAsia="Arial" w:hAnsi="Arial"/>
                <w:sz w:val="18"/>
                <w:szCs w:val="18"/>
                <w:color w:val="auto"/>
              </w:rPr>
              <w:t>$0.4</w:t>
            </w:r>
          </w:p>
        </w:tc>
        <w:tc>
          <w:tcPr>
            <w:tcW w:w="1140" w:type="dxa"/>
            <w:vAlign w:val="bottom"/>
          </w:tcPr>
          <w:p>
            <w:pPr>
              <w:ind w:left="94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6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2"/>
                <w:szCs w:val="22"/>
                <w:color w:val="auto"/>
              </w:rPr>
            </w:pPr>
          </w:p>
        </w:tc>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Fair Value of Liabilities</w:t>
            </w:r>
          </w:p>
        </w:tc>
        <w:tc>
          <w:tcPr>
            <w:tcW w:w="14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$13.2</w:t>
            </w:r>
          </w:p>
        </w:tc>
        <w:tc>
          <w:tcPr>
            <w:tcW w:w="114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6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Total Net Fair Value of Assets (Liabilities)</w:t>
            </w:r>
          </w:p>
        </w:tc>
        <w:tc>
          <w:tcPr>
            <w:tcW w:w="14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$29.0</w:t>
            </w:r>
          </w:p>
        </w:tc>
        <w:tc>
          <w:tcPr>
            <w:tcW w:w="170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$(5.0)</w:t>
            </w:r>
          </w:p>
        </w:tc>
        <w:tc>
          <w:tcPr>
            <w:tcW w:w="1140" w:type="dxa"/>
            <w:vAlign w:val="bottom"/>
            <w:tcBorders>
              <w:top w:val="single" w:sz="8" w:color="auto"/>
            </w:tcBorders>
          </w:tcPr>
          <w:p>
            <w:pPr>
              <w:ind w:left="94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6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69"/>
        </w:trPr>
        <w:tc>
          <w:tcPr>
            <w:tcW w:w="2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540" w:type="dxa"/>
            <w:vAlign w:val="bottom"/>
          </w:tcPr>
          <w:p>
            <w:pPr>
              <w:jc w:val="center"/>
              <w:ind w:right="190"/>
              <w:spacing w:after="0"/>
              <w:rPr>
                <w:sz w:val="20"/>
                <w:szCs w:val="20"/>
                <w:color w:val="auto"/>
              </w:rPr>
            </w:pPr>
            <w:r>
              <w:rPr>
                <w:rFonts w:ascii="Arial" w:cs="Arial" w:eastAsia="Arial" w:hAnsi="Arial"/>
                <w:sz w:val="18"/>
                <w:szCs w:val="18"/>
                <w:b w:val="1"/>
                <w:bCs w:val="1"/>
                <w:color w:val="auto"/>
                <w:w w:val="90"/>
              </w:rPr>
              <w:t>Debt Securities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540" w:type="dxa"/>
            <w:vAlign w:val="bottom"/>
          </w:tcPr>
          <w:p>
            <w:pPr>
              <w:jc w:val="center"/>
              <w:ind w:right="190"/>
              <w:spacing w:after="0"/>
              <w:rPr>
                <w:sz w:val="20"/>
                <w:szCs w:val="20"/>
                <w:color w:val="auto"/>
              </w:rPr>
            </w:pPr>
            <w:r>
              <w:rPr>
                <w:rFonts w:ascii="Arial" w:cs="Arial" w:eastAsia="Arial" w:hAnsi="Arial"/>
                <w:sz w:val="18"/>
                <w:szCs w:val="18"/>
                <w:b w:val="1"/>
                <w:bCs w:val="1"/>
                <w:color w:val="auto"/>
                <w:w w:val="85"/>
              </w:rPr>
              <w:t>Issued by States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20"/>
              <w:spacing w:after="0"/>
              <w:rPr>
                <w:sz w:val="20"/>
                <w:szCs w:val="20"/>
                <w:color w:val="auto"/>
              </w:rPr>
            </w:pPr>
            <w:r>
              <w:rPr>
                <w:rFonts w:ascii="Arial" w:cs="Arial" w:eastAsia="Arial" w:hAnsi="Arial"/>
                <w:sz w:val="18"/>
                <w:szCs w:val="18"/>
                <w:b w:val="1"/>
                <w:bCs w:val="1"/>
                <w:color w:val="auto"/>
              </w:rPr>
              <w:t>Recurring Fair Value Measures</w:t>
            </w:r>
          </w:p>
        </w:tc>
        <w:tc>
          <w:tcPr>
            <w:tcW w:w="14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540" w:type="dxa"/>
            <w:vAlign w:val="bottom"/>
          </w:tcPr>
          <w:p>
            <w:pPr>
              <w:jc w:val="center"/>
              <w:ind w:right="210"/>
              <w:spacing w:after="0"/>
              <w:rPr>
                <w:sz w:val="20"/>
                <w:szCs w:val="20"/>
                <w:color w:val="auto"/>
              </w:rPr>
            </w:pPr>
            <w:r>
              <w:rPr>
                <w:rFonts w:ascii="Arial" w:cs="Arial" w:eastAsia="Arial" w:hAnsi="Arial"/>
                <w:sz w:val="18"/>
                <w:szCs w:val="18"/>
                <w:b w:val="1"/>
                <w:bCs w:val="1"/>
                <w:color w:val="auto"/>
                <w:w w:val="90"/>
              </w:rPr>
              <w:t>of the United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00" w:type="dxa"/>
            <w:vAlign w:val="bottom"/>
          </w:tcPr>
          <w:p>
            <w:pPr>
              <w:ind w:left="20"/>
              <w:spacing w:after="0"/>
              <w:rPr>
                <w:sz w:val="20"/>
                <w:szCs w:val="20"/>
                <w:color w:val="auto"/>
              </w:rPr>
            </w:pPr>
            <w:r>
              <w:rPr>
                <w:rFonts w:ascii="Arial" w:cs="Arial" w:eastAsia="Arial" w:hAnsi="Arial"/>
                <w:sz w:val="18"/>
                <w:szCs w:val="18"/>
                <w:b w:val="1"/>
                <w:bCs w:val="1"/>
                <w:color w:val="auto"/>
              </w:rPr>
              <w:t>Activity in Level 3</w:t>
            </w:r>
          </w:p>
        </w:tc>
        <w:tc>
          <w:tcPr>
            <w:tcW w:w="14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540" w:type="dxa"/>
            <w:vAlign w:val="bottom"/>
          </w:tcPr>
          <w:p>
            <w:pPr>
              <w:jc w:val="center"/>
              <w:ind w:right="190"/>
              <w:spacing w:after="0"/>
              <w:rPr>
                <w:sz w:val="20"/>
                <w:szCs w:val="20"/>
                <w:color w:val="auto"/>
              </w:rPr>
            </w:pPr>
            <w:r>
              <w:rPr>
                <w:rFonts w:ascii="Arial" w:cs="Arial" w:eastAsia="Arial" w:hAnsi="Arial"/>
                <w:sz w:val="18"/>
                <w:szCs w:val="18"/>
                <w:b w:val="1"/>
                <w:bCs w:val="1"/>
                <w:color w:val="auto"/>
                <w:w w:val="89"/>
              </w:rPr>
              <w:t>States (ARS)</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6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60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14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6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2010</w:t>
            </w:r>
          </w:p>
        </w:tc>
        <w:tc>
          <w:tcPr>
            <w:tcW w:w="14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00" w:type="dxa"/>
            <w:vAlign w:val="bottom"/>
          </w:tcPr>
          <w:p>
            <w:pPr>
              <w:ind w:left="260"/>
              <w:spacing w:after="0"/>
              <w:rPr>
                <w:sz w:val="20"/>
                <w:szCs w:val="20"/>
                <w:color w:val="auto"/>
              </w:rPr>
            </w:pPr>
            <w:r>
              <w:rPr>
                <w:rFonts w:ascii="Arial" w:cs="Arial" w:eastAsia="Arial" w:hAnsi="Arial"/>
                <w:sz w:val="18"/>
                <w:szCs w:val="18"/>
                <w:color w:val="auto"/>
              </w:rPr>
              <w:t xml:space="preserve">Redeemed During the Period </w:t>
            </w:r>
            <w:r>
              <w:rPr>
                <w:rFonts w:ascii="Arial" w:cs="Arial" w:eastAsia="Arial" w:hAnsi="Arial"/>
                <w:sz w:val="18"/>
                <w:szCs w:val="18"/>
                <w:i w:val="1"/>
                <w:iCs w:val="1"/>
                <w:color w:val="auto"/>
              </w:rPr>
              <w:t>(a)</w:t>
            </w:r>
          </w:p>
        </w:tc>
        <w:tc>
          <w:tcPr>
            <w:tcW w:w="14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6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2"/>
                <w:szCs w:val="22"/>
                <w:color w:val="auto"/>
              </w:rPr>
            </w:pPr>
          </w:p>
        </w:tc>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2011</w:t>
            </w:r>
          </w:p>
        </w:tc>
        <w:tc>
          <w:tcPr>
            <w:tcW w:w="142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600" w:type="dxa"/>
            <w:vAlign w:val="bottom"/>
            <w:tcBorders>
              <w:top w:val="single" w:sz="8" w:color="auto"/>
            </w:tcBorders>
          </w:tcPr>
          <w:p>
            <w:pPr>
              <w:spacing w:after="0"/>
              <w:rPr>
                <w:sz w:val="20"/>
                <w:szCs w:val="20"/>
                <w:color w:val="auto"/>
              </w:rPr>
            </w:pPr>
            <w:r>
              <w:rPr>
                <w:rFonts w:ascii="Arial" w:cs="Arial" w:eastAsia="Arial" w:hAnsi="Arial"/>
                <w:sz w:val="18"/>
                <w:szCs w:val="18"/>
                <w:i w:val="1"/>
                <w:iCs w:val="1"/>
                <w:color w:val="auto"/>
              </w:rPr>
              <w:t xml:space="preserve">(a)  </w:t>
            </w:r>
            <w:r>
              <w:rPr>
                <w:rFonts w:ascii="Arial" w:cs="Arial" w:eastAsia="Arial" w:hAnsi="Arial"/>
                <w:sz w:val="16"/>
                <w:szCs w:val="16"/>
                <w:i w:val="1"/>
                <w:iCs w:val="1"/>
                <w:color w:val="auto"/>
              </w:rPr>
              <w:t>The ARS were redeemed at carrying value on January 5, 2011.</w:t>
            </w:r>
          </w:p>
        </w:tc>
        <w:tc>
          <w:tcPr>
            <w:tcW w:w="1420" w:type="dxa"/>
            <w:vAlign w:val="bottom"/>
            <w:tcBorders>
              <w:top w:val="single" w:sz="8" w:color="auto"/>
            </w:tcBorders>
          </w:tcPr>
          <w:p>
            <w:pPr>
              <w:spacing w:after="0"/>
              <w:rPr>
                <w:sz w:val="19"/>
                <w:szCs w:val="19"/>
                <w:color w:val="auto"/>
              </w:rPr>
            </w:pPr>
          </w:p>
        </w:tc>
        <w:tc>
          <w:tcPr>
            <w:tcW w:w="170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5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policy is to recognize transfers in and transfers out as of the actual date of the event or change in circumstances that caused the transfer. For the years ended December 31, 2012 and 2011, there were no transfers in or out of Levels 1, 2 or 3.</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2012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364" w:right="239" w:bottom="1440" w:gutter="0" w:footer="0" w:header="0"/>
        </w:sectPr>
      </w:pPr>
    </w:p>
    <w:bookmarkStart w:id="84" w:name="page85"/>
    <w:bookmarkEnd w:id="84"/>
    <w:p>
      <w:pPr>
        <w:spacing w:after="0"/>
        <w:rPr>
          <w:sz w:val="20"/>
          <w:szCs w:val="20"/>
          <w:color w:val="auto"/>
        </w:rPr>
      </w:pPr>
      <w:r>
        <w:rPr>
          <w:rFonts w:ascii="Arial" w:cs="Arial" w:eastAsia="Arial" w:hAnsi="Arial"/>
          <w:sz w:val="18"/>
          <w:szCs w:val="18"/>
          <w:b w:val="1"/>
          <w:bCs w:val="1"/>
          <w:color w:val="auto"/>
        </w:rPr>
        <w:t>NOTE 9. FAIR VALUE (Continued)</w:t>
      </w:r>
    </w:p>
    <w:p>
      <w:pPr>
        <w:spacing w:after="0" w:line="225" w:lineRule="exact"/>
        <w:rPr>
          <w:sz w:val="20"/>
          <w:szCs w:val="20"/>
          <w:color w:val="auto"/>
        </w:rPr>
      </w:pPr>
    </w:p>
    <w:p>
      <w:pPr>
        <w:jc w:val="both"/>
        <w:spacing w:after="0" w:line="313" w:lineRule="auto"/>
        <w:rPr>
          <w:sz w:val="20"/>
          <w:szCs w:val="20"/>
          <w:color w:val="auto"/>
        </w:rPr>
      </w:pPr>
      <w:r>
        <w:rPr>
          <w:rFonts w:ascii="Arial" w:cs="Arial" w:eastAsia="Arial" w:hAnsi="Arial"/>
          <w:sz w:val="17"/>
          <w:szCs w:val="17"/>
          <w:b w:val="1"/>
          <w:bCs w:val="1"/>
          <w:color w:val="auto"/>
        </w:rPr>
        <w:t xml:space="preserve">Fair Value of Financial Instruments. </w:t>
      </w:r>
      <w:r>
        <w:rPr>
          <w:rFonts w:ascii="Arial" w:cs="Arial" w:eastAsia="Arial" w:hAnsi="Arial"/>
          <w:sz w:val="17"/>
          <w:szCs w:val="17"/>
          <w:color w:val="auto"/>
        </w:rPr>
        <w:t>With the exception of the items listed in the table below, the estimated fair value of all financial instruments</w:t>
      </w:r>
      <w:r>
        <w:rPr>
          <w:rFonts w:ascii="Arial" w:cs="Arial" w:eastAsia="Arial" w:hAnsi="Arial"/>
          <w:sz w:val="17"/>
          <w:szCs w:val="17"/>
          <w:b w:val="1"/>
          <w:bCs w:val="1"/>
          <w:color w:val="auto"/>
        </w:rPr>
        <w:t xml:space="preserve"> </w:t>
      </w:r>
      <w:r>
        <w:rPr>
          <w:rFonts w:ascii="Arial" w:cs="Arial" w:eastAsia="Arial" w:hAnsi="Arial"/>
          <w:sz w:val="17"/>
          <w:szCs w:val="17"/>
          <w:color w:val="auto"/>
        </w:rPr>
        <w:t>approximates the carrying amount. The fair value for the items below were based on quoted market prices for the same or similar instruments (Level 2).</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20" w:type="dxa"/>
            <w:vAlign w:val="bottom"/>
          </w:tcPr>
          <w:p>
            <w:pPr>
              <w:ind w:left="40"/>
              <w:spacing w:after="0"/>
              <w:rPr>
                <w:sz w:val="20"/>
                <w:szCs w:val="20"/>
                <w:color w:val="auto"/>
              </w:rPr>
            </w:pPr>
            <w:r>
              <w:rPr>
                <w:rFonts w:ascii="Arial" w:cs="Arial" w:eastAsia="Arial" w:hAnsi="Arial"/>
                <w:sz w:val="18"/>
                <w:szCs w:val="18"/>
                <w:b w:val="1"/>
                <w:bCs w:val="1"/>
                <w:color w:val="auto"/>
              </w:rPr>
              <w:t>Financial Instruments</w:t>
            </w:r>
          </w:p>
        </w:tc>
        <w:tc>
          <w:tcPr>
            <w:tcW w:w="4200" w:type="dxa"/>
            <w:vAlign w:val="bottom"/>
          </w:tcPr>
          <w:p>
            <w:pPr>
              <w:jc w:val="right"/>
              <w:ind w:right="410"/>
              <w:spacing w:after="0"/>
              <w:rPr>
                <w:sz w:val="20"/>
                <w:szCs w:val="20"/>
                <w:color w:val="auto"/>
              </w:rPr>
            </w:pPr>
            <w:r>
              <w:rPr>
                <w:rFonts w:ascii="Arial" w:cs="Arial" w:eastAsia="Arial" w:hAnsi="Arial"/>
                <w:sz w:val="18"/>
                <w:szCs w:val="18"/>
                <w:b w:val="1"/>
                <w:bCs w:val="1"/>
                <w:color w:val="auto"/>
              </w:rPr>
              <w:t>Carrying Amount</w:t>
            </w:r>
          </w:p>
        </w:tc>
        <w:tc>
          <w:tcPr>
            <w:tcW w:w="1700" w:type="dxa"/>
            <w:vAlign w:val="bottom"/>
          </w:tcPr>
          <w:p>
            <w:pPr>
              <w:jc w:val="right"/>
              <w:ind w:right="470"/>
              <w:spacing w:after="0"/>
              <w:rPr>
                <w:sz w:val="20"/>
                <w:szCs w:val="20"/>
                <w:color w:val="auto"/>
              </w:rPr>
            </w:pPr>
            <w:r>
              <w:rPr>
                <w:rFonts w:ascii="Arial" w:cs="Arial" w:eastAsia="Arial" w:hAnsi="Arial"/>
                <w:sz w:val="18"/>
                <w:szCs w:val="18"/>
                <w:b w:val="1"/>
                <w:bCs w:val="1"/>
                <w:color w:val="auto"/>
              </w:rPr>
              <w:t>Fair Value</w:t>
            </w:r>
          </w:p>
        </w:tc>
      </w:tr>
      <w:tr>
        <w:trPr>
          <w:trHeight w:val="27"/>
        </w:trPr>
        <w:tc>
          <w:tcPr>
            <w:tcW w:w="5520" w:type="dxa"/>
            <w:vAlign w:val="bottom"/>
            <w:tcBorders>
              <w:bottom w:val="single" w:sz="8" w:color="auto"/>
            </w:tcBorders>
          </w:tcPr>
          <w:p>
            <w:pPr>
              <w:spacing w:after="0"/>
              <w:rPr>
                <w:sz w:val="2"/>
                <w:szCs w:val="2"/>
                <w:color w:val="auto"/>
              </w:rPr>
            </w:pPr>
          </w:p>
        </w:tc>
        <w:tc>
          <w:tcPr>
            <w:tcW w:w="42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37"/>
        </w:trPr>
        <w:tc>
          <w:tcPr>
            <w:tcW w:w="552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420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27"/>
        </w:trPr>
        <w:tc>
          <w:tcPr>
            <w:tcW w:w="5520" w:type="dxa"/>
            <w:vAlign w:val="bottom"/>
          </w:tcPr>
          <w:p>
            <w:pPr>
              <w:spacing w:after="0"/>
              <w:rPr>
                <w:sz w:val="2"/>
                <w:szCs w:val="2"/>
                <w:color w:val="auto"/>
              </w:rPr>
            </w:pPr>
          </w:p>
        </w:tc>
        <w:tc>
          <w:tcPr>
            <w:tcW w:w="42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Including Current Portion</w:t>
            </w:r>
          </w:p>
        </w:tc>
        <w:tc>
          <w:tcPr>
            <w:tcW w:w="42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r>
      <w:tr>
        <w:trPr>
          <w:trHeight w:val="243"/>
        </w:trPr>
        <w:tc>
          <w:tcPr>
            <w:tcW w:w="5520" w:type="dxa"/>
            <w:vAlign w:val="bottom"/>
          </w:tcPr>
          <w:p>
            <w:pPr>
              <w:ind w:left="180"/>
              <w:spacing w:after="0"/>
              <w:rPr>
                <w:sz w:val="20"/>
                <w:szCs w:val="20"/>
                <w:color w:val="auto"/>
              </w:rPr>
            </w:pPr>
            <w:r>
              <w:rPr>
                <w:rFonts w:ascii="Arial" w:cs="Arial" w:eastAsia="Arial" w:hAnsi="Arial"/>
                <w:sz w:val="18"/>
                <w:szCs w:val="18"/>
                <w:color w:val="auto"/>
              </w:rPr>
              <w:t>December 31, 2012</w:t>
            </w:r>
          </w:p>
        </w:tc>
        <w:tc>
          <w:tcPr>
            <w:tcW w:w="4200" w:type="dxa"/>
            <w:vAlign w:val="bottom"/>
          </w:tcPr>
          <w:p>
            <w:pPr>
              <w:jc w:val="right"/>
              <w:ind w:right="250"/>
              <w:spacing w:after="0"/>
              <w:rPr>
                <w:sz w:val="20"/>
                <w:szCs w:val="20"/>
                <w:color w:val="auto"/>
              </w:rPr>
            </w:pPr>
            <w:r>
              <w:rPr>
                <w:rFonts w:ascii="Arial" w:cs="Arial" w:eastAsia="Arial" w:hAnsi="Arial"/>
                <w:sz w:val="18"/>
                <w:szCs w:val="18"/>
                <w:color w:val="auto"/>
              </w:rPr>
              <w:t>$1,018.1</w:t>
            </w: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$1,143.7</w:t>
            </w:r>
          </w:p>
        </w:tc>
      </w:tr>
      <w:tr>
        <w:trPr>
          <w:trHeight w:val="27"/>
        </w:trPr>
        <w:tc>
          <w:tcPr>
            <w:tcW w:w="5520" w:type="dxa"/>
            <w:vAlign w:val="bottom"/>
          </w:tcPr>
          <w:p>
            <w:pPr>
              <w:spacing w:after="0"/>
              <w:rPr>
                <w:sz w:val="2"/>
                <w:szCs w:val="2"/>
                <w:color w:val="auto"/>
              </w:rPr>
            </w:pPr>
          </w:p>
        </w:tc>
        <w:tc>
          <w:tcPr>
            <w:tcW w:w="42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December 31, 2011</w:t>
            </w:r>
          </w:p>
        </w:tc>
        <w:tc>
          <w:tcPr>
            <w:tcW w:w="420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$863.3</w:t>
            </w: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$966.4</w:t>
            </w:r>
          </w:p>
        </w:tc>
      </w:tr>
      <w:tr>
        <w:trPr>
          <w:trHeight w:val="20"/>
        </w:trPr>
        <w:tc>
          <w:tcPr>
            <w:tcW w:w="5520" w:type="dxa"/>
            <w:vAlign w:val="bottom"/>
            <w:shd w:val="clear" w:color="auto" w:fill="000000"/>
          </w:tcPr>
          <w:p>
            <w:pPr>
              <w:spacing w:after="0" w:line="20" w:lineRule="exact"/>
              <w:rPr>
                <w:sz w:val="1"/>
                <w:szCs w:val="1"/>
                <w:color w:val="auto"/>
              </w:rPr>
            </w:pPr>
          </w:p>
        </w:tc>
        <w:tc>
          <w:tcPr>
            <w:tcW w:w="4200" w:type="dxa"/>
            <w:vAlign w:val="bottom"/>
            <w:shd w:val="clear" w:color="auto" w:fill="000000"/>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SHORT-TERM AND LONG-TERM DEBT</w:t>
      </w:r>
    </w:p>
    <w:p>
      <w:pPr>
        <w:spacing w:after="0" w:line="2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Short-Term Debt. </w:t>
      </w:r>
      <w:r>
        <w:rPr>
          <w:rFonts w:ascii="Arial" w:cs="Arial" w:eastAsia="Arial" w:hAnsi="Arial"/>
          <w:sz w:val="18"/>
          <w:szCs w:val="18"/>
          <w:color w:val="auto"/>
        </w:rPr>
        <w:t>Total short-term debt outstanding as of December 31, 2012, was $84.5 million ($6.5 million at December 31, 2011) and consisted of long-term debt due within one year and notes payable. As of December 31, 2012, short-term debt increased from December 31, 2011, primarily due to $60.0 million of long-term debt maturing in April 2013.</w:t>
      </w:r>
    </w:p>
    <w:p>
      <w:pPr>
        <w:spacing w:after="0" w:line="1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December 31, 2012, we had bank lines of credit aggregating $406.4 million ($256.4 million at December 31, 2011), of which $150.0 million expires in January 2014, and $250.0 million expires in June 2015. These bank lines of credit are available to provide short-term bank loans and liquidity support for ALLETE’s commercial paper program and to issue up to $50.0 million in letters of credit. We had no outstanding draws on our lines of credit as of December 31, 2012 ($1.1 million at December 31, 2011).</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February 1, 2012, ALLETE entered into a $150.0 million credit agreement (Agreement) with JPMorgan Chase Bank, N.A., as administrative agent, and several other lenders that are parties thereto. The Agreement is unsecured and has a maturity date of January 31, 2014, which may be extended for one year, subject to bank approvals. Advances under the Agreement may be used for general corporate purposes, to provide liquidity support for ALLETE’s commercial paper program and to issue up to $10.0 million in letters of credit.</w:t>
      </w:r>
    </w:p>
    <w:p>
      <w:pPr>
        <w:spacing w:after="0" w:line="18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Long-Term Debt. </w:t>
      </w:r>
      <w:r>
        <w:rPr>
          <w:rFonts w:ascii="Arial" w:cs="Arial" w:eastAsia="Arial" w:hAnsi="Arial"/>
          <w:sz w:val="18"/>
          <w:szCs w:val="18"/>
          <w:color w:val="auto"/>
        </w:rPr>
        <w:t>Total long-term debt outstanding as of December 31, 2012, was $933.6 million ($857.9 million at December 31, 2011). The aggregate</w:t>
      </w:r>
      <w:r>
        <w:rPr>
          <w:rFonts w:ascii="Arial" w:cs="Arial" w:eastAsia="Arial" w:hAnsi="Arial"/>
          <w:sz w:val="18"/>
          <w:szCs w:val="18"/>
          <w:b w:val="1"/>
          <w:bCs w:val="1"/>
          <w:color w:val="auto"/>
        </w:rPr>
        <w:t xml:space="preserve"> </w:t>
      </w:r>
      <w:r>
        <w:rPr>
          <w:rFonts w:ascii="Arial" w:cs="Arial" w:eastAsia="Arial" w:hAnsi="Arial"/>
          <w:sz w:val="18"/>
          <w:szCs w:val="18"/>
          <w:color w:val="auto"/>
        </w:rPr>
        <w:t>amount of long-term debt maturing during 2013 is $84.5 million ($94.8 million in 2014; $17.4 million in 2015; $21.7 million in 2016; $51.2 million in 2017; and $748.5 million thereafter). Substantially all of our electric plant is subject to the lien of the mortgage collateralizing outstanding first mortgage bonds. The mortgages contain non-financial covenants customary in utility mortgages, including restrictions on our ability to incur liens, dispose of assets, and merge with other entities.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On July 2, 2012, we issued $160.0 million of the Company’s First Mortgage Bonds (Bonds) in the private placement market in two series as follows:</w:t>
      </w:r>
    </w:p>
    <w:p>
      <w:pPr>
        <w:spacing w:after="0" w:line="179" w:lineRule="exact"/>
        <w:rPr>
          <w:sz w:val="20"/>
          <w:szCs w:val="20"/>
          <w:color w:val="auto"/>
        </w:rPr>
      </w:pPr>
    </w:p>
    <w:tbl>
      <w:tblPr>
        <w:tblLayout w:type="fixed"/>
        <w:tblInd w:w="1100" w:type="dxa"/>
        <w:tblCellMar>
          <w:top w:w="0" w:type="dxa"/>
          <w:left w:w="0" w:type="dxa"/>
          <w:bottom w:w="0" w:type="dxa"/>
          <w:right w:w="0" w:type="dxa"/>
        </w:tblCellMar>
      </w:tblPr>
      <w:tr>
        <w:trPr>
          <w:trHeight w:val="234"/>
        </w:trPr>
        <w:tc>
          <w:tcPr>
            <w:tcW w:w="2240" w:type="dxa"/>
            <w:vAlign w:val="bottom"/>
          </w:tcPr>
          <w:p>
            <w:pPr>
              <w:jc w:val="center"/>
              <w:spacing w:after="0"/>
              <w:rPr>
                <w:sz w:val="20"/>
                <w:szCs w:val="20"/>
                <w:color w:val="auto"/>
              </w:rPr>
            </w:pPr>
            <w:r>
              <w:rPr>
                <w:rFonts w:ascii="Arial" w:cs="Arial" w:eastAsia="Arial" w:hAnsi="Arial"/>
                <w:sz w:val="18"/>
                <w:szCs w:val="18"/>
                <w:b w:val="1"/>
                <w:bCs w:val="1"/>
                <w:color w:val="auto"/>
                <w:w w:val="86"/>
              </w:rPr>
              <w:t>Issue Date</w:t>
            </w:r>
          </w:p>
        </w:tc>
        <w:tc>
          <w:tcPr>
            <w:tcW w:w="2300" w:type="dxa"/>
            <w:vAlign w:val="bottom"/>
          </w:tcPr>
          <w:p>
            <w:pPr>
              <w:jc w:val="center"/>
              <w:ind w:left="50"/>
              <w:spacing w:after="0"/>
              <w:rPr>
                <w:sz w:val="20"/>
                <w:szCs w:val="20"/>
                <w:color w:val="auto"/>
              </w:rPr>
            </w:pPr>
            <w:r>
              <w:rPr>
                <w:rFonts w:ascii="Arial" w:cs="Arial" w:eastAsia="Arial" w:hAnsi="Arial"/>
                <w:sz w:val="18"/>
                <w:szCs w:val="18"/>
                <w:b w:val="1"/>
                <w:bCs w:val="1"/>
                <w:color w:val="auto"/>
                <w:w w:val="98"/>
              </w:rPr>
              <w:t>Maturity Date</w:t>
            </w:r>
          </w:p>
        </w:tc>
        <w:tc>
          <w:tcPr>
            <w:tcW w:w="2480" w:type="dxa"/>
            <w:vAlign w:val="bottom"/>
          </w:tcPr>
          <w:p>
            <w:pPr>
              <w:jc w:val="center"/>
              <w:spacing w:after="0"/>
              <w:rPr>
                <w:sz w:val="20"/>
                <w:szCs w:val="20"/>
                <w:color w:val="auto"/>
              </w:rPr>
            </w:pPr>
            <w:r>
              <w:rPr>
                <w:rFonts w:ascii="Arial" w:cs="Arial" w:eastAsia="Arial" w:hAnsi="Arial"/>
                <w:sz w:val="18"/>
                <w:szCs w:val="18"/>
                <w:b w:val="1"/>
                <w:bCs w:val="1"/>
                <w:color w:val="auto"/>
                <w:w w:val="92"/>
              </w:rPr>
              <w:t>Principal Amount</w:t>
            </w:r>
          </w:p>
        </w:tc>
        <w:tc>
          <w:tcPr>
            <w:tcW w:w="222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Interest Rate</w:t>
            </w:r>
          </w:p>
        </w:tc>
      </w:tr>
      <w:tr>
        <w:trPr>
          <w:trHeight w:val="27"/>
        </w:trPr>
        <w:tc>
          <w:tcPr>
            <w:tcW w:w="224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r>
      <w:tr>
        <w:trPr>
          <w:trHeight w:val="237"/>
        </w:trPr>
        <w:tc>
          <w:tcPr>
            <w:tcW w:w="2240" w:type="dxa"/>
            <w:vAlign w:val="bottom"/>
          </w:tcPr>
          <w:p>
            <w:pPr>
              <w:jc w:val="center"/>
              <w:spacing w:after="0"/>
              <w:rPr>
                <w:sz w:val="20"/>
                <w:szCs w:val="20"/>
                <w:color w:val="auto"/>
              </w:rPr>
            </w:pPr>
            <w:r>
              <w:rPr>
                <w:rFonts w:ascii="Arial" w:cs="Arial" w:eastAsia="Arial" w:hAnsi="Arial"/>
                <w:sz w:val="18"/>
                <w:szCs w:val="18"/>
                <w:color w:val="auto"/>
                <w:w w:val="92"/>
              </w:rPr>
              <w:t>July 2, 2012</w:t>
            </w:r>
          </w:p>
        </w:tc>
        <w:tc>
          <w:tcPr>
            <w:tcW w:w="2300" w:type="dxa"/>
            <w:vAlign w:val="bottom"/>
          </w:tcPr>
          <w:p>
            <w:pPr>
              <w:jc w:val="center"/>
              <w:ind w:left="50"/>
              <w:spacing w:after="0"/>
              <w:rPr>
                <w:sz w:val="20"/>
                <w:szCs w:val="20"/>
                <w:color w:val="auto"/>
              </w:rPr>
            </w:pPr>
            <w:r>
              <w:rPr>
                <w:rFonts w:ascii="Arial" w:cs="Arial" w:eastAsia="Arial" w:hAnsi="Arial"/>
                <w:sz w:val="18"/>
                <w:szCs w:val="18"/>
                <w:color w:val="auto"/>
                <w:w w:val="89"/>
              </w:rPr>
              <w:t>July 15, 2026</w:t>
            </w:r>
          </w:p>
        </w:tc>
        <w:tc>
          <w:tcPr>
            <w:tcW w:w="2480" w:type="dxa"/>
            <w:vAlign w:val="bottom"/>
          </w:tcPr>
          <w:p>
            <w:pPr>
              <w:jc w:val="center"/>
              <w:spacing w:after="0"/>
              <w:rPr>
                <w:sz w:val="20"/>
                <w:szCs w:val="20"/>
                <w:color w:val="auto"/>
              </w:rPr>
            </w:pPr>
            <w:r>
              <w:rPr>
                <w:rFonts w:ascii="Arial" w:cs="Arial" w:eastAsia="Arial" w:hAnsi="Arial"/>
                <w:sz w:val="18"/>
                <w:szCs w:val="18"/>
                <w:color w:val="auto"/>
                <w:w w:val="99"/>
              </w:rPr>
              <w:t>$75 Million</w:t>
            </w:r>
          </w:p>
        </w:tc>
        <w:tc>
          <w:tcPr>
            <w:tcW w:w="2220" w:type="dxa"/>
            <w:vAlign w:val="bottom"/>
          </w:tcPr>
          <w:p>
            <w:pPr>
              <w:jc w:val="center"/>
              <w:ind w:right="10"/>
              <w:spacing w:after="0"/>
              <w:rPr>
                <w:sz w:val="20"/>
                <w:szCs w:val="20"/>
                <w:color w:val="auto"/>
              </w:rPr>
            </w:pPr>
            <w:r>
              <w:rPr>
                <w:rFonts w:ascii="Arial" w:cs="Arial" w:eastAsia="Arial" w:hAnsi="Arial"/>
                <w:sz w:val="18"/>
                <w:szCs w:val="18"/>
                <w:color w:val="auto"/>
                <w:w w:val="93"/>
              </w:rPr>
              <w:t>3.20%</w:t>
            </w:r>
          </w:p>
        </w:tc>
      </w:tr>
      <w:tr>
        <w:trPr>
          <w:trHeight w:val="270"/>
        </w:trPr>
        <w:tc>
          <w:tcPr>
            <w:tcW w:w="2240" w:type="dxa"/>
            <w:vAlign w:val="bottom"/>
          </w:tcPr>
          <w:p>
            <w:pPr>
              <w:jc w:val="center"/>
              <w:spacing w:after="0"/>
              <w:rPr>
                <w:sz w:val="20"/>
                <w:szCs w:val="20"/>
                <w:color w:val="auto"/>
              </w:rPr>
            </w:pPr>
            <w:r>
              <w:rPr>
                <w:rFonts w:ascii="Arial" w:cs="Arial" w:eastAsia="Arial" w:hAnsi="Arial"/>
                <w:sz w:val="18"/>
                <w:szCs w:val="18"/>
                <w:color w:val="auto"/>
                <w:w w:val="92"/>
              </w:rPr>
              <w:t>July 2, 2012</w:t>
            </w:r>
          </w:p>
        </w:tc>
        <w:tc>
          <w:tcPr>
            <w:tcW w:w="2300" w:type="dxa"/>
            <w:vAlign w:val="bottom"/>
          </w:tcPr>
          <w:p>
            <w:pPr>
              <w:jc w:val="center"/>
              <w:ind w:left="50"/>
              <w:spacing w:after="0"/>
              <w:rPr>
                <w:sz w:val="20"/>
                <w:szCs w:val="20"/>
                <w:color w:val="auto"/>
              </w:rPr>
            </w:pPr>
            <w:r>
              <w:rPr>
                <w:rFonts w:ascii="Arial" w:cs="Arial" w:eastAsia="Arial" w:hAnsi="Arial"/>
                <w:sz w:val="18"/>
                <w:szCs w:val="18"/>
                <w:color w:val="auto"/>
                <w:w w:val="89"/>
              </w:rPr>
              <w:t>July 15, 2042</w:t>
            </w:r>
          </w:p>
        </w:tc>
        <w:tc>
          <w:tcPr>
            <w:tcW w:w="2480" w:type="dxa"/>
            <w:vAlign w:val="bottom"/>
          </w:tcPr>
          <w:p>
            <w:pPr>
              <w:jc w:val="center"/>
              <w:spacing w:after="0"/>
              <w:rPr>
                <w:sz w:val="20"/>
                <w:szCs w:val="20"/>
                <w:color w:val="auto"/>
              </w:rPr>
            </w:pPr>
            <w:r>
              <w:rPr>
                <w:rFonts w:ascii="Arial" w:cs="Arial" w:eastAsia="Arial" w:hAnsi="Arial"/>
                <w:sz w:val="18"/>
                <w:szCs w:val="18"/>
                <w:color w:val="auto"/>
                <w:w w:val="99"/>
              </w:rPr>
              <w:t>$85 Million</w:t>
            </w:r>
          </w:p>
        </w:tc>
        <w:tc>
          <w:tcPr>
            <w:tcW w:w="2220" w:type="dxa"/>
            <w:vAlign w:val="bottom"/>
          </w:tcPr>
          <w:p>
            <w:pPr>
              <w:jc w:val="center"/>
              <w:ind w:right="10"/>
              <w:spacing w:after="0"/>
              <w:rPr>
                <w:sz w:val="20"/>
                <w:szCs w:val="20"/>
                <w:color w:val="auto"/>
              </w:rPr>
            </w:pPr>
            <w:r>
              <w:rPr>
                <w:rFonts w:ascii="Arial" w:cs="Arial" w:eastAsia="Arial" w:hAnsi="Arial"/>
                <w:sz w:val="18"/>
                <w:szCs w:val="18"/>
                <w:color w:val="auto"/>
                <w:w w:val="93"/>
              </w:rPr>
              <w:t>4.08%</w:t>
            </w:r>
          </w:p>
        </w:tc>
      </w:tr>
    </w:tbl>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have the option to prepay all or a portion of the 3.20 percent Bonds at our discretion at any time prior to January 15, 2026, subject to a make-whole provision, and at any time on or after January 15, 2026, at par, including, in each case, accrued and unpaid interest. We also have the option to prepay all or a portion of the 4.08 percent Bonds at our discretion at any time prior to January 15, 2042, subject to a make-whole provision, and at any time on or after January 15, 2042, at par, including, in each case, accrued and unpaid interest. The Bonds are subject to the additional terms and conditions of our utility mortgage. In July 2012, we used a portion of the proceeds from the sale of the Bonds to redeem $6.0 million of our 6.50 percent Industrial Development Revenue Bonds and to repay $14.0 million in outstanding borrowings on our $150.0 million line of credit. The remaining proceeds were used to fund utility capital expenditures and for general corporate purposes. The Bonds were sold in reliance on an exemption from registration under Section 4(a)(2) of the Securities Act of 1933, as amended, to certain institutional accredited investors.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2012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364" w:right="239" w:bottom="1440" w:gutter="0" w:footer="0" w:header="0"/>
        </w:sectPr>
      </w:pPr>
    </w:p>
    <w:bookmarkStart w:id="85" w:name="page86"/>
    <w:bookmarkEnd w:id="85"/>
    <w:p>
      <w:pPr>
        <w:spacing w:after="0"/>
        <w:rPr>
          <w:sz w:val="20"/>
          <w:szCs w:val="20"/>
          <w:color w:val="auto"/>
        </w:rPr>
      </w:pPr>
      <w:r>
        <w:rPr>
          <w:rFonts w:ascii="Arial" w:cs="Arial" w:eastAsia="Arial" w:hAnsi="Arial"/>
          <w:sz w:val="18"/>
          <w:szCs w:val="18"/>
          <w:b w:val="1"/>
          <w:bCs w:val="1"/>
          <w:color w:val="auto"/>
        </w:rPr>
        <w:t>NOTE 10. SHORT-TERM AND LONG-TERM DEBT (Continued)</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Long-Term Debt</w:t>
      </w:r>
    </w:p>
    <w:p>
      <w:pPr>
        <w:spacing w:after="0" w:line="63" w:lineRule="exact"/>
        <w:rPr>
          <w:sz w:val="20"/>
          <w:szCs w:val="20"/>
          <w:color w:val="auto"/>
        </w:rPr>
      </w:pPr>
    </w:p>
    <w:p>
      <w:pPr>
        <w:ind w:left="40"/>
        <w:spacing w:after="0"/>
        <w:tabs>
          <w:tab w:leader="none" w:pos="9520" w:val="left"/>
          <w:tab w:leader="none" w:pos="10660" w:val="left"/>
        </w:tabs>
        <w:rPr>
          <w:sz w:val="20"/>
          <w:szCs w:val="20"/>
          <w:color w:val="auto"/>
        </w:rPr>
      </w:pPr>
      <w:r>
        <w:rPr>
          <w:rFonts w:ascii="Arial" w:cs="Arial" w:eastAsia="Arial" w:hAnsi="Arial"/>
          <w:sz w:val="18"/>
          <w:szCs w:val="18"/>
          <w:b w:val="1"/>
          <w:bCs w:val="1"/>
          <w:color w:val="auto"/>
        </w:rPr>
        <w:t>As of December 31</w:t>
      </w:r>
      <w:r>
        <w:rPr>
          <w:sz w:val="20"/>
          <w:szCs w:val="20"/>
          <w:color w:val="auto"/>
        </w:rPr>
        <w:tab/>
      </w:r>
      <w:r>
        <w:rPr>
          <w:rFonts w:ascii="Arial" w:cs="Arial" w:eastAsia="Arial" w:hAnsi="Arial"/>
          <w:sz w:val="18"/>
          <w:szCs w:val="18"/>
          <w:b w:val="1"/>
          <w:bCs w:val="1"/>
          <w:color w:val="auto"/>
        </w:rPr>
        <w:t>2012</w:t>
      </w:r>
      <w:r>
        <w:rPr>
          <w:sz w:val="20"/>
          <w:szCs w:val="20"/>
          <w:color w:val="auto"/>
        </w:rPr>
        <w:tab/>
      </w:r>
      <w:r>
        <w:rPr>
          <w:rFonts w:ascii="Arial" w:cs="Arial" w:eastAsia="Arial" w:hAnsi="Arial"/>
          <w:sz w:val="16"/>
          <w:szCs w:val="16"/>
          <w:b w:val="1"/>
          <w:bCs w:val="1"/>
          <w:color w:val="auto"/>
        </w:rPr>
        <w:t>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7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7" w:lineRule="exact"/>
        <w:rPr>
          <w:sz w:val="20"/>
          <w:szCs w:val="20"/>
          <w:color w:val="auto"/>
        </w:rPr>
      </w:pPr>
    </w:p>
    <w:p>
      <w:pPr>
        <w:ind w:left="40"/>
        <w:spacing w:after="0"/>
        <w:rPr>
          <w:sz w:val="20"/>
          <w:szCs w:val="20"/>
          <w:color w:val="auto"/>
        </w:rPr>
      </w:pPr>
      <w:r>
        <w:rPr>
          <w:rFonts w:ascii="Arial" w:cs="Arial" w:eastAsia="Arial" w:hAnsi="Arial"/>
          <w:sz w:val="18"/>
          <w:szCs w:val="18"/>
          <w:color w:val="auto"/>
        </w:rPr>
        <w:t>First Mortgage Bonds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 w:type="dxa"/>
            <w:vAlign w:val="bottom"/>
          </w:tcPr>
          <w:p>
            <w:pPr>
              <w:jc w:val="right"/>
              <w:spacing w:after="0"/>
              <w:rPr>
                <w:sz w:val="20"/>
                <w:szCs w:val="20"/>
                <w:color w:val="auto"/>
              </w:rPr>
            </w:pPr>
            <w:r>
              <w:rPr>
                <w:rFonts w:ascii="Arial" w:cs="Arial" w:eastAsia="Arial" w:hAnsi="Arial"/>
                <w:sz w:val="18"/>
                <w:szCs w:val="18"/>
                <w:color w:val="auto"/>
              </w:rPr>
              <w:t>4.86%</w:t>
            </w:r>
          </w:p>
        </w:tc>
        <w:tc>
          <w:tcPr>
            <w:tcW w:w="7680" w:type="dxa"/>
            <w:vAlign w:val="bottom"/>
          </w:tcPr>
          <w:p>
            <w:pPr>
              <w:ind w:left="20"/>
              <w:spacing w:after="0"/>
              <w:rPr>
                <w:sz w:val="20"/>
                <w:szCs w:val="20"/>
                <w:color w:val="auto"/>
              </w:rPr>
            </w:pPr>
            <w:r>
              <w:rPr>
                <w:rFonts w:ascii="Arial" w:cs="Arial" w:eastAsia="Arial" w:hAnsi="Arial"/>
                <w:sz w:val="18"/>
                <w:szCs w:val="18"/>
                <w:color w:val="auto"/>
              </w:rPr>
              <w:t>Series Due 2013</w:t>
            </w:r>
          </w:p>
        </w:tc>
        <w:tc>
          <w:tcPr>
            <w:tcW w:w="2160" w:type="dxa"/>
            <w:vAlign w:val="bottom"/>
          </w:tcPr>
          <w:p>
            <w:pPr>
              <w:jc w:val="right"/>
              <w:ind w:right="210"/>
              <w:spacing w:after="0"/>
              <w:rPr>
                <w:sz w:val="20"/>
                <w:szCs w:val="20"/>
                <w:color w:val="auto"/>
              </w:rPr>
            </w:pPr>
            <w:r>
              <w:rPr>
                <w:rFonts w:ascii="Arial" w:cs="Arial" w:eastAsia="Arial" w:hAnsi="Arial"/>
                <w:sz w:val="18"/>
                <w:szCs w:val="18"/>
                <w:color w:val="auto"/>
              </w:rPr>
              <w:t>$60.0</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$60.0</w:t>
            </w:r>
          </w:p>
        </w:tc>
      </w:tr>
      <w:tr>
        <w:trPr>
          <w:trHeight w:val="27"/>
        </w:trPr>
        <w:tc>
          <w:tcPr>
            <w:tcW w:w="660" w:type="dxa"/>
            <w:vAlign w:val="bottom"/>
          </w:tcPr>
          <w:p>
            <w:pPr>
              <w:spacing w:after="0"/>
              <w:rPr>
                <w:sz w:val="2"/>
                <w:szCs w:val="2"/>
                <w:color w:val="auto"/>
              </w:rPr>
            </w:pPr>
          </w:p>
        </w:tc>
        <w:tc>
          <w:tcPr>
            <w:tcW w:w="7680" w:type="dxa"/>
            <w:vAlign w:val="bottom"/>
          </w:tcPr>
          <w:p>
            <w:pPr>
              <w:spacing w:after="0"/>
              <w:rPr>
                <w:sz w:val="2"/>
                <w:szCs w:val="2"/>
                <w:color w:val="auto"/>
              </w:rPr>
            </w:pPr>
          </w:p>
        </w:tc>
        <w:tc>
          <w:tcPr>
            <w:tcW w:w="21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6.94%</w:t>
            </w:r>
          </w:p>
        </w:tc>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Series Due 2014</w:t>
            </w:r>
          </w:p>
        </w:tc>
        <w:tc>
          <w:tcPr>
            <w:tcW w:w="21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18.0</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18.0</w:t>
            </w:r>
          </w:p>
        </w:tc>
      </w:tr>
      <w:tr>
        <w:trPr>
          <w:trHeight w:val="243"/>
        </w:trPr>
        <w:tc>
          <w:tcPr>
            <w:tcW w:w="660" w:type="dxa"/>
            <w:vAlign w:val="bottom"/>
          </w:tcPr>
          <w:p>
            <w:pPr>
              <w:jc w:val="right"/>
              <w:spacing w:after="0"/>
              <w:rPr>
                <w:sz w:val="20"/>
                <w:szCs w:val="20"/>
                <w:color w:val="auto"/>
              </w:rPr>
            </w:pPr>
            <w:r>
              <w:rPr>
                <w:rFonts w:ascii="Arial" w:cs="Arial" w:eastAsia="Arial" w:hAnsi="Arial"/>
                <w:sz w:val="18"/>
                <w:szCs w:val="18"/>
                <w:color w:val="auto"/>
              </w:rPr>
              <w:t>7.70%</w:t>
            </w:r>
          </w:p>
        </w:tc>
        <w:tc>
          <w:tcPr>
            <w:tcW w:w="7680" w:type="dxa"/>
            <w:vAlign w:val="bottom"/>
          </w:tcPr>
          <w:p>
            <w:pPr>
              <w:ind w:left="20"/>
              <w:spacing w:after="0"/>
              <w:rPr>
                <w:sz w:val="20"/>
                <w:szCs w:val="20"/>
                <w:color w:val="auto"/>
              </w:rPr>
            </w:pPr>
            <w:r>
              <w:rPr>
                <w:rFonts w:ascii="Arial" w:cs="Arial" w:eastAsia="Arial" w:hAnsi="Arial"/>
                <w:sz w:val="18"/>
                <w:szCs w:val="18"/>
                <w:color w:val="auto"/>
              </w:rPr>
              <w:t>Series Due 2016</w:t>
            </w:r>
          </w:p>
        </w:tc>
        <w:tc>
          <w:tcPr>
            <w:tcW w:w="2160" w:type="dxa"/>
            <w:vAlign w:val="bottom"/>
          </w:tcPr>
          <w:p>
            <w:pPr>
              <w:jc w:val="right"/>
              <w:ind w:right="210"/>
              <w:spacing w:after="0"/>
              <w:rPr>
                <w:sz w:val="20"/>
                <w:szCs w:val="20"/>
                <w:color w:val="auto"/>
              </w:rPr>
            </w:pPr>
            <w:r>
              <w:rPr>
                <w:rFonts w:ascii="Arial" w:cs="Arial" w:eastAsia="Arial" w:hAnsi="Arial"/>
                <w:sz w:val="18"/>
                <w:szCs w:val="18"/>
                <w:color w:val="auto"/>
              </w:rPr>
              <w:t>20.0</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20.0</w:t>
            </w:r>
          </w:p>
        </w:tc>
      </w:tr>
      <w:tr>
        <w:trPr>
          <w:trHeight w:val="27"/>
        </w:trPr>
        <w:tc>
          <w:tcPr>
            <w:tcW w:w="660" w:type="dxa"/>
            <w:vAlign w:val="bottom"/>
          </w:tcPr>
          <w:p>
            <w:pPr>
              <w:spacing w:after="0"/>
              <w:rPr>
                <w:sz w:val="2"/>
                <w:szCs w:val="2"/>
                <w:color w:val="auto"/>
              </w:rPr>
            </w:pPr>
          </w:p>
        </w:tc>
        <w:tc>
          <w:tcPr>
            <w:tcW w:w="7680" w:type="dxa"/>
            <w:vAlign w:val="bottom"/>
          </w:tcPr>
          <w:p>
            <w:pPr>
              <w:spacing w:after="0"/>
              <w:rPr>
                <w:sz w:val="2"/>
                <w:szCs w:val="2"/>
                <w:color w:val="auto"/>
              </w:rPr>
            </w:pPr>
          </w:p>
        </w:tc>
        <w:tc>
          <w:tcPr>
            <w:tcW w:w="21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8.17%</w:t>
            </w:r>
          </w:p>
        </w:tc>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Series Due 2019</w:t>
            </w:r>
          </w:p>
        </w:tc>
        <w:tc>
          <w:tcPr>
            <w:tcW w:w="21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42.0</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42.0</w:t>
            </w:r>
          </w:p>
        </w:tc>
      </w:tr>
      <w:tr>
        <w:trPr>
          <w:trHeight w:val="243"/>
        </w:trPr>
        <w:tc>
          <w:tcPr>
            <w:tcW w:w="660" w:type="dxa"/>
            <w:vAlign w:val="bottom"/>
          </w:tcPr>
          <w:p>
            <w:pPr>
              <w:jc w:val="right"/>
              <w:spacing w:after="0"/>
              <w:rPr>
                <w:sz w:val="20"/>
                <w:szCs w:val="20"/>
                <w:color w:val="auto"/>
              </w:rPr>
            </w:pPr>
            <w:r>
              <w:rPr>
                <w:rFonts w:ascii="Arial" w:cs="Arial" w:eastAsia="Arial" w:hAnsi="Arial"/>
                <w:sz w:val="18"/>
                <w:szCs w:val="18"/>
                <w:color w:val="auto"/>
              </w:rPr>
              <w:t>5.28%</w:t>
            </w:r>
          </w:p>
        </w:tc>
        <w:tc>
          <w:tcPr>
            <w:tcW w:w="7680" w:type="dxa"/>
            <w:vAlign w:val="bottom"/>
          </w:tcPr>
          <w:p>
            <w:pPr>
              <w:ind w:left="20"/>
              <w:spacing w:after="0"/>
              <w:rPr>
                <w:sz w:val="20"/>
                <w:szCs w:val="20"/>
                <w:color w:val="auto"/>
              </w:rPr>
            </w:pPr>
            <w:r>
              <w:rPr>
                <w:rFonts w:ascii="Arial" w:cs="Arial" w:eastAsia="Arial" w:hAnsi="Arial"/>
                <w:sz w:val="18"/>
                <w:szCs w:val="18"/>
                <w:color w:val="auto"/>
              </w:rPr>
              <w:t>Series Due 2020</w:t>
            </w:r>
          </w:p>
        </w:tc>
        <w:tc>
          <w:tcPr>
            <w:tcW w:w="2160" w:type="dxa"/>
            <w:vAlign w:val="bottom"/>
          </w:tcPr>
          <w:p>
            <w:pPr>
              <w:jc w:val="right"/>
              <w:ind w:right="210"/>
              <w:spacing w:after="0"/>
              <w:rPr>
                <w:sz w:val="20"/>
                <w:szCs w:val="20"/>
                <w:color w:val="auto"/>
              </w:rPr>
            </w:pPr>
            <w:r>
              <w:rPr>
                <w:rFonts w:ascii="Arial" w:cs="Arial" w:eastAsia="Arial" w:hAnsi="Arial"/>
                <w:sz w:val="18"/>
                <w:szCs w:val="18"/>
                <w:color w:val="auto"/>
              </w:rPr>
              <w:t>35.0</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35.0</w:t>
            </w:r>
          </w:p>
        </w:tc>
      </w:tr>
      <w:tr>
        <w:trPr>
          <w:trHeight w:val="27"/>
        </w:trPr>
        <w:tc>
          <w:tcPr>
            <w:tcW w:w="660" w:type="dxa"/>
            <w:vAlign w:val="bottom"/>
          </w:tcPr>
          <w:p>
            <w:pPr>
              <w:spacing w:after="0"/>
              <w:rPr>
                <w:sz w:val="2"/>
                <w:szCs w:val="2"/>
                <w:color w:val="auto"/>
              </w:rPr>
            </w:pPr>
          </w:p>
        </w:tc>
        <w:tc>
          <w:tcPr>
            <w:tcW w:w="7680" w:type="dxa"/>
            <w:vAlign w:val="bottom"/>
          </w:tcPr>
          <w:p>
            <w:pPr>
              <w:spacing w:after="0"/>
              <w:rPr>
                <w:sz w:val="2"/>
                <w:szCs w:val="2"/>
                <w:color w:val="auto"/>
              </w:rPr>
            </w:pPr>
          </w:p>
        </w:tc>
        <w:tc>
          <w:tcPr>
            <w:tcW w:w="21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4.85%</w:t>
            </w:r>
          </w:p>
        </w:tc>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Series Due 2021</w:t>
            </w:r>
          </w:p>
        </w:tc>
        <w:tc>
          <w:tcPr>
            <w:tcW w:w="21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15.0</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w:t>
            </w:r>
          </w:p>
        </w:tc>
      </w:tr>
      <w:tr>
        <w:trPr>
          <w:trHeight w:val="243"/>
        </w:trPr>
        <w:tc>
          <w:tcPr>
            <w:tcW w:w="660" w:type="dxa"/>
            <w:vAlign w:val="bottom"/>
          </w:tcPr>
          <w:p>
            <w:pPr>
              <w:jc w:val="right"/>
              <w:spacing w:after="0"/>
              <w:rPr>
                <w:sz w:val="20"/>
                <w:szCs w:val="20"/>
                <w:color w:val="auto"/>
              </w:rPr>
            </w:pPr>
            <w:r>
              <w:rPr>
                <w:rFonts w:ascii="Arial" w:cs="Arial" w:eastAsia="Arial" w:hAnsi="Arial"/>
                <w:sz w:val="18"/>
                <w:szCs w:val="18"/>
                <w:color w:val="auto"/>
              </w:rPr>
              <w:t>4.95%</w:t>
            </w:r>
          </w:p>
        </w:tc>
        <w:tc>
          <w:tcPr>
            <w:tcW w:w="7680" w:type="dxa"/>
            <w:vAlign w:val="bottom"/>
          </w:tcPr>
          <w:p>
            <w:pPr>
              <w:ind w:left="20"/>
              <w:spacing w:after="0"/>
              <w:rPr>
                <w:sz w:val="20"/>
                <w:szCs w:val="20"/>
                <w:color w:val="auto"/>
              </w:rPr>
            </w:pPr>
            <w:r>
              <w:rPr>
                <w:rFonts w:ascii="Arial" w:cs="Arial" w:eastAsia="Arial" w:hAnsi="Arial"/>
                <w:sz w:val="18"/>
                <w:szCs w:val="18"/>
                <w:color w:val="auto"/>
              </w:rPr>
              <w:t>Pollution Control Series F Due 2022</w:t>
            </w:r>
          </w:p>
        </w:tc>
        <w:tc>
          <w:tcPr>
            <w:tcW w:w="2160" w:type="dxa"/>
            <w:vAlign w:val="bottom"/>
          </w:tcPr>
          <w:p>
            <w:pPr>
              <w:jc w:val="right"/>
              <w:ind w:right="210"/>
              <w:spacing w:after="0"/>
              <w:rPr>
                <w:sz w:val="20"/>
                <w:szCs w:val="20"/>
                <w:color w:val="auto"/>
              </w:rPr>
            </w:pPr>
            <w:r>
              <w:rPr>
                <w:rFonts w:ascii="Arial" w:cs="Arial" w:eastAsia="Arial" w:hAnsi="Arial"/>
                <w:sz w:val="18"/>
                <w:szCs w:val="18"/>
                <w:color w:val="auto"/>
              </w:rPr>
              <w:t>111.0</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111.0</w:t>
            </w:r>
          </w:p>
        </w:tc>
      </w:tr>
      <w:tr>
        <w:trPr>
          <w:trHeight w:val="27"/>
        </w:trPr>
        <w:tc>
          <w:tcPr>
            <w:tcW w:w="660" w:type="dxa"/>
            <w:vAlign w:val="bottom"/>
          </w:tcPr>
          <w:p>
            <w:pPr>
              <w:spacing w:after="0"/>
              <w:rPr>
                <w:sz w:val="2"/>
                <w:szCs w:val="2"/>
                <w:color w:val="auto"/>
              </w:rPr>
            </w:pPr>
          </w:p>
        </w:tc>
        <w:tc>
          <w:tcPr>
            <w:tcW w:w="7680" w:type="dxa"/>
            <w:vAlign w:val="bottom"/>
          </w:tcPr>
          <w:p>
            <w:pPr>
              <w:spacing w:after="0"/>
              <w:rPr>
                <w:sz w:val="2"/>
                <w:szCs w:val="2"/>
                <w:color w:val="auto"/>
              </w:rPr>
            </w:pPr>
          </w:p>
        </w:tc>
        <w:tc>
          <w:tcPr>
            <w:tcW w:w="21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6.02%</w:t>
            </w:r>
          </w:p>
        </w:tc>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Series Due 2023</w:t>
            </w:r>
          </w:p>
        </w:tc>
        <w:tc>
          <w:tcPr>
            <w:tcW w:w="21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75.0</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75.0</w:t>
            </w:r>
          </w:p>
        </w:tc>
      </w:tr>
      <w:tr>
        <w:trPr>
          <w:trHeight w:val="243"/>
        </w:trPr>
        <w:tc>
          <w:tcPr>
            <w:tcW w:w="660" w:type="dxa"/>
            <w:vAlign w:val="bottom"/>
          </w:tcPr>
          <w:p>
            <w:pPr>
              <w:jc w:val="right"/>
              <w:spacing w:after="0"/>
              <w:rPr>
                <w:sz w:val="20"/>
                <w:szCs w:val="20"/>
                <w:color w:val="auto"/>
              </w:rPr>
            </w:pPr>
            <w:r>
              <w:rPr>
                <w:rFonts w:ascii="Arial" w:cs="Arial" w:eastAsia="Arial" w:hAnsi="Arial"/>
                <w:sz w:val="18"/>
                <w:szCs w:val="18"/>
                <w:color w:val="auto"/>
              </w:rPr>
              <w:t>4.90%</w:t>
            </w:r>
          </w:p>
        </w:tc>
        <w:tc>
          <w:tcPr>
            <w:tcW w:w="7680" w:type="dxa"/>
            <w:vAlign w:val="bottom"/>
          </w:tcPr>
          <w:p>
            <w:pPr>
              <w:ind w:left="20"/>
              <w:spacing w:after="0"/>
              <w:rPr>
                <w:sz w:val="20"/>
                <w:szCs w:val="20"/>
                <w:color w:val="auto"/>
              </w:rPr>
            </w:pPr>
            <w:r>
              <w:rPr>
                <w:rFonts w:ascii="Arial" w:cs="Arial" w:eastAsia="Arial" w:hAnsi="Arial"/>
                <w:sz w:val="18"/>
                <w:szCs w:val="18"/>
                <w:color w:val="auto"/>
              </w:rPr>
              <w:t>Series Due 2025</w:t>
            </w:r>
          </w:p>
        </w:tc>
        <w:tc>
          <w:tcPr>
            <w:tcW w:w="2160" w:type="dxa"/>
            <w:vAlign w:val="bottom"/>
          </w:tcPr>
          <w:p>
            <w:pPr>
              <w:jc w:val="right"/>
              <w:ind w:right="210"/>
              <w:spacing w:after="0"/>
              <w:rPr>
                <w:sz w:val="20"/>
                <w:szCs w:val="20"/>
                <w:color w:val="auto"/>
              </w:rPr>
            </w:pPr>
            <w:r>
              <w:rPr>
                <w:rFonts w:ascii="Arial" w:cs="Arial" w:eastAsia="Arial" w:hAnsi="Arial"/>
                <w:sz w:val="18"/>
                <w:szCs w:val="18"/>
                <w:color w:val="auto"/>
              </w:rPr>
              <w:t>30.0</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30.0</w:t>
            </w:r>
          </w:p>
        </w:tc>
      </w:tr>
      <w:tr>
        <w:trPr>
          <w:trHeight w:val="27"/>
        </w:trPr>
        <w:tc>
          <w:tcPr>
            <w:tcW w:w="660" w:type="dxa"/>
            <w:vAlign w:val="bottom"/>
          </w:tcPr>
          <w:p>
            <w:pPr>
              <w:spacing w:after="0"/>
              <w:rPr>
                <w:sz w:val="2"/>
                <w:szCs w:val="2"/>
                <w:color w:val="auto"/>
              </w:rPr>
            </w:pPr>
          </w:p>
        </w:tc>
        <w:tc>
          <w:tcPr>
            <w:tcW w:w="7680" w:type="dxa"/>
            <w:vAlign w:val="bottom"/>
          </w:tcPr>
          <w:p>
            <w:pPr>
              <w:spacing w:after="0"/>
              <w:rPr>
                <w:sz w:val="2"/>
                <w:szCs w:val="2"/>
                <w:color w:val="auto"/>
              </w:rPr>
            </w:pPr>
          </w:p>
        </w:tc>
        <w:tc>
          <w:tcPr>
            <w:tcW w:w="21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Series Due 2025</w:t>
            </w:r>
          </w:p>
        </w:tc>
        <w:tc>
          <w:tcPr>
            <w:tcW w:w="21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30.0</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30.0</w:t>
            </w:r>
          </w:p>
        </w:tc>
      </w:tr>
      <w:tr>
        <w:trPr>
          <w:trHeight w:val="243"/>
        </w:trPr>
        <w:tc>
          <w:tcPr>
            <w:tcW w:w="660" w:type="dxa"/>
            <w:vAlign w:val="bottom"/>
          </w:tcPr>
          <w:p>
            <w:pPr>
              <w:jc w:val="right"/>
              <w:spacing w:after="0"/>
              <w:rPr>
                <w:sz w:val="20"/>
                <w:szCs w:val="20"/>
                <w:color w:val="auto"/>
              </w:rPr>
            </w:pPr>
            <w:r>
              <w:rPr>
                <w:rFonts w:ascii="Arial" w:cs="Arial" w:eastAsia="Arial" w:hAnsi="Arial"/>
                <w:sz w:val="18"/>
                <w:szCs w:val="18"/>
                <w:color w:val="auto"/>
              </w:rPr>
              <w:t>3.20%</w:t>
            </w:r>
          </w:p>
        </w:tc>
        <w:tc>
          <w:tcPr>
            <w:tcW w:w="7680" w:type="dxa"/>
            <w:vAlign w:val="bottom"/>
          </w:tcPr>
          <w:p>
            <w:pPr>
              <w:ind w:left="20"/>
              <w:spacing w:after="0"/>
              <w:rPr>
                <w:sz w:val="20"/>
                <w:szCs w:val="20"/>
                <w:color w:val="auto"/>
              </w:rPr>
            </w:pPr>
            <w:r>
              <w:rPr>
                <w:rFonts w:ascii="Arial" w:cs="Arial" w:eastAsia="Arial" w:hAnsi="Arial"/>
                <w:sz w:val="18"/>
                <w:szCs w:val="18"/>
                <w:color w:val="auto"/>
              </w:rPr>
              <w:t>Series Due 2026</w:t>
            </w:r>
          </w:p>
        </w:tc>
        <w:tc>
          <w:tcPr>
            <w:tcW w:w="2160" w:type="dxa"/>
            <w:vAlign w:val="bottom"/>
          </w:tcPr>
          <w:p>
            <w:pPr>
              <w:jc w:val="right"/>
              <w:ind w:right="210"/>
              <w:spacing w:after="0"/>
              <w:rPr>
                <w:sz w:val="20"/>
                <w:szCs w:val="20"/>
                <w:color w:val="auto"/>
              </w:rPr>
            </w:pPr>
            <w:r>
              <w:rPr>
                <w:rFonts w:ascii="Arial" w:cs="Arial" w:eastAsia="Arial" w:hAnsi="Arial"/>
                <w:sz w:val="18"/>
                <w:szCs w:val="18"/>
                <w:color w:val="auto"/>
              </w:rPr>
              <w:t>75.0</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60" w:type="dxa"/>
            <w:vAlign w:val="bottom"/>
          </w:tcPr>
          <w:p>
            <w:pPr>
              <w:spacing w:after="0"/>
              <w:rPr>
                <w:sz w:val="2"/>
                <w:szCs w:val="2"/>
                <w:color w:val="auto"/>
              </w:rPr>
            </w:pPr>
          </w:p>
        </w:tc>
        <w:tc>
          <w:tcPr>
            <w:tcW w:w="7680" w:type="dxa"/>
            <w:vAlign w:val="bottom"/>
          </w:tcPr>
          <w:p>
            <w:pPr>
              <w:spacing w:after="0"/>
              <w:rPr>
                <w:sz w:val="2"/>
                <w:szCs w:val="2"/>
                <w:color w:val="auto"/>
              </w:rPr>
            </w:pPr>
          </w:p>
        </w:tc>
        <w:tc>
          <w:tcPr>
            <w:tcW w:w="21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5.99%</w:t>
            </w:r>
          </w:p>
        </w:tc>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Series Due 2027</w:t>
            </w:r>
          </w:p>
        </w:tc>
        <w:tc>
          <w:tcPr>
            <w:tcW w:w="21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60.0</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60.0</w:t>
            </w:r>
          </w:p>
        </w:tc>
      </w:tr>
      <w:tr>
        <w:trPr>
          <w:trHeight w:val="243"/>
        </w:trPr>
        <w:tc>
          <w:tcPr>
            <w:tcW w:w="660" w:type="dxa"/>
            <w:vAlign w:val="bottom"/>
          </w:tcPr>
          <w:p>
            <w:pPr>
              <w:jc w:val="right"/>
              <w:spacing w:after="0"/>
              <w:rPr>
                <w:sz w:val="20"/>
                <w:szCs w:val="20"/>
                <w:color w:val="auto"/>
              </w:rPr>
            </w:pPr>
            <w:r>
              <w:rPr>
                <w:rFonts w:ascii="Arial" w:cs="Arial" w:eastAsia="Arial" w:hAnsi="Arial"/>
                <w:sz w:val="18"/>
                <w:szCs w:val="18"/>
                <w:color w:val="auto"/>
              </w:rPr>
              <w:t>5.69%</w:t>
            </w:r>
          </w:p>
        </w:tc>
        <w:tc>
          <w:tcPr>
            <w:tcW w:w="7680" w:type="dxa"/>
            <w:vAlign w:val="bottom"/>
          </w:tcPr>
          <w:p>
            <w:pPr>
              <w:ind w:left="20"/>
              <w:spacing w:after="0"/>
              <w:rPr>
                <w:sz w:val="20"/>
                <w:szCs w:val="20"/>
                <w:color w:val="auto"/>
              </w:rPr>
            </w:pPr>
            <w:r>
              <w:rPr>
                <w:rFonts w:ascii="Arial" w:cs="Arial" w:eastAsia="Arial" w:hAnsi="Arial"/>
                <w:sz w:val="18"/>
                <w:szCs w:val="18"/>
                <w:color w:val="auto"/>
              </w:rPr>
              <w:t>Series Due 2036</w:t>
            </w:r>
          </w:p>
        </w:tc>
        <w:tc>
          <w:tcPr>
            <w:tcW w:w="2160" w:type="dxa"/>
            <w:vAlign w:val="bottom"/>
          </w:tcPr>
          <w:p>
            <w:pPr>
              <w:jc w:val="right"/>
              <w:ind w:right="210"/>
              <w:spacing w:after="0"/>
              <w:rPr>
                <w:sz w:val="20"/>
                <w:szCs w:val="20"/>
                <w:color w:val="auto"/>
              </w:rPr>
            </w:pPr>
            <w:r>
              <w:rPr>
                <w:rFonts w:ascii="Arial" w:cs="Arial" w:eastAsia="Arial" w:hAnsi="Arial"/>
                <w:sz w:val="18"/>
                <w:szCs w:val="18"/>
                <w:color w:val="auto"/>
              </w:rPr>
              <w:t>50.0</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50.0</w:t>
            </w:r>
          </w:p>
        </w:tc>
      </w:tr>
      <w:tr>
        <w:trPr>
          <w:trHeight w:val="27"/>
        </w:trPr>
        <w:tc>
          <w:tcPr>
            <w:tcW w:w="660" w:type="dxa"/>
            <w:vAlign w:val="bottom"/>
          </w:tcPr>
          <w:p>
            <w:pPr>
              <w:spacing w:after="0"/>
              <w:rPr>
                <w:sz w:val="2"/>
                <w:szCs w:val="2"/>
                <w:color w:val="auto"/>
              </w:rPr>
            </w:pPr>
          </w:p>
        </w:tc>
        <w:tc>
          <w:tcPr>
            <w:tcW w:w="7680" w:type="dxa"/>
            <w:vAlign w:val="bottom"/>
          </w:tcPr>
          <w:p>
            <w:pPr>
              <w:spacing w:after="0"/>
              <w:rPr>
                <w:sz w:val="2"/>
                <w:szCs w:val="2"/>
                <w:color w:val="auto"/>
              </w:rPr>
            </w:pPr>
          </w:p>
        </w:tc>
        <w:tc>
          <w:tcPr>
            <w:tcW w:w="21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Series Due 2040</w:t>
            </w:r>
          </w:p>
        </w:tc>
        <w:tc>
          <w:tcPr>
            <w:tcW w:w="21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35.0</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35.0</w:t>
            </w:r>
          </w:p>
        </w:tc>
      </w:tr>
      <w:tr>
        <w:trPr>
          <w:trHeight w:val="243"/>
        </w:trPr>
        <w:tc>
          <w:tcPr>
            <w:tcW w:w="660" w:type="dxa"/>
            <w:vAlign w:val="bottom"/>
          </w:tcPr>
          <w:p>
            <w:pPr>
              <w:jc w:val="right"/>
              <w:spacing w:after="0"/>
              <w:rPr>
                <w:sz w:val="20"/>
                <w:szCs w:val="20"/>
                <w:color w:val="auto"/>
              </w:rPr>
            </w:pPr>
            <w:r>
              <w:rPr>
                <w:rFonts w:ascii="Arial" w:cs="Arial" w:eastAsia="Arial" w:hAnsi="Arial"/>
                <w:sz w:val="18"/>
                <w:szCs w:val="18"/>
                <w:color w:val="auto"/>
              </w:rPr>
              <w:t>5.82%</w:t>
            </w:r>
          </w:p>
        </w:tc>
        <w:tc>
          <w:tcPr>
            <w:tcW w:w="7680" w:type="dxa"/>
            <w:vAlign w:val="bottom"/>
          </w:tcPr>
          <w:p>
            <w:pPr>
              <w:ind w:left="20"/>
              <w:spacing w:after="0"/>
              <w:rPr>
                <w:sz w:val="20"/>
                <w:szCs w:val="20"/>
                <w:color w:val="auto"/>
              </w:rPr>
            </w:pPr>
            <w:r>
              <w:rPr>
                <w:rFonts w:ascii="Arial" w:cs="Arial" w:eastAsia="Arial" w:hAnsi="Arial"/>
                <w:sz w:val="18"/>
                <w:szCs w:val="18"/>
                <w:color w:val="auto"/>
              </w:rPr>
              <w:t>Series Due 2040</w:t>
            </w:r>
          </w:p>
        </w:tc>
        <w:tc>
          <w:tcPr>
            <w:tcW w:w="2160" w:type="dxa"/>
            <w:vAlign w:val="bottom"/>
          </w:tcPr>
          <w:p>
            <w:pPr>
              <w:jc w:val="right"/>
              <w:ind w:right="210"/>
              <w:spacing w:after="0"/>
              <w:rPr>
                <w:sz w:val="20"/>
                <w:szCs w:val="20"/>
                <w:color w:val="auto"/>
              </w:rPr>
            </w:pPr>
            <w:r>
              <w:rPr>
                <w:rFonts w:ascii="Arial" w:cs="Arial" w:eastAsia="Arial" w:hAnsi="Arial"/>
                <w:sz w:val="18"/>
                <w:szCs w:val="18"/>
                <w:color w:val="auto"/>
              </w:rPr>
              <w:t>45.0</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45.0</w:t>
            </w:r>
          </w:p>
        </w:tc>
      </w:tr>
      <w:tr>
        <w:trPr>
          <w:trHeight w:val="27"/>
        </w:trPr>
        <w:tc>
          <w:tcPr>
            <w:tcW w:w="660" w:type="dxa"/>
            <w:vAlign w:val="bottom"/>
          </w:tcPr>
          <w:p>
            <w:pPr>
              <w:spacing w:after="0"/>
              <w:rPr>
                <w:sz w:val="2"/>
                <w:szCs w:val="2"/>
                <w:color w:val="auto"/>
              </w:rPr>
            </w:pPr>
          </w:p>
        </w:tc>
        <w:tc>
          <w:tcPr>
            <w:tcW w:w="7680" w:type="dxa"/>
            <w:vAlign w:val="bottom"/>
          </w:tcPr>
          <w:p>
            <w:pPr>
              <w:spacing w:after="0"/>
              <w:rPr>
                <w:sz w:val="2"/>
                <w:szCs w:val="2"/>
                <w:color w:val="auto"/>
              </w:rPr>
            </w:pPr>
          </w:p>
        </w:tc>
        <w:tc>
          <w:tcPr>
            <w:tcW w:w="21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Series Due 2042</w:t>
            </w:r>
          </w:p>
        </w:tc>
        <w:tc>
          <w:tcPr>
            <w:tcW w:w="21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85.0</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SWL&amp;P First Mortgage Bonds 7.25% Series Due 2013</w:t>
            </w:r>
          </w:p>
        </w:tc>
        <w:tc>
          <w:tcPr>
            <w:tcW w:w="2160" w:type="dxa"/>
            <w:vAlign w:val="bottom"/>
          </w:tcPr>
          <w:p>
            <w:pPr>
              <w:jc w:val="right"/>
              <w:ind w:right="210"/>
              <w:spacing w:after="0"/>
              <w:rPr>
                <w:sz w:val="20"/>
                <w:szCs w:val="20"/>
                <w:color w:val="auto"/>
              </w:rPr>
            </w:pPr>
            <w:r>
              <w:rPr>
                <w:rFonts w:ascii="Arial" w:cs="Arial" w:eastAsia="Arial" w:hAnsi="Arial"/>
                <w:sz w:val="18"/>
                <w:szCs w:val="18"/>
                <w:color w:val="auto"/>
              </w:rPr>
              <w:t>10.0</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10.0</w:t>
            </w:r>
          </w:p>
        </w:tc>
      </w:tr>
      <w:tr>
        <w:trPr>
          <w:trHeight w:val="27"/>
        </w:trPr>
        <w:tc>
          <w:tcPr>
            <w:tcW w:w="8340" w:type="dxa"/>
            <w:vAlign w:val="bottom"/>
            <w:gridSpan w:val="2"/>
          </w:tcPr>
          <w:p>
            <w:pPr>
              <w:spacing w:after="0"/>
              <w:rPr>
                <w:sz w:val="2"/>
                <w:szCs w:val="2"/>
                <w:color w:val="auto"/>
              </w:rPr>
            </w:pPr>
          </w:p>
        </w:tc>
        <w:tc>
          <w:tcPr>
            <w:tcW w:w="21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Senior Unsecured Notes 5.99% Due 2017</w:t>
            </w:r>
          </w:p>
        </w:tc>
        <w:tc>
          <w:tcPr>
            <w:tcW w:w="21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50.0</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50.0</w:t>
            </w: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Variable Demand Revenue Refunding Bonds Series 1997 A, B, and C Due 2013 – 2020</w:t>
            </w:r>
          </w:p>
        </w:tc>
        <w:tc>
          <w:tcPr>
            <w:tcW w:w="2160" w:type="dxa"/>
            <w:vAlign w:val="bottom"/>
          </w:tcPr>
          <w:p>
            <w:pPr>
              <w:jc w:val="right"/>
              <w:ind w:right="210"/>
              <w:spacing w:after="0"/>
              <w:rPr>
                <w:sz w:val="20"/>
                <w:szCs w:val="20"/>
                <w:color w:val="auto"/>
              </w:rPr>
            </w:pPr>
            <w:r>
              <w:rPr>
                <w:rFonts w:ascii="Arial" w:cs="Arial" w:eastAsia="Arial" w:hAnsi="Arial"/>
                <w:sz w:val="18"/>
                <w:szCs w:val="18"/>
                <w:color w:val="auto"/>
              </w:rPr>
              <w:t>27.5</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28.2</w:t>
            </w:r>
          </w:p>
        </w:tc>
      </w:tr>
      <w:tr>
        <w:trPr>
          <w:trHeight w:val="27"/>
        </w:trPr>
        <w:tc>
          <w:tcPr>
            <w:tcW w:w="8340" w:type="dxa"/>
            <w:vAlign w:val="bottom"/>
            <w:gridSpan w:val="2"/>
          </w:tcPr>
          <w:p>
            <w:pPr>
              <w:spacing w:after="0"/>
              <w:rPr>
                <w:sz w:val="2"/>
                <w:szCs w:val="2"/>
                <w:color w:val="auto"/>
              </w:rPr>
            </w:pPr>
          </w:p>
        </w:tc>
        <w:tc>
          <w:tcPr>
            <w:tcW w:w="21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Industrial Development Revenue Bonds 6.5% Due 2025</w:t>
            </w:r>
          </w:p>
        </w:tc>
        <w:tc>
          <w:tcPr>
            <w:tcW w:w="21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w:t>
            </w: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Industrial Development Variable Rate Demand Refunding Revenue Bonds Series 2006 Due 2025</w:t>
            </w:r>
          </w:p>
        </w:tc>
        <w:tc>
          <w:tcPr>
            <w:tcW w:w="2160" w:type="dxa"/>
            <w:vAlign w:val="bottom"/>
          </w:tcPr>
          <w:p>
            <w:pPr>
              <w:jc w:val="right"/>
              <w:ind w:right="210"/>
              <w:spacing w:after="0"/>
              <w:rPr>
                <w:sz w:val="20"/>
                <w:szCs w:val="20"/>
                <w:color w:val="auto"/>
              </w:rPr>
            </w:pPr>
            <w:r>
              <w:rPr>
                <w:rFonts w:ascii="Arial" w:cs="Arial" w:eastAsia="Arial" w:hAnsi="Arial"/>
                <w:sz w:val="18"/>
                <w:szCs w:val="18"/>
                <w:color w:val="auto"/>
              </w:rPr>
              <w:t>27.8</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27.8</w:t>
            </w:r>
          </w:p>
        </w:tc>
      </w:tr>
      <w:tr>
        <w:trPr>
          <w:trHeight w:val="27"/>
        </w:trPr>
        <w:tc>
          <w:tcPr>
            <w:tcW w:w="8340" w:type="dxa"/>
            <w:vAlign w:val="bottom"/>
            <w:gridSpan w:val="2"/>
          </w:tcPr>
          <w:p>
            <w:pPr>
              <w:spacing w:after="0"/>
              <w:rPr>
                <w:sz w:val="2"/>
                <w:szCs w:val="2"/>
                <w:color w:val="auto"/>
              </w:rPr>
            </w:pPr>
          </w:p>
        </w:tc>
        <w:tc>
          <w:tcPr>
            <w:tcW w:w="21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Unsecured Term Loan Variable Rate Due 2014</w:t>
            </w:r>
          </w:p>
        </w:tc>
        <w:tc>
          <w:tcPr>
            <w:tcW w:w="21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75.0</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75.0</w:t>
            </w: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Other Long-Term Debt, 1.0% – 8.0% Due 2013 – 2037</w:t>
            </w:r>
          </w:p>
        </w:tc>
        <w:tc>
          <w:tcPr>
            <w:tcW w:w="2160" w:type="dxa"/>
            <w:vAlign w:val="bottom"/>
          </w:tcPr>
          <w:p>
            <w:pPr>
              <w:jc w:val="right"/>
              <w:ind w:right="210"/>
              <w:spacing w:after="0"/>
              <w:rPr>
                <w:sz w:val="20"/>
                <w:szCs w:val="20"/>
                <w:color w:val="auto"/>
              </w:rPr>
            </w:pPr>
            <w:r>
              <w:rPr>
                <w:rFonts w:ascii="Arial" w:cs="Arial" w:eastAsia="Arial" w:hAnsi="Arial"/>
                <w:sz w:val="18"/>
                <w:szCs w:val="18"/>
                <w:color w:val="auto"/>
              </w:rPr>
              <w:t>41.8</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40.3</w:t>
            </w:r>
          </w:p>
        </w:tc>
      </w:tr>
      <w:tr>
        <w:trPr>
          <w:trHeight w:val="27"/>
        </w:trPr>
        <w:tc>
          <w:tcPr>
            <w:tcW w:w="8340" w:type="dxa"/>
            <w:vAlign w:val="bottom"/>
            <w:tcBorders>
              <w:bottom w:val="single" w:sz="8" w:color="auto"/>
            </w:tcBorders>
            <w:gridSpan w:val="2"/>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Long-Term Debt</w:t>
            </w:r>
          </w:p>
        </w:tc>
        <w:tc>
          <w:tcPr>
            <w:tcW w:w="21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1,018.1</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863.3</w:t>
            </w: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Less: Due Within One Year</w:t>
            </w:r>
          </w:p>
        </w:tc>
        <w:tc>
          <w:tcPr>
            <w:tcW w:w="2160" w:type="dxa"/>
            <w:vAlign w:val="bottom"/>
          </w:tcPr>
          <w:p>
            <w:pPr>
              <w:jc w:val="right"/>
              <w:ind w:right="210"/>
              <w:spacing w:after="0"/>
              <w:rPr>
                <w:sz w:val="20"/>
                <w:szCs w:val="20"/>
                <w:color w:val="auto"/>
              </w:rPr>
            </w:pPr>
            <w:r>
              <w:rPr>
                <w:rFonts w:ascii="Arial" w:cs="Arial" w:eastAsia="Arial" w:hAnsi="Arial"/>
                <w:sz w:val="18"/>
                <w:szCs w:val="18"/>
                <w:color w:val="auto"/>
              </w:rPr>
              <w:t>84.5</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5.4</w:t>
            </w:r>
          </w:p>
        </w:tc>
      </w:tr>
      <w:tr>
        <w:trPr>
          <w:trHeight w:val="27"/>
        </w:trPr>
        <w:tc>
          <w:tcPr>
            <w:tcW w:w="8340" w:type="dxa"/>
            <w:vAlign w:val="bottom"/>
            <w:tcBorders>
              <w:bottom w:val="single" w:sz="8" w:color="auto"/>
            </w:tcBorders>
            <w:gridSpan w:val="2"/>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Long-Term Debt</w:t>
            </w:r>
          </w:p>
        </w:tc>
        <w:tc>
          <w:tcPr>
            <w:tcW w:w="21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$933.6</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$857.9</w:t>
            </w:r>
          </w:p>
        </w:tc>
      </w:tr>
      <w:tr>
        <w:trPr>
          <w:trHeight w:val="20"/>
        </w:trPr>
        <w:tc>
          <w:tcPr>
            <w:tcW w:w="660" w:type="dxa"/>
            <w:vAlign w:val="bottom"/>
            <w:shd w:val="clear" w:color="auto" w:fill="000000"/>
          </w:tcPr>
          <w:p>
            <w:pPr>
              <w:spacing w:after="0" w:line="20" w:lineRule="exact"/>
              <w:rPr>
                <w:sz w:val="1"/>
                <w:szCs w:val="1"/>
                <w:color w:val="auto"/>
              </w:rPr>
            </w:pPr>
          </w:p>
        </w:tc>
        <w:tc>
          <w:tcPr>
            <w:tcW w:w="7680" w:type="dxa"/>
            <w:vAlign w:val="bottom"/>
            <w:shd w:val="clear" w:color="auto" w:fill="000000"/>
          </w:tcPr>
          <w:p>
            <w:pPr>
              <w:spacing w:after="0" w:line="20" w:lineRule="exact"/>
              <w:rPr>
                <w:sz w:val="1"/>
                <w:szCs w:val="1"/>
                <w:color w:val="auto"/>
              </w:rPr>
            </w:pPr>
          </w:p>
        </w:tc>
        <w:tc>
          <w:tcPr>
            <w:tcW w:w="2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r>
    </w:tbl>
    <w:p>
      <w:pPr>
        <w:spacing w:after="0" w:line="19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color w:val="auto"/>
        </w:rPr>
        <w:t xml:space="preserve">Financial Covenants. </w:t>
      </w:r>
      <w:r>
        <w:rPr>
          <w:rFonts w:ascii="Arial" w:cs="Arial" w:eastAsia="Arial" w:hAnsi="Arial"/>
          <w:sz w:val="17"/>
          <w:szCs w:val="17"/>
          <w:color w:val="auto"/>
        </w:rPr>
        <w:t>Our long-term debt arrangements contain customary covenants. In addition, our lines of credit and letters of credit supporting certain</w:t>
      </w:r>
      <w:r>
        <w:rPr>
          <w:rFonts w:ascii="Arial" w:cs="Arial" w:eastAsia="Arial" w:hAnsi="Arial"/>
          <w:sz w:val="17"/>
          <w:szCs w:val="17"/>
          <w:b w:val="1"/>
          <w:bCs w:val="1"/>
          <w:color w:val="auto"/>
        </w:rPr>
        <w:t xml:space="preserve"> </w:t>
      </w:r>
      <w:r>
        <w:rPr>
          <w:rFonts w:ascii="Arial" w:cs="Arial" w:eastAsia="Arial" w:hAnsi="Arial"/>
          <w:sz w:val="17"/>
          <w:szCs w:val="17"/>
          <w:color w:val="auto"/>
        </w:rPr>
        <w:t>long-term debt arrangements contain financial covenants. Our compliance with financial covenants is not dependent on debt ratings. The most restrictive covenant requires ALLETE to maintain a ratio of its Indebtedness to Total Capitalization (as the amounts are calculated in accordance with the respective long-term debt arrangements) of less than or equal to 0.65 to 1.00 measured quarterly. As of December 31, 2012, our ratio was approximately 0.46 to 1.00. Failure to meet this covenant would give rise to an event of default if not cured after notice from the lender, in which event ALLETE may need to pursue alternative sources of funding. Some of ALLETE’s debt arrangements contain “cross-default” provisions that would result in an event of default if there is a failure under other financing arrangements to meet payment terms or to observe other covenants that would result in an acceleration of payments due. As of December 31, 2012, ALLETE was in compliance with its financial covenants.</w:t>
      </w: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COMMITMENTS, GUARANTEES AND CONTINGENCIES</w:t>
      </w:r>
    </w:p>
    <w:p>
      <w:pPr>
        <w:spacing w:after="0" w:line="225"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color w:val="auto"/>
        </w:rPr>
        <w:t xml:space="preserve">Power Purchase Agreements. </w:t>
      </w:r>
      <w:r>
        <w:rPr>
          <w:rFonts w:ascii="Arial" w:cs="Arial" w:eastAsia="Arial" w:hAnsi="Arial"/>
          <w:sz w:val="16"/>
          <w:szCs w:val="16"/>
          <w:color w:val="auto"/>
        </w:rPr>
        <w:t>Our long-term PPAs have been evaluated under the accounting guidance for variable interest entities. We have determined that</w:t>
      </w:r>
      <w:r>
        <w:rPr>
          <w:rFonts w:ascii="Arial" w:cs="Arial" w:eastAsia="Arial" w:hAnsi="Arial"/>
          <w:sz w:val="16"/>
          <w:szCs w:val="16"/>
          <w:b w:val="1"/>
          <w:bCs w:val="1"/>
          <w:color w:val="auto"/>
        </w:rPr>
        <w:t xml:space="preserve"> </w:t>
      </w:r>
      <w:r>
        <w:rPr>
          <w:rFonts w:ascii="Arial" w:cs="Arial" w:eastAsia="Arial" w:hAnsi="Arial"/>
          <w:sz w:val="16"/>
          <w:szCs w:val="16"/>
          <w:color w:val="auto"/>
        </w:rPr>
        <w:t>either we have no variable interest in the PPAs, or where we do have variable interests, we are not the primary beneficiary; therefore, consolidation is not required. These conclusions are based on the fact that we do not have both control over activities that are most significant to the entity and an obligation to absorb losses or receive benefits from the entity’s performance. Our financial exposure relating to these PPAs is limited to our capacity and energy payments.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2012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364" w:right="239" w:bottom="1440" w:gutter="0" w:footer="0" w:header="0"/>
        </w:sectPr>
      </w:pPr>
    </w:p>
    <w:bookmarkStart w:id="86" w:name="page87"/>
    <w:bookmarkEnd w:id="86"/>
    <w:p>
      <w:pPr>
        <w:spacing w:after="0"/>
        <w:rPr>
          <w:sz w:val="20"/>
          <w:szCs w:val="20"/>
          <w:color w:val="auto"/>
        </w:rPr>
      </w:pPr>
      <w:r>
        <w:rPr>
          <w:rFonts w:ascii="Arial" w:cs="Arial" w:eastAsia="Arial" w:hAnsi="Arial"/>
          <w:sz w:val="18"/>
          <w:szCs w:val="18"/>
          <w:b w:val="1"/>
          <w:bCs w:val="1"/>
          <w:color w:val="auto"/>
        </w:rPr>
        <w:t>NOTE 11. COMMITMENTS, GUARANTEES AND CONTINGENCIES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 Purchase Agreements (Continued)</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Square Butte PPA. </w:t>
      </w:r>
      <w:r>
        <w:rPr>
          <w:rFonts w:ascii="Arial" w:cs="Arial" w:eastAsia="Arial" w:hAnsi="Arial"/>
          <w:sz w:val="18"/>
          <w:szCs w:val="18"/>
          <w:color w:val="auto"/>
        </w:rPr>
        <w:t>Minnesota Power has a PPA with Square Butte that extends through 2026 (Agreement). It provides a long-term supply of energy to</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customers in our electric service territory and enables Minnesota Power to meet reserve requirements. Square Butte, a North Dakota cooperative corporation, owns a 455 MW coal-fired generating unit (Unit) near Center, North Dakota. The Unit is adjacent to a generating unit owned by Minnkota Power, a North Dakota cooperative corporation whose Class A members are also members of Square Butte. Minnkota Power serves as the operator of the Unit and also purchases power from Square Butte.</w:t>
      </w:r>
    </w:p>
    <w:p>
      <w:pPr>
        <w:spacing w:after="0" w:line="18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Minnesota Power is obligated to pay its pro rata share of Square Butte’s costs based on Minnesota Power’s entitlement to Unit output. Our output entitlement under the Agreement is 50 percent for the remainder of the contract, subject to the provisions of the Minnkota Power sales agreement described below. Minnesota Power’s payment obligation will be suspended if Square Butte fails to deliver any power, whether produced or purchased, for a period of one year. Square Butte’s costs consist primarily of debt service, operating and maintenance, depreciation and fuel expenses. As of December 31, 2012, Square Butte had total debt outstanding of $416.9 million. Annual debt service for Square Butte is expected to be approximately $44 million in each of the next five years, 2013 through 2017, of which Minnesota Power’s obligation is 50 percent. Fuel expenses are recoverable through our fuel adjustment clause and include the cost of coal purchased from BNI Coal, under a long-term contract.</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Minnesota Power’s cost of power purchased from Square Butte during 2012 was $67.1 million ($61.2 million in 2011; $55.2 million in 2010). This reflects Minnesota Power’s pro rata share of total Square Butte costs based on the 50 percent output entitlement. Included in this amount was Minnesota Power’s pro rata share of interest expense of $11.1 million in 2012 ($11.1 million in 2011; $10.2 million in 2010). Minnesota Power’s payments to Square Butte are approved as a purchased power expense for ratemaking purposes by both the MPUC and the FERC.</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Minnkota Power Sales Agreement. </w:t>
      </w:r>
      <w:r>
        <w:rPr>
          <w:rFonts w:ascii="Arial" w:cs="Arial" w:eastAsia="Arial" w:hAnsi="Arial"/>
          <w:sz w:val="17"/>
          <w:szCs w:val="17"/>
          <w:color w:val="auto"/>
        </w:rPr>
        <w:t>In December 2009, Minnesota Power entered into a power sales agreement with Minnkota Power. Under the power sales</w:t>
      </w:r>
      <w:r>
        <w:rPr>
          <w:rFonts w:ascii="Arial" w:cs="Arial" w:eastAsia="Arial" w:hAnsi="Arial"/>
          <w:sz w:val="17"/>
          <w:szCs w:val="17"/>
          <w:i w:val="1"/>
          <w:iCs w:val="1"/>
          <w:color w:val="auto"/>
        </w:rPr>
        <w:t xml:space="preserve"> </w:t>
      </w:r>
      <w:r>
        <w:rPr>
          <w:rFonts w:ascii="Arial" w:cs="Arial" w:eastAsia="Arial" w:hAnsi="Arial"/>
          <w:sz w:val="17"/>
          <w:szCs w:val="17"/>
          <w:color w:val="auto"/>
        </w:rPr>
        <w:t>agreement, Minnesota Power will sell a portion of its output from Square Butte to Minnkota Power, resulting in Minnkota Power’s net entitlement increasing and Minnesota Power’s net entitlement decreasing until Minnesota Power’s share is eliminated at the end of 2025.</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No power will be sold under the 2009 agreement until Minnkota Power has placed in service a new AC transmission line, which is anticipated to occur in late 2013. This new AC transmission line will allow Minnkota Power to transmit its entitlement from Square Butte directly to its customers, which in turn will enable Minnesota Power the ability to transmit additional wind generation on the existing DC transmission line.</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Minnkota Power PPA. </w:t>
      </w:r>
      <w:r>
        <w:rPr>
          <w:rFonts w:ascii="Arial" w:cs="Arial" w:eastAsia="Arial" w:hAnsi="Arial"/>
          <w:sz w:val="18"/>
          <w:szCs w:val="18"/>
          <w:color w:val="auto"/>
        </w:rPr>
        <w:t>On December 12, 2012, Minnesota Power entered into a long-term PPA with Minnkota Power. Under this agreement Minnesota Power</w:t>
      </w:r>
      <w:r>
        <w:rPr>
          <w:rFonts w:ascii="Arial" w:cs="Arial" w:eastAsia="Arial" w:hAnsi="Arial"/>
          <w:sz w:val="18"/>
          <w:szCs w:val="18"/>
          <w:i w:val="1"/>
          <w:iCs w:val="1"/>
          <w:color w:val="auto"/>
        </w:rPr>
        <w:t xml:space="preserve"> </w:t>
      </w:r>
      <w:r>
        <w:rPr>
          <w:rFonts w:ascii="Arial" w:cs="Arial" w:eastAsia="Arial" w:hAnsi="Arial"/>
          <w:sz w:val="18"/>
          <w:szCs w:val="18"/>
          <w:color w:val="auto"/>
        </w:rPr>
        <w:t>will purchase 50 MW of capacity and the energy associated with that capacity over the term June 1, 2016 through May 31, 2020. The agreement includes a fixed capacity charge and energy pricing that escalates at a fixed rate annually over the term.</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Oliver Wind I and II PPAs. </w:t>
      </w:r>
      <w:r>
        <w:rPr>
          <w:rFonts w:ascii="Arial" w:cs="Arial" w:eastAsia="Arial" w:hAnsi="Arial"/>
          <w:sz w:val="18"/>
          <w:szCs w:val="18"/>
          <w:color w:val="auto"/>
        </w:rPr>
        <w:t>In 2006 and 2007, Minnesota Power entered into two long-term wind PPAs with an affiliate of NextEra Energy, Inc. to purchase</w:t>
      </w:r>
      <w:r>
        <w:rPr>
          <w:rFonts w:ascii="Arial" w:cs="Arial" w:eastAsia="Arial" w:hAnsi="Arial"/>
          <w:sz w:val="18"/>
          <w:szCs w:val="18"/>
          <w:i w:val="1"/>
          <w:iCs w:val="1"/>
          <w:color w:val="auto"/>
        </w:rPr>
        <w:t xml:space="preserve"> </w:t>
      </w:r>
      <w:r>
        <w:rPr>
          <w:rFonts w:ascii="Arial" w:cs="Arial" w:eastAsia="Arial" w:hAnsi="Arial"/>
          <w:sz w:val="18"/>
          <w:szCs w:val="18"/>
          <w:color w:val="auto"/>
        </w:rPr>
        <w:t>the output from Oliver Wind I (50 MW) and Oliver Wind II (48 MW)—wind facilities located near Center, North Dakota. Each agreement is for 25 years and provides for the purchase of all output from the facilities at fixed energy prices. There are no fixed capacity charges and we only pay for energy as it is delivered to us.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Manitoba Hydro PPAs. </w:t>
      </w:r>
      <w:r>
        <w:rPr>
          <w:rFonts w:ascii="Arial" w:cs="Arial" w:eastAsia="Arial" w:hAnsi="Arial"/>
          <w:sz w:val="18"/>
          <w:szCs w:val="18"/>
          <w:color w:val="auto"/>
        </w:rPr>
        <w:t>Minnesota Power has a long-term PPA with Manitoba Hydro that expires in April 2015. Under this agreement Minnesota Power is</w:t>
      </w:r>
      <w:r>
        <w:rPr>
          <w:rFonts w:ascii="Arial" w:cs="Arial" w:eastAsia="Arial" w:hAnsi="Arial"/>
          <w:sz w:val="18"/>
          <w:szCs w:val="18"/>
          <w:i w:val="1"/>
          <w:iCs w:val="1"/>
          <w:color w:val="auto"/>
        </w:rPr>
        <w:t xml:space="preserve"> </w:t>
      </w:r>
      <w:r>
        <w:rPr>
          <w:rFonts w:ascii="Arial" w:cs="Arial" w:eastAsia="Arial" w:hAnsi="Arial"/>
          <w:sz w:val="18"/>
          <w:szCs w:val="18"/>
          <w:color w:val="auto"/>
        </w:rPr>
        <w:t>purchasing 50 MW of capacity and the energy associated with that capacity. Both the capacity price and the energy price are adjusted annually by the change in a governmental inflationary index.</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Minnesota Power has a separate long-term PPA with Manitoba Hydro to purchase surplus energy through April 2022. This energy-only agreement primarily consists of surplus hydro energy on Manitoba Hydro’s system that is delivered to Minnesota Power on a non-firm basis. The pricing is based on forward market prices. Under this agreement, Minnesota Power will purchase at least one million MWh of energy over the contract term.</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2012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364" w:right="239" w:bottom="1440" w:gutter="0" w:footer="0" w:header="0"/>
        </w:sectPr>
      </w:pPr>
    </w:p>
    <w:bookmarkStart w:id="87" w:name="page88"/>
    <w:bookmarkEnd w:id="87"/>
    <w:p>
      <w:pPr>
        <w:spacing w:after="0"/>
        <w:rPr>
          <w:sz w:val="20"/>
          <w:szCs w:val="20"/>
          <w:color w:val="auto"/>
        </w:rPr>
      </w:pPr>
      <w:r>
        <w:rPr>
          <w:rFonts w:ascii="Arial" w:cs="Arial" w:eastAsia="Arial" w:hAnsi="Arial"/>
          <w:sz w:val="18"/>
          <w:szCs w:val="18"/>
          <w:b w:val="1"/>
          <w:bCs w:val="1"/>
          <w:color w:val="auto"/>
        </w:rPr>
        <w:t>NOTE 11. COMMITMENTS, GUARANTEES AND CONTINGENCIES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 Purchase Agreements (Continued)</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May 2011, Minnesota Power and Manitoba Hydro signed an additional PPA. The PPA calls for Manitoba Hydro to sell 250 MW of capacity and energy to Minnesota Power for 15 years beginning in 2020 and is subject to construction of additional transmission capacity between Manitoba and the U.S., along with construction of new hydroelectric generating capacity in Manitoba. The capacity price is adjusted annually until 2020 by a change in a governmental inflationary index. The energy price is based on a formula that includes an annual fixed price component adjusted for a change in a governmental inflationary index and a natural gas index, as well as market prices.</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February 2012, Minnesota Power and Manitoba Hydro proposed construction of the Great Northern Transmission Line, a 500 kV transmission line between Manitoba and Minnesota’s Iron Range in order to strengthen the electric grid, enhance regional reliability and promote a greater exchange of sustainable energy, which is targeted to be in service in 2020. Total project cost and cost allocations are still to be determined.The Great Northern Transmission Line is subject to various federal and state regulatory approvals. In addition, Manitoba Hydro must obtain regulatory and governmental approvals related to new transmission lines and hydroelectric generation development in Canada.</w:t>
      </w:r>
    </w:p>
    <w:p>
      <w:pPr>
        <w:spacing w:after="0" w:line="184"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North Dakota Wind Development</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Minnesota Power uses the 465-mile, 250 kV DC transmission line that runs from Center, North Dakota, to Duluth,</w:t>
      </w:r>
      <w:r>
        <w:rPr>
          <w:rFonts w:ascii="Arial" w:cs="Arial" w:eastAsia="Arial" w:hAnsi="Arial"/>
          <w:sz w:val="18"/>
          <w:szCs w:val="18"/>
          <w:b w:val="1"/>
          <w:bCs w:val="1"/>
          <w:color w:val="auto"/>
        </w:rPr>
        <w:t xml:space="preserve"> </w:t>
      </w:r>
      <w:r>
        <w:rPr>
          <w:rFonts w:ascii="Arial" w:cs="Arial" w:eastAsia="Arial" w:hAnsi="Arial"/>
          <w:sz w:val="18"/>
          <w:szCs w:val="18"/>
          <w:color w:val="auto"/>
        </w:rPr>
        <w:t>Minnesota to transport increasing amounts of wind energy from North Dakota while gradually phasing out coal-based electricity delivered to our system over this transmission line from Square Butte’s lignite coal-fired generating unit.</w:t>
      </w:r>
    </w:p>
    <w:p>
      <w:pPr>
        <w:spacing w:after="0" w:line="18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Bison Wind Energy Center in North Dakota consists of 292 MW of nameplate capacity. Bison 1 is an 82 MW wind facility in North Dakota, which was completed in two phases. The first phase was completed in 2010, and the second phase was completed in January 2012. The project also included construction of a 22-mile, 230 kV transmission line. Bison 1 had a total project cost of $174.9 million through December 31, 2012, including additional costs related to land restoration and completion of remaining associated upgrades to the 250 kV DC transmission line.</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105 MW Bison 2 and 105 MW Bison 3 wind facilities in North Dakota were completed in December 2012. Total project costs for Bison 2 and Bison 3 were $148.6 million and $149.8 million, respectively, through December 31, 2012. In September 2011 and November 2011, the MPUC approved Minnesota Power’s petitions seeking cost recovery for investments and expenditures related to Bison 2 and Bison 3,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auto"/>
        </w:rPr>
        <w:t>Current customer billing rates were approved by the MPUC in a November 2011 order and are based on investments and expenditures associated with Bison</w:t>
      </w:r>
    </w:p>
    <w:p>
      <w:pPr>
        <w:spacing w:after="0" w:line="46" w:lineRule="exact"/>
        <w:rPr>
          <w:sz w:val="20"/>
          <w:szCs w:val="20"/>
          <w:color w:val="auto"/>
        </w:rPr>
      </w:pPr>
    </w:p>
    <w:p>
      <w:pPr>
        <w:ind w:firstLine="8"/>
        <w:spacing w:after="0" w:line="261" w:lineRule="auto"/>
        <w:tabs>
          <w:tab w:leader="none" w:pos="182"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anticipate filing a cost recovery petition with the MPUC in the first half of 2013 to update customer billing rates for Bison 1 and to include investments and expenditures associated with Bison 2 and Bison 3.</w:t>
      </w:r>
    </w:p>
    <w:p>
      <w:pPr>
        <w:spacing w:after="0" w:line="180" w:lineRule="exact"/>
        <w:rPr>
          <w:sz w:val="20"/>
          <w:szCs w:val="20"/>
          <w:color w:val="auto"/>
        </w:rPr>
      </w:pPr>
    </w:p>
    <w:p>
      <w:pPr>
        <w:jc w:val="both"/>
        <w:spacing w:after="0" w:line="298" w:lineRule="auto"/>
        <w:rPr>
          <w:sz w:val="20"/>
          <w:szCs w:val="20"/>
          <w:color w:val="auto"/>
        </w:rPr>
      </w:pPr>
      <w:r>
        <w:rPr>
          <w:rFonts w:ascii="Arial" w:cs="Arial" w:eastAsia="Arial" w:hAnsi="Arial"/>
          <w:sz w:val="16"/>
          <w:szCs w:val="16"/>
          <w:b w:val="1"/>
          <w:bCs w:val="1"/>
          <w:color w:val="auto"/>
        </w:rPr>
        <w:t xml:space="preserve">Coal, Rail and Shipping Contracts. </w:t>
      </w:r>
      <w:r>
        <w:rPr>
          <w:rFonts w:ascii="Arial" w:cs="Arial" w:eastAsia="Arial" w:hAnsi="Arial"/>
          <w:sz w:val="16"/>
          <w:szCs w:val="16"/>
          <w:color w:val="auto"/>
        </w:rPr>
        <w:t>We have coal supply agreements providing for the purchase of a significant portion of our coal requirements with</w:t>
      </w:r>
      <w:r>
        <w:rPr>
          <w:rFonts w:ascii="Arial" w:cs="Arial" w:eastAsia="Arial" w:hAnsi="Arial"/>
          <w:sz w:val="16"/>
          <w:szCs w:val="16"/>
          <w:b w:val="1"/>
          <w:bCs w:val="1"/>
          <w:color w:val="auto"/>
        </w:rPr>
        <w:t xml:space="preserve"> </w:t>
      </w:r>
      <w:r>
        <w:rPr>
          <w:rFonts w:ascii="Arial" w:cs="Arial" w:eastAsia="Arial" w:hAnsi="Arial"/>
          <w:sz w:val="16"/>
          <w:szCs w:val="16"/>
          <w:color w:val="auto"/>
        </w:rPr>
        <w:t>expiration dates through 2014. We also have coal transportation agreements in place for the delivery of a significant portion of our coal requirements with expiration dates through 2015. Our minimum annual payment obligation under these supply and transportation agreements is $51.4 million for 2013 and $0.8 million for 2014. Our minimum annual payment obligation will increase when annual nominations are made for coal deliveries in future years. The delivered costs of fuel for Minnesota Power’s generation are recoverable from Minnesota Power’s utility customers through the fuel adjustment clause.</w:t>
      </w:r>
    </w:p>
    <w:p>
      <w:pPr>
        <w:spacing w:after="0" w:line="15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Leasing Agreements. </w:t>
      </w:r>
      <w:r>
        <w:rPr>
          <w:rFonts w:ascii="Arial" w:cs="Arial" w:eastAsia="Arial" w:hAnsi="Arial"/>
          <w:sz w:val="18"/>
          <w:szCs w:val="18"/>
          <w:color w:val="auto"/>
        </w:rPr>
        <w:t>BNI Coal is obligated to make lease payments for a dragline totaling $2.8 million annually for the lease term which expires in 2027.</w:t>
      </w:r>
      <w:r>
        <w:rPr>
          <w:rFonts w:ascii="Arial" w:cs="Arial" w:eastAsia="Arial" w:hAnsi="Arial"/>
          <w:sz w:val="18"/>
          <w:szCs w:val="18"/>
          <w:b w:val="1"/>
          <w:bCs w:val="1"/>
          <w:color w:val="auto"/>
        </w:rPr>
        <w:t xml:space="preserve"> </w:t>
      </w:r>
      <w:r>
        <w:rPr>
          <w:rFonts w:ascii="Arial" w:cs="Arial" w:eastAsia="Arial" w:hAnsi="Arial"/>
          <w:sz w:val="18"/>
          <w:szCs w:val="18"/>
          <w:color w:val="auto"/>
        </w:rPr>
        <w:t>BNI Coal has the option at the end of the lease term to renew the lease at fair market value, to purchase the dragline at fair market value, or to surrender the dragline and pay a $3.0 million termination fee. We also lease other properties and equipment under operating lease agreements with terms expiring through 2016. The aggregate amount of minimum lease payments for all operating leases is $11.5 million in 2013, $11.7 million in 2014, $11.4 million in 2015, $9.3 million in 2016, $8.5 million in 2017 and $35.0 million thereafter. Total rent and lease expense was $11.5 million in 2012 ($9.4 million in 2011; $9.4 million in 2010).</w:t>
      </w:r>
    </w:p>
    <w:p>
      <w:pPr>
        <w:spacing w:after="0" w:line="18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Transmission</w:t>
      </w:r>
      <w:r>
        <w:rPr>
          <w:rFonts w:ascii="Arial" w:cs="Arial" w:eastAsia="Arial" w:hAnsi="Arial"/>
          <w:sz w:val="18"/>
          <w:szCs w:val="18"/>
          <w:color w:val="auto"/>
        </w:rPr>
        <w:t>. We continue to make investments in Upper Midwest transmission opportunities that strengthen or enhance the regional transmission grid. This</w:t>
      </w:r>
      <w:r>
        <w:rPr>
          <w:rFonts w:ascii="Arial" w:cs="Arial" w:eastAsia="Arial" w:hAnsi="Arial"/>
          <w:sz w:val="18"/>
          <w:szCs w:val="18"/>
          <w:b w:val="1"/>
          <w:bCs w:val="1"/>
          <w:color w:val="auto"/>
        </w:rPr>
        <w:t xml:space="preserve"> </w:t>
      </w:r>
      <w:r>
        <w:rPr>
          <w:rFonts w:ascii="Arial" w:cs="Arial" w:eastAsia="Arial" w:hAnsi="Arial"/>
          <w:sz w:val="18"/>
          <w:szCs w:val="18"/>
          <w:color w:val="auto"/>
        </w:rPr>
        <w:t>includes the CapX2020 initiative, investments in our own transmission assets, investments in other regional transmission assets (individually or in combination with others), and our investment in ATC.</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2012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364" w:right="239" w:bottom="1440" w:gutter="0" w:footer="0" w:header="0"/>
        </w:sectPr>
      </w:pPr>
    </w:p>
    <w:bookmarkStart w:id="88" w:name="page89"/>
    <w:bookmarkEnd w:id="88"/>
    <w:p>
      <w:pPr>
        <w:spacing w:after="0"/>
        <w:rPr>
          <w:sz w:val="20"/>
          <w:szCs w:val="20"/>
          <w:color w:val="auto"/>
        </w:rPr>
      </w:pPr>
      <w:r>
        <w:rPr>
          <w:rFonts w:ascii="Arial" w:cs="Arial" w:eastAsia="Arial" w:hAnsi="Arial"/>
          <w:sz w:val="18"/>
          <w:szCs w:val="18"/>
          <w:b w:val="1"/>
          <w:bCs w:val="1"/>
          <w:color w:val="auto"/>
        </w:rPr>
        <w:t>NOTE 11. COMMITMENTS, GUARANTEES AND CONTINGENCIES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Transmission (Continued)</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Transmission Investments. </w:t>
      </w:r>
      <w:r>
        <w:rPr>
          <w:rFonts w:ascii="Arial" w:cs="Arial" w:eastAsia="Arial" w:hAnsi="Arial"/>
          <w:sz w:val="18"/>
          <w:szCs w:val="18"/>
          <w:color w:val="auto"/>
        </w:rPr>
        <w:t>We have an approved cost recovery rider in place for certain transmission investments and expenditures and the continued use of</w:t>
      </w:r>
      <w:r>
        <w:rPr>
          <w:rFonts w:ascii="Arial" w:cs="Arial" w:eastAsia="Arial" w:hAnsi="Arial"/>
          <w:sz w:val="18"/>
          <w:szCs w:val="18"/>
          <w:i w:val="1"/>
          <w:iCs w:val="1"/>
          <w:color w:val="auto"/>
        </w:rPr>
        <w:t xml:space="preserve"> </w:t>
      </w:r>
      <w:r>
        <w:rPr>
          <w:rFonts w:ascii="Arial" w:cs="Arial" w:eastAsia="Arial" w:hAnsi="Arial"/>
          <w:sz w:val="18"/>
          <w:szCs w:val="18"/>
          <w:color w:val="auto"/>
        </w:rPr>
        <w:t>our 2009 billing factor was approved by the MPUC in May 2011. The billing factor allows us to charge our retail customers on a current basis for the costs of constructing certain transmission facilities plus a return on the capital invested. In June 2011, we filed an updated billing factor that includes additional transmission expenditures, which we expect to be approved in the first quarter of 2013.</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CapX2020. </w:t>
      </w:r>
      <w:r>
        <w:rPr>
          <w:rFonts w:ascii="Arial" w:cs="Arial" w:eastAsia="Arial" w:hAnsi="Arial"/>
          <w:sz w:val="18"/>
          <w:szCs w:val="18"/>
          <w:color w:val="auto"/>
        </w:rPr>
        <w:t>Minnesota Power is a participant in the CapX2020 initiative which represents an effort to ensure electric transmission and distribution reliability</w:t>
      </w:r>
      <w:r>
        <w:rPr>
          <w:rFonts w:ascii="Arial" w:cs="Arial" w:eastAsia="Arial" w:hAnsi="Arial"/>
          <w:sz w:val="18"/>
          <w:szCs w:val="18"/>
          <w:i w:val="1"/>
          <w:iCs w:val="1"/>
          <w:color w:val="auto"/>
        </w:rPr>
        <w:t xml:space="preserve"> </w:t>
      </w:r>
      <w:r>
        <w:rPr>
          <w:rFonts w:ascii="Arial" w:cs="Arial" w:eastAsia="Arial" w:hAnsi="Arial"/>
          <w:sz w:val="18"/>
          <w:szCs w:val="18"/>
          <w:color w:val="auto"/>
        </w:rPr>
        <w:t>in Minnesota and the surrounding region for the future. CapX2020, which consists of electric cooperatives, municipal and investor-owned utilities, including Minnesota’s largest transmission owners, has assessed the transmission system and projected growth in customer demand for electricity through 2020. Studies show that the region’s transmission system will require major upgrades and expansion to accommodate increased electricity demand as well as support renewable energy expansion through 2020.</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Minnesota Power is participating in three CapX2020 projects: the Fargo, North Dakota to St. Cloud, Minnesota project, the Monticello, Minnesota to St. Cloud, Minnesota project, which together total a 238-mile, 345 kV line from Fargo, North Dakota to Monticello, Minnesota, and the 70-mile, 230 kV line between Bemidji, Minnesota and Minnesota Power’s Boswell Energy Center near Grand Rapids, Minnesota. The 28-mile 345 kV line between Monticello and St. Cloud was placed into service in December 2011 and the 70-mile 230 kV line between Bemidji, Minnesota and Minnesota Power’s Boswell Energy Center near Grand Rapids, Minnesota was placed into service in September 2012. In June 2011, the MPUC approved the route permit for the Minnesota portion of the Fargo to St. Cloud project. The North Dakota permitting process was completed on August 12, 2012. The entire 238-mile, 345 kV line from Fargo to Monticello is expected to be in service by 2015.</w:t>
      </w:r>
    </w:p>
    <w:p>
      <w:pPr>
        <w:spacing w:after="0" w:line="18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Based on projected costs of the three transmission lines and the allocation agreements among participating utilities, Minnesota Power plans to invest between $100 million and $110 million in the CapX2020 initiative through 2015. A total of $48.2 million was spent through December 31, 2012, of which $37.3 million related to the Fargo, North Dakota to Monticello, Minnesota projects and $10.9 million related to the Bemidji, Minnesota to Minnesota Power’s Boswell Energy Center project ($27.8 million as of December 31, 2011 of which $20.4 million related to the Fargo, North Dakota to Monticello, Minnesota projects and $7.4 million related to the Bemidji, Minnesota to Minnesota Power’s Boswell Energy Center project). As future CapX2020 projects are identified, Minnesota Power may elect to participate on a project-by-project basis.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businesses are subject to regulation of environmental matters by various federal, state and local authorities. Currently, a number of regulatory changes to the Clean Air Act, the Clean Water Act and various waste management requirements are under consideration by both Congress and the EPA. Minnesota Power’s fossil fuel facilities will likely be subject to regulation under these proposals. Our intention is to reduce our exposure to these requirements by reshaping our generation portfolio over time to reduce our reliance on coal.</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consider our businesses to be in substantial compliance with currently applicable environmental regulations and believe all necessary permits to conduct such operations have been obtained. Due to expected future restrictive environmental requirements imposed through legislation and/or rulemaking, we anticipate that potential expenditures for environmental matters will be material and will require significant capital investments. Minnesota Power has evaluated various environmental compliance scenarios using possible ranges of future environmental regulations to project power supply trends and impacts on customers.</w:t>
      </w:r>
    </w:p>
    <w:p>
      <w:pPr>
        <w:spacing w:after="0" w:line="18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review environmental matters on a quarterly basis. Accruals for environmental matters are recorded when it is probable that a liability has been incurred and the amount of the liability can be reasonably estimated, based on current law and existing technologies. Accruals are adjusted as assessment and remediation efforts progress or as additional technical or legal information becomes available. Accruals for environmental liabilities are included in the Consolidated Balance Sheet at undiscounted amounts and exclude claims for recoveries from insurance or other third parties. Costs related to environmental contamination treatment and cleanup are charged to expense unless recoverable in rates from customers.</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Air. </w:t>
      </w:r>
      <w:r>
        <w:rPr>
          <w:rFonts w:ascii="Arial" w:cs="Arial" w:eastAsia="Arial" w:hAnsi="Arial"/>
          <w:sz w:val="18"/>
          <w:szCs w:val="18"/>
          <w:color w:val="auto"/>
        </w:rPr>
        <w:t>The electric utility industry is heavily regulated both at the federal and state level to address air emissions. Minnesota Power’s generating facilities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mainly burn low-sulfur western sub-bituminous coal. All of Minnesota Power’s coal-fired generating facilities are equipped with pollution control equipment such as scrubbers, bag houses and low NO</w:t>
      </w:r>
      <w:r>
        <w:rPr>
          <w:rFonts w:ascii="Arial" w:cs="Arial" w:eastAsia="Arial" w:hAnsi="Arial"/>
          <w:sz w:val="12"/>
          <w:szCs w:val="12"/>
          <w:color w:val="auto"/>
        </w:rPr>
        <w:t>X</w:t>
      </w:r>
      <w:r>
        <w:rPr>
          <w:rFonts w:ascii="Arial" w:cs="Arial" w:eastAsia="Arial" w:hAnsi="Arial"/>
          <w:sz w:val="18"/>
          <w:szCs w:val="18"/>
          <w:color w:val="auto"/>
        </w:rPr>
        <w:t xml:space="preserve"> technologies. Under currently applicable environmental regulations, these facilities are substantially compliant with applicable emission requirements.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2012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364" w:right="239" w:bottom="1440" w:gutter="0" w:footer="0" w:header="0"/>
        </w:sectPr>
      </w:pPr>
    </w:p>
    <w:bookmarkStart w:id="89" w:name="page90"/>
    <w:bookmarkEnd w:id="89"/>
    <w:p>
      <w:pPr>
        <w:spacing w:after="0"/>
        <w:rPr>
          <w:sz w:val="20"/>
          <w:szCs w:val="20"/>
          <w:color w:val="auto"/>
        </w:rPr>
      </w:pPr>
      <w:r>
        <w:rPr>
          <w:rFonts w:ascii="Arial" w:cs="Arial" w:eastAsia="Arial" w:hAnsi="Arial"/>
          <w:sz w:val="18"/>
          <w:szCs w:val="18"/>
          <w:b w:val="1"/>
          <w:bCs w:val="1"/>
          <w:color w:val="auto"/>
        </w:rPr>
        <w:t>NOTE 11. COMMITMENTS, GUARANTEES AND CONTINGENCIES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 (Continued)</w:t>
      </w:r>
    </w:p>
    <w:p>
      <w:pPr>
        <w:spacing w:after="0" w:line="21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i w:val="1"/>
          <w:iCs w:val="1"/>
          <w:color w:val="auto"/>
        </w:rPr>
        <w:t>New Source Review (NSR)</w:t>
      </w:r>
      <w:r>
        <w:rPr>
          <w:rFonts w:ascii="Arial" w:cs="Arial" w:eastAsia="Arial" w:hAnsi="Arial"/>
          <w:sz w:val="16"/>
          <w:szCs w:val="16"/>
          <w:color w:val="auto"/>
        </w:rPr>
        <w:t>. In August 2008, Minnesota Power received a Notice of Violation (NOV) from the EPA asserting violations of the NSR</w:t>
      </w:r>
      <w:r>
        <w:rPr>
          <w:rFonts w:ascii="Arial" w:cs="Arial" w:eastAsia="Arial" w:hAnsi="Arial"/>
          <w:sz w:val="16"/>
          <w:szCs w:val="16"/>
          <w:i w:val="1"/>
          <w:iCs w:val="1"/>
          <w:color w:val="auto"/>
        </w:rPr>
        <w:t xml:space="preserve"> </w:t>
      </w:r>
      <w:r>
        <w:rPr>
          <w:rFonts w:ascii="Arial" w:cs="Arial" w:eastAsia="Arial" w:hAnsi="Arial"/>
          <w:sz w:val="16"/>
          <w:szCs w:val="16"/>
          <w:color w:val="auto"/>
        </w:rPr>
        <w:t>requirements of the Clean Air Act at Boswell Units 1, 2, 3 and 4 and Laskin Unit 2. The NOV asserts that seven projects undertaken at these coal-fired plants between the years 1981 and 2000 should have been reviewed under the NSR requirements and that the Boswell Unit 4 Title V permit was violated. In April 2011, Minnesota Power received a NOV alleging that two projects undertaken at Rapids Energy Center in 2004 and 2005 should have been reviewed under the NSR requirements and that the Rapids Energy Center’s Title V permit was violated. Minnesota Power believes the projects specified in the NOVs were in full compliance with the Clean Air Act, NSR requirements and applicable permits. Resolution of the NOVs could result in civil penalties, which we do not believe will be material to our results of operations, and the installation of additional pollution control equipment, some of which is already planned or which has been completed to comply with other regulatory requirements. We are engaged in discussions with the EPA regarding resolution of these matters, but we are unable to estimate the expenditures, or range of expenditures that may be required upon resolution. Any costs of installing additional pollution control equipment would likely be eligible for recovery in rates over time subject to regulatory approval in a rate proceeding.</w:t>
      </w:r>
    </w:p>
    <w:p>
      <w:pPr>
        <w:spacing w:after="0" w:line="16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Cross-State Air Pollution Rule (CSAPR)</w:t>
      </w:r>
      <w:r>
        <w:rPr>
          <w:rFonts w:ascii="Arial" w:cs="Arial" w:eastAsia="Arial" w:hAnsi="Arial"/>
          <w:sz w:val="17"/>
          <w:szCs w:val="17"/>
          <w:color w:val="auto"/>
        </w:rPr>
        <w:t>. In July 2011, the EPA issued the CSAPR, which replaced the EPA’s 2005 CAIR. However, on August 21, 2012, a</w:t>
      </w:r>
      <w:r>
        <w:rPr>
          <w:rFonts w:ascii="Arial" w:cs="Arial" w:eastAsia="Arial" w:hAnsi="Arial"/>
          <w:sz w:val="17"/>
          <w:szCs w:val="17"/>
          <w:i w:val="1"/>
          <w:iCs w:val="1"/>
          <w:color w:val="auto"/>
        </w:rPr>
        <w:t xml:space="preserve"> </w:t>
      </w:r>
      <w:r>
        <w:rPr>
          <w:rFonts w:ascii="Arial" w:cs="Arial" w:eastAsia="Arial" w:hAnsi="Arial"/>
          <w:sz w:val="17"/>
          <w:szCs w:val="17"/>
          <w:color w:val="auto"/>
        </w:rPr>
        <w:t>three judge panel of the District of Columbia Circuit Court of Appeals vacated the CSAPR, ordering that the CAIR remain in effect while a CSAPR replacement rule is promulgated. The EPA and other parties to the case have until April 24, 2013, to request that the Supreme Court review the matter. The CSAPR would have required states in the CSAPR region, including Minnesota, to significantly improve air quality by reducing power plant emissions that contribute to ozone and/or fine particle pollution in other states. The CSAPR did not directly require the installation of controls. Instead, the rule would have required facilities to have sufficient emission allowances to cover their emissions on an annual basis. These allowances would have been allocated to facilities from each state’s annual budget and would also have been able to be bought and sold.</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CAIR regulations similarly require certain states to improve air quality by reducing power plant emissions that contribute to ozone and/or fine particle pollution in other states. The CAIR also created an allowance allocation and trading program rather than specifying pollution controls. Minnesota participation in the CAIR was stayed by EPA administrative action while the EPA completed a review of air quality modeling issues in conjunction with the development of a final replacement rule. While the CAIR remains in effect, Minnesota participation in the CAIR will continue to be stayed. It remains uncertain if emission restrictions similar to those contained in the CSAPR will become effective for Minnesota utilities due to the August 2012 District of Columbia Circuit Court of Appeals decision.</w:t>
      </w:r>
    </w:p>
    <w:p>
      <w:pPr>
        <w:spacing w:after="0" w:line="19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Since 2006, we have significantly reduced emissions at our Laskin, Taconite Harbor and Boswell generating units. Based on our expected generation, these emission reductions would have satisfied Minnesota Power’s SO</w:t>
      </w:r>
      <w:r>
        <w:rPr>
          <w:rFonts w:ascii="Arial" w:cs="Arial" w:eastAsia="Arial" w:hAnsi="Arial"/>
          <w:sz w:val="11"/>
          <w:szCs w:val="11"/>
          <w:color w:val="auto"/>
        </w:rPr>
        <w:t>2</w:t>
      </w:r>
      <w:r>
        <w:rPr>
          <w:rFonts w:ascii="Arial" w:cs="Arial" w:eastAsia="Arial" w:hAnsi="Arial"/>
          <w:sz w:val="17"/>
          <w:szCs w:val="17"/>
          <w:color w:val="auto"/>
        </w:rPr>
        <w:t xml:space="preserve"> and NO</w:t>
      </w:r>
      <w:r>
        <w:rPr>
          <w:rFonts w:ascii="Arial" w:cs="Arial" w:eastAsia="Arial" w:hAnsi="Arial"/>
          <w:sz w:val="11"/>
          <w:szCs w:val="11"/>
          <w:color w:val="auto"/>
        </w:rPr>
        <w:t>X</w:t>
      </w:r>
      <w:r>
        <w:rPr>
          <w:rFonts w:ascii="Arial" w:cs="Arial" w:eastAsia="Arial" w:hAnsi="Arial"/>
          <w:sz w:val="17"/>
          <w:szCs w:val="17"/>
          <w:color w:val="auto"/>
        </w:rPr>
        <w:t xml:space="preserve"> emission compliance obligations with respect to the EPA-allocated CSAPR allowances for 2012. Minnesota Power will continue to track the EPA activity related to promulgation of a CSAPR replacement rule. We are unable to predict any additional compliance costs we might incur if the CSAPR is reinstated or if a CSAPR replacement rule is promulgated.</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Regional Haze</w:t>
      </w:r>
      <w:r>
        <w:rPr>
          <w:rFonts w:ascii="Arial" w:cs="Arial" w:eastAsia="Arial" w:hAnsi="Arial"/>
          <w:sz w:val="18"/>
          <w:szCs w:val="18"/>
          <w:color w:val="auto"/>
        </w:rPr>
        <w:t>. The federal Regional Haze Rule requires states to submit SIPs to the EPA to address regional haze visibility impairment in 156 federally-protected parks and wilderness areas. Under the first phase of the Regional Haze Rule, certain large stationary sources, put in place between 1962 and 1977, with emissions contributing to visibility impairment, are required to install emission controls, known as Best Available Retrofit Technology (BART). We have two steam units, Boswell Unit 3 and Taconite Harbor Unit 3, that are subject to BART requirements.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MPCA requested that companies with BART-eligible units complete and submit a BART emissions control retrofit study, which was completed for Taconite Harbor Unit 3 in November 2008. The retrofit work completed in 2009 at Boswell Unit 3 meets the BART requirements for that unit. In December 2009, the MPCA approved the Minnesota SIP for submittal to the EPA for its review and approval. The Minnesota SIP incorporates information from the BART emissions control retrofit studies that were completed as requested by the MPCA.</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2012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364" w:right="239" w:bottom="1440" w:gutter="0" w:footer="0" w:header="0"/>
        </w:sectPr>
      </w:pPr>
    </w:p>
    <w:bookmarkStart w:id="90" w:name="page91"/>
    <w:bookmarkEnd w:id="90"/>
    <w:p>
      <w:pPr>
        <w:spacing w:after="0"/>
        <w:rPr>
          <w:sz w:val="20"/>
          <w:szCs w:val="20"/>
          <w:color w:val="auto"/>
        </w:rPr>
      </w:pPr>
      <w:r>
        <w:rPr>
          <w:rFonts w:ascii="Arial" w:cs="Arial" w:eastAsia="Arial" w:hAnsi="Arial"/>
          <w:sz w:val="18"/>
          <w:szCs w:val="18"/>
          <w:b w:val="1"/>
          <w:bCs w:val="1"/>
          <w:color w:val="auto"/>
        </w:rPr>
        <w:t>NOTE 11. COMMITMENTS, GUARANTEES AND CONTINGENCIES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 (Continued)</w:t>
      </w:r>
    </w:p>
    <w:p>
      <w:pPr>
        <w:spacing w:after="0" w:line="21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December 2011, the EPA published in the Federal Register a proposal to approve the trading program in the CSAPR as an alternative to determining BART. However, as a result of the August 2012 District of Columbia Circuit Court of Appeals decision to vacate the CSAPR (See CSAPR), Minnesota Power is now evaluating whether significant additional expenditures at Taconite Harbor Unit 3 will be required to comply with BART requirements under the Regional Haze Rule. If additional regional haze related controls are ultimately required, Minnesota Power will have up to five years from the final rule promulgation to bring Taconite Harbor Unit 3 into compliance with the Regional Haze Rule requirements. It is uncertain what controls would ultimately be required at Taconite Harbor Unit 3 under this scenario. On January 30, 2013, Minnesota Power announced “EnergyForward”, a strategic plan for assuring reliability, protecting affordability and further improving environmental performance. The plan includes retiring Taconite Harbor Unit 3 in 2015, subject to MPUC approval.</w:t>
      </w:r>
    </w:p>
    <w:p>
      <w:pPr>
        <w:spacing w:after="0" w:line="192" w:lineRule="exact"/>
        <w:rPr>
          <w:sz w:val="20"/>
          <w:szCs w:val="20"/>
          <w:color w:val="auto"/>
        </w:rPr>
      </w:pPr>
    </w:p>
    <w:p>
      <w:pPr>
        <w:jc w:val="both"/>
        <w:spacing w:after="0" w:line="288" w:lineRule="auto"/>
        <w:rPr>
          <w:sz w:val="20"/>
          <w:szCs w:val="20"/>
          <w:color w:val="auto"/>
        </w:rPr>
      </w:pPr>
      <w:r>
        <w:rPr>
          <w:rFonts w:ascii="Arial" w:cs="Arial" w:eastAsia="Arial" w:hAnsi="Arial"/>
          <w:sz w:val="16"/>
          <w:szCs w:val="16"/>
          <w:i w:val="1"/>
          <w:iCs w:val="1"/>
          <w:color w:val="auto"/>
        </w:rPr>
        <w:t xml:space="preserve">Mercury and Air Toxics Standards (MATS) Rule (formerly known as the Electric Generating Unit Maximum Achievable Control Technology (MACT) Rule). </w:t>
      </w:r>
      <w:r>
        <w:rPr>
          <w:rFonts w:ascii="Arial" w:cs="Arial" w:eastAsia="Arial" w:hAnsi="Arial"/>
          <w:sz w:val="16"/>
          <w:szCs w:val="16"/>
          <w:color w:val="auto"/>
        </w:rPr>
        <w:t>Under Section 112 of the Clean Air Act, the EPA is required to set emission standards for hazardous air pollutants (HAPs) for certain source categories. The EPA published the final MATS rule in the Federal Register on February 16, 2012, addressing such emissions from coal-fired utility units greater than 25 MW. There are currently 187 listed HAPs that the EPA is required to evaluate for establishment of MACT standards. In the final MATS rule, the EPA established categories of HAPs, including mercury, trace metals other than mercury, acid gases, dioxin/furans, and organics other than dioxin/furans. The EPA also established emission limits for the first three categories of HAPs, and work practice standards for the remaining categories. Affected sources must be in compliance with the rule by April 2015. States have the authority to grant sources a one-year extension. Minnesota Power was notified by the MPCA that they have approved Minnesota Power’s request of an additional year extending the date of compliance for the Boswell Unit 4 retrofit to April 1, 2016. Compliance at our Boswell Unit 4 to address the final MATS rule is expected to result in capital expenditures totaling between $350 million and $400 million through 2016. Our “EnergyForward” plan also includes the conversion of Laskin Units 1 and 2 to natural gas addressing the MATS requirements.</w:t>
      </w:r>
    </w:p>
    <w:p>
      <w:pPr>
        <w:spacing w:after="0" w:line="16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EPA National Emission Standards for Hazardous Air Pollutants for Major Sources: Industrial, Commercial and Institutional Boilers and Process Heaters</w:t>
      </w:r>
      <w:r>
        <w:rPr>
          <w:rFonts w:ascii="Arial" w:cs="Arial" w:eastAsia="Arial" w:hAnsi="Arial"/>
          <w:sz w:val="17"/>
          <w:szCs w:val="17"/>
          <w:color w:val="auto"/>
        </w:rPr>
        <w:t>. In</w:t>
      </w:r>
      <w:r>
        <w:rPr>
          <w:rFonts w:ascii="Arial" w:cs="Arial" w:eastAsia="Arial" w:hAnsi="Arial"/>
          <w:sz w:val="17"/>
          <w:szCs w:val="17"/>
          <w:i w:val="1"/>
          <w:iCs w:val="1"/>
          <w:color w:val="auto"/>
        </w:rPr>
        <w:t xml:space="preserve"> </w:t>
      </w:r>
      <w:r>
        <w:rPr>
          <w:rFonts w:ascii="Arial" w:cs="Arial" w:eastAsia="Arial" w:hAnsi="Arial"/>
          <w:sz w:val="17"/>
          <w:szCs w:val="17"/>
          <w:color w:val="auto"/>
        </w:rPr>
        <w:t>March 2011, a final rule was published in the Federal Register for industrial boiler maximum achievable control technology (Industrial Boiler MACT). The rule was stayed by the EPA in May 2011, to allow the EPA time to consider additional comments received. The EPA re-proposed the rule in December 2011. On January 9, 2012, the United States District Court for the District of Columbia ruled that the EPA stay of the Industrial Boiler MACT was unlawful, effectively reinstating the March 2011 rule and associated compliance deadlines. A final rule based on the December 2011 proposal, which supersedes the March 2011 rule, was released on December 21, 2012. Major sources have three years to achieve compliance with the final rule. Minnesota Power is in the process of assessing the impact of this rule on our affected units including the Hibbard Renewable Energy Center and Rapids Energy Center. Costs for complying with the final rule cannot be estimated at this time.</w:t>
      </w:r>
    </w:p>
    <w:p>
      <w:pPr>
        <w:spacing w:after="0" w:line="17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Minnesota Mercury Emissions Reduction Act</w:t>
      </w:r>
      <w:r>
        <w:rPr>
          <w:rFonts w:ascii="Arial" w:cs="Arial" w:eastAsia="Arial" w:hAnsi="Arial"/>
          <w:sz w:val="16"/>
          <w:szCs w:val="16"/>
          <w:color w:val="auto"/>
        </w:rPr>
        <w:t>. Under the 2006 Minnesota Mercury Emissions Reduction Act, Minnesota Power is required to implement a</w:t>
      </w:r>
      <w:r>
        <w:rPr>
          <w:rFonts w:ascii="Arial" w:cs="Arial" w:eastAsia="Arial" w:hAnsi="Arial"/>
          <w:sz w:val="16"/>
          <w:szCs w:val="16"/>
          <w:i w:val="1"/>
          <w:iCs w:val="1"/>
          <w:color w:val="auto"/>
        </w:rPr>
        <w:t xml:space="preserve"> </w:t>
      </w:r>
      <w:r>
        <w:rPr>
          <w:rFonts w:ascii="Arial" w:cs="Arial" w:eastAsia="Arial" w:hAnsi="Arial"/>
          <w:sz w:val="16"/>
          <w:szCs w:val="16"/>
          <w:color w:val="auto"/>
        </w:rPr>
        <w:t>mercury emissions reduction project for Boswell Unit 4 by December 31, 2018. On August 31, 2012, Minnesota Power filed its mercury emissions reduction plan for Boswell Unit 4 with the MPUC and the MPCA. The plan proposes that Minnesota Power install pollution controls to address both the Minnesota mercury emissions reduction requirements and the MATS rule, which also regulates mercury emissions. Minnesota Power's request of an additional year extending the date of compliance for the Boswell Unit 4 retrofit to April 1, 2016, was approved by the MPCA. Costs to implement the Boswell Unit 4 mercury emissions reduction plan are included in the estimated capital expenditures required for compliance with the MATS rule discussed above.</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Proposed and Finalized National Ambient Air Quality Standards (NAAQS). </w:t>
      </w:r>
      <w:r>
        <w:rPr>
          <w:rFonts w:ascii="Arial" w:cs="Arial" w:eastAsia="Arial" w:hAnsi="Arial"/>
          <w:sz w:val="18"/>
          <w:szCs w:val="18"/>
          <w:color w:val="auto"/>
        </w:rPr>
        <w:t>The EPA is required to review the NAAQS every five years. If the EPA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determines that a state’s air quality is not in compliance with a NAAQS, the state is required to adopt plans describing how it will reduce emissions to attain the NAAQS. These state plans often include more stringent air emission limitations on sources of air pollutants than the NAAQS. Four NAAQS have either recently been revised or are currently proposed for revision, as described below.</w:t>
      </w:r>
    </w:p>
    <w:p>
      <w:pPr>
        <w:spacing w:after="0" w:line="18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i w:val="1"/>
          <w:iCs w:val="1"/>
          <w:color w:val="auto"/>
        </w:rPr>
        <w:t xml:space="preserve">Ozone NAAQS. </w:t>
      </w:r>
      <w:r>
        <w:rPr>
          <w:rFonts w:ascii="Arial" w:cs="Arial" w:eastAsia="Arial" w:hAnsi="Arial"/>
          <w:sz w:val="16"/>
          <w:szCs w:val="16"/>
          <w:color w:val="auto"/>
        </w:rPr>
        <w:t>The EPA has proposed to more stringently control emissions that result in ground level ozone. In January 2010, the EPA proposed to revise</w:t>
      </w:r>
      <w:r>
        <w:rPr>
          <w:rFonts w:ascii="Arial" w:cs="Arial" w:eastAsia="Arial" w:hAnsi="Arial"/>
          <w:sz w:val="16"/>
          <w:szCs w:val="16"/>
          <w:i w:val="1"/>
          <w:iCs w:val="1"/>
          <w:color w:val="auto"/>
        </w:rPr>
        <w:t xml:space="preserve"> </w:t>
      </w:r>
      <w:r>
        <w:rPr>
          <w:rFonts w:ascii="Arial" w:cs="Arial" w:eastAsia="Arial" w:hAnsi="Arial"/>
          <w:sz w:val="16"/>
          <w:szCs w:val="16"/>
          <w:color w:val="auto"/>
        </w:rPr>
        <w:t>the 2008 eight-hour ozone standard and to adopt a secondary standard for the protection of sensitive vegetation from ozone-related damage. The EPA was scheduled to decide upon the 2008 eight-hour ozone standard in July 2011, but has since announced that it is deferring revision of this standard until 2013.</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2012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364" w:right="239" w:bottom="1440" w:gutter="0" w:footer="0" w:header="0"/>
        </w:sectPr>
      </w:pPr>
    </w:p>
    <w:bookmarkStart w:id="91" w:name="page92"/>
    <w:bookmarkEnd w:id="91"/>
    <w:p>
      <w:pPr>
        <w:spacing w:after="0"/>
        <w:rPr>
          <w:sz w:val="20"/>
          <w:szCs w:val="20"/>
          <w:color w:val="auto"/>
        </w:rPr>
      </w:pPr>
      <w:r>
        <w:rPr>
          <w:rFonts w:ascii="Arial" w:cs="Arial" w:eastAsia="Arial" w:hAnsi="Arial"/>
          <w:sz w:val="18"/>
          <w:szCs w:val="18"/>
          <w:b w:val="1"/>
          <w:bCs w:val="1"/>
          <w:color w:val="auto"/>
        </w:rPr>
        <w:t>NOTE 11. COMMITMENTS, GUARANTEES AND CONTINGENCIES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 (Continued)</w:t>
      </w:r>
    </w:p>
    <w:p>
      <w:pPr>
        <w:spacing w:after="0" w:line="21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Particulate Matter NAAQS. </w:t>
      </w:r>
      <w:r>
        <w:rPr>
          <w:rFonts w:ascii="Arial" w:cs="Arial" w:eastAsia="Arial" w:hAnsi="Arial"/>
          <w:sz w:val="17"/>
          <w:szCs w:val="17"/>
          <w:color w:val="auto"/>
        </w:rPr>
        <w:t>The EPA finalized the NAAQS Particulate Matter standards in September 2006. Since then, the EPA has established a more</w:t>
      </w:r>
      <w:r>
        <w:rPr>
          <w:rFonts w:ascii="Arial" w:cs="Arial" w:eastAsia="Arial" w:hAnsi="Arial"/>
          <w:sz w:val="17"/>
          <w:szCs w:val="17"/>
          <w:i w:val="1"/>
          <w:iCs w:val="1"/>
          <w:color w:val="auto"/>
        </w:rPr>
        <w:t xml:space="preserve"> </w:t>
      </w:r>
      <w:r>
        <w:rPr>
          <w:rFonts w:ascii="Arial" w:cs="Arial" w:eastAsia="Arial" w:hAnsi="Arial"/>
          <w:sz w:val="17"/>
          <w:szCs w:val="17"/>
          <w:color w:val="auto"/>
        </w:rPr>
        <w:t>stringent 24-hour average fine particulate matter (PM</w:t>
      </w:r>
      <w:r>
        <w:rPr>
          <w:rFonts w:ascii="Arial" w:cs="Arial" w:eastAsia="Arial" w:hAnsi="Arial"/>
          <w:sz w:val="11"/>
          <w:szCs w:val="11"/>
          <w:color w:val="auto"/>
        </w:rPr>
        <w:t>2.5</w:t>
      </w:r>
      <w:r>
        <w:rPr>
          <w:rFonts w:ascii="Arial" w:cs="Arial" w:eastAsia="Arial" w:hAnsi="Arial"/>
          <w:sz w:val="17"/>
          <w:szCs w:val="17"/>
          <w:color w:val="auto"/>
        </w:rPr>
        <w:t>) standard; the annual PM</w:t>
      </w:r>
      <w:r>
        <w:rPr>
          <w:rFonts w:ascii="Arial" w:cs="Arial" w:eastAsia="Arial" w:hAnsi="Arial"/>
          <w:sz w:val="11"/>
          <w:szCs w:val="11"/>
          <w:color w:val="auto"/>
        </w:rPr>
        <w:t>2.5</w:t>
      </w:r>
      <w:r>
        <w:rPr>
          <w:rFonts w:ascii="Arial" w:cs="Arial" w:eastAsia="Arial" w:hAnsi="Arial"/>
          <w:sz w:val="17"/>
          <w:szCs w:val="17"/>
          <w:color w:val="auto"/>
        </w:rPr>
        <w:t xml:space="preserve"> standard and the 24-hour coarse particulate matter standard have remained unchanged. The United States Court of Appeals for the District of Columbia Circuit remanded the annual PM</w:t>
      </w:r>
      <w:r>
        <w:rPr>
          <w:rFonts w:ascii="Arial" w:cs="Arial" w:eastAsia="Arial" w:hAnsi="Arial"/>
          <w:sz w:val="11"/>
          <w:szCs w:val="11"/>
          <w:color w:val="auto"/>
        </w:rPr>
        <w:t>2.5</w:t>
      </w:r>
      <w:r>
        <w:rPr>
          <w:rFonts w:ascii="Arial" w:cs="Arial" w:eastAsia="Arial" w:hAnsi="Arial"/>
          <w:sz w:val="17"/>
          <w:szCs w:val="17"/>
          <w:color w:val="auto"/>
        </w:rPr>
        <w:t xml:space="preserve"> standard to the EPA, requiring consideration of lower annual standard values. The EPA proposed new PM</w:t>
      </w:r>
      <w:r>
        <w:rPr>
          <w:rFonts w:ascii="Arial" w:cs="Arial" w:eastAsia="Arial" w:hAnsi="Arial"/>
          <w:sz w:val="11"/>
          <w:szCs w:val="11"/>
          <w:color w:val="auto"/>
        </w:rPr>
        <w:t>2.5</w:t>
      </w:r>
      <w:r>
        <w:rPr>
          <w:rFonts w:ascii="Arial" w:cs="Arial" w:eastAsia="Arial" w:hAnsi="Arial"/>
          <w:sz w:val="17"/>
          <w:szCs w:val="17"/>
          <w:color w:val="auto"/>
        </w:rPr>
        <w:t xml:space="preserve"> standards on June 14, 2012.</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December 14, 2012, the EPA confirmed in a final rule that the current annual PM</w:t>
      </w:r>
      <w:r>
        <w:rPr>
          <w:rFonts w:ascii="Arial" w:cs="Arial" w:eastAsia="Arial" w:hAnsi="Arial"/>
          <w:sz w:val="12"/>
          <w:szCs w:val="12"/>
          <w:color w:val="auto"/>
        </w:rPr>
        <w:t>2.5</w:t>
      </w:r>
      <w:r>
        <w:rPr>
          <w:rFonts w:ascii="Arial" w:cs="Arial" w:eastAsia="Arial" w:hAnsi="Arial"/>
          <w:sz w:val="18"/>
          <w:szCs w:val="18"/>
          <w:color w:val="auto"/>
        </w:rPr>
        <w:t xml:space="preserve"> standard, which has been in place since 1997, will be lowered, while retaining the current 24-hour PM</w:t>
      </w:r>
      <w:r>
        <w:rPr>
          <w:rFonts w:ascii="Arial" w:cs="Arial" w:eastAsia="Arial" w:hAnsi="Arial"/>
          <w:sz w:val="12"/>
          <w:szCs w:val="12"/>
          <w:color w:val="auto"/>
        </w:rPr>
        <w:t>2.5</w:t>
      </w:r>
      <w:r>
        <w:rPr>
          <w:rFonts w:ascii="Arial" w:cs="Arial" w:eastAsia="Arial" w:hAnsi="Arial"/>
          <w:sz w:val="18"/>
          <w:szCs w:val="18"/>
          <w:color w:val="auto"/>
        </w:rPr>
        <w:t xml:space="preserve"> standard. To implement the new lower annual PM</w:t>
      </w:r>
      <w:r>
        <w:rPr>
          <w:rFonts w:ascii="Arial" w:cs="Arial" w:eastAsia="Arial" w:hAnsi="Arial"/>
          <w:sz w:val="12"/>
          <w:szCs w:val="12"/>
          <w:color w:val="auto"/>
        </w:rPr>
        <w:t>2.5</w:t>
      </w:r>
      <w:r>
        <w:rPr>
          <w:rFonts w:ascii="Arial" w:cs="Arial" w:eastAsia="Arial" w:hAnsi="Arial"/>
          <w:sz w:val="18"/>
          <w:szCs w:val="18"/>
          <w:color w:val="auto"/>
        </w:rPr>
        <w:t xml:space="preserve"> standard, the EPA is also revising aspects of relevant monitoring, designations and permitting requirements. New projects and permits must comply with the new lower standard, and compliance with the NAAQS at the facility level is generally demonstrated by modeling. To bridge the transition to the lower standard, the EPA is finalizing a grandfathering provision to ensure that projects and pending permits already underway are not unduly delayed.</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Under the final rule, states will be responsible for additional PM</w:t>
      </w:r>
      <w:r>
        <w:rPr>
          <w:rFonts w:ascii="Arial" w:cs="Arial" w:eastAsia="Arial" w:hAnsi="Arial"/>
          <w:sz w:val="12"/>
          <w:szCs w:val="12"/>
          <w:color w:val="auto"/>
        </w:rPr>
        <w:t>2.5</w:t>
      </w:r>
      <w:r>
        <w:rPr>
          <w:rFonts w:ascii="Arial" w:cs="Arial" w:eastAsia="Arial" w:hAnsi="Arial"/>
          <w:sz w:val="18"/>
          <w:szCs w:val="18"/>
          <w:color w:val="auto"/>
        </w:rPr>
        <w:t xml:space="preserve"> monitoring, which will likely be accomplished by relocation or repurposing of existing monitors. States are expected to propose attainment designations by December 2013, based on already available monitoring data. The EPA believes that most U.S. counties currently already meet the new standard and plans to finalize designations of attainment by December 2014. For those counties that the EPA does not designate as having already met the requirements of the new standard, specific dates for required attainment will depend on technology availability, state permitting goals, potential legal challenges and other factors.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SO</w:t>
      </w:r>
      <w:r>
        <w:rPr>
          <w:rFonts w:ascii="Arial" w:cs="Arial" w:eastAsia="Arial" w:hAnsi="Arial"/>
          <w:sz w:val="12"/>
          <w:szCs w:val="12"/>
          <w:i w:val="1"/>
          <w:iCs w:val="1"/>
          <w:color w:val="auto"/>
        </w:rPr>
        <w:t>2</w:t>
      </w:r>
      <w:r>
        <w:rPr>
          <w:rFonts w:ascii="Arial" w:cs="Arial" w:eastAsia="Arial" w:hAnsi="Arial"/>
          <w:sz w:val="18"/>
          <w:szCs w:val="18"/>
          <w:i w:val="1"/>
          <w:iCs w:val="1"/>
          <w:color w:val="auto"/>
        </w:rPr>
        <w:t xml:space="preserve"> and NO</w:t>
      </w:r>
      <w:r>
        <w:rPr>
          <w:rFonts w:ascii="Arial" w:cs="Arial" w:eastAsia="Arial" w:hAnsi="Arial"/>
          <w:sz w:val="12"/>
          <w:szCs w:val="12"/>
          <w:i w:val="1"/>
          <w:iCs w:val="1"/>
          <w:color w:val="auto"/>
        </w:rPr>
        <w:t>2</w:t>
      </w:r>
      <w:r>
        <w:rPr>
          <w:rFonts w:ascii="Arial" w:cs="Arial" w:eastAsia="Arial" w:hAnsi="Arial"/>
          <w:sz w:val="18"/>
          <w:szCs w:val="18"/>
          <w:i w:val="1"/>
          <w:iCs w:val="1"/>
          <w:color w:val="auto"/>
        </w:rPr>
        <w:t xml:space="preserve"> NAAQS. </w:t>
      </w:r>
      <w:r>
        <w:rPr>
          <w:rFonts w:ascii="Arial" w:cs="Arial" w:eastAsia="Arial" w:hAnsi="Arial"/>
          <w:sz w:val="18"/>
          <w:szCs w:val="18"/>
          <w:color w:val="auto"/>
        </w:rPr>
        <w:t>During 2010, the EPA finalized new one-hour NAAQS for SO</w:t>
      </w:r>
      <w:r>
        <w:rPr>
          <w:rFonts w:ascii="Arial" w:cs="Arial" w:eastAsia="Arial" w:hAnsi="Arial"/>
          <w:sz w:val="12"/>
          <w:szCs w:val="12"/>
          <w:color w:val="auto"/>
        </w:rPr>
        <w:t>2</w:t>
      </w:r>
      <w:r>
        <w:rPr>
          <w:rFonts w:ascii="Arial" w:cs="Arial" w:eastAsia="Arial" w:hAnsi="Arial"/>
          <w:sz w:val="18"/>
          <w:szCs w:val="18"/>
          <w:i w:val="1"/>
          <w:iCs w:val="1"/>
          <w:color w:val="auto"/>
        </w:rPr>
        <w:t xml:space="preserve"> </w:t>
      </w:r>
      <w:r>
        <w:rPr>
          <w:rFonts w:ascii="Arial" w:cs="Arial" w:eastAsia="Arial" w:hAnsi="Arial"/>
          <w:sz w:val="18"/>
          <w:szCs w:val="18"/>
          <w:color w:val="auto"/>
        </w:rPr>
        <w:t>and NO</w:t>
      </w:r>
      <w:r>
        <w:rPr>
          <w:rFonts w:ascii="Arial" w:cs="Arial" w:eastAsia="Arial" w:hAnsi="Arial"/>
          <w:sz w:val="12"/>
          <w:szCs w:val="12"/>
          <w:color w:val="auto"/>
        </w:rPr>
        <w:t>2</w:t>
      </w:r>
      <w:r>
        <w:rPr>
          <w:rFonts w:ascii="Arial" w:cs="Arial" w:eastAsia="Arial" w:hAnsi="Arial"/>
          <w:sz w:val="18"/>
          <w:szCs w:val="18"/>
          <w:color w:val="auto"/>
        </w:rPr>
        <w:t>. Ambient monitoring data indicates that Minnesota will likely</w:t>
      </w:r>
      <w:r>
        <w:rPr>
          <w:rFonts w:ascii="Arial" w:cs="Arial" w:eastAsia="Arial" w:hAnsi="Arial"/>
          <w:sz w:val="18"/>
          <w:szCs w:val="18"/>
          <w:i w:val="1"/>
          <w:iCs w:val="1"/>
          <w:color w:val="auto"/>
        </w:rPr>
        <w:t xml:space="preserve"> </w:t>
      </w:r>
      <w:r>
        <w:rPr>
          <w:rFonts w:ascii="Arial" w:cs="Arial" w:eastAsia="Arial" w:hAnsi="Arial"/>
          <w:sz w:val="18"/>
          <w:szCs w:val="18"/>
          <w:color w:val="auto"/>
        </w:rPr>
        <w:t>be in compliance with these new standards; however, the one-hour SO</w:t>
      </w:r>
      <w:r>
        <w:rPr>
          <w:rFonts w:ascii="Arial" w:cs="Arial" w:eastAsia="Arial" w:hAnsi="Arial"/>
          <w:sz w:val="12"/>
          <w:szCs w:val="12"/>
          <w:color w:val="auto"/>
        </w:rPr>
        <w:t>2</w:t>
      </w:r>
      <w:r>
        <w:rPr>
          <w:rFonts w:ascii="Arial" w:cs="Arial" w:eastAsia="Arial" w:hAnsi="Arial"/>
          <w:sz w:val="18"/>
          <w:szCs w:val="18"/>
          <w:color w:val="auto"/>
        </w:rPr>
        <w:t xml:space="preserve"> NAAQS also require the EPA to evaluate modeling data to determine attainment. The EPA has notified states that their SIPs for attainment of the standard will be required to be submitted to the EPA for approval by June 2013 but will not be required to include the evaluation of modeling data until 2017.</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late 2011, the MPCA initiated modeling activities that included approximately 65 sources within Minnesota that emit greater than 100 tons of SO</w:t>
      </w:r>
      <w:r>
        <w:rPr>
          <w:rFonts w:ascii="Arial" w:cs="Arial" w:eastAsia="Arial" w:hAnsi="Arial"/>
          <w:sz w:val="11"/>
          <w:szCs w:val="11"/>
          <w:color w:val="auto"/>
        </w:rPr>
        <w:t>2</w:t>
      </w:r>
      <w:r>
        <w:rPr>
          <w:rFonts w:ascii="Arial" w:cs="Arial" w:eastAsia="Arial" w:hAnsi="Arial"/>
          <w:sz w:val="17"/>
          <w:szCs w:val="17"/>
          <w:color w:val="auto"/>
        </w:rPr>
        <w:t xml:space="preserve"> per year. However, on April 12, 2012, the MPCA notified Minnesota Power that such modeling had been suspended as a result of the EPA’s announcement that the June 2013 SIP submittals would no longer require modeling demonstrations for states, such as Minnesota, where ambient monitors indicate compliance with the new standard. The MPCA is awaiting updated EPA guidance and will communicate with affected sources once the MPCA has more information on how the state will meet the EPA’s SIP requirements. Currently, compliance with these new NAAQS is expected to be required as early as 2017. The costs for complying with the final standards cannot be estimated at this time.</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Climate Change. </w:t>
      </w:r>
      <w:r>
        <w:rPr>
          <w:rFonts w:ascii="Arial" w:cs="Arial" w:eastAsia="Arial" w:hAnsi="Arial"/>
          <w:sz w:val="18"/>
          <w:szCs w:val="18"/>
          <w:color w:val="auto"/>
        </w:rPr>
        <w:t>The scientific community generally accepts that emissions of GHGs are linked to global climate change. Climate change creates physical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financial risk. Physical risks could include, but are not limited to: increased or decreased precipitation and water levels in lakes and rivers; increased temperatures; and the intensity and frequency of extreme weather events. These all have the potential to affect the Company’s business and operations. We are addressing climate change by taking the following steps that also ensure reliable and environmentally compliant generation resources to meet our customers’ requirements:</w:t>
      </w:r>
    </w:p>
    <w:p>
      <w:pPr>
        <w:spacing w:after="0" w:line="188"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Expand our renewable energy supply;</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Provide energy conservation initiatives for our customers and engage in other demand side efforts;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Support research of technologies to reduce carbon emissions from generation facilities and carbon sequestration efforts;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Evaluating and developing less carbon intense future generating assets such as efficient and flexible natural gas generating facilities.</w:t>
      </w:r>
    </w:p>
    <w:p>
      <w:pPr>
        <w:spacing w:after="0" w:line="21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i w:val="1"/>
          <w:iCs w:val="1"/>
          <w:color w:val="auto"/>
        </w:rPr>
        <w:t xml:space="preserve">EPA Regulation of GHG Emissions. </w:t>
      </w:r>
      <w:r>
        <w:rPr>
          <w:rFonts w:ascii="Arial" w:cs="Arial" w:eastAsia="Arial" w:hAnsi="Arial"/>
          <w:sz w:val="17"/>
          <w:szCs w:val="17"/>
          <w:color w:val="auto"/>
        </w:rPr>
        <w:t>In May 2010, the EPA issued the final Prevention of Significant Deterioration (PSD) and Title V Greenhouse Gas</w:t>
      </w:r>
      <w:r>
        <w:rPr>
          <w:rFonts w:ascii="Arial" w:cs="Arial" w:eastAsia="Arial" w:hAnsi="Arial"/>
          <w:sz w:val="17"/>
          <w:szCs w:val="17"/>
          <w:i w:val="1"/>
          <w:iCs w:val="1"/>
          <w:color w:val="auto"/>
        </w:rPr>
        <w:t xml:space="preserve"> </w:t>
      </w:r>
      <w:r>
        <w:rPr>
          <w:rFonts w:ascii="Arial" w:cs="Arial" w:eastAsia="Arial" w:hAnsi="Arial"/>
          <w:sz w:val="17"/>
          <w:szCs w:val="17"/>
          <w:color w:val="auto"/>
        </w:rPr>
        <w:t>Tailoring Rule (Tailoring Rule). The Tailoring Rule establishes permitting thresholds required to address GHG emissions for new facilities, at existing facilities that undergo major modifications and at other facilities characterized as major sources under the Clean Air Act’s Title V program. For our existing facilities, the rule does not require amending our existing Title V operating permits to include GHG requirements. However, GHG requirements are likely to be added to our existing Title V operating permits by the MPCA as these permits are renewed or amended.</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2012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364" w:right="239" w:bottom="1440" w:gutter="0" w:footer="0" w:header="0"/>
        </w:sectPr>
      </w:pPr>
    </w:p>
    <w:bookmarkStart w:id="92" w:name="page93"/>
    <w:bookmarkEnd w:id="92"/>
    <w:p>
      <w:pPr>
        <w:spacing w:after="0"/>
        <w:rPr>
          <w:sz w:val="20"/>
          <w:szCs w:val="20"/>
          <w:color w:val="auto"/>
        </w:rPr>
      </w:pPr>
      <w:r>
        <w:rPr>
          <w:rFonts w:ascii="Arial" w:cs="Arial" w:eastAsia="Arial" w:hAnsi="Arial"/>
          <w:sz w:val="18"/>
          <w:szCs w:val="18"/>
          <w:b w:val="1"/>
          <w:bCs w:val="1"/>
          <w:color w:val="auto"/>
        </w:rPr>
        <w:t>NOTE 11. COMMITMENTS, GUARANTEES AND CONTINGENCIES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 (Continued)</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late 2010, the EPA issued guidance to permitting authorities and affected sources to facilitate incorporation of the Tailoring Rule permitting requirements into the Title V and PSD permitting programs. The guidance stated that the project-specific, top-down BACT determination process used for other pollutants will also be used to determine BACT for GHG emissions. Through sector-specific white papers, the EPA also provided examples and technical summaries of GHG emission control technologies and techniques the EPA considers available or likely to be available to sources. It is possible that these control technologies could be determined to be BACT on a project-by-project basis.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March 28, 2012, the EPA announced its proposed rule to apply CO</w:t>
      </w:r>
      <w:r>
        <w:rPr>
          <w:rFonts w:ascii="Arial" w:cs="Arial" w:eastAsia="Arial" w:hAnsi="Arial"/>
          <w:sz w:val="12"/>
          <w:szCs w:val="12"/>
          <w:color w:val="auto"/>
        </w:rPr>
        <w:t>2</w:t>
      </w:r>
      <w:r>
        <w:rPr>
          <w:rFonts w:ascii="Arial" w:cs="Arial" w:eastAsia="Arial" w:hAnsi="Arial"/>
          <w:sz w:val="18"/>
          <w:szCs w:val="18"/>
          <w:color w:val="auto"/>
        </w:rPr>
        <w:t xml:space="preserve"> emission New Source Performance Standards (NSPS) to new fossil fuel-fired electric generating units. The proposed NSPS apply only to new or re-powered units and were open for public comment through June 25, 2012. It is anticipated that the EPA will issue NSPS for existing fossil fuel-fired generating units in the future. We cannot predict what CO</w:t>
      </w:r>
      <w:r>
        <w:rPr>
          <w:rFonts w:ascii="Arial" w:cs="Arial" w:eastAsia="Arial" w:hAnsi="Arial"/>
          <w:sz w:val="12"/>
          <w:szCs w:val="12"/>
          <w:color w:val="auto"/>
        </w:rPr>
        <w:t>2</w:t>
      </w:r>
      <w:r>
        <w:rPr>
          <w:rFonts w:ascii="Arial" w:cs="Arial" w:eastAsia="Arial" w:hAnsi="Arial"/>
          <w:sz w:val="18"/>
          <w:szCs w:val="18"/>
          <w:color w:val="auto"/>
        </w:rPr>
        <w:t xml:space="preserve"> control measures, if any, may be required by such NSPS.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Legal challenges have been filed with respect to the EPA’s regulation of GHG emissions, including the Tailoring Rule. On June 26, 2012, the United States District Court for the District of Columbia upheld most of the EPA’s proposed regulations, including the Tailoring Rule criteria, finding that the Clean Air Act compels the EPA to regulate in the manner the EPA proposed. Comments to the permitting guidance were submitted by Minnesota Power and others and may be addressed by the EPA in the form of revised guidance documents.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unable to predict the GHG emission compliance costs we might incur; however, the costs could be material. We would seek recovery of any additional costs through cost recovery riders or in a general rate case.</w:t>
      </w:r>
    </w:p>
    <w:p>
      <w:pPr>
        <w:spacing w:after="0" w:line="16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Water. </w:t>
      </w:r>
      <w:r>
        <w:rPr>
          <w:rFonts w:ascii="Arial" w:cs="Arial" w:eastAsia="Arial" w:hAnsi="Arial"/>
          <w:sz w:val="18"/>
          <w:szCs w:val="18"/>
          <w:color w:val="auto"/>
        </w:rPr>
        <w:t>The Clean Water Act requires NPDES permits be obtained from the EPA (or, when delegated, from individual state pollution control agencies) for any</w:t>
      </w:r>
      <w:r>
        <w:rPr>
          <w:rFonts w:ascii="Arial" w:cs="Arial" w:eastAsia="Arial" w:hAnsi="Arial"/>
          <w:sz w:val="18"/>
          <w:szCs w:val="18"/>
          <w:b w:val="1"/>
          <w:bCs w:val="1"/>
          <w:color w:val="auto"/>
        </w:rPr>
        <w:t xml:space="preserve"> </w:t>
      </w:r>
      <w:r>
        <w:rPr>
          <w:rFonts w:ascii="Arial" w:cs="Arial" w:eastAsia="Arial" w:hAnsi="Arial"/>
          <w:sz w:val="18"/>
          <w:szCs w:val="18"/>
          <w:color w:val="auto"/>
        </w:rPr>
        <w:t>wastewater discharged into navigable waters. We have obtained all necessary NPDES permits, including NPDES storm water permits for applicable facilities, to conduct our operations.</w:t>
      </w:r>
    </w:p>
    <w:p>
      <w:pPr>
        <w:spacing w:after="0" w:line="18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 xml:space="preserve">Clean Water Act - Aquatic Organisms. </w:t>
      </w:r>
      <w:r>
        <w:rPr>
          <w:rFonts w:ascii="Arial" w:cs="Arial" w:eastAsia="Arial" w:hAnsi="Arial"/>
          <w:sz w:val="17"/>
          <w:szCs w:val="17"/>
          <w:color w:val="auto"/>
        </w:rPr>
        <w:t>In April 2011, the EPA published in the Federal Register proposed regulations under Section 316(b) of the Clean Water</w:t>
      </w:r>
      <w:r>
        <w:rPr>
          <w:rFonts w:ascii="Arial" w:cs="Arial" w:eastAsia="Arial" w:hAnsi="Arial"/>
          <w:sz w:val="17"/>
          <w:szCs w:val="17"/>
          <w:i w:val="1"/>
          <w:iCs w:val="1"/>
          <w:color w:val="auto"/>
        </w:rPr>
        <w:t xml:space="preserve"> </w:t>
      </w:r>
      <w:r>
        <w:rPr>
          <w:rFonts w:ascii="Arial" w:cs="Arial" w:eastAsia="Arial" w:hAnsi="Arial"/>
          <w:sz w:val="17"/>
          <w:szCs w:val="17"/>
          <w:color w:val="auto"/>
        </w:rPr>
        <w:t>Act that set standards applicable to cooling water intake structures for the protection of aquatic organisms. The proposed regulations would require existing large power plants and manufacturing facilities that withdraw greater than 25 percent of water from adjacent water bodies for cooling purposes and have a design intake flow of greater than 2 million gallons per day to limit the number of aquatic organisms that are killed when they are pinned against the facility’s intake structure or that are drawn into the facility’s cooling system. The Section 316(b) standards would be implemented through NPDES permits issued to the covered facilities. The Section 316(b) proposed rule comment period ended in August 2011 and the EPA is obligated to finalize the rule by June 27, 2013. We are unable to predict the compliance costs we might incur under the final rule; however, the costs could be material. We would seek recovery of any additional costs through cost recovery riders or in a general rate case.</w:t>
      </w:r>
    </w:p>
    <w:p>
      <w:pPr>
        <w:spacing w:after="0" w:line="17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color w:val="auto"/>
        </w:rPr>
        <w:t xml:space="preserve">Steam Electric Power Generating Effluent Guidelines. </w:t>
      </w:r>
      <w:r>
        <w:rPr>
          <w:rFonts w:ascii="Arial" w:cs="Arial" w:eastAsia="Arial" w:hAnsi="Arial"/>
          <w:sz w:val="18"/>
          <w:szCs w:val="18"/>
          <w:color w:val="auto"/>
        </w:rPr>
        <w:t>In late 2009, the EPA announced that it will be reviewing and reissuing the federal effluent guidelines</w:t>
      </w:r>
      <w:r>
        <w:rPr>
          <w:rFonts w:ascii="Arial" w:cs="Arial" w:eastAsia="Arial" w:hAnsi="Arial"/>
          <w:sz w:val="18"/>
          <w:szCs w:val="18"/>
          <w:i w:val="1"/>
          <w:iCs w:val="1"/>
          <w:color w:val="auto"/>
        </w:rPr>
        <w:t xml:space="preserve"> </w:t>
      </w:r>
      <w:r>
        <w:rPr>
          <w:rFonts w:ascii="Arial" w:cs="Arial" w:eastAsia="Arial" w:hAnsi="Arial"/>
          <w:sz w:val="18"/>
          <w:szCs w:val="18"/>
          <w:color w:val="auto"/>
        </w:rPr>
        <w:t>for steam electric stations. These are the underlying federal water discharge rules that apply to all steam electric stations. It is expected that the EPA will publish the proposed new rule in April 2013 and a final rule in 2014. As part of the review phase for this new rule, the EPA issued an Information Collection Request (ICR) in June 2010, to most thermal electric generating stations in the country, including all five of Minnesota Power’s generating stations. The ICR was completed and submitted to the EPA in September 2010, for Boswell, Laskin, Taconite Harbor, Hibbard and Rapids Energy Center. The ICR was designed to gather extensive information on the nature and extent of all water discharge and related wastewater handling at power plants. The information gathered through the ICR will form a basis for development of the eventual new rule, which could include more restrictive requirements on wastewater discharge, flue gas desulfurization, and wet ash handling operations. We are unable to predict the costs we might incur to comply with potential future water discharge regulations at this time.</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Solid and Hazardous Waste. </w:t>
      </w:r>
      <w:r>
        <w:rPr>
          <w:rFonts w:ascii="Arial" w:cs="Arial" w:eastAsia="Arial" w:hAnsi="Arial"/>
          <w:sz w:val="16"/>
          <w:szCs w:val="16"/>
          <w:color w:val="auto"/>
        </w:rPr>
        <w:t>The Resource Conservation and Recovery Act of 1976 regulates the management and disposal of solid and hazardous wastes.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We are required to notify the EPA of hazardous waste activity and, consequently, routinely submit the necessary reports to the EPA.</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2012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364" w:right="239" w:bottom="1440" w:gutter="0" w:footer="0" w:header="0"/>
        </w:sectPr>
      </w:pPr>
    </w:p>
    <w:bookmarkStart w:id="93" w:name="page94"/>
    <w:bookmarkEnd w:id="93"/>
    <w:p>
      <w:pPr>
        <w:spacing w:after="0"/>
        <w:rPr>
          <w:sz w:val="20"/>
          <w:szCs w:val="20"/>
          <w:color w:val="auto"/>
        </w:rPr>
      </w:pPr>
      <w:r>
        <w:rPr>
          <w:rFonts w:ascii="Arial" w:cs="Arial" w:eastAsia="Arial" w:hAnsi="Arial"/>
          <w:sz w:val="18"/>
          <w:szCs w:val="18"/>
          <w:b w:val="1"/>
          <w:bCs w:val="1"/>
          <w:color w:val="auto"/>
        </w:rPr>
        <w:t>NOTE 11. COMMITMENTS, GUARANTEES AND CONTINGENCIES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 (Continued)</w:t>
      </w:r>
    </w:p>
    <w:p>
      <w:pPr>
        <w:spacing w:after="0" w:line="21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Coal Ash Management Facilities</w:t>
      </w:r>
      <w:r>
        <w:rPr>
          <w:rFonts w:ascii="Arial" w:cs="Arial" w:eastAsia="Arial" w:hAnsi="Arial"/>
          <w:sz w:val="17"/>
          <w:szCs w:val="17"/>
          <w:b w:val="1"/>
          <w:bCs w:val="1"/>
          <w:i w:val="1"/>
          <w:iCs w:val="1"/>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Minnesota Power generates coal ash at all five of its coal-fired electric generating facilities. Two facilities store ash in</w:t>
      </w:r>
      <w:r>
        <w:rPr>
          <w:rFonts w:ascii="Arial" w:cs="Arial" w:eastAsia="Arial" w:hAnsi="Arial"/>
          <w:sz w:val="17"/>
          <w:szCs w:val="17"/>
          <w:i w:val="1"/>
          <w:iCs w:val="1"/>
          <w:color w:val="auto"/>
        </w:rPr>
        <w:t xml:space="preserve"> </w:t>
      </w:r>
      <w:r>
        <w:rPr>
          <w:rFonts w:ascii="Arial" w:cs="Arial" w:eastAsia="Arial" w:hAnsi="Arial"/>
          <w:sz w:val="17"/>
          <w:szCs w:val="17"/>
          <w:color w:val="auto"/>
        </w:rPr>
        <w:t>onsite impoundments (ash ponds) with engineered liners and containment dikes. Another facility stores dry ash in a landfill with an engineered liner and leachate collection system. Two facilities generate a combined wood and coal ash that is either land applied as an approved beneficial use or trucked to state permitted landfills. In June 2010, the EPA proposed regulations for coal combustion residuals generated by the electric utility sector. The proposal sought comments on three general regulatory schemes for coal ash. Comments on the proposed rule were due in November 2010. It is estimated that the final rule will be published in 2013. We are unable to predict the compliance costs we might incur; however, the costs could be material. We would seek recovery of any additional costs through cost recovery riders or in a general rate case.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22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BNI Coal. </w:t>
      </w:r>
      <w:r>
        <w:rPr>
          <w:rFonts w:ascii="Arial" w:cs="Arial" w:eastAsia="Arial" w:hAnsi="Arial"/>
          <w:sz w:val="18"/>
          <w:szCs w:val="18"/>
          <w:color w:val="auto"/>
        </w:rPr>
        <w:t>As of December 31, 2012, BNI Coal had surety bonds outstanding of $29.8 million related to the reclamation liability for closing costs associated</w:t>
      </w:r>
      <w:r>
        <w:rPr>
          <w:rFonts w:ascii="Arial" w:cs="Arial" w:eastAsia="Arial" w:hAnsi="Arial"/>
          <w:sz w:val="18"/>
          <w:szCs w:val="18"/>
          <w:b w:val="1"/>
          <w:bCs w:val="1"/>
          <w:color w:val="auto"/>
        </w:rPr>
        <w:t xml:space="preserve"> </w:t>
      </w:r>
      <w:r>
        <w:rPr>
          <w:rFonts w:ascii="Arial" w:cs="Arial" w:eastAsia="Arial" w:hAnsi="Arial"/>
          <w:sz w:val="18"/>
          <w:szCs w:val="18"/>
          <w:color w:val="auto"/>
        </w:rPr>
        <w:t>with its mine and mine facilities. Although the coal supply agreements obligate the customers to provide for the closing costs, additional assurance is required by federal and state regulations. In addition to the surety bonds, BNI Coal has secured a letter of credit with CoBANK ACB for an additional $2.6 million to provide for BNI Coal’s total reclamation liability, which is currently estimated at $32.4 million. BNI Coal does not believe it is likely that any of these outstanding surety bonds or the letter of credit will be drawn upon.</w:t>
      </w:r>
    </w:p>
    <w:p>
      <w:pPr>
        <w:spacing w:after="0" w:line="18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ALLETE Properties. </w:t>
      </w:r>
      <w:r>
        <w:rPr>
          <w:rFonts w:ascii="Arial" w:cs="Arial" w:eastAsia="Arial" w:hAnsi="Arial"/>
          <w:sz w:val="18"/>
          <w:szCs w:val="18"/>
          <w:color w:val="auto"/>
        </w:rPr>
        <w:t>As of December 31, 2012, ALLETE Properties, through its subsidiaries, had surety bonds outstanding and letters of credit to</w:t>
      </w:r>
      <w:r>
        <w:rPr>
          <w:rFonts w:ascii="Arial" w:cs="Arial" w:eastAsia="Arial" w:hAnsi="Arial"/>
          <w:sz w:val="18"/>
          <w:szCs w:val="18"/>
          <w:b w:val="1"/>
          <w:bCs w:val="1"/>
          <w:color w:val="auto"/>
        </w:rPr>
        <w:t xml:space="preserve"> </w:t>
      </w:r>
      <w:r>
        <w:rPr>
          <w:rFonts w:ascii="Arial" w:cs="Arial" w:eastAsia="Arial" w:hAnsi="Arial"/>
          <w:sz w:val="18"/>
          <w:szCs w:val="18"/>
          <w:color w:val="auto"/>
        </w:rPr>
        <w:t>governmental entities totaling $10.2 million primarily related to development and maintenance obligations for various projects. The estimated cost of the remaining development work is approximately $7.4 million, of which $0.6 million is the contractual obligation of land purchasers. ALLETE Properties does not believe it is likely that any of these outstanding surety bonds or letters of credit will be drawn upon.</w:t>
      </w:r>
    </w:p>
    <w:p>
      <w:pPr>
        <w:spacing w:after="0" w:line="18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color w:val="auto"/>
        </w:rPr>
        <w:t xml:space="preserve">Community Development District Obligations. </w:t>
      </w:r>
      <w:r>
        <w:rPr>
          <w:rFonts w:ascii="Arial" w:cs="Arial" w:eastAsia="Arial" w:hAnsi="Arial"/>
          <w:sz w:val="17"/>
          <w:szCs w:val="17"/>
          <w:color w:val="auto"/>
        </w:rPr>
        <w:t>In March 2005, the Town Center District issued $26.4 million of tax-exempt, 6 percent capital improvement</w:t>
      </w:r>
      <w:r>
        <w:rPr>
          <w:rFonts w:ascii="Arial" w:cs="Arial" w:eastAsia="Arial" w:hAnsi="Arial"/>
          <w:sz w:val="17"/>
          <w:szCs w:val="17"/>
          <w:b w:val="1"/>
          <w:bCs w:val="1"/>
          <w:color w:val="auto"/>
        </w:rPr>
        <w:t xml:space="preserve"> </w:t>
      </w:r>
      <w:r>
        <w:rPr>
          <w:rFonts w:ascii="Arial" w:cs="Arial" w:eastAsia="Arial" w:hAnsi="Arial"/>
          <w:sz w:val="17"/>
          <w:szCs w:val="17"/>
          <w:color w:val="auto"/>
        </w:rPr>
        <w:t>revenue bonds and in May 2006, the Palm Coast Park District issued $31.8 million of tax-exempt, 5.7 percent special assessment bonds. The capital improvement revenue bonds and the special assessment bonds are payable over 31 years (by May 1, 2036 and 2037, respectively) and secured by special assessments on the benefited land. The bond proceeds were used to pay for the construction of a portion of the major infrastructure improvements in each district and to mitigate traffic and environmental impacts. The assessments were billed to the landowners beginning in November 2006 for Town Center and November 2007 for Palm Coast Park. To the extent that we still own land at the time of the assessment, we will incur the cost of our portion of these assessments, based upon our ownership of benefited property. At December 31, 2012, we owned 73 percent of the assessable land in the Town Center District (73 percent at December 31, 2011) and 93 percent of the assessable land in the Palm Coast Park District (93 percent at December 31, 2011). At these ownership levels, our annual assessments are approximately $1.4 million for Town Center and $2.1 million for Palm Coast Park. As we sell property, the obligation to pay special assessments will pass to the new landowners. In accordance with accounting guidance, these bonds are not reflected as debt on our Consolidated Balance Sheet.</w:t>
      </w:r>
    </w:p>
    <w:p>
      <w:pPr>
        <w:spacing w:after="0" w:line="17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color w:val="auto"/>
        </w:rPr>
        <w:t xml:space="preserve">Legal Proceedings. </w:t>
      </w:r>
      <w:r>
        <w:rPr>
          <w:rFonts w:ascii="Arial" w:cs="Arial" w:eastAsia="Arial" w:hAnsi="Arial"/>
          <w:sz w:val="17"/>
          <w:szCs w:val="17"/>
          <w:color w:val="auto"/>
        </w:rPr>
        <w:t>In January 2011, the Company was named as a defendant in a lawsuit in the Sixth Judicial District for the State of Minnesota by one of</w:t>
      </w:r>
      <w:r>
        <w:rPr>
          <w:rFonts w:ascii="Arial" w:cs="Arial" w:eastAsia="Arial" w:hAnsi="Arial"/>
          <w:sz w:val="17"/>
          <w:szCs w:val="17"/>
          <w:b w:val="1"/>
          <w:bCs w:val="1"/>
          <w:color w:val="auto"/>
        </w:rPr>
        <w:t xml:space="preserve"> </w:t>
      </w:r>
      <w:r>
        <w:rPr>
          <w:rFonts w:ascii="Arial" w:cs="Arial" w:eastAsia="Arial" w:hAnsi="Arial"/>
          <w:sz w:val="17"/>
          <w:szCs w:val="17"/>
          <w:color w:val="auto"/>
        </w:rPr>
        <w:t>our customer’s (United Taconite, LLC) property and business interruption insurers. In October 2006, United Taconite experienced a fire as a result of the failure of certain electrical protective equipment. The equipment at issue in the incident was not owned, designed, or installed by Minnesota Power, but Minnesota Power had provided testing and calibration services related to the equipment. The lawsuit alleges approximately $20.0 million in damages related to the fire. The Company believes that it has strong defenses to the lawsuit and intends to vigorously assert such defenses. An accrual related to any damages that may result from the lawsuit has not been recorded as of December 31, 2012, because a potential loss is not currently probable or reasonably estimable; however, the Company believes it has adequate insurance coverage for any potential loss.</w:t>
      </w:r>
    </w:p>
    <w:p>
      <w:pPr>
        <w:spacing w:after="0" w:line="172"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color w:val="auto"/>
        </w:rPr>
        <w:t xml:space="preserve">Other. </w:t>
      </w:r>
      <w:r>
        <w:rPr>
          <w:rFonts w:ascii="Arial" w:cs="Arial" w:eastAsia="Arial" w:hAnsi="Arial"/>
          <w:sz w:val="16"/>
          <w:szCs w:val="16"/>
          <w:color w:val="auto"/>
        </w:rPr>
        <w:t>We are involved in litigation arising in the normal course of business. Also in the normal course of business, we are involved in tax, regulatory and</w:t>
      </w:r>
      <w:r>
        <w:rPr>
          <w:rFonts w:ascii="Arial" w:cs="Arial" w:eastAsia="Arial" w:hAnsi="Arial"/>
          <w:sz w:val="16"/>
          <w:szCs w:val="16"/>
          <w:b w:val="1"/>
          <w:bCs w:val="1"/>
          <w:color w:val="auto"/>
        </w:rPr>
        <w:t xml:space="preserve"> </w:t>
      </w:r>
      <w:r>
        <w:rPr>
          <w:rFonts w:ascii="Arial" w:cs="Arial" w:eastAsia="Arial" w:hAnsi="Arial"/>
          <w:sz w:val="16"/>
          <w:szCs w:val="16"/>
          <w:color w:val="auto"/>
        </w:rPr>
        <w:t>other governmental audits, inspections, investigations and other proceedings that involve state and federal taxes, safety, and compliance with regulations, rate base and cost of service issues, among other things. While the resolution of such matters could have a material effect on earnings and cash flows in the year of resolution, none of these matters are expected to materially change our present liquidity position, or have a material adverse effect on our financial condition.</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ALLETE 2012 Form 10-K</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364" w:right="239" w:bottom="1440" w:gutter="0" w:footer="0" w:header="0"/>
        </w:sectPr>
      </w:pPr>
    </w:p>
    <w:bookmarkStart w:id="94" w:name="page95"/>
    <w:bookmarkEnd w:id="94"/>
    <w:tbl>
      <w:tblPr>
        <w:tblLayout w:type="fixed"/>
        <w:tblInd w:w="0" w:type="dxa"/>
        <w:tblCellMar>
          <w:top w:w="0" w:type="dxa"/>
          <w:left w:w="0" w:type="dxa"/>
          <w:bottom w:w="0" w:type="dxa"/>
          <w:right w:w="0" w:type="dxa"/>
        </w:tblCellMar>
      </w:tblPr>
      <w:tr>
        <w:trPr>
          <w:trHeight w:val="234"/>
        </w:trPr>
        <w:tc>
          <w:tcPr>
            <w:tcW w:w="6920" w:type="dxa"/>
            <w:vAlign w:val="bottom"/>
          </w:tcPr>
          <w:p>
            <w:pPr>
              <w:spacing w:after="0"/>
              <w:rPr>
                <w:sz w:val="20"/>
                <w:szCs w:val="20"/>
                <w:color w:val="auto"/>
              </w:rPr>
            </w:pPr>
            <w:r>
              <w:rPr>
                <w:rFonts w:ascii="Arial" w:cs="Arial" w:eastAsia="Arial" w:hAnsi="Arial"/>
                <w:sz w:val="18"/>
                <w:szCs w:val="18"/>
                <w:b w:val="1"/>
                <w:bCs w:val="1"/>
                <w:color w:val="auto"/>
              </w:rPr>
              <w:t>NOTE 12. COMMON STOCK AND EARNINGS PER SHARE</w:t>
            </w:r>
          </w:p>
        </w:tc>
        <w:tc>
          <w:tcPr>
            <w:tcW w:w="326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594"/>
        </w:trPr>
        <w:tc>
          <w:tcPr>
            <w:tcW w:w="6920" w:type="dxa"/>
            <w:vAlign w:val="bottom"/>
          </w:tcPr>
          <w:p>
            <w:pPr>
              <w:ind w:left="40"/>
              <w:spacing w:after="0"/>
              <w:rPr>
                <w:sz w:val="20"/>
                <w:szCs w:val="20"/>
                <w:color w:val="auto"/>
              </w:rPr>
            </w:pPr>
            <w:r>
              <w:rPr>
                <w:rFonts w:ascii="Arial" w:cs="Arial" w:eastAsia="Arial" w:hAnsi="Arial"/>
                <w:sz w:val="18"/>
                <w:szCs w:val="18"/>
                <w:b w:val="1"/>
                <w:bCs w:val="1"/>
                <w:color w:val="auto"/>
              </w:rPr>
              <w:t>Summary of Common Stock</w:t>
            </w:r>
          </w:p>
        </w:tc>
        <w:tc>
          <w:tcPr>
            <w:tcW w:w="3260" w:type="dxa"/>
            <w:vAlign w:val="bottom"/>
          </w:tcPr>
          <w:p>
            <w:pPr>
              <w:jc w:val="right"/>
              <w:ind w:right="450"/>
              <w:spacing w:after="0"/>
              <w:rPr>
                <w:sz w:val="20"/>
                <w:szCs w:val="20"/>
                <w:color w:val="auto"/>
              </w:rPr>
            </w:pPr>
            <w:r>
              <w:rPr>
                <w:rFonts w:ascii="Arial" w:cs="Arial" w:eastAsia="Arial" w:hAnsi="Arial"/>
                <w:sz w:val="18"/>
                <w:szCs w:val="18"/>
                <w:b w:val="1"/>
                <w:bCs w:val="1"/>
                <w:color w:val="auto"/>
              </w:rPr>
              <w:t>Shares</w:t>
            </w:r>
          </w:p>
        </w:tc>
        <w:tc>
          <w:tcPr>
            <w:tcW w:w="1240" w:type="dxa"/>
            <w:vAlign w:val="bottom"/>
          </w:tcPr>
          <w:p>
            <w:pPr>
              <w:jc w:val="right"/>
              <w:ind w:right="330"/>
              <w:spacing w:after="0"/>
              <w:rPr>
                <w:sz w:val="20"/>
                <w:szCs w:val="20"/>
                <w:color w:val="auto"/>
              </w:rPr>
            </w:pPr>
            <w:r>
              <w:rPr>
                <w:rFonts w:ascii="Arial" w:cs="Arial" w:eastAsia="Arial" w:hAnsi="Arial"/>
                <w:sz w:val="18"/>
                <w:szCs w:val="18"/>
                <w:b w:val="1"/>
                <w:bCs w:val="1"/>
                <w:color w:val="auto"/>
              </w:rPr>
              <w:t>Equity</w:t>
            </w:r>
          </w:p>
        </w:tc>
      </w:tr>
      <w:tr>
        <w:trPr>
          <w:trHeight w:val="270"/>
        </w:trPr>
        <w:tc>
          <w:tcPr>
            <w:tcW w:w="6920" w:type="dxa"/>
            <w:vAlign w:val="bottom"/>
          </w:tcPr>
          <w:p>
            <w:pPr>
              <w:spacing w:after="0"/>
              <w:rPr>
                <w:sz w:val="23"/>
                <w:szCs w:val="23"/>
                <w:color w:val="auto"/>
              </w:rPr>
            </w:pPr>
          </w:p>
        </w:tc>
        <w:tc>
          <w:tcPr>
            <w:tcW w:w="3260" w:type="dxa"/>
            <w:vAlign w:val="bottom"/>
          </w:tcPr>
          <w:p>
            <w:pPr>
              <w:jc w:val="right"/>
              <w:ind w:right="290"/>
              <w:spacing w:after="0"/>
              <w:rPr>
                <w:sz w:val="20"/>
                <w:szCs w:val="20"/>
                <w:color w:val="auto"/>
              </w:rPr>
            </w:pPr>
            <w:r>
              <w:rPr>
                <w:rFonts w:ascii="Arial" w:cs="Arial" w:eastAsia="Arial" w:hAnsi="Arial"/>
                <w:sz w:val="18"/>
                <w:szCs w:val="18"/>
                <w:b w:val="1"/>
                <w:bCs w:val="1"/>
                <w:color w:val="auto"/>
              </w:rPr>
              <w:t>Thousands</w:t>
            </w:r>
          </w:p>
        </w:tc>
        <w:tc>
          <w:tcPr>
            <w:tcW w:w="1240" w:type="dxa"/>
            <w:vAlign w:val="bottom"/>
          </w:tcPr>
          <w:p>
            <w:pPr>
              <w:jc w:val="right"/>
              <w:ind w:right="270"/>
              <w:spacing w:after="0"/>
              <w:rPr>
                <w:sz w:val="20"/>
                <w:szCs w:val="20"/>
                <w:color w:val="auto"/>
              </w:rPr>
            </w:pPr>
            <w:r>
              <w:rPr>
                <w:rFonts w:ascii="Arial" w:cs="Arial" w:eastAsia="Arial" w:hAnsi="Arial"/>
                <w:sz w:val="18"/>
                <w:szCs w:val="18"/>
                <w:b w:val="1"/>
                <w:bCs w:val="1"/>
                <w:color w:val="auto"/>
              </w:rPr>
              <w:t>Millions</w:t>
            </w:r>
          </w:p>
        </w:tc>
      </w:tr>
      <w:tr>
        <w:trPr>
          <w:trHeight w:val="27"/>
        </w:trPr>
        <w:tc>
          <w:tcPr>
            <w:tcW w:w="6920" w:type="dxa"/>
            <w:vAlign w:val="bottom"/>
            <w:tcBorders>
              <w:bottom w:val="single" w:sz="8" w:color="auto"/>
            </w:tcBorders>
          </w:tcPr>
          <w:p>
            <w:pPr>
              <w:spacing w:after="0"/>
              <w:rPr>
                <w:sz w:val="2"/>
                <w:szCs w:val="2"/>
                <w:color w:val="auto"/>
              </w:rPr>
            </w:pPr>
          </w:p>
        </w:tc>
        <w:tc>
          <w:tcPr>
            <w:tcW w:w="3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6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2009</w:t>
            </w:r>
          </w:p>
        </w:tc>
        <w:tc>
          <w:tcPr>
            <w:tcW w:w="32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35,221</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$613.4</w:t>
            </w:r>
          </w:p>
        </w:tc>
      </w:tr>
      <w:tr>
        <w:trPr>
          <w:trHeight w:val="243"/>
        </w:trPr>
        <w:tc>
          <w:tcPr>
            <w:tcW w:w="6920" w:type="dxa"/>
            <w:vAlign w:val="bottom"/>
          </w:tcPr>
          <w:p>
            <w:pPr>
              <w:ind w:left="720"/>
              <w:spacing w:after="0"/>
              <w:rPr>
                <w:sz w:val="20"/>
                <w:szCs w:val="20"/>
                <w:color w:val="auto"/>
              </w:rPr>
            </w:pPr>
            <w:r>
              <w:rPr>
                <w:rFonts w:ascii="Arial" w:cs="Arial" w:eastAsia="Arial" w:hAnsi="Arial"/>
                <w:sz w:val="18"/>
                <w:szCs w:val="18"/>
                <w:color w:val="auto"/>
              </w:rPr>
              <w:t>Employee Stock Purchase Program</w:t>
            </w:r>
          </w:p>
        </w:tc>
        <w:tc>
          <w:tcPr>
            <w:tcW w:w="3260" w:type="dxa"/>
            <w:vAlign w:val="bottom"/>
          </w:tcPr>
          <w:p>
            <w:pPr>
              <w:jc w:val="right"/>
              <w:ind w:right="150"/>
              <w:spacing w:after="0"/>
              <w:rPr>
                <w:sz w:val="20"/>
                <w:szCs w:val="20"/>
                <w:color w:val="auto"/>
              </w:rPr>
            </w:pPr>
            <w:r>
              <w:rPr>
                <w:rFonts w:ascii="Arial" w:cs="Arial" w:eastAsia="Arial" w:hAnsi="Arial"/>
                <w:sz w:val="18"/>
                <w:szCs w:val="18"/>
                <w:color w:val="auto"/>
              </w:rPr>
              <w:t>19</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0.6</w:t>
            </w:r>
          </w:p>
        </w:tc>
      </w:tr>
      <w:tr>
        <w:trPr>
          <w:trHeight w:val="27"/>
        </w:trPr>
        <w:tc>
          <w:tcPr>
            <w:tcW w:w="692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9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Invest Direct</w:t>
            </w:r>
          </w:p>
        </w:tc>
        <w:tc>
          <w:tcPr>
            <w:tcW w:w="32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346</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w:t>
            </w:r>
          </w:p>
        </w:tc>
      </w:tr>
      <w:tr>
        <w:trPr>
          <w:trHeight w:val="243"/>
        </w:trPr>
        <w:tc>
          <w:tcPr>
            <w:tcW w:w="6920" w:type="dxa"/>
            <w:vAlign w:val="bottom"/>
          </w:tcPr>
          <w:p>
            <w:pPr>
              <w:ind w:left="720"/>
              <w:spacing w:after="0"/>
              <w:rPr>
                <w:sz w:val="20"/>
                <w:szCs w:val="20"/>
                <w:color w:val="auto"/>
              </w:rPr>
            </w:pPr>
            <w:r>
              <w:rPr>
                <w:rFonts w:ascii="Arial" w:cs="Arial" w:eastAsia="Arial" w:hAnsi="Arial"/>
                <w:sz w:val="18"/>
                <w:szCs w:val="18"/>
                <w:color w:val="auto"/>
              </w:rPr>
              <w:t>Options and Stock Awards</w:t>
            </w:r>
          </w:p>
        </w:tc>
        <w:tc>
          <w:tcPr>
            <w:tcW w:w="3260" w:type="dxa"/>
            <w:vAlign w:val="bottom"/>
          </w:tcPr>
          <w:p>
            <w:pPr>
              <w:jc w:val="right"/>
              <w:ind w:right="150"/>
              <w:spacing w:after="0"/>
              <w:rPr>
                <w:sz w:val="20"/>
                <w:szCs w:val="20"/>
                <w:color w:val="auto"/>
              </w:rPr>
            </w:pPr>
            <w:r>
              <w:rPr>
                <w:rFonts w:ascii="Arial" w:cs="Arial" w:eastAsia="Arial" w:hAnsi="Arial"/>
                <w:sz w:val="18"/>
                <w:szCs w:val="18"/>
                <w:color w:val="auto"/>
              </w:rPr>
              <w:t>51</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4.4</w:t>
            </w:r>
          </w:p>
        </w:tc>
      </w:tr>
      <w:tr>
        <w:trPr>
          <w:trHeight w:val="27"/>
        </w:trPr>
        <w:tc>
          <w:tcPr>
            <w:tcW w:w="692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5"/>
        </w:trPr>
        <w:tc>
          <w:tcPr>
            <w:tcW w:w="69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Equity Issuance Program</w:t>
            </w:r>
          </w:p>
        </w:tc>
        <w:tc>
          <w:tcPr>
            <w:tcW w:w="32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180</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w:t>
            </w:r>
          </w:p>
        </w:tc>
      </w:tr>
      <w:tr>
        <w:trPr>
          <w:trHeight w:val="237"/>
        </w:trPr>
        <w:tc>
          <w:tcPr>
            <w:tcW w:w="69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Balance as of December 31, 2010</w:t>
            </w:r>
          </w:p>
        </w:tc>
        <w:tc>
          <w:tcPr>
            <w:tcW w:w="32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35,817</w:t>
            </w: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$636.1</w:t>
            </w:r>
          </w:p>
        </w:tc>
      </w:tr>
      <w:tr>
        <w:trPr>
          <w:trHeight w:val="27"/>
        </w:trPr>
        <w:tc>
          <w:tcPr>
            <w:tcW w:w="692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9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Employee Stock Purchase Program</w:t>
            </w:r>
          </w:p>
        </w:tc>
        <w:tc>
          <w:tcPr>
            <w:tcW w:w="32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20</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0.8</w:t>
            </w:r>
          </w:p>
        </w:tc>
      </w:tr>
      <w:tr>
        <w:trPr>
          <w:trHeight w:val="243"/>
        </w:trPr>
        <w:tc>
          <w:tcPr>
            <w:tcW w:w="6920" w:type="dxa"/>
            <w:vAlign w:val="bottom"/>
          </w:tcPr>
          <w:p>
            <w:pPr>
              <w:ind w:left="720"/>
              <w:spacing w:after="0"/>
              <w:rPr>
                <w:sz w:val="20"/>
                <w:szCs w:val="20"/>
                <w:color w:val="auto"/>
              </w:rPr>
            </w:pPr>
            <w:r>
              <w:rPr>
                <w:rFonts w:ascii="Arial" w:cs="Arial" w:eastAsia="Arial" w:hAnsi="Arial"/>
                <w:sz w:val="18"/>
                <w:szCs w:val="18"/>
                <w:color w:val="auto"/>
              </w:rPr>
              <w:t>Invest Direct</w:t>
            </w:r>
          </w:p>
        </w:tc>
        <w:tc>
          <w:tcPr>
            <w:tcW w:w="3260" w:type="dxa"/>
            <w:vAlign w:val="bottom"/>
          </w:tcPr>
          <w:p>
            <w:pPr>
              <w:jc w:val="right"/>
              <w:ind w:right="150"/>
              <w:spacing w:after="0"/>
              <w:rPr>
                <w:sz w:val="20"/>
                <w:szCs w:val="20"/>
                <w:color w:val="auto"/>
              </w:rPr>
            </w:pPr>
            <w:r>
              <w:rPr>
                <w:rFonts w:ascii="Arial" w:cs="Arial" w:eastAsia="Arial" w:hAnsi="Arial"/>
                <w:sz w:val="18"/>
                <w:szCs w:val="18"/>
                <w:color w:val="auto"/>
              </w:rPr>
              <w:t>437</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17.2</w:t>
            </w:r>
          </w:p>
        </w:tc>
      </w:tr>
      <w:tr>
        <w:trPr>
          <w:trHeight w:val="27"/>
        </w:trPr>
        <w:tc>
          <w:tcPr>
            <w:tcW w:w="692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9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Options and Stock Awards</w:t>
            </w:r>
          </w:p>
        </w:tc>
        <w:tc>
          <w:tcPr>
            <w:tcW w:w="32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109</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w:t>
            </w:r>
          </w:p>
        </w:tc>
      </w:tr>
      <w:tr>
        <w:trPr>
          <w:trHeight w:val="243"/>
        </w:trPr>
        <w:tc>
          <w:tcPr>
            <w:tcW w:w="6920" w:type="dxa"/>
            <w:vAlign w:val="bottom"/>
          </w:tcPr>
          <w:p>
            <w:pPr>
              <w:ind w:left="720"/>
              <w:spacing w:after="0"/>
              <w:rPr>
                <w:sz w:val="20"/>
                <w:szCs w:val="20"/>
                <w:color w:val="auto"/>
              </w:rPr>
            </w:pPr>
            <w:r>
              <w:rPr>
                <w:rFonts w:ascii="Arial" w:cs="Arial" w:eastAsia="Arial" w:hAnsi="Arial"/>
                <w:sz w:val="18"/>
                <w:szCs w:val="18"/>
                <w:color w:val="auto"/>
              </w:rPr>
              <w:t>Equity Issuance Program</w:t>
            </w:r>
          </w:p>
        </w:tc>
        <w:tc>
          <w:tcPr>
            <w:tcW w:w="3260" w:type="dxa"/>
            <w:vAlign w:val="bottom"/>
          </w:tcPr>
          <w:p>
            <w:pPr>
              <w:jc w:val="right"/>
              <w:ind w:right="150"/>
              <w:spacing w:after="0"/>
              <w:rPr>
                <w:sz w:val="20"/>
                <w:szCs w:val="20"/>
                <w:color w:val="auto"/>
              </w:rPr>
            </w:pPr>
            <w:r>
              <w:rPr>
                <w:rFonts w:ascii="Arial" w:cs="Arial" w:eastAsia="Arial" w:hAnsi="Arial"/>
                <w:sz w:val="18"/>
                <w:szCs w:val="18"/>
                <w:color w:val="auto"/>
              </w:rPr>
              <w:t>400</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16.0</w:t>
            </w:r>
          </w:p>
        </w:tc>
      </w:tr>
      <w:tr>
        <w:trPr>
          <w:trHeight w:val="27"/>
        </w:trPr>
        <w:tc>
          <w:tcPr>
            <w:tcW w:w="692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9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Purchase of Non-Controlling Interest</w:t>
            </w:r>
          </w:p>
        </w:tc>
        <w:tc>
          <w:tcPr>
            <w:tcW w:w="32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222</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w:t>
            </w:r>
          </w:p>
        </w:tc>
      </w:tr>
      <w:tr>
        <w:trPr>
          <w:trHeight w:val="243"/>
        </w:trPr>
        <w:tc>
          <w:tcPr>
            <w:tcW w:w="6920" w:type="dxa"/>
            <w:vAlign w:val="bottom"/>
          </w:tcPr>
          <w:p>
            <w:pPr>
              <w:ind w:left="720"/>
              <w:spacing w:after="0"/>
              <w:rPr>
                <w:sz w:val="20"/>
                <w:szCs w:val="20"/>
                <w:color w:val="auto"/>
              </w:rPr>
            </w:pPr>
            <w:r>
              <w:rPr>
                <w:rFonts w:ascii="Arial" w:cs="Arial" w:eastAsia="Arial" w:hAnsi="Arial"/>
                <w:sz w:val="18"/>
                <w:szCs w:val="18"/>
                <w:color w:val="auto"/>
              </w:rPr>
              <w:t>Contributions to Pension</w:t>
            </w:r>
          </w:p>
        </w:tc>
        <w:tc>
          <w:tcPr>
            <w:tcW w:w="3260" w:type="dxa"/>
            <w:vAlign w:val="bottom"/>
          </w:tcPr>
          <w:p>
            <w:pPr>
              <w:jc w:val="right"/>
              <w:ind w:right="150"/>
              <w:spacing w:after="0"/>
              <w:rPr>
                <w:sz w:val="20"/>
                <w:szCs w:val="20"/>
                <w:color w:val="auto"/>
              </w:rPr>
            </w:pPr>
            <w:r>
              <w:rPr>
                <w:rFonts w:ascii="Arial" w:cs="Arial" w:eastAsia="Arial" w:hAnsi="Arial"/>
                <w:sz w:val="18"/>
                <w:szCs w:val="18"/>
                <w:color w:val="auto"/>
              </w:rPr>
              <w:t>508</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20.0</w:t>
            </w:r>
          </w:p>
        </w:tc>
      </w:tr>
      <w:tr>
        <w:trPr>
          <w:trHeight w:val="27"/>
        </w:trPr>
        <w:tc>
          <w:tcPr>
            <w:tcW w:w="6920" w:type="dxa"/>
            <w:vAlign w:val="bottom"/>
            <w:tcBorders>
              <w:bottom w:val="single" w:sz="8" w:color="auto"/>
            </w:tcBorders>
          </w:tcPr>
          <w:p>
            <w:pPr>
              <w:spacing w:after="0"/>
              <w:rPr>
                <w:sz w:val="2"/>
                <w:szCs w:val="2"/>
                <w:color w:val="auto"/>
              </w:rPr>
            </w:pPr>
          </w:p>
        </w:tc>
        <w:tc>
          <w:tcPr>
            <w:tcW w:w="3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6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2011</w:t>
            </w:r>
          </w:p>
        </w:tc>
        <w:tc>
          <w:tcPr>
            <w:tcW w:w="32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37,513</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$705.6</w:t>
            </w:r>
          </w:p>
        </w:tc>
      </w:tr>
      <w:tr>
        <w:trPr>
          <w:trHeight w:val="243"/>
        </w:trPr>
        <w:tc>
          <w:tcPr>
            <w:tcW w:w="6920" w:type="dxa"/>
            <w:vAlign w:val="bottom"/>
          </w:tcPr>
          <w:p>
            <w:pPr>
              <w:ind w:left="720"/>
              <w:spacing w:after="0"/>
              <w:rPr>
                <w:sz w:val="20"/>
                <w:szCs w:val="20"/>
                <w:color w:val="auto"/>
              </w:rPr>
            </w:pPr>
            <w:r>
              <w:rPr>
                <w:rFonts w:ascii="Arial" w:cs="Arial" w:eastAsia="Arial" w:hAnsi="Arial"/>
                <w:sz w:val="18"/>
                <w:szCs w:val="18"/>
                <w:color w:val="auto"/>
              </w:rPr>
              <w:t>Employee Stock Purchase Program</w:t>
            </w:r>
          </w:p>
        </w:tc>
        <w:tc>
          <w:tcPr>
            <w:tcW w:w="3260" w:type="dxa"/>
            <w:vAlign w:val="bottom"/>
          </w:tcPr>
          <w:p>
            <w:pPr>
              <w:jc w:val="right"/>
              <w:ind w:right="150"/>
              <w:spacing w:after="0"/>
              <w:rPr>
                <w:sz w:val="20"/>
                <w:szCs w:val="20"/>
                <w:color w:val="auto"/>
              </w:rPr>
            </w:pPr>
            <w:r>
              <w:rPr>
                <w:rFonts w:ascii="Arial" w:cs="Arial" w:eastAsia="Arial" w:hAnsi="Arial"/>
                <w:sz w:val="18"/>
                <w:szCs w:val="18"/>
                <w:color w:val="auto"/>
              </w:rPr>
              <w:t>20</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0.8</w:t>
            </w:r>
          </w:p>
        </w:tc>
      </w:tr>
      <w:tr>
        <w:trPr>
          <w:trHeight w:val="27"/>
        </w:trPr>
        <w:tc>
          <w:tcPr>
            <w:tcW w:w="692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9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Invest Direct</w:t>
            </w:r>
          </w:p>
        </w:tc>
        <w:tc>
          <w:tcPr>
            <w:tcW w:w="32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474</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19.2</w:t>
            </w:r>
          </w:p>
        </w:tc>
      </w:tr>
      <w:tr>
        <w:trPr>
          <w:trHeight w:val="243"/>
        </w:trPr>
        <w:tc>
          <w:tcPr>
            <w:tcW w:w="6920" w:type="dxa"/>
            <w:vAlign w:val="bottom"/>
          </w:tcPr>
          <w:p>
            <w:pPr>
              <w:ind w:left="720"/>
              <w:spacing w:after="0"/>
              <w:rPr>
                <w:sz w:val="20"/>
                <w:szCs w:val="20"/>
                <w:color w:val="auto"/>
              </w:rPr>
            </w:pPr>
            <w:r>
              <w:rPr>
                <w:rFonts w:ascii="Arial" w:cs="Arial" w:eastAsia="Arial" w:hAnsi="Arial"/>
                <w:sz w:val="18"/>
                <w:szCs w:val="18"/>
                <w:color w:val="auto"/>
              </w:rPr>
              <w:t>Options and Stock Awards</w:t>
            </w:r>
          </w:p>
        </w:tc>
        <w:tc>
          <w:tcPr>
            <w:tcW w:w="3260" w:type="dxa"/>
            <w:vAlign w:val="bottom"/>
          </w:tcPr>
          <w:p>
            <w:pPr>
              <w:jc w:val="right"/>
              <w:ind w:right="150"/>
              <w:spacing w:after="0"/>
              <w:rPr>
                <w:sz w:val="20"/>
                <w:szCs w:val="20"/>
                <w:color w:val="auto"/>
              </w:rPr>
            </w:pPr>
            <w:r>
              <w:rPr>
                <w:rFonts w:ascii="Arial" w:cs="Arial" w:eastAsia="Arial" w:hAnsi="Arial"/>
                <w:sz w:val="18"/>
                <w:szCs w:val="18"/>
                <w:color w:val="auto"/>
              </w:rPr>
              <w:t>95</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6.0</w:t>
            </w:r>
          </w:p>
        </w:tc>
      </w:tr>
      <w:tr>
        <w:trPr>
          <w:trHeight w:val="27"/>
        </w:trPr>
        <w:tc>
          <w:tcPr>
            <w:tcW w:w="692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5"/>
        </w:trPr>
        <w:tc>
          <w:tcPr>
            <w:tcW w:w="69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Equity Issuance Program</w:t>
            </w:r>
          </w:p>
        </w:tc>
        <w:tc>
          <w:tcPr>
            <w:tcW w:w="32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1,275</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53.1</w:t>
            </w:r>
          </w:p>
        </w:tc>
      </w:tr>
      <w:tr>
        <w:trPr>
          <w:trHeight w:val="237"/>
        </w:trPr>
        <w:tc>
          <w:tcPr>
            <w:tcW w:w="69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Balance as of December 31, 2012</w:t>
            </w:r>
          </w:p>
        </w:tc>
        <w:tc>
          <w:tcPr>
            <w:tcW w:w="32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39,377</w:t>
            </w: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$784.7</w:t>
            </w:r>
          </w:p>
        </w:tc>
      </w:tr>
      <w:tr>
        <w:trPr>
          <w:trHeight w:val="27"/>
        </w:trPr>
        <w:tc>
          <w:tcPr>
            <w:tcW w:w="6920" w:type="dxa"/>
            <w:vAlign w:val="bottom"/>
            <w:tcBorders>
              <w:bottom w:val="single" w:sz="8" w:color="auto"/>
            </w:tcBorders>
          </w:tcPr>
          <w:p>
            <w:pPr>
              <w:spacing w:after="0"/>
              <w:rPr>
                <w:sz w:val="2"/>
                <w:szCs w:val="2"/>
                <w:color w:val="auto"/>
              </w:rPr>
            </w:pPr>
          </w:p>
        </w:tc>
        <w:tc>
          <w:tcPr>
            <w:tcW w:w="3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bl>
    <w:p>
      <w:pPr>
        <w:spacing w:after="0" w:line="19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Equity Issuance Program. </w:t>
      </w:r>
      <w:r>
        <w:rPr>
          <w:rFonts w:ascii="Arial" w:cs="Arial" w:eastAsia="Arial" w:hAnsi="Arial"/>
          <w:sz w:val="18"/>
          <w:szCs w:val="18"/>
          <w:color w:val="auto"/>
        </w:rPr>
        <w:t>We entered into a distribution agreement with KCCI, Inc., in February 2008, as amended most recently on August 3, 2012, with</w:t>
      </w:r>
      <w:r>
        <w:rPr>
          <w:rFonts w:ascii="Arial" w:cs="Arial" w:eastAsia="Arial" w:hAnsi="Arial"/>
          <w:sz w:val="18"/>
          <w:szCs w:val="18"/>
          <w:b w:val="1"/>
          <w:bCs w:val="1"/>
          <w:color w:val="auto"/>
        </w:rPr>
        <w:t xml:space="preserve"> </w:t>
      </w:r>
      <w:r>
        <w:rPr>
          <w:rFonts w:ascii="Arial" w:cs="Arial" w:eastAsia="Arial" w:hAnsi="Arial"/>
          <w:sz w:val="18"/>
          <w:szCs w:val="18"/>
          <w:color w:val="auto"/>
        </w:rPr>
        <w:t>respect to the issuance and sale of up to an aggregate of 9.6 million shares of our common stock, without par value, of which 4.5 million remain available for issuance. For the year ended December 31, 2012, 1.3 million shares of common stock were issued under this agreement resulting in net proceeds of $53.1 million. During 2011, 0.4 million shares of common stock were issued for net proceeds of $16.0 million. The shares issued in 2012 and 2011 were, and the remaining shares may be, offered for sale, from time to time, in accordance with the terms of the amended distribution agreement pursuant to Registration Statement No. 333-170289.</w:t>
      </w:r>
    </w:p>
    <w:p>
      <w:pPr>
        <w:spacing w:after="0" w:line="18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Earnings Per Share. </w:t>
      </w:r>
      <w:r>
        <w:rPr>
          <w:rFonts w:ascii="Arial" w:cs="Arial" w:eastAsia="Arial" w:hAnsi="Arial"/>
          <w:sz w:val="18"/>
          <w:szCs w:val="18"/>
          <w:color w:val="auto"/>
        </w:rPr>
        <w:t>The difference between basic and diluted earnings per share, if any, arises from outstanding stock options, non-vested restricted stock,</w:t>
      </w:r>
      <w:r>
        <w:rPr>
          <w:rFonts w:ascii="Arial" w:cs="Arial" w:eastAsia="Arial" w:hAnsi="Arial"/>
          <w:sz w:val="18"/>
          <w:szCs w:val="18"/>
          <w:b w:val="1"/>
          <w:bCs w:val="1"/>
          <w:color w:val="auto"/>
        </w:rPr>
        <w:t xml:space="preserve"> </w:t>
      </w:r>
      <w:r>
        <w:rPr>
          <w:rFonts w:ascii="Arial" w:cs="Arial" w:eastAsia="Arial" w:hAnsi="Arial"/>
          <w:sz w:val="18"/>
          <w:szCs w:val="18"/>
          <w:color w:val="auto"/>
        </w:rPr>
        <w:t>and performance share awards granted under our Executive and Director Long-Term Incentive Compensation Plans. In 2012, in accordance with accounting standards for earnings per share, 0.2 million options to purchase shares of common stock were excluded from the computation of diluted earnings per share because the option exercise prices were greater than the average market prices; therefore, their effect would have been anti-dilutive (0.3 million shares were excluded in 2011 and 0.5 million in 2010).</w:t>
      </w:r>
    </w:p>
    <w:p>
      <w:pPr>
        <w:spacing w:after="0" w:line="184"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b w:val="1"/>
          <w:bCs w:val="1"/>
          <w:color w:val="auto"/>
        </w:rPr>
        <w:t xml:space="preserve">Purchase of Non-Controlling Interest. </w:t>
      </w:r>
      <w:r>
        <w:rPr>
          <w:rFonts w:ascii="Arial" w:cs="Arial" w:eastAsia="Arial" w:hAnsi="Arial"/>
          <w:sz w:val="18"/>
          <w:szCs w:val="18"/>
          <w:color w:val="auto"/>
        </w:rPr>
        <w:t>In 2011, the remaining shares of the ALLETE Properties non-controlling interest were purchased at book value for</w:t>
      </w:r>
      <w:r>
        <w:rPr>
          <w:rFonts w:ascii="Arial" w:cs="Arial" w:eastAsia="Arial" w:hAnsi="Arial"/>
          <w:sz w:val="18"/>
          <w:szCs w:val="18"/>
          <w:b w:val="1"/>
          <w:bCs w:val="1"/>
          <w:color w:val="auto"/>
        </w:rPr>
        <w:t xml:space="preserve"> </w:t>
      </w:r>
      <w:r>
        <w:rPr>
          <w:rFonts w:ascii="Arial" w:cs="Arial" w:eastAsia="Arial" w:hAnsi="Arial"/>
          <w:sz w:val="18"/>
          <w:szCs w:val="18"/>
          <w:color w:val="auto"/>
        </w:rPr>
        <w:t>$8.8 million by issuing 0.2 million unregistered shares of ALLETE common stock. This was accounted for as an equity transaction, and no gain or loss is recognized in net income or comprehensive income.</w:t>
      </w:r>
    </w:p>
    <w:p>
      <w:pPr>
        <w:spacing w:after="0" w:line="17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Contributions to Pension. </w:t>
      </w:r>
      <w:r>
        <w:rPr>
          <w:rFonts w:ascii="Arial" w:cs="Arial" w:eastAsia="Arial" w:hAnsi="Arial"/>
          <w:sz w:val="18"/>
          <w:szCs w:val="18"/>
          <w:color w:val="auto"/>
        </w:rPr>
        <w:t>In 2011, ALLETE contributed approximately 0.5 million shares of ALLETE common stock to its pension plan. These shares of</w:t>
      </w:r>
      <w:r>
        <w:rPr>
          <w:rFonts w:ascii="Arial" w:cs="Arial" w:eastAsia="Arial" w:hAnsi="Arial"/>
          <w:sz w:val="18"/>
          <w:szCs w:val="18"/>
          <w:b w:val="1"/>
          <w:bCs w:val="1"/>
          <w:color w:val="auto"/>
        </w:rPr>
        <w:t xml:space="preserve"> </w:t>
      </w:r>
      <w:r>
        <w:rPr>
          <w:rFonts w:ascii="Arial" w:cs="Arial" w:eastAsia="Arial" w:hAnsi="Arial"/>
          <w:sz w:val="18"/>
          <w:szCs w:val="18"/>
          <w:color w:val="auto"/>
        </w:rPr>
        <w:t>ALLETE common stock were contributed in reliance upon an exemption available pursuant to Section 4(a)(2) of the Securities Act of 1933 and had an aggregate value of $20.0 million when contributed.</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2012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364" w:right="239" w:bottom="1440" w:gutter="0" w:footer="0" w:header="0"/>
        </w:sectPr>
      </w:pPr>
    </w:p>
    <w:bookmarkStart w:id="95" w:name="page96"/>
    <w:bookmarkEnd w:id="95"/>
    <w:tbl>
      <w:tblPr>
        <w:tblLayout w:type="fixed"/>
        <w:tblInd w:w="0" w:type="dxa"/>
        <w:tblCellMar>
          <w:top w:w="0" w:type="dxa"/>
          <w:left w:w="0" w:type="dxa"/>
          <w:bottom w:w="0" w:type="dxa"/>
          <w:right w:w="0" w:type="dxa"/>
        </w:tblCellMar>
      </w:tblPr>
      <w:tr>
        <w:trPr>
          <w:trHeight w:val="234"/>
        </w:trPr>
        <w:tc>
          <w:tcPr>
            <w:tcW w:w="6840" w:type="dxa"/>
            <w:vAlign w:val="bottom"/>
          </w:tcPr>
          <w:p>
            <w:pPr>
              <w:spacing w:after="0"/>
              <w:rPr>
                <w:sz w:val="20"/>
                <w:szCs w:val="20"/>
                <w:color w:val="auto"/>
              </w:rPr>
            </w:pPr>
            <w:r>
              <w:rPr>
                <w:rFonts w:ascii="Arial" w:cs="Arial" w:eastAsia="Arial" w:hAnsi="Arial"/>
                <w:sz w:val="18"/>
                <w:szCs w:val="18"/>
                <w:b w:val="1"/>
                <w:bCs w:val="1"/>
                <w:color w:val="auto"/>
              </w:rPr>
              <w:t>NOTE 12. COMMON STOCK AND EARNINGS PER SHARE (Continued)</w:t>
            </w:r>
          </w:p>
        </w:tc>
        <w:tc>
          <w:tcPr>
            <w:tcW w:w="20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594"/>
        </w:trPr>
        <w:tc>
          <w:tcPr>
            <w:tcW w:w="6840" w:type="dxa"/>
            <w:vAlign w:val="bottom"/>
          </w:tcPr>
          <w:p>
            <w:pPr>
              <w:ind w:left="40"/>
              <w:spacing w:after="0"/>
              <w:rPr>
                <w:sz w:val="20"/>
                <w:szCs w:val="20"/>
                <w:color w:val="auto"/>
              </w:rPr>
            </w:pPr>
            <w:r>
              <w:rPr>
                <w:rFonts w:ascii="Arial" w:cs="Arial" w:eastAsia="Arial" w:hAnsi="Arial"/>
                <w:sz w:val="18"/>
                <w:szCs w:val="18"/>
                <w:b w:val="1"/>
                <w:bCs w:val="1"/>
                <w:color w:val="auto"/>
              </w:rPr>
              <w:t>Reconciliation of Basic and Diluted</w:t>
            </w:r>
          </w:p>
        </w:tc>
        <w:tc>
          <w:tcPr>
            <w:tcW w:w="20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70"/>
        </w:trPr>
        <w:tc>
          <w:tcPr>
            <w:tcW w:w="6840" w:type="dxa"/>
            <w:vAlign w:val="bottom"/>
          </w:tcPr>
          <w:p>
            <w:pPr>
              <w:ind w:left="40"/>
              <w:spacing w:after="0"/>
              <w:rPr>
                <w:sz w:val="20"/>
                <w:szCs w:val="20"/>
                <w:color w:val="auto"/>
              </w:rPr>
            </w:pPr>
            <w:r>
              <w:rPr>
                <w:rFonts w:ascii="Arial" w:cs="Arial" w:eastAsia="Arial" w:hAnsi="Arial"/>
                <w:sz w:val="18"/>
                <w:szCs w:val="18"/>
                <w:b w:val="1"/>
                <w:bCs w:val="1"/>
                <w:color w:val="auto"/>
              </w:rPr>
              <w:t>Earnings Per Share</w:t>
            </w:r>
          </w:p>
        </w:tc>
        <w:tc>
          <w:tcPr>
            <w:tcW w:w="2060" w:type="dxa"/>
            <w:vAlign w:val="bottom"/>
          </w:tcPr>
          <w:p>
            <w:pPr>
              <w:spacing w:after="0"/>
              <w:rPr>
                <w:sz w:val="23"/>
                <w:szCs w:val="23"/>
                <w:color w:val="auto"/>
              </w:rPr>
            </w:pPr>
          </w:p>
        </w:tc>
        <w:tc>
          <w:tcPr>
            <w:tcW w:w="1300" w:type="dxa"/>
            <w:vAlign w:val="bottom"/>
          </w:tcPr>
          <w:p>
            <w:pPr>
              <w:jc w:val="right"/>
              <w:ind w:right="150"/>
              <w:spacing w:after="0"/>
              <w:rPr>
                <w:sz w:val="20"/>
                <w:szCs w:val="20"/>
                <w:color w:val="auto"/>
              </w:rPr>
            </w:pPr>
            <w:r>
              <w:rPr>
                <w:rFonts w:ascii="Arial" w:cs="Arial" w:eastAsia="Arial" w:hAnsi="Arial"/>
                <w:sz w:val="18"/>
                <w:szCs w:val="18"/>
                <w:b w:val="1"/>
                <w:bCs w:val="1"/>
                <w:color w:val="auto"/>
              </w:rPr>
              <w:t>Dilutive</w:t>
            </w:r>
          </w:p>
        </w:tc>
        <w:tc>
          <w:tcPr>
            <w:tcW w:w="1220" w:type="dxa"/>
            <w:vAlign w:val="bottom"/>
          </w:tcPr>
          <w:p>
            <w:pPr>
              <w:spacing w:after="0"/>
              <w:rPr>
                <w:sz w:val="23"/>
                <w:szCs w:val="23"/>
                <w:color w:val="auto"/>
              </w:rPr>
            </w:pPr>
          </w:p>
        </w:tc>
      </w:tr>
      <w:tr>
        <w:trPr>
          <w:trHeight w:val="270"/>
        </w:trPr>
        <w:tc>
          <w:tcPr>
            <w:tcW w:w="6840" w:type="dxa"/>
            <w:vAlign w:val="bottom"/>
          </w:tcPr>
          <w:p>
            <w:pPr>
              <w:ind w:left="40"/>
              <w:spacing w:after="0"/>
              <w:rPr>
                <w:sz w:val="20"/>
                <w:szCs w:val="20"/>
                <w:color w:val="auto"/>
              </w:rPr>
            </w:pPr>
            <w:r>
              <w:rPr>
                <w:rFonts w:ascii="Arial" w:cs="Arial" w:eastAsia="Arial" w:hAnsi="Arial"/>
                <w:sz w:val="18"/>
                <w:szCs w:val="18"/>
                <w:b w:val="1"/>
                <w:bCs w:val="1"/>
                <w:color w:val="auto"/>
              </w:rPr>
              <w:t>Year Ended December 31</w:t>
            </w:r>
          </w:p>
        </w:tc>
        <w:tc>
          <w:tcPr>
            <w:tcW w:w="2060" w:type="dxa"/>
            <w:vAlign w:val="bottom"/>
          </w:tcPr>
          <w:p>
            <w:pPr>
              <w:jc w:val="right"/>
              <w:ind w:right="590"/>
              <w:spacing w:after="0"/>
              <w:rPr>
                <w:sz w:val="20"/>
                <w:szCs w:val="20"/>
                <w:color w:val="auto"/>
              </w:rPr>
            </w:pPr>
            <w:r>
              <w:rPr>
                <w:rFonts w:ascii="Arial" w:cs="Arial" w:eastAsia="Arial" w:hAnsi="Arial"/>
                <w:sz w:val="18"/>
                <w:szCs w:val="18"/>
                <w:b w:val="1"/>
                <w:bCs w:val="1"/>
                <w:color w:val="auto"/>
              </w:rPr>
              <w:t>Basic</w:t>
            </w:r>
          </w:p>
        </w:tc>
        <w:tc>
          <w:tcPr>
            <w:tcW w:w="1300" w:type="dxa"/>
            <w:vAlign w:val="bottom"/>
          </w:tcPr>
          <w:p>
            <w:pPr>
              <w:jc w:val="right"/>
              <w:ind w:right="150"/>
              <w:spacing w:after="0"/>
              <w:rPr>
                <w:sz w:val="20"/>
                <w:szCs w:val="20"/>
                <w:color w:val="auto"/>
              </w:rPr>
            </w:pPr>
            <w:r>
              <w:rPr>
                <w:rFonts w:ascii="Arial" w:cs="Arial" w:eastAsia="Arial" w:hAnsi="Arial"/>
                <w:sz w:val="18"/>
                <w:szCs w:val="18"/>
                <w:b w:val="1"/>
                <w:bCs w:val="1"/>
                <w:color w:val="auto"/>
              </w:rPr>
              <w:t>Securities</w:t>
            </w:r>
          </w:p>
        </w:tc>
        <w:tc>
          <w:tcPr>
            <w:tcW w:w="1220" w:type="dxa"/>
            <w:vAlign w:val="bottom"/>
          </w:tcPr>
          <w:p>
            <w:pPr>
              <w:jc w:val="right"/>
              <w:ind w:right="310"/>
              <w:spacing w:after="0"/>
              <w:rPr>
                <w:sz w:val="20"/>
                <w:szCs w:val="20"/>
                <w:color w:val="auto"/>
              </w:rPr>
            </w:pPr>
            <w:r>
              <w:rPr>
                <w:rFonts w:ascii="Arial" w:cs="Arial" w:eastAsia="Arial" w:hAnsi="Arial"/>
                <w:sz w:val="18"/>
                <w:szCs w:val="18"/>
                <w:b w:val="1"/>
                <w:bCs w:val="1"/>
                <w:color w:val="auto"/>
              </w:rPr>
              <w:t>Diluted</w:t>
            </w:r>
          </w:p>
        </w:tc>
      </w:tr>
      <w:tr>
        <w:trPr>
          <w:trHeight w:val="27"/>
        </w:trPr>
        <w:tc>
          <w:tcPr>
            <w:tcW w:w="684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6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Millions Except Per Share Amounts</w:t>
            </w:r>
          </w:p>
        </w:tc>
        <w:tc>
          <w:tcPr>
            <w:tcW w:w="20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6840" w:type="dxa"/>
            <w:vAlign w:val="bottom"/>
          </w:tcPr>
          <w:p>
            <w:pPr>
              <w:ind w:left="40"/>
              <w:spacing w:after="0"/>
              <w:rPr>
                <w:sz w:val="20"/>
                <w:szCs w:val="20"/>
                <w:color w:val="auto"/>
              </w:rPr>
            </w:pPr>
            <w:r>
              <w:rPr>
                <w:rFonts w:ascii="Arial" w:cs="Arial" w:eastAsia="Arial" w:hAnsi="Arial"/>
                <w:sz w:val="18"/>
                <w:szCs w:val="18"/>
                <w:b w:val="1"/>
                <w:bCs w:val="1"/>
                <w:color w:val="auto"/>
              </w:rPr>
              <w:t>2012</w:t>
            </w:r>
          </w:p>
        </w:tc>
        <w:tc>
          <w:tcPr>
            <w:tcW w:w="20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68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ALLETE</w:t>
            </w:r>
          </w:p>
        </w:tc>
        <w:tc>
          <w:tcPr>
            <w:tcW w:w="20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$97.1</w:t>
            </w:r>
          </w:p>
        </w:tc>
        <w:tc>
          <w:tcPr>
            <w:tcW w:w="1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$97.1</w:t>
            </w:r>
          </w:p>
        </w:tc>
      </w:tr>
      <w:tr>
        <w:trPr>
          <w:trHeight w:val="243"/>
        </w:trPr>
        <w:tc>
          <w:tcPr>
            <w:tcW w:w="6840" w:type="dxa"/>
            <w:vAlign w:val="bottom"/>
          </w:tcPr>
          <w:p>
            <w:pPr>
              <w:ind w:left="40"/>
              <w:spacing w:after="0"/>
              <w:rPr>
                <w:sz w:val="20"/>
                <w:szCs w:val="20"/>
                <w:color w:val="auto"/>
              </w:rPr>
            </w:pPr>
            <w:r>
              <w:rPr>
                <w:rFonts w:ascii="Arial" w:cs="Arial" w:eastAsia="Arial" w:hAnsi="Arial"/>
                <w:sz w:val="18"/>
                <w:szCs w:val="18"/>
                <w:color w:val="auto"/>
              </w:rPr>
              <w:t>Average Common Shares</w:t>
            </w:r>
          </w:p>
        </w:tc>
        <w:tc>
          <w:tcPr>
            <w:tcW w:w="2060" w:type="dxa"/>
            <w:vAlign w:val="bottom"/>
          </w:tcPr>
          <w:p>
            <w:pPr>
              <w:jc w:val="right"/>
              <w:ind w:right="230"/>
              <w:spacing w:after="0"/>
              <w:rPr>
                <w:sz w:val="20"/>
                <w:szCs w:val="20"/>
                <w:color w:val="auto"/>
              </w:rPr>
            </w:pPr>
            <w:r>
              <w:rPr>
                <w:rFonts w:ascii="Arial" w:cs="Arial" w:eastAsia="Arial" w:hAnsi="Arial"/>
                <w:sz w:val="18"/>
                <w:szCs w:val="18"/>
                <w:color w:val="auto"/>
              </w:rPr>
              <w:t>37.6</w:t>
            </w:r>
          </w:p>
        </w:tc>
        <w:tc>
          <w:tcPr>
            <w:tcW w:w="13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37.6</w:t>
            </w:r>
          </w:p>
        </w:tc>
      </w:tr>
      <w:tr>
        <w:trPr>
          <w:trHeight w:val="27"/>
        </w:trPr>
        <w:tc>
          <w:tcPr>
            <w:tcW w:w="68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Per Share</w:t>
            </w:r>
          </w:p>
        </w:tc>
        <w:tc>
          <w:tcPr>
            <w:tcW w:w="20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$2.59</w:t>
            </w:r>
          </w:p>
        </w:tc>
        <w:tc>
          <w:tcPr>
            <w:tcW w:w="1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$2.58</w:t>
            </w:r>
          </w:p>
        </w:tc>
      </w:tr>
      <w:tr>
        <w:trPr>
          <w:trHeight w:val="243"/>
        </w:trPr>
        <w:tc>
          <w:tcPr>
            <w:tcW w:w="6840" w:type="dxa"/>
            <w:vAlign w:val="bottom"/>
          </w:tcPr>
          <w:p>
            <w:pPr>
              <w:ind w:left="40"/>
              <w:spacing w:after="0"/>
              <w:rPr>
                <w:sz w:val="20"/>
                <w:szCs w:val="20"/>
                <w:color w:val="auto"/>
              </w:rPr>
            </w:pPr>
            <w:r>
              <w:rPr>
                <w:rFonts w:ascii="Arial" w:cs="Arial" w:eastAsia="Arial" w:hAnsi="Arial"/>
                <w:sz w:val="18"/>
                <w:szCs w:val="18"/>
                <w:b w:val="1"/>
                <w:bCs w:val="1"/>
                <w:color w:val="auto"/>
              </w:rPr>
              <w:t>2011</w:t>
            </w:r>
          </w:p>
        </w:tc>
        <w:tc>
          <w:tcPr>
            <w:tcW w:w="20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68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ALLETE</w:t>
            </w:r>
          </w:p>
        </w:tc>
        <w:tc>
          <w:tcPr>
            <w:tcW w:w="20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$93.8</w:t>
            </w:r>
          </w:p>
        </w:tc>
        <w:tc>
          <w:tcPr>
            <w:tcW w:w="1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$93.8</w:t>
            </w:r>
          </w:p>
        </w:tc>
      </w:tr>
      <w:tr>
        <w:trPr>
          <w:trHeight w:val="243"/>
        </w:trPr>
        <w:tc>
          <w:tcPr>
            <w:tcW w:w="6840" w:type="dxa"/>
            <w:vAlign w:val="bottom"/>
          </w:tcPr>
          <w:p>
            <w:pPr>
              <w:ind w:left="40"/>
              <w:spacing w:after="0"/>
              <w:rPr>
                <w:sz w:val="20"/>
                <w:szCs w:val="20"/>
                <w:color w:val="auto"/>
              </w:rPr>
            </w:pPr>
            <w:r>
              <w:rPr>
                <w:rFonts w:ascii="Arial" w:cs="Arial" w:eastAsia="Arial" w:hAnsi="Arial"/>
                <w:sz w:val="18"/>
                <w:szCs w:val="18"/>
                <w:color w:val="auto"/>
              </w:rPr>
              <w:t>Average Common Shares</w:t>
            </w:r>
          </w:p>
        </w:tc>
        <w:tc>
          <w:tcPr>
            <w:tcW w:w="2060" w:type="dxa"/>
            <w:vAlign w:val="bottom"/>
          </w:tcPr>
          <w:p>
            <w:pPr>
              <w:jc w:val="right"/>
              <w:ind w:right="230"/>
              <w:spacing w:after="0"/>
              <w:rPr>
                <w:sz w:val="20"/>
                <w:szCs w:val="20"/>
                <w:color w:val="auto"/>
              </w:rPr>
            </w:pPr>
            <w:r>
              <w:rPr>
                <w:rFonts w:ascii="Arial" w:cs="Arial" w:eastAsia="Arial" w:hAnsi="Arial"/>
                <w:sz w:val="18"/>
                <w:szCs w:val="18"/>
                <w:color w:val="auto"/>
              </w:rPr>
              <w:t>35.3</w:t>
            </w:r>
          </w:p>
        </w:tc>
        <w:tc>
          <w:tcPr>
            <w:tcW w:w="1300" w:type="dxa"/>
            <w:vAlign w:val="bottom"/>
          </w:tcPr>
          <w:p>
            <w:pPr>
              <w:jc w:val="right"/>
              <w:ind w:right="150"/>
              <w:spacing w:after="0"/>
              <w:rPr>
                <w:sz w:val="20"/>
                <w:szCs w:val="20"/>
                <w:color w:val="auto"/>
              </w:rPr>
            </w:pPr>
            <w:r>
              <w:rPr>
                <w:rFonts w:ascii="Arial" w:cs="Arial" w:eastAsia="Arial" w:hAnsi="Arial"/>
                <w:sz w:val="18"/>
                <w:szCs w:val="18"/>
                <w:color w:val="auto"/>
              </w:rPr>
              <w:t>0.1</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35.4</w:t>
            </w:r>
          </w:p>
        </w:tc>
      </w:tr>
      <w:tr>
        <w:trPr>
          <w:trHeight w:val="27"/>
        </w:trPr>
        <w:tc>
          <w:tcPr>
            <w:tcW w:w="68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Per Share</w:t>
            </w:r>
          </w:p>
        </w:tc>
        <w:tc>
          <w:tcPr>
            <w:tcW w:w="20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$2.66</w:t>
            </w:r>
          </w:p>
        </w:tc>
        <w:tc>
          <w:tcPr>
            <w:tcW w:w="1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$2.65</w:t>
            </w:r>
          </w:p>
        </w:tc>
      </w:tr>
      <w:tr>
        <w:trPr>
          <w:trHeight w:val="243"/>
        </w:trPr>
        <w:tc>
          <w:tcPr>
            <w:tcW w:w="6840" w:type="dxa"/>
            <w:vAlign w:val="bottom"/>
          </w:tcPr>
          <w:p>
            <w:pPr>
              <w:ind w:left="40"/>
              <w:spacing w:after="0"/>
              <w:rPr>
                <w:sz w:val="20"/>
                <w:szCs w:val="20"/>
                <w:color w:val="auto"/>
              </w:rPr>
            </w:pPr>
            <w:r>
              <w:rPr>
                <w:rFonts w:ascii="Arial" w:cs="Arial" w:eastAsia="Arial" w:hAnsi="Arial"/>
                <w:sz w:val="18"/>
                <w:szCs w:val="18"/>
                <w:b w:val="1"/>
                <w:bCs w:val="1"/>
                <w:color w:val="auto"/>
              </w:rPr>
              <w:t>2010</w:t>
            </w:r>
          </w:p>
        </w:tc>
        <w:tc>
          <w:tcPr>
            <w:tcW w:w="20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68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ALLETE</w:t>
            </w:r>
          </w:p>
        </w:tc>
        <w:tc>
          <w:tcPr>
            <w:tcW w:w="20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$75.3</w:t>
            </w:r>
          </w:p>
        </w:tc>
        <w:tc>
          <w:tcPr>
            <w:tcW w:w="1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$75.3</w:t>
            </w:r>
          </w:p>
        </w:tc>
      </w:tr>
      <w:tr>
        <w:trPr>
          <w:trHeight w:val="243"/>
        </w:trPr>
        <w:tc>
          <w:tcPr>
            <w:tcW w:w="6840" w:type="dxa"/>
            <w:vAlign w:val="bottom"/>
          </w:tcPr>
          <w:p>
            <w:pPr>
              <w:ind w:left="40"/>
              <w:spacing w:after="0"/>
              <w:rPr>
                <w:sz w:val="20"/>
                <w:szCs w:val="20"/>
                <w:color w:val="auto"/>
              </w:rPr>
            </w:pPr>
            <w:r>
              <w:rPr>
                <w:rFonts w:ascii="Arial" w:cs="Arial" w:eastAsia="Arial" w:hAnsi="Arial"/>
                <w:sz w:val="18"/>
                <w:szCs w:val="18"/>
                <w:color w:val="auto"/>
              </w:rPr>
              <w:t>Average Common Shares</w:t>
            </w:r>
          </w:p>
        </w:tc>
        <w:tc>
          <w:tcPr>
            <w:tcW w:w="2060" w:type="dxa"/>
            <w:vAlign w:val="bottom"/>
          </w:tcPr>
          <w:p>
            <w:pPr>
              <w:jc w:val="right"/>
              <w:ind w:right="230"/>
              <w:spacing w:after="0"/>
              <w:rPr>
                <w:sz w:val="20"/>
                <w:szCs w:val="20"/>
                <w:color w:val="auto"/>
              </w:rPr>
            </w:pPr>
            <w:r>
              <w:rPr>
                <w:rFonts w:ascii="Arial" w:cs="Arial" w:eastAsia="Arial" w:hAnsi="Arial"/>
                <w:sz w:val="18"/>
                <w:szCs w:val="18"/>
                <w:color w:val="auto"/>
              </w:rPr>
              <w:t>34.2</w:t>
            </w:r>
          </w:p>
        </w:tc>
        <w:tc>
          <w:tcPr>
            <w:tcW w:w="1300" w:type="dxa"/>
            <w:vAlign w:val="bottom"/>
          </w:tcPr>
          <w:p>
            <w:pPr>
              <w:jc w:val="right"/>
              <w:ind w:right="150"/>
              <w:spacing w:after="0"/>
              <w:rPr>
                <w:sz w:val="20"/>
                <w:szCs w:val="20"/>
                <w:color w:val="auto"/>
              </w:rPr>
            </w:pPr>
            <w:r>
              <w:rPr>
                <w:rFonts w:ascii="Arial" w:cs="Arial" w:eastAsia="Arial" w:hAnsi="Arial"/>
                <w:sz w:val="18"/>
                <w:szCs w:val="18"/>
                <w:color w:val="auto"/>
              </w:rPr>
              <w:t>0.1</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34.3</w:t>
            </w:r>
          </w:p>
        </w:tc>
      </w:tr>
      <w:tr>
        <w:trPr>
          <w:trHeight w:val="27"/>
        </w:trPr>
        <w:tc>
          <w:tcPr>
            <w:tcW w:w="68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5"/>
        </w:trPr>
        <w:tc>
          <w:tcPr>
            <w:tcW w:w="6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Per Share</w:t>
            </w:r>
          </w:p>
        </w:tc>
        <w:tc>
          <w:tcPr>
            <w:tcW w:w="20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$2.20</w:t>
            </w:r>
          </w:p>
        </w:tc>
        <w:tc>
          <w:tcPr>
            <w:tcW w:w="13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$2.19</w:t>
            </w:r>
          </w:p>
        </w:tc>
      </w:tr>
      <w:tr>
        <w:trPr>
          <w:trHeight w:val="642"/>
        </w:trPr>
        <w:tc>
          <w:tcPr>
            <w:tcW w:w="684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NOTE 13. OTHER INCOME (EXPENSE)</w:t>
            </w:r>
          </w:p>
        </w:tc>
        <w:tc>
          <w:tcPr>
            <w:tcW w:w="206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r>
      <w:tr>
        <w:trPr>
          <w:trHeight w:val="594"/>
        </w:trPr>
        <w:tc>
          <w:tcPr>
            <w:tcW w:w="6840" w:type="dxa"/>
            <w:vAlign w:val="bottom"/>
          </w:tcPr>
          <w:p>
            <w:pPr>
              <w:ind w:left="40"/>
              <w:spacing w:after="0"/>
              <w:rPr>
                <w:sz w:val="20"/>
                <w:szCs w:val="20"/>
                <w:color w:val="auto"/>
              </w:rPr>
            </w:pPr>
            <w:r>
              <w:rPr>
                <w:rFonts w:ascii="Arial" w:cs="Arial" w:eastAsia="Arial" w:hAnsi="Arial"/>
                <w:sz w:val="18"/>
                <w:szCs w:val="18"/>
                <w:b w:val="1"/>
                <w:bCs w:val="1"/>
                <w:color w:val="auto"/>
              </w:rPr>
              <w:t>Year Ended December 31</w:t>
            </w:r>
          </w:p>
        </w:tc>
        <w:tc>
          <w:tcPr>
            <w:tcW w:w="2060" w:type="dxa"/>
            <w:vAlign w:val="bottom"/>
          </w:tcPr>
          <w:p>
            <w:pPr>
              <w:jc w:val="right"/>
              <w:ind w:right="550"/>
              <w:spacing w:after="0"/>
              <w:rPr>
                <w:sz w:val="20"/>
                <w:szCs w:val="20"/>
                <w:color w:val="auto"/>
              </w:rPr>
            </w:pPr>
            <w:r>
              <w:rPr>
                <w:rFonts w:ascii="Arial" w:cs="Arial" w:eastAsia="Arial" w:hAnsi="Arial"/>
                <w:sz w:val="18"/>
                <w:szCs w:val="18"/>
                <w:b w:val="1"/>
                <w:bCs w:val="1"/>
                <w:color w:val="auto"/>
              </w:rPr>
              <w:t>2012</w:t>
            </w: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2011</w:t>
            </w:r>
          </w:p>
        </w:tc>
        <w:tc>
          <w:tcPr>
            <w:tcW w:w="1220" w:type="dxa"/>
            <w:vAlign w:val="bottom"/>
          </w:tcPr>
          <w:p>
            <w:pPr>
              <w:jc w:val="right"/>
              <w:ind w:right="310"/>
              <w:spacing w:after="0"/>
              <w:rPr>
                <w:sz w:val="20"/>
                <w:szCs w:val="20"/>
                <w:color w:val="auto"/>
              </w:rPr>
            </w:pPr>
            <w:r>
              <w:rPr>
                <w:rFonts w:ascii="Arial" w:cs="Arial" w:eastAsia="Arial" w:hAnsi="Arial"/>
                <w:sz w:val="18"/>
                <w:szCs w:val="18"/>
                <w:b w:val="1"/>
                <w:bCs w:val="1"/>
                <w:color w:val="auto"/>
              </w:rPr>
              <w:t>2010</w:t>
            </w:r>
          </w:p>
        </w:tc>
      </w:tr>
      <w:tr>
        <w:trPr>
          <w:trHeight w:val="27"/>
        </w:trPr>
        <w:tc>
          <w:tcPr>
            <w:tcW w:w="684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684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0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7"/>
        </w:trPr>
        <w:tc>
          <w:tcPr>
            <w:tcW w:w="68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AFUDC – Equity</w:t>
            </w:r>
          </w:p>
        </w:tc>
        <w:tc>
          <w:tcPr>
            <w:tcW w:w="20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$5.1</w:t>
            </w:r>
          </w:p>
        </w:tc>
        <w:tc>
          <w:tcPr>
            <w:tcW w:w="13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$2.5</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w:t>
            </w:r>
          </w:p>
        </w:tc>
      </w:tr>
      <w:tr>
        <w:trPr>
          <w:trHeight w:val="243"/>
        </w:trPr>
        <w:tc>
          <w:tcPr>
            <w:tcW w:w="6840" w:type="dxa"/>
            <w:vAlign w:val="bottom"/>
          </w:tcPr>
          <w:p>
            <w:pPr>
              <w:spacing w:after="0"/>
              <w:rPr>
                <w:sz w:val="20"/>
                <w:szCs w:val="20"/>
                <w:color w:val="auto"/>
              </w:rPr>
            </w:pPr>
            <w:r>
              <w:rPr>
                <w:rFonts w:ascii="Arial" w:cs="Arial" w:eastAsia="Arial" w:hAnsi="Arial"/>
                <w:sz w:val="18"/>
                <w:szCs w:val="18"/>
                <w:color w:val="auto"/>
              </w:rPr>
              <w:t>Investment and Other Income</w:t>
            </w:r>
          </w:p>
        </w:tc>
        <w:tc>
          <w:tcPr>
            <w:tcW w:w="2060" w:type="dxa"/>
            <w:vAlign w:val="bottom"/>
          </w:tcPr>
          <w:p>
            <w:pPr>
              <w:jc w:val="right"/>
              <w:ind w:right="230"/>
              <w:spacing w:after="0"/>
              <w:rPr>
                <w:sz w:val="20"/>
                <w:szCs w:val="20"/>
                <w:color w:val="auto"/>
              </w:rPr>
            </w:pPr>
            <w:r>
              <w:rPr>
                <w:rFonts w:ascii="Arial" w:cs="Arial" w:eastAsia="Arial" w:hAnsi="Arial"/>
                <w:sz w:val="18"/>
                <w:szCs w:val="18"/>
                <w:color w:val="auto"/>
              </w:rPr>
              <w:t>0.9</w:t>
            </w:r>
          </w:p>
        </w:tc>
        <w:tc>
          <w:tcPr>
            <w:tcW w:w="1300" w:type="dxa"/>
            <w:vAlign w:val="bottom"/>
          </w:tcPr>
          <w:p>
            <w:pPr>
              <w:jc w:val="right"/>
              <w:ind w:right="150"/>
              <w:spacing w:after="0"/>
              <w:rPr>
                <w:sz w:val="20"/>
                <w:szCs w:val="20"/>
                <w:color w:val="auto"/>
              </w:rPr>
            </w:pPr>
            <w:r>
              <w:rPr>
                <w:rFonts w:ascii="Arial" w:cs="Arial" w:eastAsia="Arial" w:hAnsi="Arial"/>
                <w:sz w:val="18"/>
                <w:szCs w:val="18"/>
                <w:color w:val="auto"/>
              </w:rPr>
              <w:t>1.9</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0.4</w:t>
            </w:r>
          </w:p>
        </w:tc>
      </w:tr>
      <w:tr>
        <w:trPr>
          <w:trHeight w:val="27"/>
        </w:trPr>
        <w:tc>
          <w:tcPr>
            <w:tcW w:w="684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6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Other Income</w:t>
            </w:r>
          </w:p>
        </w:tc>
        <w:tc>
          <w:tcPr>
            <w:tcW w:w="20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$6.0</w:t>
            </w:r>
          </w:p>
        </w:tc>
        <w:tc>
          <w:tcPr>
            <w:tcW w:w="13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$4.4</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w:t>
            </w:r>
          </w:p>
        </w:tc>
      </w:tr>
      <w:tr>
        <w:trPr>
          <w:trHeight w:val="20"/>
        </w:trPr>
        <w:tc>
          <w:tcPr>
            <w:tcW w:w="6840" w:type="dxa"/>
            <w:vAlign w:val="bottom"/>
            <w:shd w:val="clear" w:color="auto" w:fill="000000"/>
          </w:tcPr>
          <w:p>
            <w:pPr>
              <w:spacing w:after="0" w:line="20" w:lineRule="exact"/>
              <w:rPr>
                <w:sz w:val="1"/>
                <w:szCs w:val="1"/>
                <w:color w:val="auto"/>
              </w:rPr>
            </w:pPr>
          </w:p>
        </w:tc>
        <w:tc>
          <w:tcPr>
            <w:tcW w:w="20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2012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364" w:right="239" w:bottom="1440" w:gutter="0" w:footer="0" w:header="0"/>
        </w:sectPr>
      </w:pPr>
    </w:p>
    <w:bookmarkStart w:id="96" w:name="page97"/>
    <w:bookmarkEnd w:id="96"/>
    <w:tbl>
      <w:tblPr>
        <w:tblLayout w:type="fixed"/>
        <w:tblInd w:w="0" w:type="dxa"/>
        <w:tblCellMar>
          <w:top w:w="0" w:type="dxa"/>
          <w:left w:w="0" w:type="dxa"/>
          <w:bottom w:w="0" w:type="dxa"/>
          <w:right w:w="0" w:type="dxa"/>
        </w:tblCellMar>
      </w:tblPr>
      <w:tr>
        <w:trPr>
          <w:trHeight w:val="234"/>
        </w:trPr>
        <w:tc>
          <w:tcPr>
            <w:tcW w:w="5460" w:type="dxa"/>
            <w:vAlign w:val="bottom"/>
          </w:tcPr>
          <w:p>
            <w:pPr>
              <w:spacing w:after="0"/>
              <w:rPr>
                <w:sz w:val="20"/>
                <w:szCs w:val="20"/>
                <w:color w:val="auto"/>
              </w:rPr>
            </w:pPr>
            <w:r>
              <w:rPr>
                <w:rFonts w:ascii="Arial" w:cs="Arial" w:eastAsia="Arial" w:hAnsi="Arial"/>
                <w:sz w:val="18"/>
                <w:szCs w:val="18"/>
                <w:b w:val="1"/>
                <w:bCs w:val="1"/>
                <w:color w:val="auto"/>
              </w:rPr>
              <w:t>NOTE 14. INCOME TAX EXPENSE</w:t>
            </w:r>
          </w:p>
        </w:tc>
        <w:tc>
          <w:tcPr>
            <w:tcW w:w="34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594"/>
        </w:trPr>
        <w:tc>
          <w:tcPr>
            <w:tcW w:w="5460" w:type="dxa"/>
            <w:vAlign w:val="bottom"/>
          </w:tcPr>
          <w:p>
            <w:pPr>
              <w:ind w:left="40"/>
              <w:spacing w:after="0"/>
              <w:rPr>
                <w:sz w:val="20"/>
                <w:szCs w:val="20"/>
                <w:color w:val="auto"/>
              </w:rPr>
            </w:pPr>
            <w:r>
              <w:rPr>
                <w:rFonts w:ascii="Arial" w:cs="Arial" w:eastAsia="Arial" w:hAnsi="Arial"/>
                <w:sz w:val="18"/>
                <w:szCs w:val="18"/>
                <w:b w:val="1"/>
                <w:bCs w:val="1"/>
                <w:color w:val="auto"/>
              </w:rPr>
              <w:t>Income Tax Expense</w:t>
            </w:r>
          </w:p>
        </w:tc>
        <w:tc>
          <w:tcPr>
            <w:tcW w:w="34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70"/>
        </w:trPr>
        <w:tc>
          <w:tcPr>
            <w:tcW w:w="5460" w:type="dxa"/>
            <w:vAlign w:val="bottom"/>
          </w:tcPr>
          <w:p>
            <w:pPr>
              <w:ind w:left="40"/>
              <w:spacing w:after="0"/>
              <w:rPr>
                <w:sz w:val="20"/>
                <w:szCs w:val="20"/>
                <w:color w:val="auto"/>
              </w:rPr>
            </w:pPr>
            <w:r>
              <w:rPr>
                <w:rFonts w:ascii="Arial" w:cs="Arial" w:eastAsia="Arial" w:hAnsi="Arial"/>
                <w:sz w:val="18"/>
                <w:szCs w:val="18"/>
                <w:b w:val="1"/>
                <w:bCs w:val="1"/>
                <w:color w:val="auto"/>
              </w:rPr>
              <w:t>Year Ended December 31</w:t>
            </w:r>
          </w:p>
        </w:tc>
        <w:tc>
          <w:tcPr>
            <w:tcW w:w="3480" w:type="dxa"/>
            <w:vAlign w:val="bottom"/>
          </w:tcPr>
          <w:p>
            <w:pPr>
              <w:jc w:val="right"/>
              <w:ind w:right="690"/>
              <w:spacing w:after="0"/>
              <w:rPr>
                <w:sz w:val="20"/>
                <w:szCs w:val="20"/>
                <w:color w:val="auto"/>
              </w:rPr>
            </w:pPr>
            <w:r>
              <w:rPr>
                <w:rFonts w:ascii="Arial" w:cs="Arial" w:eastAsia="Arial" w:hAnsi="Arial"/>
                <w:sz w:val="18"/>
                <w:szCs w:val="18"/>
                <w:b w:val="1"/>
                <w:bCs w:val="1"/>
                <w:color w:val="auto"/>
              </w:rPr>
              <w:t>2012</w:t>
            </w:r>
          </w:p>
        </w:tc>
        <w:tc>
          <w:tcPr>
            <w:tcW w:w="1360" w:type="dxa"/>
            <w:vAlign w:val="bottom"/>
          </w:tcPr>
          <w:p>
            <w:pPr>
              <w:jc w:val="right"/>
              <w:ind w:right="670"/>
              <w:spacing w:after="0"/>
              <w:rPr>
                <w:sz w:val="20"/>
                <w:szCs w:val="20"/>
                <w:color w:val="auto"/>
              </w:rPr>
            </w:pPr>
            <w:r>
              <w:rPr>
                <w:rFonts w:ascii="Arial" w:cs="Arial" w:eastAsia="Arial" w:hAnsi="Arial"/>
                <w:sz w:val="18"/>
                <w:szCs w:val="18"/>
                <w:b w:val="1"/>
                <w:bCs w:val="1"/>
                <w:color w:val="auto"/>
              </w:rPr>
              <w:t>2011</w:t>
            </w:r>
          </w:p>
        </w:tc>
        <w:tc>
          <w:tcPr>
            <w:tcW w:w="1120" w:type="dxa"/>
            <w:vAlign w:val="bottom"/>
          </w:tcPr>
          <w:p>
            <w:pPr>
              <w:jc w:val="right"/>
              <w:ind w:right="410"/>
              <w:spacing w:after="0"/>
              <w:rPr>
                <w:sz w:val="20"/>
                <w:szCs w:val="20"/>
                <w:color w:val="auto"/>
              </w:rPr>
            </w:pPr>
            <w:r>
              <w:rPr>
                <w:rFonts w:ascii="Arial" w:cs="Arial" w:eastAsia="Arial" w:hAnsi="Arial"/>
                <w:sz w:val="18"/>
                <w:szCs w:val="18"/>
                <w:b w:val="1"/>
                <w:bCs w:val="1"/>
                <w:color w:val="auto"/>
              </w:rPr>
              <w:t>2010</w:t>
            </w:r>
          </w:p>
        </w:tc>
      </w:tr>
      <w:tr>
        <w:trPr>
          <w:trHeight w:val="27"/>
        </w:trPr>
        <w:tc>
          <w:tcPr>
            <w:tcW w:w="5460" w:type="dxa"/>
            <w:vAlign w:val="bottom"/>
            <w:tcBorders>
              <w:bottom w:val="single" w:sz="8" w:color="auto"/>
            </w:tcBorders>
          </w:tcPr>
          <w:p>
            <w:pPr>
              <w:spacing w:after="0"/>
              <w:rPr>
                <w:sz w:val="2"/>
                <w:szCs w:val="2"/>
                <w:color w:val="auto"/>
              </w:rPr>
            </w:pPr>
          </w:p>
        </w:tc>
        <w:tc>
          <w:tcPr>
            <w:tcW w:w="34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546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34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7"/>
        </w:trPr>
        <w:tc>
          <w:tcPr>
            <w:tcW w:w="5460" w:type="dxa"/>
            <w:vAlign w:val="bottom"/>
          </w:tcPr>
          <w:p>
            <w:pPr>
              <w:spacing w:after="0"/>
              <w:rPr>
                <w:sz w:val="2"/>
                <w:szCs w:val="2"/>
                <w:color w:val="auto"/>
              </w:rPr>
            </w:pPr>
          </w:p>
        </w:tc>
        <w:tc>
          <w:tcPr>
            <w:tcW w:w="34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Tax Expense (Benefit)</w:t>
            </w:r>
          </w:p>
        </w:tc>
        <w:tc>
          <w:tcPr>
            <w:tcW w:w="34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460" w:type="dxa"/>
            <w:vAlign w:val="bottom"/>
          </w:tcPr>
          <w:p>
            <w:pPr>
              <w:ind w:left="280"/>
              <w:spacing w:after="0"/>
              <w:rPr>
                <w:sz w:val="20"/>
                <w:szCs w:val="20"/>
                <w:color w:val="auto"/>
              </w:rPr>
            </w:pPr>
            <w:r>
              <w:rPr>
                <w:rFonts w:ascii="Arial" w:cs="Arial" w:eastAsia="Arial" w:hAnsi="Arial"/>
                <w:sz w:val="18"/>
                <w:szCs w:val="18"/>
                <w:color w:val="auto"/>
              </w:rPr>
              <w:t xml:space="preserve">Federal </w:t>
            </w:r>
            <w:r>
              <w:rPr>
                <w:rFonts w:ascii="Arial" w:cs="Arial" w:eastAsia="Arial" w:hAnsi="Arial"/>
                <w:sz w:val="18"/>
                <w:szCs w:val="18"/>
                <w:i w:val="1"/>
                <w:iCs w:val="1"/>
                <w:color w:val="auto"/>
              </w:rPr>
              <w:t>(a)</w:t>
            </w:r>
          </w:p>
        </w:tc>
        <w:tc>
          <w:tcPr>
            <w:tcW w:w="348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70"/>
              <w:spacing w:after="0"/>
              <w:rPr>
                <w:sz w:val="20"/>
                <w:szCs w:val="20"/>
                <w:color w:val="auto"/>
              </w:rPr>
            </w:pPr>
            <w:r>
              <w:rPr>
                <w:rFonts w:ascii="Arial" w:cs="Arial" w:eastAsia="Arial" w:hAnsi="Arial"/>
                <w:sz w:val="18"/>
                <w:szCs w:val="18"/>
                <w:color w:val="auto"/>
              </w:rPr>
              <w:t>$1.4</w:t>
            </w:r>
          </w:p>
        </w:tc>
        <w:tc>
          <w:tcPr>
            <w:tcW w:w="1120" w:type="dxa"/>
            <w:vAlign w:val="bottom"/>
          </w:tcPr>
          <w:p>
            <w:pPr>
              <w:jc w:val="right"/>
              <w:spacing w:after="0"/>
              <w:rPr>
                <w:sz w:val="20"/>
                <w:szCs w:val="20"/>
                <w:color w:val="auto"/>
              </w:rPr>
            </w:pPr>
            <w:r>
              <w:rPr>
                <w:rFonts w:ascii="Arial" w:cs="Arial" w:eastAsia="Arial" w:hAnsi="Arial"/>
                <w:sz w:val="18"/>
                <w:szCs w:val="18"/>
                <w:color w:val="auto"/>
              </w:rPr>
              <w:t>$(23.0)</w:t>
            </w:r>
          </w:p>
        </w:tc>
      </w:tr>
      <w:tr>
        <w:trPr>
          <w:trHeight w:val="27"/>
        </w:trPr>
        <w:tc>
          <w:tcPr>
            <w:tcW w:w="5460" w:type="dxa"/>
            <w:vAlign w:val="bottom"/>
          </w:tcPr>
          <w:p>
            <w:pPr>
              <w:spacing w:after="0"/>
              <w:rPr>
                <w:sz w:val="2"/>
                <w:szCs w:val="2"/>
                <w:color w:val="auto"/>
              </w:rPr>
            </w:pPr>
          </w:p>
        </w:tc>
        <w:tc>
          <w:tcPr>
            <w:tcW w:w="34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5"/>
        </w:trPr>
        <w:tc>
          <w:tcPr>
            <w:tcW w:w="5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 xml:space="preserve">State </w:t>
            </w:r>
            <w:r>
              <w:rPr>
                <w:rFonts w:ascii="Arial" w:cs="Arial" w:eastAsia="Arial" w:hAnsi="Arial"/>
                <w:sz w:val="18"/>
                <w:szCs w:val="18"/>
                <w:i w:val="1"/>
                <w:iCs w:val="1"/>
                <w:color w:val="auto"/>
              </w:rPr>
              <w:t>(a)</w:t>
            </w:r>
          </w:p>
        </w:tc>
        <w:tc>
          <w:tcPr>
            <w:tcW w:w="34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$0.5</w:t>
            </w:r>
          </w:p>
        </w:tc>
        <w:tc>
          <w:tcPr>
            <w:tcW w:w="13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(1.6)</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r>
      <w:tr>
        <w:trPr>
          <w:trHeight w:val="237"/>
        </w:trPr>
        <w:tc>
          <w:tcPr>
            <w:tcW w:w="546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Total Current Tax Expense (Benefit)</w:t>
            </w:r>
          </w:p>
        </w:tc>
        <w:tc>
          <w:tcPr>
            <w:tcW w:w="3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rPr>
              <w:t>0.5</w:t>
            </w:r>
          </w:p>
        </w:tc>
        <w:tc>
          <w:tcPr>
            <w:tcW w:w="136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(0.2)</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(21.7)</w:t>
            </w:r>
          </w:p>
        </w:tc>
      </w:tr>
      <w:tr>
        <w:trPr>
          <w:trHeight w:val="27"/>
        </w:trPr>
        <w:tc>
          <w:tcPr>
            <w:tcW w:w="5460" w:type="dxa"/>
            <w:vAlign w:val="bottom"/>
            <w:tcBorders>
              <w:bottom w:val="single" w:sz="8" w:color="auto"/>
            </w:tcBorders>
          </w:tcPr>
          <w:p>
            <w:pPr>
              <w:spacing w:after="0"/>
              <w:rPr>
                <w:sz w:val="2"/>
                <w:szCs w:val="2"/>
                <w:color w:val="auto"/>
              </w:rPr>
            </w:pPr>
          </w:p>
        </w:tc>
        <w:tc>
          <w:tcPr>
            <w:tcW w:w="34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Expense</w:t>
            </w:r>
          </w:p>
        </w:tc>
        <w:tc>
          <w:tcPr>
            <w:tcW w:w="34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460" w:type="dxa"/>
            <w:vAlign w:val="bottom"/>
          </w:tcPr>
          <w:p>
            <w:pPr>
              <w:ind w:left="280"/>
              <w:spacing w:after="0"/>
              <w:rPr>
                <w:sz w:val="20"/>
                <w:szCs w:val="20"/>
                <w:color w:val="auto"/>
              </w:rPr>
            </w:pPr>
            <w:r>
              <w:rPr>
                <w:rFonts w:ascii="Arial" w:cs="Arial" w:eastAsia="Arial" w:hAnsi="Arial"/>
                <w:sz w:val="18"/>
                <w:szCs w:val="18"/>
                <w:color w:val="auto"/>
              </w:rPr>
              <w:t xml:space="preserve">Federal </w:t>
            </w:r>
            <w:r>
              <w:rPr>
                <w:rFonts w:ascii="Arial" w:cs="Arial" w:eastAsia="Arial" w:hAnsi="Arial"/>
                <w:sz w:val="18"/>
                <w:szCs w:val="18"/>
                <w:i w:val="1"/>
                <w:iCs w:val="1"/>
                <w:color w:val="auto"/>
              </w:rPr>
              <w:t>(b)</w:t>
            </w:r>
          </w:p>
        </w:tc>
        <w:tc>
          <w:tcPr>
            <w:tcW w:w="3480" w:type="dxa"/>
            <w:vAlign w:val="bottom"/>
          </w:tcPr>
          <w:p>
            <w:pPr>
              <w:jc w:val="right"/>
              <w:ind w:right="270"/>
              <w:spacing w:after="0"/>
              <w:rPr>
                <w:sz w:val="20"/>
                <w:szCs w:val="20"/>
                <w:color w:val="auto"/>
              </w:rPr>
            </w:pPr>
            <w:r>
              <w:rPr>
                <w:rFonts w:ascii="Arial" w:cs="Arial" w:eastAsia="Arial" w:hAnsi="Arial"/>
                <w:sz w:val="18"/>
                <w:szCs w:val="18"/>
                <w:color w:val="auto"/>
              </w:rPr>
              <w:t>38.1</w:t>
            </w:r>
          </w:p>
        </w:tc>
        <w:tc>
          <w:tcPr>
            <w:tcW w:w="1360" w:type="dxa"/>
            <w:vAlign w:val="bottom"/>
          </w:tcPr>
          <w:p>
            <w:pPr>
              <w:jc w:val="right"/>
              <w:ind w:right="250"/>
              <w:spacing w:after="0"/>
              <w:rPr>
                <w:sz w:val="20"/>
                <w:szCs w:val="20"/>
                <w:color w:val="auto"/>
              </w:rPr>
            </w:pPr>
            <w:r>
              <w:rPr>
                <w:rFonts w:ascii="Arial" w:cs="Arial" w:eastAsia="Arial" w:hAnsi="Arial"/>
                <w:sz w:val="18"/>
                <w:szCs w:val="18"/>
                <w:color w:val="auto"/>
              </w:rPr>
              <w:t>27.3</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61.4</w:t>
            </w:r>
          </w:p>
        </w:tc>
      </w:tr>
      <w:tr>
        <w:trPr>
          <w:trHeight w:val="27"/>
        </w:trPr>
        <w:tc>
          <w:tcPr>
            <w:tcW w:w="5460" w:type="dxa"/>
            <w:vAlign w:val="bottom"/>
          </w:tcPr>
          <w:p>
            <w:pPr>
              <w:spacing w:after="0"/>
              <w:rPr>
                <w:sz w:val="2"/>
                <w:szCs w:val="2"/>
                <w:color w:val="auto"/>
              </w:rPr>
            </w:pPr>
          </w:p>
        </w:tc>
        <w:tc>
          <w:tcPr>
            <w:tcW w:w="34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 xml:space="preserve">State </w:t>
            </w:r>
            <w:r>
              <w:rPr>
                <w:rFonts w:ascii="Arial" w:cs="Arial" w:eastAsia="Arial" w:hAnsi="Arial"/>
                <w:sz w:val="18"/>
                <w:szCs w:val="18"/>
                <w:i w:val="1"/>
                <w:iCs w:val="1"/>
                <w:color w:val="auto"/>
              </w:rPr>
              <w:t>(b)</w:t>
            </w:r>
          </w:p>
        </w:tc>
        <w:tc>
          <w:tcPr>
            <w:tcW w:w="348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(1.7)</w:t>
            </w:r>
          </w:p>
        </w:tc>
        <w:tc>
          <w:tcPr>
            <w:tcW w:w="13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9.5</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w:t>
            </w:r>
          </w:p>
        </w:tc>
      </w:tr>
      <w:tr>
        <w:trPr>
          <w:trHeight w:val="243"/>
        </w:trPr>
        <w:tc>
          <w:tcPr>
            <w:tcW w:w="5460" w:type="dxa"/>
            <w:vAlign w:val="bottom"/>
          </w:tcPr>
          <w:p>
            <w:pPr>
              <w:ind w:left="280"/>
              <w:spacing w:after="0"/>
              <w:rPr>
                <w:sz w:val="20"/>
                <w:szCs w:val="20"/>
                <w:color w:val="auto"/>
              </w:rPr>
            </w:pPr>
            <w:r>
              <w:rPr>
                <w:rFonts w:ascii="Arial" w:cs="Arial" w:eastAsia="Arial" w:hAnsi="Arial"/>
                <w:sz w:val="18"/>
                <w:szCs w:val="18"/>
                <w:color w:val="auto"/>
              </w:rPr>
              <w:t xml:space="preserve">Change in Valuation Allowance </w:t>
            </w:r>
            <w:r>
              <w:rPr>
                <w:rFonts w:ascii="Arial" w:cs="Arial" w:eastAsia="Arial" w:hAnsi="Arial"/>
                <w:sz w:val="18"/>
                <w:szCs w:val="18"/>
                <w:i w:val="1"/>
                <w:iCs w:val="1"/>
                <w:color w:val="auto"/>
              </w:rPr>
              <w:t>(c)</w:t>
            </w:r>
          </w:p>
        </w:tc>
        <w:tc>
          <w:tcPr>
            <w:tcW w:w="3480" w:type="dxa"/>
            <w:vAlign w:val="bottom"/>
          </w:tcPr>
          <w:p>
            <w:pPr>
              <w:jc w:val="right"/>
              <w:ind w:right="270"/>
              <w:spacing w:after="0"/>
              <w:rPr>
                <w:sz w:val="20"/>
                <w:szCs w:val="20"/>
                <w:color w:val="auto"/>
              </w:rPr>
            </w:pPr>
            <w:r>
              <w:rPr>
                <w:rFonts w:ascii="Arial" w:cs="Arial" w:eastAsia="Arial" w:hAnsi="Arial"/>
                <w:sz w:val="18"/>
                <w:szCs w:val="18"/>
                <w:color w:val="auto"/>
              </w:rPr>
              <w:t>2.0</w:t>
            </w:r>
          </w:p>
        </w:tc>
        <w:tc>
          <w:tcPr>
            <w:tcW w:w="1360" w:type="dxa"/>
            <w:vAlign w:val="bottom"/>
          </w:tcPr>
          <w:p>
            <w:pPr>
              <w:jc w:val="right"/>
              <w:ind w:right="190"/>
              <w:spacing w:after="0"/>
              <w:rPr>
                <w:sz w:val="20"/>
                <w:szCs w:val="20"/>
                <w:color w:val="auto"/>
              </w:rPr>
            </w:pPr>
            <w:r>
              <w:rPr>
                <w:rFonts w:ascii="Arial" w:cs="Arial" w:eastAsia="Arial" w:hAnsi="Arial"/>
                <w:sz w:val="18"/>
                <w:szCs w:val="18"/>
                <w:color w:val="auto"/>
              </w:rPr>
              <w:t>(0.1)</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0.2</w:t>
            </w:r>
          </w:p>
        </w:tc>
      </w:tr>
      <w:tr>
        <w:trPr>
          <w:trHeight w:val="27"/>
        </w:trPr>
        <w:tc>
          <w:tcPr>
            <w:tcW w:w="5460" w:type="dxa"/>
            <w:vAlign w:val="bottom"/>
          </w:tcPr>
          <w:p>
            <w:pPr>
              <w:spacing w:after="0"/>
              <w:rPr>
                <w:sz w:val="2"/>
                <w:szCs w:val="2"/>
                <w:color w:val="auto"/>
              </w:rPr>
            </w:pPr>
          </w:p>
        </w:tc>
        <w:tc>
          <w:tcPr>
            <w:tcW w:w="34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5"/>
        </w:trPr>
        <w:tc>
          <w:tcPr>
            <w:tcW w:w="5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Investment Tax Credit Amortization</w:t>
            </w:r>
          </w:p>
        </w:tc>
        <w:tc>
          <w:tcPr>
            <w:tcW w:w="348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(0.9)</w:t>
            </w:r>
          </w:p>
        </w:tc>
        <w:tc>
          <w:tcPr>
            <w:tcW w:w="13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(0.9)</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r>
      <w:tr>
        <w:trPr>
          <w:trHeight w:val="237"/>
        </w:trPr>
        <w:tc>
          <w:tcPr>
            <w:tcW w:w="546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Total Deferred Tax Expense</w:t>
            </w:r>
          </w:p>
        </w:tc>
        <w:tc>
          <w:tcPr>
            <w:tcW w:w="3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rPr>
              <w:t>37.5</w:t>
            </w:r>
          </w:p>
        </w:tc>
        <w:tc>
          <w:tcPr>
            <w:tcW w:w="13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rPr>
              <w:t>35.8</w:t>
            </w: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66.0</w:t>
            </w:r>
          </w:p>
        </w:tc>
      </w:tr>
      <w:tr>
        <w:trPr>
          <w:trHeight w:val="27"/>
        </w:trPr>
        <w:tc>
          <w:tcPr>
            <w:tcW w:w="5460" w:type="dxa"/>
            <w:vAlign w:val="bottom"/>
            <w:tcBorders>
              <w:bottom w:val="single" w:sz="8" w:color="auto"/>
            </w:tcBorders>
          </w:tcPr>
          <w:p>
            <w:pPr>
              <w:spacing w:after="0"/>
              <w:rPr>
                <w:sz w:val="2"/>
                <w:szCs w:val="2"/>
                <w:color w:val="auto"/>
              </w:rPr>
            </w:pPr>
          </w:p>
        </w:tc>
        <w:tc>
          <w:tcPr>
            <w:tcW w:w="34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Income Tax Expense</w:t>
            </w:r>
          </w:p>
        </w:tc>
        <w:tc>
          <w:tcPr>
            <w:tcW w:w="3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$38.0</w:t>
            </w:r>
          </w:p>
        </w:tc>
        <w:tc>
          <w:tcPr>
            <w:tcW w:w="13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$35.6</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$44.3</w:t>
            </w:r>
          </w:p>
        </w:tc>
      </w:tr>
      <w:tr>
        <w:trPr>
          <w:trHeight w:val="20"/>
        </w:trPr>
        <w:tc>
          <w:tcPr>
            <w:tcW w:w="5460" w:type="dxa"/>
            <w:vAlign w:val="bottom"/>
            <w:shd w:val="clear" w:color="auto" w:fill="000000"/>
          </w:tcPr>
          <w:p>
            <w:pPr>
              <w:spacing w:after="0" w:line="20" w:lineRule="exact"/>
              <w:rPr>
                <w:sz w:val="1"/>
                <w:szCs w:val="1"/>
                <w:color w:val="auto"/>
              </w:rPr>
            </w:pPr>
          </w:p>
        </w:tc>
        <w:tc>
          <w:tcPr>
            <w:tcW w:w="348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r>
    </w:tbl>
    <w:p>
      <w:pPr>
        <w:jc w:val="both"/>
        <w:ind w:left="340" w:hanging="332"/>
        <w:spacing w:after="0" w:line="247" w:lineRule="auto"/>
        <w:tabs>
          <w:tab w:leader="none" w:pos="340" w:val="left"/>
        </w:tabs>
        <w:numPr>
          <w:ilvl w:val="0"/>
          <w:numId w:val="32"/>
        </w:numPr>
        <w:rPr>
          <w:rFonts w:ascii="Arial" w:cs="Arial" w:eastAsia="Arial" w:hAnsi="Arial"/>
          <w:sz w:val="16"/>
          <w:szCs w:val="16"/>
          <w:i w:val="1"/>
          <w:iCs w:val="1"/>
          <w:color w:val="auto"/>
        </w:rPr>
      </w:pPr>
      <w:r>
        <w:rPr>
          <w:rFonts w:ascii="Arial" w:cs="Arial" w:eastAsia="Arial" w:hAnsi="Arial"/>
          <w:sz w:val="16"/>
          <w:szCs w:val="16"/>
          <w:i w:val="1"/>
          <w:iCs w:val="1"/>
          <w:color w:val="auto"/>
        </w:rPr>
        <w:t>For the years ended December 31, 2012 and 2011, the federal and state current tax expense (benefit) was due to NOLs which resulted primarily from the bonus depreciation provision of the Tax Relief, Unemployment Insurance Reauthorization, and Job Creation Act of 2010. The 2012 and 2011 federal and state NOLs will be carried forward to offset future taxable income. For the year ended December 31, 2010, a federal current tax benefit was recorded as a result of tax planning initiatives and the bonus depreciation provision in the Small Business Jobs Act of 2010. The 2010 federal NOL was partially utilized by carrying it back against prior years’ income with the remainder carried forward to offset future years’ income.</w:t>
      </w:r>
    </w:p>
    <w:p>
      <w:pPr>
        <w:spacing w:after="0" w:line="2" w:lineRule="exact"/>
        <w:rPr>
          <w:rFonts w:ascii="Arial" w:cs="Arial" w:eastAsia="Arial" w:hAnsi="Arial"/>
          <w:sz w:val="16"/>
          <w:szCs w:val="16"/>
          <w:i w:val="1"/>
          <w:iCs w:val="1"/>
          <w:color w:val="auto"/>
        </w:rPr>
      </w:pPr>
    </w:p>
    <w:p>
      <w:pPr>
        <w:jc w:val="both"/>
        <w:ind w:left="340" w:hanging="332"/>
        <w:spacing w:after="0" w:line="246" w:lineRule="auto"/>
        <w:tabs>
          <w:tab w:leader="none" w:pos="340" w:val="left"/>
        </w:tabs>
        <w:numPr>
          <w:ilvl w:val="0"/>
          <w:numId w:val="32"/>
        </w:numPr>
        <w:rPr>
          <w:rFonts w:ascii="Arial" w:cs="Arial" w:eastAsia="Arial" w:hAnsi="Arial"/>
          <w:sz w:val="16"/>
          <w:szCs w:val="16"/>
          <w:i w:val="1"/>
          <w:iCs w:val="1"/>
          <w:color w:val="auto"/>
        </w:rPr>
      </w:pPr>
      <w:r>
        <w:rPr>
          <w:rFonts w:ascii="Arial" w:cs="Arial" w:eastAsia="Arial" w:hAnsi="Arial"/>
          <w:sz w:val="16"/>
          <w:szCs w:val="16"/>
          <w:i w:val="1"/>
          <w:iCs w:val="1"/>
          <w:color w:val="auto"/>
        </w:rPr>
        <w:t>For the year ended December 31, 2012, the state deferred tax benefit of $1.7 million is due to state renewable tax credits earned which will be carried forward to offset future state income tax expense. The year ended December 31, 2011, included an income tax benefit for the reversal of a $6.2 million deferred tax liability related to a revenue receivable that Minnesota Power agreed to forgo as part of a stipulation and settlement agreement in its 2010 rate case and a benefit of $2.9 million related to the MPUC approval of our request to defer the retail portion of the tax charge taken in 2010 as a result of the PPACA. Included in the year ended December 31, 2010, was a charge of $4.0 million as a result of the PPACA. (See Note 5. Regulatory Matters.)</w:t>
      </w:r>
    </w:p>
    <w:p>
      <w:pPr>
        <w:spacing w:after="0" w:line="2" w:lineRule="exact"/>
        <w:rPr>
          <w:rFonts w:ascii="Arial" w:cs="Arial" w:eastAsia="Arial" w:hAnsi="Arial"/>
          <w:sz w:val="16"/>
          <w:szCs w:val="16"/>
          <w:i w:val="1"/>
          <w:iCs w:val="1"/>
          <w:color w:val="auto"/>
        </w:rPr>
      </w:pPr>
    </w:p>
    <w:p>
      <w:pPr>
        <w:ind w:left="340" w:hanging="332"/>
        <w:spacing w:after="0" w:line="257" w:lineRule="auto"/>
        <w:tabs>
          <w:tab w:leader="none" w:pos="340" w:val="left"/>
        </w:tabs>
        <w:numPr>
          <w:ilvl w:val="0"/>
          <w:numId w:val="32"/>
        </w:numPr>
        <w:rPr>
          <w:rFonts w:ascii="Arial" w:cs="Arial" w:eastAsia="Arial" w:hAnsi="Arial"/>
          <w:sz w:val="16"/>
          <w:szCs w:val="16"/>
          <w:i w:val="1"/>
          <w:iCs w:val="1"/>
          <w:color w:val="auto"/>
        </w:rPr>
      </w:pPr>
      <w:r>
        <w:rPr>
          <w:rFonts w:ascii="Arial" w:cs="Arial" w:eastAsia="Arial" w:hAnsi="Arial"/>
          <w:sz w:val="16"/>
          <w:szCs w:val="16"/>
          <w:i w:val="1"/>
          <w:iCs w:val="1"/>
          <w:color w:val="auto"/>
        </w:rPr>
        <w:t>For the year ending December 31, 2012, the change in the valuation allowance is due to state renewable tax credits earned in 2012 which are not expected to be utilized within their allowable tax carryforward period.</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40" w:type="dxa"/>
            <w:vAlign w:val="bottom"/>
          </w:tcPr>
          <w:p>
            <w:pPr>
              <w:ind w:left="40"/>
              <w:spacing w:after="0"/>
              <w:rPr>
                <w:sz w:val="20"/>
                <w:szCs w:val="20"/>
                <w:color w:val="auto"/>
              </w:rPr>
            </w:pPr>
            <w:r>
              <w:rPr>
                <w:rFonts w:ascii="Arial" w:cs="Arial" w:eastAsia="Arial" w:hAnsi="Arial"/>
                <w:sz w:val="18"/>
                <w:szCs w:val="18"/>
                <w:b w:val="1"/>
                <w:bCs w:val="1"/>
                <w:color w:val="auto"/>
              </w:rPr>
              <w:t>Reconciliation of Taxes from Federal Statutory</w:t>
            </w:r>
          </w:p>
        </w:tc>
        <w:tc>
          <w:tcPr>
            <w:tcW w:w="25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70"/>
        </w:trPr>
        <w:tc>
          <w:tcPr>
            <w:tcW w:w="6240" w:type="dxa"/>
            <w:vAlign w:val="bottom"/>
          </w:tcPr>
          <w:p>
            <w:pPr>
              <w:ind w:left="40"/>
              <w:spacing w:after="0"/>
              <w:rPr>
                <w:sz w:val="20"/>
                <w:szCs w:val="20"/>
                <w:color w:val="auto"/>
              </w:rPr>
            </w:pPr>
            <w:r>
              <w:rPr>
                <w:rFonts w:ascii="Arial" w:cs="Arial" w:eastAsia="Arial" w:hAnsi="Arial"/>
                <w:sz w:val="18"/>
                <w:szCs w:val="18"/>
                <w:b w:val="1"/>
                <w:bCs w:val="1"/>
                <w:color w:val="auto"/>
              </w:rPr>
              <w:t>Rate to Total Income Tax Expense</w:t>
            </w:r>
          </w:p>
        </w:tc>
        <w:tc>
          <w:tcPr>
            <w:tcW w:w="254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70"/>
        </w:trPr>
        <w:tc>
          <w:tcPr>
            <w:tcW w:w="6240" w:type="dxa"/>
            <w:vAlign w:val="bottom"/>
          </w:tcPr>
          <w:p>
            <w:pPr>
              <w:ind w:left="40"/>
              <w:spacing w:after="0"/>
              <w:rPr>
                <w:sz w:val="20"/>
                <w:szCs w:val="20"/>
                <w:color w:val="auto"/>
              </w:rPr>
            </w:pPr>
            <w:r>
              <w:rPr>
                <w:rFonts w:ascii="Arial" w:cs="Arial" w:eastAsia="Arial" w:hAnsi="Arial"/>
                <w:sz w:val="18"/>
                <w:szCs w:val="18"/>
                <w:b w:val="1"/>
                <w:bCs w:val="1"/>
                <w:color w:val="auto"/>
              </w:rPr>
              <w:t>Year Ended December 31</w:t>
            </w:r>
          </w:p>
        </w:tc>
        <w:tc>
          <w:tcPr>
            <w:tcW w:w="2540" w:type="dxa"/>
            <w:vAlign w:val="bottom"/>
          </w:tcPr>
          <w:p>
            <w:pPr>
              <w:jc w:val="right"/>
              <w:ind w:right="710"/>
              <w:spacing w:after="0"/>
              <w:rPr>
                <w:sz w:val="20"/>
                <w:szCs w:val="20"/>
                <w:color w:val="auto"/>
              </w:rPr>
            </w:pPr>
            <w:r>
              <w:rPr>
                <w:rFonts w:ascii="Arial" w:cs="Arial" w:eastAsia="Arial" w:hAnsi="Arial"/>
                <w:sz w:val="18"/>
                <w:szCs w:val="18"/>
                <w:b w:val="1"/>
                <w:bCs w:val="1"/>
                <w:color w:val="auto"/>
              </w:rPr>
              <w:t>2012</w:t>
            </w:r>
          </w:p>
        </w:tc>
        <w:tc>
          <w:tcPr>
            <w:tcW w:w="1440" w:type="dxa"/>
            <w:vAlign w:val="bottom"/>
          </w:tcPr>
          <w:p>
            <w:pPr>
              <w:jc w:val="right"/>
              <w:ind w:right="730"/>
              <w:spacing w:after="0"/>
              <w:rPr>
                <w:sz w:val="20"/>
                <w:szCs w:val="20"/>
                <w:color w:val="auto"/>
              </w:rPr>
            </w:pPr>
            <w:r>
              <w:rPr>
                <w:rFonts w:ascii="Arial" w:cs="Arial" w:eastAsia="Arial" w:hAnsi="Arial"/>
                <w:sz w:val="18"/>
                <w:szCs w:val="18"/>
                <w:b w:val="1"/>
                <w:bCs w:val="1"/>
                <w:color w:val="auto"/>
              </w:rPr>
              <w:t>2011</w:t>
            </w:r>
          </w:p>
        </w:tc>
        <w:tc>
          <w:tcPr>
            <w:tcW w:w="1200" w:type="dxa"/>
            <w:vAlign w:val="bottom"/>
          </w:tcPr>
          <w:p>
            <w:pPr>
              <w:jc w:val="right"/>
              <w:ind w:right="490"/>
              <w:spacing w:after="0"/>
              <w:rPr>
                <w:sz w:val="20"/>
                <w:szCs w:val="20"/>
                <w:color w:val="auto"/>
              </w:rPr>
            </w:pPr>
            <w:r>
              <w:rPr>
                <w:rFonts w:ascii="Arial" w:cs="Arial" w:eastAsia="Arial" w:hAnsi="Arial"/>
                <w:sz w:val="18"/>
                <w:szCs w:val="18"/>
                <w:b w:val="1"/>
                <w:bCs w:val="1"/>
                <w:color w:val="auto"/>
              </w:rPr>
              <w:t>2010</w:t>
            </w:r>
          </w:p>
        </w:tc>
      </w:tr>
      <w:tr>
        <w:trPr>
          <w:trHeight w:val="27"/>
        </w:trPr>
        <w:tc>
          <w:tcPr>
            <w:tcW w:w="624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624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5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7"/>
        </w:trPr>
        <w:tc>
          <w:tcPr>
            <w:tcW w:w="624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Non-Controlling Interest and Income Taxes</w:t>
            </w:r>
          </w:p>
        </w:tc>
        <w:tc>
          <w:tcPr>
            <w:tcW w:w="2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$135.1</w:t>
            </w:r>
          </w:p>
        </w:tc>
        <w:tc>
          <w:tcPr>
            <w:tcW w:w="14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$129.2</w:t>
            </w:r>
          </w:p>
        </w:tc>
        <w:tc>
          <w:tcPr>
            <w:tcW w:w="12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$119.1</w:t>
            </w:r>
          </w:p>
        </w:tc>
      </w:tr>
      <w:tr>
        <w:trPr>
          <w:trHeight w:val="243"/>
        </w:trPr>
        <w:tc>
          <w:tcPr>
            <w:tcW w:w="6240" w:type="dxa"/>
            <w:vAlign w:val="bottom"/>
          </w:tcPr>
          <w:p>
            <w:pPr>
              <w:ind w:left="40"/>
              <w:spacing w:after="0"/>
              <w:rPr>
                <w:sz w:val="20"/>
                <w:szCs w:val="20"/>
                <w:color w:val="auto"/>
              </w:rPr>
            </w:pPr>
            <w:r>
              <w:rPr>
                <w:rFonts w:ascii="Arial" w:cs="Arial" w:eastAsia="Arial" w:hAnsi="Arial"/>
                <w:sz w:val="18"/>
                <w:szCs w:val="18"/>
                <w:color w:val="auto"/>
              </w:rPr>
              <w:t>Statutory Federal Income Tax Rate</w:t>
            </w:r>
          </w:p>
        </w:tc>
        <w:tc>
          <w:tcPr>
            <w:tcW w:w="2540" w:type="dxa"/>
            <w:vAlign w:val="bottom"/>
          </w:tcPr>
          <w:p>
            <w:pPr>
              <w:jc w:val="right"/>
              <w:ind w:right="170"/>
              <w:spacing w:after="0"/>
              <w:rPr>
                <w:sz w:val="20"/>
                <w:szCs w:val="20"/>
                <w:color w:val="auto"/>
              </w:rPr>
            </w:pPr>
            <w:r>
              <w:rPr>
                <w:rFonts w:ascii="Arial" w:cs="Arial" w:eastAsia="Arial" w:hAnsi="Arial"/>
                <w:sz w:val="18"/>
                <w:szCs w:val="18"/>
                <w:color w:val="auto"/>
              </w:rPr>
              <w:t>35%</w:t>
            </w:r>
          </w:p>
        </w:tc>
        <w:tc>
          <w:tcPr>
            <w:tcW w:w="1440" w:type="dxa"/>
            <w:vAlign w:val="bottom"/>
          </w:tcPr>
          <w:p>
            <w:pPr>
              <w:jc w:val="right"/>
              <w:ind w:right="190"/>
              <w:spacing w:after="0"/>
              <w:rPr>
                <w:sz w:val="20"/>
                <w:szCs w:val="20"/>
                <w:color w:val="auto"/>
              </w:rPr>
            </w:pPr>
            <w:r>
              <w:rPr>
                <w:rFonts w:ascii="Arial" w:cs="Arial" w:eastAsia="Arial" w:hAnsi="Arial"/>
                <w:sz w:val="18"/>
                <w:szCs w:val="18"/>
                <w:color w:val="auto"/>
              </w:rPr>
              <w:t>35%</w:t>
            </w:r>
          </w:p>
        </w:tc>
        <w:tc>
          <w:tcPr>
            <w:tcW w:w="12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7"/>
        </w:trPr>
        <w:tc>
          <w:tcPr>
            <w:tcW w:w="624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6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Taxes Computed at 35 percent Statutory Federal Rate</w:t>
            </w:r>
          </w:p>
        </w:tc>
        <w:tc>
          <w:tcPr>
            <w:tcW w:w="2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$47.3</w:t>
            </w:r>
          </w:p>
        </w:tc>
        <w:tc>
          <w:tcPr>
            <w:tcW w:w="14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$45.2</w:t>
            </w:r>
          </w:p>
        </w:tc>
        <w:tc>
          <w:tcPr>
            <w:tcW w:w="12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$41.7</w:t>
            </w:r>
          </w:p>
        </w:tc>
      </w:tr>
      <w:tr>
        <w:trPr>
          <w:trHeight w:val="243"/>
        </w:trPr>
        <w:tc>
          <w:tcPr>
            <w:tcW w:w="6240" w:type="dxa"/>
            <w:vAlign w:val="bottom"/>
          </w:tcPr>
          <w:p>
            <w:pPr>
              <w:ind w:left="40"/>
              <w:spacing w:after="0"/>
              <w:rPr>
                <w:sz w:val="20"/>
                <w:szCs w:val="20"/>
                <w:color w:val="auto"/>
              </w:rPr>
            </w:pPr>
            <w:r>
              <w:rPr>
                <w:rFonts w:ascii="Arial" w:cs="Arial" w:eastAsia="Arial" w:hAnsi="Arial"/>
                <w:sz w:val="18"/>
                <w:szCs w:val="18"/>
                <w:color w:val="auto"/>
              </w:rPr>
              <w:t>Increase (Decrease) in Tax Due to:</w:t>
            </w:r>
          </w:p>
        </w:tc>
        <w:tc>
          <w:tcPr>
            <w:tcW w:w="25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624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State Income Taxes – Net of Federal Income Tax Benefit</w:t>
            </w:r>
          </w:p>
        </w:tc>
        <w:tc>
          <w:tcPr>
            <w:tcW w:w="2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1.2</w:t>
            </w:r>
          </w:p>
        </w:tc>
        <w:tc>
          <w:tcPr>
            <w:tcW w:w="14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6.0</w:t>
            </w:r>
          </w:p>
        </w:tc>
        <w:tc>
          <w:tcPr>
            <w:tcW w:w="12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4.5</w:t>
            </w:r>
          </w:p>
        </w:tc>
      </w:tr>
      <w:tr>
        <w:trPr>
          <w:trHeight w:val="243"/>
        </w:trPr>
        <w:tc>
          <w:tcPr>
            <w:tcW w:w="6240" w:type="dxa"/>
            <w:vAlign w:val="bottom"/>
          </w:tcPr>
          <w:p>
            <w:pPr>
              <w:ind w:left="280"/>
              <w:spacing w:after="0"/>
              <w:rPr>
                <w:sz w:val="20"/>
                <w:szCs w:val="20"/>
                <w:color w:val="auto"/>
              </w:rPr>
            </w:pPr>
            <w:r>
              <w:rPr>
                <w:rFonts w:ascii="Arial" w:cs="Arial" w:eastAsia="Arial" w:hAnsi="Arial"/>
                <w:sz w:val="18"/>
                <w:szCs w:val="18"/>
                <w:color w:val="auto"/>
              </w:rPr>
              <w:t>Impact of the PPACA</w:t>
            </w:r>
          </w:p>
        </w:tc>
        <w:tc>
          <w:tcPr>
            <w:tcW w:w="25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4.0</w:t>
            </w:r>
          </w:p>
        </w:tc>
      </w:tr>
      <w:tr>
        <w:trPr>
          <w:trHeight w:val="27"/>
        </w:trPr>
        <w:tc>
          <w:tcPr>
            <w:tcW w:w="624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 Accounting for Retail Portion of the PPACA</w:t>
            </w:r>
          </w:p>
        </w:tc>
        <w:tc>
          <w:tcPr>
            <w:tcW w:w="2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(2.9)</w:t>
            </w:r>
          </w:p>
        </w:tc>
        <w:tc>
          <w:tcPr>
            <w:tcW w:w="12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43"/>
        </w:trPr>
        <w:tc>
          <w:tcPr>
            <w:tcW w:w="6240" w:type="dxa"/>
            <w:vAlign w:val="bottom"/>
          </w:tcPr>
          <w:p>
            <w:pPr>
              <w:ind w:left="280"/>
              <w:spacing w:after="0"/>
              <w:rPr>
                <w:sz w:val="20"/>
                <w:szCs w:val="20"/>
                <w:color w:val="auto"/>
              </w:rPr>
            </w:pPr>
            <w:r>
              <w:rPr>
                <w:rFonts w:ascii="Arial" w:cs="Arial" w:eastAsia="Arial" w:hAnsi="Arial"/>
                <w:sz w:val="18"/>
                <w:szCs w:val="18"/>
                <w:color w:val="auto"/>
              </w:rPr>
              <w:t>2010 Rate Case Stipulation Agreement - Deferred Tax Reversal</w:t>
            </w:r>
          </w:p>
        </w:tc>
        <w:tc>
          <w:tcPr>
            <w:tcW w:w="25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270"/>
              <w:spacing w:after="0"/>
              <w:rPr>
                <w:sz w:val="20"/>
                <w:szCs w:val="20"/>
                <w:color w:val="auto"/>
              </w:rPr>
            </w:pPr>
            <w:r>
              <w:rPr>
                <w:rFonts w:ascii="Arial" w:cs="Arial" w:eastAsia="Arial" w:hAnsi="Arial"/>
                <w:sz w:val="18"/>
                <w:szCs w:val="18"/>
                <w:color w:val="auto"/>
              </w:rPr>
              <w:t>(6.2)</w:t>
            </w: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7"/>
        </w:trPr>
        <w:tc>
          <w:tcPr>
            <w:tcW w:w="624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Regulatory Differences for Utility Plant</w:t>
            </w:r>
          </w:p>
        </w:tc>
        <w:tc>
          <w:tcPr>
            <w:tcW w:w="254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(2.2)</w:t>
            </w:r>
          </w:p>
        </w:tc>
        <w:tc>
          <w:tcPr>
            <w:tcW w:w="144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(1.2)</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w:t>
            </w:r>
          </w:p>
        </w:tc>
      </w:tr>
      <w:tr>
        <w:trPr>
          <w:trHeight w:val="243"/>
        </w:trPr>
        <w:tc>
          <w:tcPr>
            <w:tcW w:w="6240" w:type="dxa"/>
            <w:vAlign w:val="bottom"/>
          </w:tcPr>
          <w:p>
            <w:pPr>
              <w:ind w:left="280"/>
              <w:spacing w:after="0"/>
              <w:rPr>
                <w:sz w:val="20"/>
                <w:szCs w:val="20"/>
                <w:color w:val="auto"/>
              </w:rPr>
            </w:pPr>
            <w:r>
              <w:rPr>
                <w:rFonts w:ascii="Arial" w:cs="Arial" w:eastAsia="Arial" w:hAnsi="Arial"/>
                <w:sz w:val="18"/>
                <w:szCs w:val="18"/>
                <w:color w:val="auto"/>
              </w:rPr>
              <w:t>Production Tax Credits</w:t>
            </w:r>
          </w:p>
        </w:tc>
        <w:tc>
          <w:tcPr>
            <w:tcW w:w="2540" w:type="dxa"/>
            <w:vAlign w:val="bottom"/>
          </w:tcPr>
          <w:p>
            <w:pPr>
              <w:jc w:val="right"/>
              <w:ind w:right="270"/>
              <w:spacing w:after="0"/>
              <w:rPr>
                <w:sz w:val="20"/>
                <w:szCs w:val="20"/>
                <w:color w:val="auto"/>
              </w:rPr>
            </w:pPr>
            <w:r>
              <w:rPr>
                <w:rFonts w:ascii="Arial" w:cs="Arial" w:eastAsia="Arial" w:hAnsi="Arial"/>
                <w:sz w:val="18"/>
                <w:szCs w:val="18"/>
                <w:color w:val="auto"/>
              </w:rPr>
              <w:t>(7.6)</w:t>
            </w:r>
          </w:p>
        </w:tc>
        <w:tc>
          <w:tcPr>
            <w:tcW w:w="1440" w:type="dxa"/>
            <w:vAlign w:val="bottom"/>
          </w:tcPr>
          <w:p>
            <w:pPr>
              <w:jc w:val="right"/>
              <w:ind w:right="270"/>
              <w:spacing w:after="0"/>
              <w:rPr>
                <w:sz w:val="20"/>
                <w:szCs w:val="20"/>
                <w:color w:val="auto"/>
              </w:rPr>
            </w:pPr>
            <w:r>
              <w:rPr>
                <w:rFonts w:ascii="Arial" w:cs="Arial" w:eastAsia="Arial" w:hAnsi="Arial"/>
                <w:sz w:val="18"/>
                <w:szCs w:val="18"/>
                <w:color w:val="auto"/>
              </w:rPr>
              <w:t>(4.3)</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(1.6)</w:t>
            </w:r>
          </w:p>
        </w:tc>
      </w:tr>
      <w:tr>
        <w:trPr>
          <w:trHeight w:val="27"/>
        </w:trPr>
        <w:tc>
          <w:tcPr>
            <w:tcW w:w="624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5"/>
        </w:trPr>
        <w:tc>
          <w:tcPr>
            <w:tcW w:w="6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254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(0.7)</w:t>
            </w:r>
          </w:p>
        </w:tc>
        <w:tc>
          <w:tcPr>
            <w:tcW w:w="144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(1.0)</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w:t>
            </w:r>
          </w:p>
        </w:tc>
      </w:tr>
      <w:tr>
        <w:trPr>
          <w:trHeight w:val="237"/>
        </w:trPr>
        <w:tc>
          <w:tcPr>
            <w:tcW w:w="62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Income Tax Expense</w:t>
            </w:r>
          </w:p>
        </w:tc>
        <w:tc>
          <w:tcPr>
            <w:tcW w:w="254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rPr>
              <w:t>$38.0</w:t>
            </w:r>
          </w:p>
        </w:tc>
        <w:tc>
          <w:tcPr>
            <w:tcW w:w="144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rPr>
              <w:t>$35.6</w:t>
            </w:r>
          </w:p>
        </w:tc>
        <w:tc>
          <w:tcPr>
            <w:tcW w:w="12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$44.3</w:t>
            </w:r>
          </w:p>
        </w:tc>
      </w:tr>
      <w:tr>
        <w:trPr>
          <w:trHeight w:val="27"/>
        </w:trPr>
        <w:tc>
          <w:tcPr>
            <w:tcW w:w="624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2012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364" w:right="239" w:bottom="1440" w:gutter="0" w:footer="0" w:header="0"/>
        </w:sectPr>
      </w:pPr>
    </w:p>
    <w:bookmarkStart w:id="97" w:name="page98"/>
    <w:bookmarkEnd w:id="97"/>
    <w:p>
      <w:pPr>
        <w:spacing w:after="0"/>
        <w:rPr>
          <w:sz w:val="20"/>
          <w:szCs w:val="20"/>
          <w:color w:val="auto"/>
        </w:rPr>
      </w:pPr>
      <w:r>
        <w:rPr>
          <w:rFonts w:ascii="Arial" w:cs="Arial" w:eastAsia="Arial" w:hAnsi="Arial"/>
          <w:sz w:val="18"/>
          <w:szCs w:val="18"/>
          <w:b w:val="1"/>
          <w:bCs w:val="1"/>
          <w:color w:val="auto"/>
        </w:rPr>
        <w:t>NOTE 14. INCOME TAX EXPENSE (Continued)</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effective tax rate on income was 28.1 percent for 2012 (27.6 percent for 2011; 37.2 percent for 2010). The 2012 effective rate was primarily impacted by renewable tax credits and by the deduction for AFUDC-Equity (included in Regulatory Differences for Utility Plant, above). The 2011 effective tax rate was primarily impacted by the deduction for AFUDC-Equity, the reversal of a deferred tax liability related to a revenue receivable that Minnesota Power agreed to forgo as part of a stipulation and settlement agreement in its 2010 rate case, renewable tax credits, and the MPUC’s approval of our request to defer the retail portion of the tax charge taken in 2010 as a result of the PPACA. The 2010 effective tax rate was primarily impacted by the PPACA eliminating the tax deduction for expenses that are reimbursed under Medicare Part D, the deduction for AFUDC-Equity, and renewable tax credits.</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180" w:type="dxa"/>
            <w:vAlign w:val="bottom"/>
          </w:tcPr>
          <w:p>
            <w:pPr>
              <w:ind w:left="20"/>
              <w:spacing w:after="0"/>
              <w:rPr>
                <w:sz w:val="20"/>
                <w:szCs w:val="20"/>
                <w:color w:val="auto"/>
              </w:rPr>
            </w:pPr>
            <w:r>
              <w:rPr>
                <w:rFonts w:ascii="Arial" w:cs="Arial" w:eastAsia="Arial" w:hAnsi="Arial"/>
                <w:sz w:val="18"/>
                <w:szCs w:val="18"/>
                <w:b w:val="1"/>
                <w:bCs w:val="1"/>
                <w:color w:val="auto"/>
              </w:rPr>
              <w:t>Deferred Tax Assets and Liabilities</w:t>
            </w:r>
          </w:p>
        </w:tc>
        <w:tc>
          <w:tcPr>
            <w:tcW w:w="410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70"/>
        </w:trPr>
        <w:tc>
          <w:tcPr>
            <w:tcW w:w="20" w:type="dxa"/>
            <w:vAlign w:val="bottom"/>
          </w:tcPr>
          <w:p>
            <w:pPr>
              <w:spacing w:after="0"/>
              <w:rPr>
                <w:sz w:val="23"/>
                <w:szCs w:val="23"/>
                <w:color w:val="auto"/>
              </w:rPr>
            </w:pPr>
          </w:p>
        </w:tc>
        <w:tc>
          <w:tcPr>
            <w:tcW w:w="6180" w:type="dxa"/>
            <w:vAlign w:val="bottom"/>
          </w:tcPr>
          <w:p>
            <w:pPr>
              <w:ind w:left="20"/>
              <w:spacing w:after="0"/>
              <w:rPr>
                <w:sz w:val="20"/>
                <w:szCs w:val="20"/>
                <w:color w:val="auto"/>
              </w:rPr>
            </w:pPr>
            <w:r>
              <w:rPr>
                <w:rFonts w:ascii="Arial" w:cs="Arial" w:eastAsia="Arial" w:hAnsi="Arial"/>
                <w:sz w:val="18"/>
                <w:szCs w:val="18"/>
                <w:b w:val="1"/>
                <w:bCs w:val="1"/>
                <w:color w:val="auto"/>
              </w:rPr>
              <w:t>As of December 31</w:t>
            </w:r>
          </w:p>
        </w:tc>
        <w:tc>
          <w:tcPr>
            <w:tcW w:w="4100" w:type="dxa"/>
            <w:vAlign w:val="bottom"/>
          </w:tcPr>
          <w:p>
            <w:pPr>
              <w:jc w:val="right"/>
              <w:ind w:right="670"/>
              <w:spacing w:after="0"/>
              <w:rPr>
                <w:sz w:val="20"/>
                <w:szCs w:val="20"/>
                <w:color w:val="auto"/>
              </w:rPr>
            </w:pPr>
            <w:r>
              <w:rPr>
                <w:rFonts w:ascii="Arial" w:cs="Arial" w:eastAsia="Arial" w:hAnsi="Arial"/>
                <w:sz w:val="18"/>
                <w:szCs w:val="18"/>
                <w:b w:val="1"/>
                <w:bCs w:val="1"/>
                <w:color w:val="auto"/>
              </w:rPr>
              <w:t>2012</w:t>
            </w:r>
          </w:p>
        </w:tc>
        <w:tc>
          <w:tcPr>
            <w:tcW w:w="1120" w:type="dxa"/>
            <w:vAlign w:val="bottom"/>
          </w:tcPr>
          <w:p>
            <w:pPr>
              <w:jc w:val="right"/>
              <w:ind w:right="430"/>
              <w:spacing w:after="0"/>
              <w:rPr>
                <w:sz w:val="20"/>
                <w:szCs w:val="20"/>
                <w:color w:val="auto"/>
              </w:rPr>
            </w:pPr>
            <w:r>
              <w:rPr>
                <w:rFonts w:ascii="Arial" w:cs="Arial" w:eastAsia="Arial" w:hAnsi="Arial"/>
                <w:sz w:val="18"/>
                <w:szCs w:val="18"/>
                <w:b w:val="1"/>
                <w:bCs w:val="1"/>
                <w:color w:val="auto"/>
              </w:rPr>
              <w:t>2011</w:t>
            </w:r>
          </w:p>
        </w:tc>
      </w:tr>
      <w:tr>
        <w:trPr>
          <w:trHeight w:val="27"/>
        </w:trPr>
        <w:tc>
          <w:tcPr>
            <w:tcW w:w="20" w:type="dxa"/>
            <w:vAlign w:val="bottom"/>
          </w:tcPr>
          <w:p>
            <w:pPr>
              <w:spacing w:after="0"/>
              <w:rPr>
                <w:sz w:val="2"/>
                <w:szCs w:val="2"/>
                <w:color w:val="auto"/>
              </w:rPr>
            </w:pPr>
          </w:p>
        </w:tc>
        <w:tc>
          <w:tcPr>
            <w:tcW w:w="6180" w:type="dxa"/>
            <w:vAlign w:val="bottom"/>
            <w:tcBorders>
              <w:bottom w:val="single" w:sz="8" w:color="auto"/>
            </w:tcBorders>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618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410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6180" w:type="dxa"/>
            <w:vAlign w:val="bottom"/>
          </w:tcPr>
          <w:p>
            <w:pPr>
              <w:spacing w:after="0"/>
              <w:rPr>
                <w:sz w:val="2"/>
                <w:szCs w:val="2"/>
                <w:color w:val="auto"/>
              </w:rPr>
            </w:pPr>
          </w:p>
        </w:tc>
        <w:tc>
          <w:tcPr>
            <w:tcW w:w="41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4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180" w:type="dxa"/>
            <w:vAlign w:val="bottom"/>
          </w:tcPr>
          <w:p>
            <w:pPr>
              <w:ind w:left="260"/>
              <w:spacing w:after="0"/>
              <w:rPr>
                <w:sz w:val="20"/>
                <w:szCs w:val="20"/>
                <w:color w:val="auto"/>
              </w:rPr>
            </w:pPr>
            <w:r>
              <w:rPr>
                <w:rFonts w:ascii="Arial" w:cs="Arial" w:eastAsia="Arial" w:hAnsi="Arial"/>
                <w:sz w:val="18"/>
                <w:szCs w:val="18"/>
                <w:color w:val="auto"/>
              </w:rPr>
              <w:t>Employee Benefits and Compensation</w:t>
            </w:r>
          </w:p>
        </w:tc>
        <w:tc>
          <w:tcPr>
            <w:tcW w:w="4100" w:type="dxa"/>
            <w:vAlign w:val="bottom"/>
          </w:tcPr>
          <w:p>
            <w:pPr>
              <w:jc w:val="right"/>
              <w:ind w:right="250"/>
              <w:spacing w:after="0"/>
              <w:rPr>
                <w:sz w:val="20"/>
                <w:szCs w:val="20"/>
                <w:color w:val="auto"/>
              </w:rPr>
            </w:pPr>
            <w:r>
              <w:rPr>
                <w:rFonts w:ascii="Arial" w:cs="Arial" w:eastAsia="Arial" w:hAnsi="Arial"/>
                <w:sz w:val="18"/>
                <w:szCs w:val="18"/>
                <w:color w:val="auto"/>
              </w:rPr>
              <w:t>$120.2</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$132.7</w:t>
            </w:r>
          </w:p>
        </w:tc>
      </w:tr>
      <w:tr>
        <w:trPr>
          <w:trHeight w:val="27"/>
        </w:trPr>
        <w:tc>
          <w:tcPr>
            <w:tcW w:w="20" w:type="dxa"/>
            <w:vAlign w:val="bottom"/>
          </w:tcPr>
          <w:p>
            <w:pPr>
              <w:spacing w:after="0"/>
              <w:rPr>
                <w:sz w:val="2"/>
                <w:szCs w:val="2"/>
                <w:color w:val="auto"/>
              </w:rPr>
            </w:pPr>
          </w:p>
        </w:tc>
        <w:tc>
          <w:tcPr>
            <w:tcW w:w="6180" w:type="dxa"/>
            <w:vAlign w:val="bottom"/>
          </w:tcPr>
          <w:p>
            <w:pPr>
              <w:spacing w:after="0"/>
              <w:rPr>
                <w:sz w:val="2"/>
                <w:szCs w:val="2"/>
                <w:color w:val="auto"/>
              </w:rPr>
            </w:pPr>
          </w:p>
        </w:tc>
        <w:tc>
          <w:tcPr>
            <w:tcW w:w="41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1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Property Related</w:t>
            </w:r>
          </w:p>
        </w:tc>
        <w:tc>
          <w:tcPr>
            <w:tcW w:w="410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59.8</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56.4</w:t>
            </w:r>
          </w:p>
        </w:tc>
      </w:tr>
      <w:tr>
        <w:trPr>
          <w:trHeight w:val="243"/>
        </w:trPr>
        <w:tc>
          <w:tcPr>
            <w:tcW w:w="20" w:type="dxa"/>
            <w:vAlign w:val="bottom"/>
          </w:tcPr>
          <w:p>
            <w:pPr>
              <w:spacing w:after="0"/>
              <w:rPr>
                <w:sz w:val="21"/>
                <w:szCs w:val="21"/>
                <w:color w:val="auto"/>
              </w:rPr>
            </w:pPr>
          </w:p>
        </w:tc>
        <w:tc>
          <w:tcPr>
            <w:tcW w:w="6180" w:type="dxa"/>
            <w:vAlign w:val="bottom"/>
          </w:tcPr>
          <w:p>
            <w:pPr>
              <w:ind w:left="260"/>
              <w:spacing w:after="0"/>
              <w:rPr>
                <w:sz w:val="20"/>
                <w:szCs w:val="20"/>
                <w:color w:val="auto"/>
              </w:rPr>
            </w:pPr>
            <w:r>
              <w:rPr>
                <w:rFonts w:ascii="Arial" w:cs="Arial" w:eastAsia="Arial" w:hAnsi="Arial"/>
                <w:sz w:val="18"/>
                <w:szCs w:val="18"/>
                <w:color w:val="auto"/>
              </w:rPr>
              <w:t>NOL Carryforwards</w:t>
            </w:r>
          </w:p>
        </w:tc>
        <w:tc>
          <w:tcPr>
            <w:tcW w:w="4100" w:type="dxa"/>
            <w:vAlign w:val="bottom"/>
          </w:tcPr>
          <w:p>
            <w:pPr>
              <w:jc w:val="right"/>
              <w:ind w:right="250"/>
              <w:spacing w:after="0"/>
              <w:rPr>
                <w:sz w:val="20"/>
                <w:szCs w:val="20"/>
                <w:color w:val="auto"/>
              </w:rPr>
            </w:pPr>
            <w:r>
              <w:rPr>
                <w:rFonts w:ascii="Arial" w:cs="Arial" w:eastAsia="Arial" w:hAnsi="Arial"/>
                <w:sz w:val="18"/>
                <w:szCs w:val="18"/>
                <w:color w:val="auto"/>
              </w:rPr>
              <w:t>90.8</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61.7</w:t>
            </w:r>
          </w:p>
        </w:tc>
      </w:tr>
      <w:tr>
        <w:trPr>
          <w:trHeight w:val="27"/>
        </w:trPr>
        <w:tc>
          <w:tcPr>
            <w:tcW w:w="20" w:type="dxa"/>
            <w:vAlign w:val="bottom"/>
          </w:tcPr>
          <w:p>
            <w:pPr>
              <w:spacing w:after="0"/>
              <w:rPr>
                <w:sz w:val="2"/>
                <w:szCs w:val="2"/>
                <w:color w:val="auto"/>
              </w:rPr>
            </w:pPr>
          </w:p>
        </w:tc>
        <w:tc>
          <w:tcPr>
            <w:tcW w:w="6180" w:type="dxa"/>
            <w:vAlign w:val="bottom"/>
          </w:tcPr>
          <w:p>
            <w:pPr>
              <w:spacing w:after="0"/>
              <w:rPr>
                <w:sz w:val="2"/>
                <w:szCs w:val="2"/>
                <w:color w:val="auto"/>
              </w:rPr>
            </w:pPr>
          </w:p>
        </w:tc>
        <w:tc>
          <w:tcPr>
            <w:tcW w:w="41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1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Tax Credit Carryforwards</w:t>
            </w:r>
          </w:p>
        </w:tc>
        <w:tc>
          <w:tcPr>
            <w:tcW w:w="410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28.3</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w:t>
            </w:r>
          </w:p>
        </w:tc>
      </w:tr>
      <w:tr>
        <w:trPr>
          <w:trHeight w:val="243"/>
        </w:trPr>
        <w:tc>
          <w:tcPr>
            <w:tcW w:w="20" w:type="dxa"/>
            <w:vAlign w:val="bottom"/>
          </w:tcPr>
          <w:p>
            <w:pPr>
              <w:spacing w:after="0"/>
              <w:rPr>
                <w:sz w:val="21"/>
                <w:szCs w:val="21"/>
                <w:color w:val="auto"/>
              </w:rPr>
            </w:pPr>
          </w:p>
        </w:tc>
        <w:tc>
          <w:tcPr>
            <w:tcW w:w="6180" w:type="dxa"/>
            <w:vAlign w:val="bottom"/>
          </w:tcPr>
          <w:p>
            <w:pPr>
              <w:ind w:left="260"/>
              <w:spacing w:after="0"/>
              <w:rPr>
                <w:sz w:val="20"/>
                <w:szCs w:val="20"/>
                <w:color w:val="auto"/>
              </w:rPr>
            </w:pPr>
            <w:r>
              <w:rPr>
                <w:rFonts w:ascii="Arial" w:cs="Arial" w:eastAsia="Arial" w:hAnsi="Arial"/>
                <w:sz w:val="18"/>
                <w:szCs w:val="18"/>
                <w:color w:val="auto"/>
              </w:rPr>
              <w:t>Other</w:t>
            </w:r>
          </w:p>
        </w:tc>
        <w:tc>
          <w:tcPr>
            <w:tcW w:w="4100" w:type="dxa"/>
            <w:vAlign w:val="bottom"/>
          </w:tcPr>
          <w:p>
            <w:pPr>
              <w:jc w:val="right"/>
              <w:ind w:right="250"/>
              <w:spacing w:after="0"/>
              <w:rPr>
                <w:sz w:val="20"/>
                <w:szCs w:val="20"/>
                <w:color w:val="auto"/>
              </w:rPr>
            </w:pPr>
            <w:r>
              <w:rPr>
                <w:rFonts w:ascii="Arial" w:cs="Arial" w:eastAsia="Arial" w:hAnsi="Arial"/>
                <w:sz w:val="18"/>
                <w:szCs w:val="18"/>
                <w:color w:val="auto"/>
              </w:rPr>
              <w:t>24.6</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20.4</w:t>
            </w:r>
          </w:p>
        </w:tc>
      </w:tr>
      <w:tr>
        <w:trPr>
          <w:trHeight w:val="27"/>
        </w:trPr>
        <w:tc>
          <w:tcPr>
            <w:tcW w:w="20" w:type="dxa"/>
            <w:vAlign w:val="bottom"/>
          </w:tcPr>
          <w:p>
            <w:pPr>
              <w:spacing w:after="0"/>
              <w:rPr>
                <w:sz w:val="2"/>
                <w:szCs w:val="2"/>
                <w:color w:val="auto"/>
              </w:rPr>
            </w:pPr>
          </w:p>
        </w:tc>
        <w:tc>
          <w:tcPr>
            <w:tcW w:w="6180" w:type="dxa"/>
            <w:vAlign w:val="bottom"/>
            <w:tcBorders>
              <w:bottom w:val="single" w:sz="8" w:color="auto"/>
            </w:tcBorders>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61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Gross Deferred Tax Assets</w:t>
            </w:r>
          </w:p>
        </w:tc>
        <w:tc>
          <w:tcPr>
            <w:tcW w:w="410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323.7</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283.4</w:t>
            </w:r>
          </w:p>
        </w:tc>
      </w:tr>
      <w:tr>
        <w:trPr>
          <w:trHeight w:val="243"/>
        </w:trPr>
        <w:tc>
          <w:tcPr>
            <w:tcW w:w="20" w:type="dxa"/>
            <w:vAlign w:val="bottom"/>
          </w:tcPr>
          <w:p>
            <w:pPr>
              <w:spacing w:after="0"/>
              <w:rPr>
                <w:sz w:val="21"/>
                <w:szCs w:val="21"/>
                <w:color w:val="auto"/>
              </w:rPr>
            </w:pPr>
          </w:p>
        </w:tc>
        <w:tc>
          <w:tcPr>
            <w:tcW w:w="6180" w:type="dxa"/>
            <w:vAlign w:val="bottom"/>
          </w:tcPr>
          <w:p>
            <w:pPr>
              <w:ind w:left="20"/>
              <w:spacing w:after="0"/>
              <w:rPr>
                <w:sz w:val="20"/>
                <w:szCs w:val="20"/>
                <w:color w:val="auto"/>
              </w:rPr>
            </w:pPr>
            <w:r>
              <w:rPr>
                <w:rFonts w:ascii="Arial" w:cs="Arial" w:eastAsia="Arial" w:hAnsi="Arial"/>
                <w:sz w:val="18"/>
                <w:szCs w:val="18"/>
                <w:color w:val="auto"/>
              </w:rPr>
              <w:t>Deferred Tax Asset Valuation Allowance</w:t>
            </w:r>
          </w:p>
        </w:tc>
        <w:tc>
          <w:tcPr>
            <w:tcW w:w="4100" w:type="dxa"/>
            <w:vAlign w:val="bottom"/>
          </w:tcPr>
          <w:p>
            <w:pPr>
              <w:jc w:val="right"/>
              <w:ind w:right="190"/>
              <w:spacing w:after="0"/>
              <w:rPr>
                <w:sz w:val="20"/>
                <w:szCs w:val="20"/>
                <w:color w:val="auto"/>
              </w:rPr>
            </w:pPr>
            <w:r>
              <w:rPr>
                <w:rFonts w:ascii="Arial" w:cs="Arial" w:eastAsia="Arial" w:hAnsi="Arial"/>
                <w:sz w:val="18"/>
                <w:szCs w:val="18"/>
                <w:color w:val="auto"/>
              </w:rPr>
              <w:t>(2.4)</w:t>
            </w:r>
          </w:p>
        </w:tc>
        <w:tc>
          <w:tcPr>
            <w:tcW w:w="1120" w:type="dxa"/>
            <w:vAlign w:val="bottom"/>
          </w:tcPr>
          <w:p>
            <w:pPr>
              <w:jc w:val="right"/>
              <w:spacing w:after="0"/>
              <w:rPr>
                <w:sz w:val="20"/>
                <w:szCs w:val="20"/>
                <w:color w:val="auto"/>
              </w:rPr>
            </w:pPr>
            <w:r>
              <w:rPr>
                <w:rFonts w:ascii="Arial" w:cs="Arial" w:eastAsia="Arial" w:hAnsi="Arial"/>
                <w:sz w:val="18"/>
                <w:szCs w:val="18"/>
                <w:color w:val="auto"/>
              </w:rPr>
              <w:t>(0.4)</w:t>
            </w:r>
          </w:p>
        </w:tc>
      </w:tr>
      <w:tr>
        <w:trPr>
          <w:trHeight w:val="27"/>
        </w:trPr>
        <w:tc>
          <w:tcPr>
            <w:tcW w:w="20" w:type="dxa"/>
            <w:vAlign w:val="bottom"/>
          </w:tcPr>
          <w:p>
            <w:pPr>
              <w:spacing w:after="0"/>
              <w:rPr>
                <w:sz w:val="2"/>
                <w:szCs w:val="2"/>
                <w:color w:val="auto"/>
              </w:rPr>
            </w:pPr>
          </w:p>
        </w:tc>
        <w:tc>
          <w:tcPr>
            <w:tcW w:w="6180" w:type="dxa"/>
            <w:vAlign w:val="bottom"/>
            <w:tcBorders>
              <w:bottom w:val="single" w:sz="8" w:color="auto"/>
            </w:tcBorders>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20" w:type="dxa"/>
            <w:vAlign w:val="bottom"/>
          </w:tcPr>
          <w:p>
            <w:pPr>
              <w:spacing w:after="0"/>
              <w:rPr>
                <w:sz w:val="22"/>
                <w:szCs w:val="22"/>
                <w:color w:val="auto"/>
              </w:rPr>
            </w:pPr>
          </w:p>
        </w:tc>
        <w:tc>
          <w:tcPr>
            <w:tcW w:w="6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Deferred Tax Assets</w:t>
            </w:r>
          </w:p>
        </w:tc>
        <w:tc>
          <w:tcPr>
            <w:tcW w:w="410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$321.3</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$283.0</w:t>
            </w:r>
          </w:p>
        </w:tc>
      </w:tr>
      <w:tr>
        <w:trPr>
          <w:trHeight w:val="237"/>
        </w:trPr>
        <w:tc>
          <w:tcPr>
            <w:tcW w:w="20" w:type="dxa"/>
            <w:vAlign w:val="bottom"/>
          </w:tcPr>
          <w:p>
            <w:pPr>
              <w:spacing w:after="0"/>
              <w:rPr>
                <w:sz w:val="20"/>
                <w:szCs w:val="20"/>
                <w:color w:val="auto"/>
              </w:rPr>
            </w:pPr>
          </w:p>
        </w:tc>
        <w:tc>
          <w:tcPr>
            <w:tcW w:w="61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Deferred Tax Liabilities</w:t>
            </w:r>
          </w:p>
        </w:tc>
        <w:tc>
          <w:tcPr>
            <w:tcW w:w="410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6180" w:type="dxa"/>
            <w:vAlign w:val="bottom"/>
          </w:tcPr>
          <w:p>
            <w:pPr>
              <w:spacing w:after="0"/>
              <w:rPr>
                <w:sz w:val="2"/>
                <w:szCs w:val="2"/>
                <w:color w:val="auto"/>
              </w:rPr>
            </w:pPr>
          </w:p>
        </w:tc>
        <w:tc>
          <w:tcPr>
            <w:tcW w:w="41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1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Property Related</w:t>
            </w:r>
          </w:p>
        </w:tc>
        <w:tc>
          <w:tcPr>
            <w:tcW w:w="410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$577.1</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$482.7</w:t>
            </w:r>
          </w:p>
        </w:tc>
      </w:tr>
      <w:tr>
        <w:trPr>
          <w:trHeight w:val="243"/>
        </w:trPr>
        <w:tc>
          <w:tcPr>
            <w:tcW w:w="20" w:type="dxa"/>
            <w:vAlign w:val="bottom"/>
          </w:tcPr>
          <w:p>
            <w:pPr>
              <w:spacing w:after="0"/>
              <w:rPr>
                <w:sz w:val="21"/>
                <w:szCs w:val="21"/>
                <w:color w:val="auto"/>
              </w:rPr>
            </w:pPr>
          </w:p>
        </w:tc>
        <w:tc>
          <w:tcPr>
            <w:tcW w:w="6180" w:type="dxa"/>
            <w:vAlign w:val="bottom"/>
          </w:tcPr>
          <w:p>
            <w:pPr>
              <w:ind w:left="260"/>
              <w:spacing w:after="0"/>
              <w:rPr>
                <w:sz w:val="20"/>
                <w:szCs w:val="20"/>
                <w:color w:val="auto"/>
              </w:rPr>
            </w:pPr>
            <w:r>
              <w:rPr>
                <w:rFonts w:ascii="Arial" w:cs="Arial" w:eastAsia="Arial" w:hAnsi="Arial"/>
                <w:sz w:val="18"/>
                <w:szCs w:val="18"/>
                <w:color w:val="auto"/>
              </w:rPr>
              <w:t>Regulatory Asset for Benefit Obligations</w:t>
            </w:r>
          </w:p>
        </w:tc>
        <w:tc>
          <w:tcPr>
            <w:tcW w:w="4100" w:type="dxa"/>
            <w:vAlign w:val="bottom"/>
          </w:tcPr>
          <w:p>
            <w:pPr>
              <w:jc w:val="right"/>
              <w:ind w:right="250"/>
              <w:spacing w:after="0"/>
              <w:rPr>
                <w:sz w:val="20"/>
                <w:szCs w:val="20"/>
                <w:color w:val="auto"/>
              </w:rPr>
            </w:pPr>
            <w:r>
              <w:rPr>
                <w:rFonts w:ascii="Arial" w:cs="Arial" w:eastAsia="Arial" w:hAnsi="Arial"/>
                <w:sz w:val="18"/>
                <w:szCs w:val="18"/>
                <w:color w:val="auto"/>
              </w:rPr>
              <w:t>104.3</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117.9</w:t>
            </w:r>
          </w:p>
        </w:tc>
      </w:tr>
      <w:tr>
        <w:trPr>
          <w:trHeight w:val="27"/>
        </w:trPr>
        <w:tc>
          <w:tcPr>
            <w:tcW w:w="20" w:type="dxa"/>
            <w:vAlign w:val="bottom"/>
          </w:tcPr>
          <w:p>
            <w:pPr>
              <w:spacing w:after="0"/>
              <w:rPr>
                <w:sz w:val="2"/>
                <w:szCs w:val="2"/>
                <w:color w:val="auto"/>
              </w:rPr>
            </w:pPr>
          </w:p>
        </w:tc>
        <w:tc>
          <w:tcPr>
            <w:tcW w:w="6180" w:type="dxa"/>
            <w:vAlign w:val="bottom"/>
          </w:tcPr>
          <w:p>
            <w:pPr>
              <w:spacing w:after="0"/>
              <w:rPr>
                <w:sz w:val="2"/>
                <w:szCs w:val="2"/>
                <w:color w:val="auto"/>
              </w:rPr>
            </w:pPr>
          </w:p>
        </w:tc>
        <w:tc>
          <w:tcPr>
            <w:tcW w:w="41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1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Unamortized Investment Tax Credits</w:t>
            </w:r>
          </w:p>
        </w:tc>
        <w:tc>
          <w:tcPr>
            <w:tcW w:w="410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11.9</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12.8</w:t>
            </w:r>
          </w:p>
        </w:tc>
      </w:tr>
      <w:tr>
        <w:trPr>
          <w:trHeight w:val="243"/>
        </w:trPr>
        <w:tc>
          <w:tcPr>
            <w:tcW w:w="20" w:type="dxa"/>
            <w:vAlign w:val="bottom"/>
          </w:tcPr>
          <w:p>
            <w:pPr>
              <w:spacing w:after="0"/>
              <w:rPr>
                <w:sz w:val="21"/>
                <w:szCs w:val="21"/>
                <w:color w:val="auto"/>
              </w:rPr>
            </w:pPr>
          </w:p>
        </w:tc>
        <w:tc>
          <w:tcPr>
            <w:tcW w:w="6180" w:type="dxa"/>
            <w:vAlign w:val="bottom"/>
          </w:tcPr>
          <w:p>
            <w:pPr>
              <w:ind w:left="260"/>
              <w:spacing w:after="0"/>
              <w:rPr>
                <w:sz w:val="20"/>
                <w:szCs w:val="20"/>
                <w:color w:val="auto"/>
              </w:rPr>
            </w:pPr>
            <w:r>
              <w:rPr>
                <w:rFonts w:ascii="Arial" w:cs="Arial" w:eastAsia="Arial" w:hAnsi="Arial"/>
                <w:sz w:val="18"/>
                <w:szCs w:val="18"/>
                <w:color w:val="auto"/>
              </w:rPr>
              <w:t>Partnership Basis Differences</w:t>
            </w:r>
          </w:p>
        </w:tc>
        <w:tc>
          <w:tcPr>
            <w:tcW w:w="4100" w:type="dxa"/>
            <w:vAlign w:val="bottom"/>
          </w:tcPr>
          <w:p>
            <w:pPr>
              <w:jc w:val="right"/>
              <w:ind w:right="250"/>
              <w:spacing w:after="0"/>
              <w:rPr>
                <w:sz w:val="20"/>
                <w:szCs w:val="20"/>
                <w:color w:val="auto"/>
              </w:rPr>
            </w:pPr>
            <w:r>
              <w:rPr>
                <w:rFonts w:ascii="Arial" w:cs="Arial" w:eastAsia="Arial" w:hAnsi="Arial"/>
                <w:sz w:val="18"/>
                <w:szCs w:val="18"/>
                <w:color w:val="auto"/>
              </w:rPr>
              <w:t>28.6</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24.4</w:t>
            </w:r>
          </w:p>
        </w:tc>
      </w:tr>
      <w:tr>
        <w:trPr>
          <w:trHeight w:val="27"/>
        </w:trPr>
        <w:tc>
          <w:tcPr>
            <w:tcW w:w="20" w:type="dxa"/>
            <w:vAlign w:val="bottom"/>
          </w:tcPr>
          <w:p>
            <w:pPr>
              <w:spacing w:after="0"/>
              <w:rPr>
                <w:sz w:val="2"/>
                <w:szCs w:val="2"/>
                <w:color w:val="auto"/>
              </w:rPr>
            </w:pPr>
          </w:p>
        </w:tc>
        <w:tc>
          <w:tcPr>
            <w:tcW w:w="6180" w:type="dxa"/>
            <w:vAlign w:val="bottom"/>
          </w:tcPr>
          <w:p>
            <w:pPr>
              <w:spacing w:after="0"/>
              <w:rPr>
                <w:sz w:val="2"/>
                <w:szCs w:val="2"/>
                <w:color w:val="auto"/>
              </w:rPr>
            </w:pPr>
          </w:p>
        </w:tc>
        <w:tc>
          <w:tcPr>
            <w:tcW w:w="41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5"/>
        </w:trPr>
        <w:tc>
          <w:tcPr>
            <w:tcW w:w="20" w:type="dxa"/>
            <w:vAlign w:val="bottom"/>
          </w:tcPr>
          <w:p>
            <w:pPr>
              <w:spacing w:after="0"/>
              <w:rPr>
                <w:sz w:val="23"/>
                <w:szCs w:val="23"/>
                <w:color w:val="auto"/>
              </w:rPr>
            </w:pPr>
          </w:p>
        </w:tc>
        <w:tc>
          <w:tcPr>
            <w:tcW w:w="61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Other</w:t>
            </w:r>
          </w:p>
        </w:tc>
        <w:tc>
          <w:tcPr>
            <w:tcW w:w="410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30.1</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24.0</w:t>
            </w:r>
          </w:p>
        </w:tc>
      </w:tr>
      <w:tr>
        <w:trPr>
          <w:trHeight w:val="237"/>
        </w:trPr>
        <w:tc>
          <w:tcPr>
            <w:tcW w:w="20" w:type="dxa"/>
            <w:vAlign w:val="bottom"/>
          </w:tcPr>
          <w:p>
            <w:pPr>
              <w:spacing w:after="0"/>
              <w:rPr>
                <w:sz w:val="20"/>
                <w:szCs w:val="20"/>
                <w:color w:val="auto"/>
              </w:rPr>
            </w:pPr>
          </w:p>
        </w:tc>
        <w:tc>
          <w:tcPr>
            <w:tcW w:w="61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Total Deferred Tax Liabilities</w:t>
            </w:r>
          </w:p>
        </w:tc>
        <w:tc>
          <w:tcPr>
            <w:tcW w:w="410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rPr>
              <w:t>$752.0</w:t>
            </w: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$661.8</w:t>
            </w:r>
          </w:p>
        </w:tc>
      </w:tr>
      <w:tr>
        <w:trPr>
          <w:trHeight w:val="27"/>
        </w:trPr>
        <w:tc>
          <w:tcPr>
            <w:tcW w:w="20" w:type="dxa"/>
            <w:vAlign w:val="bottom"/>
          </w:tcPr>
          <w:p>
            <w:pPr>
              <w:spacing w:after="0"/>
              <w:rPr>
                <w:sz w:val="2"/>
                <w:szCs w:val="2"/>
                <w:color w:val="auto"/>
              </w:rPr>
            </w:pPr>
          </w:p>
        </w:tc>
        <w:tc>
          <w:tcPr>
            <w:tcW w:w="6180" w:type="dxa"/>
            <w:vAlign w:val="bottom"/>
            <w:tcBorders>
              <w:bottom w:val="single" w:sz="8" w:color="auto"/>
            </w:tcBorders>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20" w:type="dxa"/>
            <w:vAlign w:val="bottom"/>
          </w:tcPr>
          <w:p>
            <w:pPr>
              <w:spacing w:after="0"/>
              <w:rPr>
                <w:sz w:val="22"/>
                <w:szCs w:val="22"/>
                <w:color w:val="auto"/>
              </w:rPr>
            </w:pPr>
          </w:p>
        </w:tc>
        <w:tc>
          <w:tcPr>
            <w:tcW w:w="6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Deferred Income Taxes</w:t>
            </w:r>
          </w:p>
        </w:tc>
        <w:tc>
          <w:tcPr>
            <w:tcW w:w="410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$430.7</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$378.8</w:t>
            </w:r>
          </w:p>
        </w:tc>
      </w:tr>
      <w:tr>
        <w:trPr>
          <w:trHeight w:val="237"/>
        </w:trPr>
        <w:tc>
          <w:tcPr>
            <w:tcW w:w="20" w:type="dxa"/>
            <w:vAlign w:val="bottom"/>
          </w:tcPr>
          <w:p>
            <w:pPr>
              <w:spacing w:after="0"/>
              <w:rPr>
                <w:sz w:val="20"/>
                <w:szCs w:val="20"/>
                <w:color w:val="auto"/>
              </w:rPr>
            </w:pPr>
          </w:p>
        </w:tc>
        <w:tc>
          <w:tcPr>
            <w:tcW w:w="61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Recorded as:</w:t>
            </w:r>
          </w:p>
        </w:tc>
        <w:tc>
          <w:tcPr>
            <w:tcW w:w="410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6180" w:type="dxa"/>
            <w:vAlign w:val="bottom"/>
          </w:tcPr>
          <w:p>
            <w:pPr>
              <w:spacing w:after="0"/>
              <w:rPr>
                <w:sz w:val="2"/>
                <w:szCs w:val="2"/>
                <w:color w:val="auto"/>
              </w:rPr>
            </w:pPr>
          </w:p>
        </w:tc>
        <w:tc>
          <w:tcPr>
            <w:tcW w:w="41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1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 xml:space="preserve">Net Current Deferred Tax Liabilities </w:t>
            </w:r>
            <w:r>
              <w:rPr>
                <w:rFonts w:ascii="Arial" w:cs="Arial" w:eastAsia="Arial" w:hAnsi="Arial"/>
                <w:sz w:val="18"/>
                <w:szCs w:val="18"/>
                <w:i w:val="1"/>
                <w:iCs w:val="1"/>
                <w:color w:val="auto"/>
              </w:rPr>
              <w:t>(a)</w:t>
            </w:r>
          </w:p>
        </w:tc>
        <w:tc>
          <w:tcPr>
            <w:tcW w:w="410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$6.9</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w:t>
            </w:r>
          </w:p>
        </w:tc>
      </w:tr>
      <w:tr>
        <w:trPr>
          <w:trHeight w:val="243"/>
        </w:trPr>
        <w:tc>
          <w:tcPr>
            <w:tcW w:w="20" w:type="dxa"/>
            <w:vAlign w:val="bottom"/>
          </w:tcPr>
          <w:p>
            <w:pPr>
              <w:spacing w:after="0"/>
              <w:rPr>
                <w:sz w:val="21"/>
                <w:szCs w:val="21"/>
                <w:color w:val="auto"/>
              </w:rPr>
            </w:pPr>
          </w:p>
        </w:tc>
        <w:tc>
          <w:tcPr>
            <w:tcW w:w="6180" w:type="dxa"/>
            <w:vAlign w:val="bottom"/>
          </w:tcPr>
          <w:p>
            <w:pPr>
              <w:ind w:left="260"/>
              <w:spacing w:after="0"/>
              <w:rPr>
                <w:sz w:val="20"/>
                <w:szCs w:val="20"/>
                <w:color w:val="auto"/>
              </w:rPr>
            </w:pPr>
            <w:r>
              <w:rPr>
                <w:rFonts w:ascii="Arial" w:cs="Arial" w:eastAsia="Arial" w:hAnsi="Arial"/>
                <w:sz w:val="18"/>
                <w:szCs w:val="18"/>
                <w:color w:val="auto"/>
              </w:rPr>
              <w:t>Net Long-Term Deferred Tax Liabilities</w:t>
            </w:r>
          </w:p>
        </w:tc>
        <w:tc>
          <w:tcPr>
            <w:tcW w:w="4100" w:type="dxa"/>
            <w:vAlign w:val="bottom"/>
          </w:tcPr>
          <w:p>
            <w:pPr>
              <w:jc w:val="right"/>
              <w:ind w:right="250"/>
              <w:spacing w:after="0"/>
              <w:rPr>
                <w:sz w:val="20"/>
                <w:szCs w:val="20"/>
                <w:color w:val="auto"/>
              </w:rPr>
            </w:pPr>
            <w:r>
              <w:rPr>
                <w:rFonts w:ascii="Arial" w:cs="Arial" w:eastAsia="Arial" w:hAnsi="Arial"/>
                <w:sz w:val="18"/>
                <w:szCs w:val="18"/>
                <w:color w:val="auto"/>
              </w:rPr>
              <w:t>423.8</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373.6</w:t>
            </w:r>
          </w:p>
        </w:tc>
      </w:tr>
      <w:tr>
        <w:trPr>
          <w:trHeight w:val="27"/>
        </w:trPr>
        <w:tc>
          <w:tcPr>
            <w:tcW w:w="20" w:type="dxa"/>
            <w:vAlign w:val="bottom"/>
          </w:tcPr>
          <w:p>
            <w:pPr>
              <w:spacing w:after="0"/>
              <w:rPr>
                <w:sz w:val="2"/>
                <w:szCs w:val="2"/>
                <w:color w:val="auto"/>
              </w:rPr>
            </w:pPr>
          </w:p>
        </w:tc>
        <w:tc>
          <w:tcPr>
            <w:tcW w:w="6180" w:type="dxa"/>
            <w:vAlign w:val="bottom"/>
            <w:tcBorders>
              <w:bottom w:val="single" w:sz="8" w:color="auto"/>
            </w:tcBorders>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20" w:type="dxa"/>
            <w:vAlign w:val="bottom"/>
          </w:tcPr>
          <w:p>
            <w:pPr>
              <w:spacing w:after="0"/>
              <w:rPr>
                <w:sz w:val="22"/>
                <w:szCs w:val="22"/>
                <w:color w:val="auto"/>
              </w:rPr>
            </w:pPr>
          </w:p>
        </w:tc>
        <w:tc>
          <w:tcPr>
            <w:tcW w:w="61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Net Deferred Income Taxes</w:t>
            </w:r>
          </w:p>
        </w:tc>
        <w:tc>
          <w:tcPr>
            <w:tcW w:w="410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$430.7</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$378.8</w:t>
            </w:r>
          </w:p>
        </w:tc>
      </w:tr>
      <w:tr>
        <w:trPr>
          <w:trHeight w:val="200"/>
        </w:trPr>
        <w:tc>
          <w:tcPr>
            <w:tcW w:w="20" w:type="dxa"/>
            <w:vAlign w:val="bottom"/>
          </w:tcPr>
          <w:p>
            <w:pPr>
              <w:spacing w:after="0"/>
              <w:rPr>
                <w:sz w:val="17"/>
                <w:szCs w:val="17"/>
                <w:color w:val="auto"/>
              </w:rPr>
            </w:pPr>
          </w:p>
        </w:tc>
        <w:tc>
          <w:tcPr>
            <w:tcW w:w="6180" w:type="dxa"/>
            <w:vAlign w:val="bottom"/>
            <w:tcBorders>
              <w:top w:val="single" w:sz="8" w:color="auto"/>
            </w:tcBorders>
          </w:tcPr>
          <w:p>
            <w:pPr>
              <w:spacing w:after="0"/>
              <w:rPr>
                <w:sz w:val="20"/>
                <w:szCs w:val="20"/>
                <w:color w:val="auto"/>
              </w:rPr>
            </w:pPr>
            <w:r>
              <w:rPr>
                <w:rFonts w:ascii="Arial" w:cs="Arial" w:eastAsia="Arial" w:hAnsi="Arial"/>
                <w:sz w:val="16"/>
                <w:szCs w:val="16"/>
                <w:i w:val="1"/>
                <w:iCs w:val="1"/>
                <w:color w:val="auto"/>
              </w:rPr>
              <w:t>(a)  Included in Other Current Liabilities.</w:t>
            </w:r>
          </w:p>
        </w:tc>
        <w:tc>
          <w:tcPr>
            <w:tcW w:w="410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r>
      <w:tr>
        <w:trPr>
          <w:trHeight w:val="577"/>
        </w:trPr>
        <w:tc>
          <w:tcPr>
            <w:tcW w:w="20" w:type="dxa"/>
            <w:vAlign w:val="bottom"/>
          </w:tcPr>
          <w:p>
            <w:pPr>
              <w:spacing w:after="0"/>
              <w:rPr>
                <w:sz w:val="24"/>
                <w:szCs w:val="24"/>
                <w:color w:val="auto"/>
              </w:rPr>
            </w:pPr>
          </w:p>
        </w:tc>
        <w:tc>
          <w:tcPr>
            <w:tcW w:w="6180" w:type="dxa"/>
            <w:vAlign w:val="bottom"/>
          </w:tcPr>
          <w:p>
            <w:pPr>
              <w:ind w:left="20"/>
              <w:spacing w:after="0"/>
              <w:rPr>
                <w:sz w:val="20"/>
                <w:szCs w:val="20"/>
                <w:color w:val="auto"/>
              </w:rPr>
            </w:pPr>
            <w:r>
              <w:rPr>
                <w:rFonts w:ascii="Arial" w:cs="Arial" w:eastAsia="Arial" w:hAnsi="Arial"/>
                <w:sz w:val="18"/>
                <w:szCs w:val="18"/>
                <w:b w:val="1"/>
                <w:bCs w:val="1"/>
                <w:color w:val="auto"/>
              </w:rPr>
              <w:t>NOL and Tax Credit Carryforwards</w:t>
            </w:r>
          </w:p>
        </w:tc>
        <w:tc>
          <w:tcPr>
            <w:tcW w:w="41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70"/>
        </w:trPr>
        <w:tc>
          <w:tcPr>
            <w:tcW w:w="20" w:type="dxa"/>
            <w:vAlign w:val="bottom"/>
          </w:tcPr>
          <w:p>
            <w:pPr>
              <w:spacing w:after="0"/>
              <w:rPr>
                <w:sz w:val="23"/>
                <w:szCs w:val="23"/>
                <w:color w:val="auto"/>
              </w:rPr>
            </w:pPr>
          </w:p>
        </w:tc>
        <w:tc>
          <w:tcPr>
            <w:tcW w:w="6180" w:type="dxa"/>
            <w:vAlign w:val="bottom"/>
          </w:tcPr>
          <w:p>
            <w:pPr>
              <w:ind w:left="20"/>
              <w:spacing w:after="0"/>
              <w:rPr>
                <w:sz w:val="20"/>
                <w:szCs w:val="20"/>
                <w:color w:val="auto"/>
              </w:rPr>
            </w:pPr>
            <w:r>
              <w:rPr>
                <w:rFonts w:ascii="Arial" w:cs="Arial" w:eastAsia="Arial" w:hAnsi="Arial"/>
                <w:sz w:val="18"/>
                <w:szCs w:val="18"/>
                <w:b w:val="1"/>
                <w:bCs w:val="1"/>
                <w:color w:val="auto"/>
              </w:rPr>
              <w:t>Year Ended December 31</w:t>
            </w:r>
          </w:p>
        </w:tc>
        <w:tc>
          <w:tcPr>
            <w:tcW w:w="4100" w:type="dxa"/>
            <w:vAlign w:val="bottom"/>
          </w:tcPr>
          <w:p>
            <w:pPr>
              <w:jc w:val="right"/>
              <w:ind w:right="670"/>
              <w:spacing w:after="0"/>
              <w:rPr>
                <w:sz w:val="20"/>
                <w:szCs w:val="20"/>
                <w:color w:val="auto"/>
              </w:rPr>
            </w:pPr>
            <w:r>
              <w:rPr>
                <w:rFonts w:ascii="Arial" w:cs="Arial" w:eastAsia="Arial" w:hAnsi="Arial"/>
                <w:sz w:val="18"/>
                <w:szCs w:val="18"/>
                <w:b w:val="1"/>
                <w:bCs w:val="1"/>
                <w:color w:val="auto"/>
              </w:rPr>
              <w:t>2012</w:t>
            </w:r>
          </w:p>
        </w:tc>
        <w:tc>
          <w:tcPr>
            <w:tcW w:w="1120" w:type="dxa"/>
            <w:vAlign w:val="bottom"/>
          </w:tcPr>
          <w:p>
            <w:pPr>
              <w:jc w:val="right"/>
              <w:ind w:right="430"/>
              <w:spacing w:after="0"/>
              <w:rPr>
                <w:sz w:val="20"/>
                <w:szCs w:val="20"/>
                <w:color w:val="auto"/>
              </w:rPr>
            </w:pPr>
            <w:r>
              <w:rPr>
                <w:rFonts w:ascii="Arial" w:cs="Arial" w:eastAsia="Arial" w:hAnsi="Arial"/>
                <w:sz w:val="18"/>
                <w:szCs w:val="18"/>
                <w:b w:val="1"/>
                <w:bCs w:val="1"/>
                <w:color w:val="auto"/>
              </w:rPr>
              <w:t>2011</w:t>
            </w:r>
          </w:p>
        </w:tc>
      </w:tr>
      <w:tr>
        <w:trPr>
          <w:trHeight w:val="27"/>
        </w:trPr>
        <w:tc>
          <w:tcPr>
            <w:tcW w:w="20" w:type="dxa"/>
            <w:vAlign w:val="bottom"/>
          </w:tcPr>
          <w:p>
            <w:pPr>
              <w:spacing w:after="0"/>
              <w:rPr>
                <w:sz w:val="2"/>
                <w:szCs w:val="2"/>
                <w:color w:val="auto"/>
              </w:rPr>
            </w:pPr>
          </w:p>
        </w:tc>
        <w:tc>
          <w:tcPr>
            <w:tcW w:w="6180" w:type="dxa"/>
            <w:vAlign w:val="bottom"/>
            <w:tcBorders>
              <w:bottom w:val="single" w:sz="8" w:color="auto"/>
            </w:tcBorders>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618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410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6180" w:type="dxa"/>
            <w:vAlign w:val="bottom"/>
          </w:tcPr>
          <w:p>
            <w:pPr>
              <w:spacing w:after="0"/>
              <w:rPr>
                <w:sz w:val="2"/>
                <w:szCs w:val="2"/>
                <w:color w:val="auto"/>
              </w:rPr>
            </w:pPr>
          </w:p>
        </w:tc>
        <w:tc>
          <w:tcPr>
            <w:tcW w:w="41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xml:space="preserve">Federal NOL carryforwards </w:t>
            </w:r>
            <w:r>
              <w:rPr>
                <w:rFonts w:ascii="Arial" w:cs="Arial" w:eastAsia="Arial" w:hAnsi="Arial"/>
                <w:sz w:val="18"/>
                <w:szCs w:val="18"/>
                <w:i w:val="1"/>
                <w:iCs w:val="1"/>
                <w:color w:val="auto"/>
              </w:rPr>
              <w:t>(a)</w:t>
            </w:r>
          </w:p>
        </w:tc>
        <w:tc>
          <w:tcPr>
            <w:tcW w:w="410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$244.1</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$162.0</w:t>
            </w:r>
          </w:p>
        </w:tc>
      </w:tr>
      <w:tr>
        <w:trPr>
          <w:trHeight w:val="243"/>
        </w:trPr>
        <w:tc>
          <w:tcPr>
            <w:tcW w:w="20" w:type="dxa"/>
            <w:vAlign w:val="bottom"/>
          </w:tcPr>
          <w:p>
            <w:pPr>
              <w:spacing w:after="0"/>
              <w:rPr>
                <w:sz w:val="21"/>
                <w:szCs w:val="21"/>
                <w:color w:val="auto"/>
              </w:rPr>
            </w:pPr>
          </w:p>
        </w:tc>
        <w:tc>
          <w:tcPr>
            <w:tcW w:w="6180" w:type="dxa"/>
            <w:vAlign w:val="bottom"/>
          </w:tcPr>
          <w:p>
            <w:pPr>
              <w:ind w:left="20"/>
              <w:spacing w:after="0"/>
              <w:rPr>
                <w:sz w:val="20"/>
                <w:szCs w:val="20"/>
                <w:color w:val="auto"/>
              </w:rPr>
            </w:pPr>
            <w:r>
              <w:rPr>
                <w:rFonts w:ascii="Arial" w:cs="Arial" w:eastAsia="Arial" w:hAnsi="Arial"/>
                <w:sz w:val="18"/>
                <w:szCs w:val="18"/>
                <w:color w:val="auto"/>
              </w:rPr>
              <w:t>Federal tax credit carryforwards</w:t>
            </w:r>
          </w:p>
        </w:tc>
        <w:tc>
          <w:tcPr>
            <w:tcW w:w="4100" w:type="dxa"/>
            <w:vAlign w:val="bottom"/>
          </w:tcPr>
          <w:p>
            <w:pPr>
              <w:jc w:val="right"/>
              <w:ind w:right="170"/>
              <w:spacing w:after="0"/>
              <w:rPr>
                <w:sz w:val="20"/>
                <w:szCs w:val="20"/>
                <w:color w:val="auto"/>
              </w:rPr>
            </w:pPr>
            <w:r>
              <w:rPr>
                <w:rFonts w:ascii="Arial" w:cs="Arial" w:eastAsia="Arial" w:hAnsi="Arial"/>
                <w:sz w:val="18"/>
                <w:szCs w:val="18"/>
                <w:color w:val="auto"/>
              </w:rPr>
              <w:t>$16.0</w:t>
            </w:r>
          </w:p>
        </w:tc>
        <w:tc>
          <w:tcPr>
            <w:tcW w:w="112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7"/>
        </w:trPr>
        <w:tc>
          <w:tcPr>
            <w:tcW w:w="20" w:type="dxa"/>
            <w:vAlign w:val="bottom"/>
          </w:tcPr>
          <w:p>
            <w:pPr>
              <w:spacing w:after="0"/>
              <w:rPr>
                <w:sz w:val="2"/>
                <w:szCs w:val="2"/>
                <w:color w:val="auto"/>
              </w:rPr>
            </w:pPr>
          </w:p>
        </w:tc>
        <w:tc>
          <w:tcPr>
            <w:tcW w:w="6180" w:type="dxa"/>
            <w:vAlign w:val="bottom"/>
          </w:tcPr>
          <w:p>
            <w:pPr>
              <w:spacing w:after="0"/>
              <w:rPr>
                <w:sz w:val="2"/>
                <w:szCs w:val="2"/>
                <w:color w:val="auto"/>
              </w:rPr>
            </w:pPr>
          </w:p>
        </w:tc>
        <w:tc>
          <w:tcPr>
            <w:tcW w:w="41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xml:space="preserve">State NOL carryforwards </w:t>
            </w:r>
            <w:r>
              <w:rPr>
                <w:rFonts w:ascii="Arial" w:cs="Arial" w:eastAsia="Arial" w:hAnsi="Arial"/>
                <w:sz w:val="18"/>
                <w:szCs w:val="18"/>
                <w:i w:val="1"/>
                <w:iCs w:val="1"/>
                <w:color w:val="auto"/>
              </w:rPr>
              <w:t>(a) (b)</w:t>
            </w:r>
          </w:p>
        </w:tc>
        <w:tc>
          <w:tcPr>
            <w:tcW w:w="41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$90.6</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$73.1</w:t>
            </w:r>
          </w:p>
        </w:tc>
      </w:tr>
      <w:tr>
        <w:trPr>
          <w:trHeight w:val="243"/>
        </w:trPr>
        <w:tc>
          <w:tcPr>
            <w:tcW w:w="20" w:type="dxa"/>
            <w:vAlign w:val="bottom"/>
          </w:tcPr>
          <w:p>
            <w:pPr>
              <w:spacing w:after="0"/>
              <w:rPr>
                <w:sz w:val="21"/>
                <w:szCs w:val="21"/>
                <w:color w:val="auto"/>
              </w:rPr>
            </w:pPr>
          </w:p>
        </w:tc>
        <w:tc>
          <w:tcPr>
            <w:tcW w:w="6180" w:type="dxa"/>
            <w:vAlign w:val="bottom"/>
          </w:tcPr>
          <w:p>
            <w:pPr>
              <w:ind w:left="20"/>
              <w:spacing w:after="0"/>
              <w:rPr>
                <w:sz w:val="20"/>
                <w:szCs w:val="20"/>
                <w:color w:val="auto"/>
              </w:rPr>
            </w:pPr>
            <w:r>
              <w:rPr>
                <w:rFonts w:ascii="Arial" w:cs="Arial" w:eastAsia="Arial" w:hAnsi="Arial"/>
                <w:sz w:val="18"/>
                <w:szCs w:val="18"/>
                <w:color w:val="auto"/>
              </w:rPr>
              <w:t xml:space="preserve">State tax credit carryforwards </w:t>
            </w:r>
            <w:r>
              <w:rPr>
                <w:rFonts w:ascii="Arial" w:cs="Arial" w:eastAsia="Arial" w:hAnsi="Arial"/>
                <w:sz w:val="18"/>
                <w:szCs w:val="18"/>
                <w:i w:val="1"/>
                <w:iCs w:val="1"/>
                <w:color w:val="auto"/>
              </w:rPr>
              <w:t>(c)</w:t>
            </w:r>
          </w:p>
        </w:tc>
        <w:tc>
          <w:tcPr>
            <w:tcW w:w="4100" w:type="dxa"/>
            <w:vAlign w:val="bottom"/>
          </w:tcPr>
          <w:p>
            <w:pPr>
              <w:jc w:val="right"/>
              <w:ind w:right="170"/>
              <w:spacing w:after="0"/>
              <w:rPr>
                <w:sz w:val="20"/>
                <w:szCs w:val="20"/>
                <w:color w:val="auto"/>
              </w:rPr>
            </w:pPr>
            <w:r>
              <w:rPr>
                <w:rFonts w:ascii="Arial" w:cs="Arial" w:eastAsia="Arial" w:hAnsi="Arial"/>
                <w:sz w:val="18"/>
                <w:szCs w:val="18"/>
                <w:color w:val="auto"/>
              </w:rPr>
              <w:t>$10.3</w:t>
            </w:r>
          </w:p>
        </w:tc>
        <w:tc>
          <w:tcPr>
            <w:tcW w:w="112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7"/>
        </w:trPr>
        <w:tc>
          <w:tcPr>
            <w:tcW w:w="6200" w:type="dxa"/>
            <w:vAlign w:val="bottom"/>
            <w:gridSpan w:val="2"/>
          </w:tcPr>
          <w:p>
            <w:pPr>
              <w:spacing w:after="0"/>
              <w:rPr>
                <w:sz w:val="2"/>
                <w:szCs w:val="2"/>
                <w:color w:val="auto"/>
              </w:rPr>
            </w:pPr>
          </w:p>
        </w:tc>
        <w:tc>
          <w:tcPr>
            <w:tcW w:w="41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173"/>
        </w:trPr>
        <w:tc>
          <w:tcPr>
            <w:tcW w:w="20" w:type="dxa"/>
            <w:vAlign w:val="bottom"/>
          </w:tcPr>
          <w:p>
            <w:pPr>
              <w:spacing w:after="0"/>
              <w:rPr>
                <w:sz w:val="15"/>
                <w:szCs w:val="15"/>
                <w:color w:val="auto"/>
              </w:rPr>
            </w:pPr>
          </w:p>
        </w:tc>
        <w:tc>
          <w:tcPr>
            <w:tcW w:w="6180" w:type="dxa"/>
            <w:vAlign w:val="bottom"/>
            <w:tcBorders>
              <w:top w:val="single" w:sz="8" w:color="auto"/>
            </w:tcBorders>
          </w:tcPr>
          <w:p>
            <w:pPr>
              <w:spacing w:after="0" w:line="173" w:lineRule="exact"/>
              <w:rPr>
                <w:sz w:val="20"/>
                <w:szCs w:val="20"/>
                <w:color w:val="auto"/>
              </w:rPr>
            </w:pPr>
            <w:r>
              <w:rPr>
                <w:rFonts w:ascii="Arial" w:cs="Arial" w:eastAsia="Arial" w:hAnsi="Arial"/>
                <w:sz w:val="16"/>
                <w:szCs w:val="16"/>
                <w:i w:val="1"/>
                <w:iCs w:val="1"/>
                <w:color w:val="auto"/>
              </w:rPr>
              <w:t>(a)  Pretax amounts</w:t>
            </w:r>
          </w:p>
        </w:tc>
        <w:tc>
          <w:tcPr>
            <w:tcW w:w="410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r>
      <w:tr>
        <w:trPr>
          <w:trHeight w:val="189"/>
        </w:trPr>
        <w:tc>
          <w:tcPr>
            <w:tcW w:w="6200" w:type="dxa"/>
            <w:vAlign w:val="bottom"/>
            <w:gridSpan w:val="2"/>
          </w:tcPr>
          <w:p>
            <w:pPr>
              <w:spacing w:after="0"/>
              <w:rPr>
                <w:sz w:val="20"/>
                <w:szCs w:val="20"/>
                <w:color w:val="auto"/>
              </w:rPr>
            </w:pPr>
            <w:r>
              <w:rPr>
                <w:rFonts w:ascii="Arial" w:cs="Arial" w:eastAsia="Arial" w:hAnsi="Arial"/>
                <w:sz w:val="16"/>
                <w:szCs w:val="16"/>
                <w:i w:val="1"/>
                <w:iCs w:val="1"/>
                <w:color w:val="auto"/>
              </w:rPr>
              <w:t>(b)  Net of $0.4 million valuation allowance.</w:t>
            </w:r>
          </w:p>
        </w:tc>
        <w:tc>
          <w:tcPr>
            <w:tcW w:w="410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06"/>
        </w:trPr>
        <w:tc>
          <w:tcPr>
            <w:tcW w:w="6200" w:type="dxa"/>
            <w:vAlign w:val="bottom"/>
            <w:gridSpan w:val="2"/>
          </w:tcPr>
          <w:p>
            <w:pPr>
              <w:spacing w:after="0"/>
              <w:rPr>
                <w:sz w:val="20"/>
                <w:szCs w:val="20"/>
                <w:color w:val="auto"/>
              </w:rPr>
            </w:pPr>
            <w:r>
              <w:rPr>
                <w:rFonts w:ascii="Arial" w:cs="Arial" w:eastAsia="Arial" w:hAnsi="Arial"/>
                <w:sz w:val="16"/>
                <w:szCs w:val="16"/>
                <w:i w:val="1"/>
                <w:iCs w:val="1"/>
                <w:color w:val="auto"/>
              </w:rPr>
              <w:t>(c)  Net of $2.0 million valuation allowance.</w:t>
            </w:r>
          </w:p>
        </w:tc>
        <w:tc>
          <w:tcPr>
            <w:tcW w:w="4100" w:type="dxa"/>
            <w:vAlign w:val="bottom"/>
          </w:tcPr>
          <w:p>
            <w:pPr>
              <w:spacing w:after="0"/>
              <w:rPr>
                <w:sz w:val="17"/>
                <w:szCs w:val="17"/>
                <w:color w:val="auto"/>
              </w:rPr>
            </w:pPr>
          </w:p>
        </w:tc>
        <w:tc>
          <w:tcPr>
            <w:tcW w:w="1120" w:type="dxa"/>
            <w:vAlign w:val="bottom"/>
          </w:tcPr>
          <w:p>
            <w:pPr>
              <w:spacing w:after="0"/>
              <w:rPr>
                <w:sz w:val="17"/>
                <w:szCs w:val="17"/>
                <w:color w:val="auto"/>
              </w:rPr>
            </w:pPr>
          </w:p>
        </w:tc>
      </w:tr>
    </w:tbl>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2012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364" w:right="239" w:bottom="1440" w:gutter="0" w:footer="0" w:header="0"/>
        </w:sectPr>
      </w:pPr>
    </w:p>
    <w:bookmarkStart w:id="98" w:name="page99"/>
    <w:bookmarkEnd w:id="98"/>
    <w:p>
      <w:pPr>
        <w:spacing w:after="0"/>
        <w:rPr>
          <w:sz w:val="20"/>
          <w:szCs w:val="20"/>
          <w:color w:val="auto"/>
        </w:rPr>
      </w:pPr>
      <w:r>
        <w:rPr>
          <w:rFonts w:ascii="Arial" w:cs="Arial" w:eastAsia="Arial" w:hAnsi="Arial"/>
          <w:sz w:val="18"/>
          <w:szCs w:val="18"/>
          <w:b w:val="1"/>
          <w:bCs w:val="1"/>
          <w:color w:val="auto"/>
        </w:rPr>
        <w:t>NOTE 14. INCOME TAX EXPENSE (Continued)</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2012, we generated federal and various state NOLs and tax credit carryforwards primarily due to the bonus depreciation provisions of the Tax Relief, Unemployment Insurance Reauthorization, and Job Creation Act of 2010. The 2012 federal NOL will be utilized by carrying it forward to offset future years’ income. The federal NOL and tax credit carryforward periods expire between 2019 and 2032; included in the federal NOL carryforward are charitable contribution carryforwards which expire between 2014 and 2016. We expect to fully utilize the federal NOL, charitable contributions, and federal tax credit carryforwards; therefore no valuation allowance has been recognized as of December 31, 2012.</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state NOLs and tax credits will be carried forward to future tax years. We have established a valuation allowance against certain state NOL and tax credits that we do not expect to utilize before their expiration. The state NOL and tax credit carryforward periods expire between 2024 and 2032; included in the state NOL carryforwards are charitable contribution carryforwards which expire between 2014 and 2016.</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80" w:type="dxa"/>
            <w:vAlign w:val="bottom"/>
          </w:tcPr>
          <w:p>
            <w:pPr>
              <w:ind w:left="40"/>
              <w:spacing w:after="0"/>
              <w:rPr>
                <w:sz w:val="20"/>
                <w:szCs w:val="20"/>
                <w:color w:val="auto"/>
              </w:rPr>
            </w:pPr>
            <w:r>
              <w:rPr>
                <w:rFonts w:ascii="Arial" w:cs="Arial" w:eastAsia="Arial" w:hAnsi="Arial"/>
                <w:sz w:val="18"/>
                <w:szCs w:val="18"/>
                <w:b w:val="1"/>
                <w:bCs w:val="1"/>
                <w:color w:val="auto"/>
              </w:rPr>
              <w:t>Gross Unrecognized Income Tax Benefits</w:t>
            </w:r>
          </w:p>
        </w:tc>
        <w:tc>
          <w:tcPr>
            <w:tcW w:w="2720" w:type="dxa"/>
            <w:vAlign w:val="bottom"/>
          </w:tcPr>
          <w:p>
            <w:pPr>
              <w:jc w:val="right"/>
              <w:ind w:right="630"/>
              <w:spacing w:after="0"/>
              <w:rPr>
                <w:sz w:val="20"/>
                <w:szCs w:val="20"/>
                <w:color w:val="auto"/>
              </w:rPr>
            </w:pPr>
            <w:r>
              <w:rPr>
                <w:rFonts w:ascii="Arial" w:cs="Arial" w:eastAsia="Arial" w:hAnsi="Arial"/>
                <w:sz w:val="18"/>
                <w:szCs w:val="18"/>
                <w:b w:val="1"/>
                <w:bCs w:val="1"/>
                <w:color w:val="auto"/>
              </w:rPr>
              <w:t>2012</w:t>
            </w:r>
          </w:p>
        </w:tc>
        <w:tc>
          <w:tcPr>
            <w:tcW w:w="1540" w:type="dxa"/>
            <w:vAlign w:val="bottom"/>
          </w:tcPr>
          <w:p>
            <w:pPr>
              <w:jc w:val="right"/>
              <w:ind w:right="650"/>
              <w:spacing w:after="0"/>
              <w:rPr>
                <w:sz w:val="20"/>
                <w:szCs w:val="20"/>
                <w:color w:val="auto"/>
              </w:rPr>
            </w:pPr>
            <w:r>
              <w:rPr>
                <w:rFonts w:ascii="Arial" w:cs="Arial" w:eastAsia="Arial" w:hAnsi="Arial"/>
                <w:sz w:val="18"/>
                <w:szCs w:val="18"/>
                <w:b w:val="1"/>
                <w:bCs w:val="1"/>
                <w:color w:val="auto"/>
              </w:rPr>
              <w:t>2011</w:t>
            </w:r>
          </w:p>
        </w:tc>
        <w:tc>
          <w:tcPr>
            <w:tcW w:w="1380" w:type="dxa"/>
            <w:vAlign w:val="bottom"/>
          </w:tcPr>
          <w:p>
            <w:pPr>
              <w:jc w:val="right"/>
              <w:ind w:right="490"/>
              <w:spacing w:after="0"/>
              <w:rPr>
                <w:sz w:val="20"/>
                <w:szCs w:val="20"/>
                <w:color w:val="auto"/>
              </w:rPr>
            </w:pPr>
            <w:r>
              <w:rPr>
                <w:rFonts w:ascii="Arial" w:cs="Arial" w:eastAsia="Arial" w:hAnsi="Arial"/>
                <w:sz w:val="18"/>
                <w:szCs w:val="18"/>
                <w:b w:val="1"/>
                <w:bCs w:val="1"/>
                <w:color w:val="auto"/>
              </w:rPr>
              <w:t>2010</w:t>
            </w:r>
          </w:p>
        </w:tc>
      </w:tr>
      <w:tr>
        <w:trPr>
          <w:trHeight w:val="27"/>
        </w:trPr>
        <w:tc>
          <w:tcPr>
            <w:tcW w:w="578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7"/>
        </w:trPr>
        <w:tc>
          <w:tcPr>
            <w:tcW w:w="578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7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7"/>
        </w:trPr>
        <w:tc>
          <w:tcPr>
            <w:tcW w:w="578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January 1</w:t>
            </w:r>
          </w:p>
        </w:tc>
        <w:tc>
          <w:tcPr>
            <w:tcW w:w="272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$11.4</w:t>
            </w:r>
          </w:p>
        </w:tc>
        <w:tc>
          <w:tcPr>
            <w:tcW w:w="154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$12.3</w:t>
            </w:r>
          </w:p>
        </w:tc>
        <w:tc>
          <w:tcPr>
            <w:tcW w:w="13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$9.5</w:t>
            </w:r>
          </w:p>
        </w:tc>
      </w:tr>
      <w:tr>
        <w:trPr>
          <w:trHeight w:val="243"/>
        </w:trPr>
        <w:tc>
          <w:tcPr>
            <w:tcW w:w="5780" w:type="dxa"/>
            <w:vAlign w:val="bottom"/>
          </w:tcPr>
          <w:p>
            <w:pPr>
              <w:ind w:left="40"/>
              <w:spacing w:after="0"/>
              <w:rPr>
                <w:sz w:val="20"/>
                <w:szCs w:val="20"/>
                <w:color w:val="auto"/>
              </w:rPr>
            </w:pPr>
            <w:r>
              <w:rPr>
                <w:rFonts w:ascii="Arial" w:cs="Arial" w:eastAsia="Arial" w:hAnsi="Arial"/>
                <w:sz w:val="18"/>
                <w:szCs w:val="18"/>
                <w:color w:val="auto"/>
              </w:rPr>
              <w:t>Reductions for Tax Positions Related to the Current Year</w:t>
            </w:r>
          </w:p>
        </w:tc>
        <w:tc>
          <w:tcPr>
            <w:tcW w:w="272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90"/>
              <w:spacing w:after="0"/>
              <w:rPr>
                <w:sz w:val="20"/>
                <w:szCs w:val="20"/>
                <w:color w:val="auto"/>
              </w:rPr>
            </w:pPr>
            <w:r>
              <w:rPr>
                <w:rFonts w:ascii="Arial" w:cs="Arial" w:eastAsia="Arial" w:hAnsi="Arial"/>
                <w:sz w:val="18"/>
                <w:szCs w:val="18"/>
                <w:color w:val="auto"/>
              </w:rPr>
              <w:t>(0.2)</w:t>
            </w:r>
          </w:p>
        </w:tc>
      </w:tr>
      <w:tr>
        <w:trPr>
          <w:trHeight w:val="27"/>
        </w:trPr>
        <w:tc>
          <w:tcPr>
            <w:tcW w:w="578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Additions for Tax Positions Related to Prior Years</w:t>
            </w:r>
          </w:p>
        </w:tc>
        <w:tc>
          <w:tcPr>
            <w:tcW w:w="272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4.4</w:t>
            </w:r>
          </w:p>
        </w:tc>
      </w:tr>
      <w:tr>
        <w:trPr>
          <w:trHeight w:val="243"/>
        </w:trPr>
        <w:tc>
          <w:tcPr>
            <w:tcW w:w="5780" w:type="dxa"/>
            <w:vAlign w:val="bottom"/>
          </w:tcPr>
          <w:p>
            <w:pPr>
              <w:ind w:left="40"/>
              <w:spacing w:after="0"/>
              <w:rPr>
                <w:sz w:val="20"/>
                <w:szCs w:val="20"/>
                <w:color w:val="auto"/>
              </w:rPr>
            </w:pPr>
            <w:r>
              <w:rPr>
                <w:rFonts w:ascii="Arial" w:cs="Arial" w:eastAsia="Arial" w:hAnsi="Arial"/>
                <w:sz w:val="18"/>
                <w:szCs w:val="18"/>
                <w:color w:val="auto"/>
              </w:rPr>
              <w:t>Reductions for Tax Positions Related to Prior Years</w:t>
            </w:r>
          </w:p>
        </w:tc>
        <w:tc>
          <w:tcPr>
            <w:tcW w:w="2720" w:type="dxa"/>
            <w:vAlign w:val="bottom"/>
          </w:tcPr>
          <w:p>
            <w:pPr>
              <w:jc w:val="right"/>
              <w:ind w:right="330"/>
              <w:spacing w:after="0"/>
              <w:rPr>
                <w:sz w:val="20"/>
                <w:szCs w:val="20"/>
                <w:color w:val="auto"/>
              </w:rPr>
            </w:pPr>
            <w:r>
              <w:rPr>
                <w:rFonts w:ascii="Arial" w:cs="Arial" w:eastAsia="Arial" w:hAnsi="Arial"/>
                <w:sz w:val="18"/>
                <w:szCs w:val="18"/>
                <w:color w:val="auto"/>
              </w:rPr>
              <w:t>(8.7)</w:t>
            </w:r>
          </w:p>
        </w:tc>
        <w:tc>
          <w:tcPr>
            <w:tcW w:w="1540" w:type="dxa"/>
            <w:vAlign w:val="bottom"/>
          </w:tcPr>
          <w:p>
            <w:pPr>
              <w:jc w:val="right"/>
              <w:ind w:right="350"/>
              <w:spacing w:after="0"/>
              <w:rPr>
                <w:sz w:val="20"/>
                <w:szCs w:val="20"/>
                <w:color w:val="auto"/>
              </w:rPr>
            </w:pPr>
            <w:r>
              <w:rPr>
                <w:rFonts w:ascii="Arial" w:cs="Arial" w:eastAsia="Arial" w:hAnsi="Arial"/>
                <w:sz w:val="18"/>
                <w:szCs w:val="18"/>
                <w:color w:val="auto"/>
              </w:rPr>
              <w:t>(0.9)</w:t>
            </w:r>
          </w:p>
        </w:tc>
        <w:tc>
          <w:tcPr>
            <w:tcW w:w="1380" w:type="dxa"/>
            <w:vAlign w:val="bottom"/>
          </w:tcPr>
          <w:p>
            <w:pPr>
              <w:jc w:val="right"/>
              <w:ind w:right="250"/>
              <w:spacing w:after="0"/>
              <w:rPr>
                <w:sz w:val="20"/>
                <w:szCs w:val="20"/>
                <w:color w:val="auto"/>
              </w:rPr>
            </w:pPr>
            <w:r>
              <w:rPr>
                <w:rFonts w:ascii="Arial" w:cs="Arial" w:eastAsia="Arial" w:hAnsi="Arial"/>
                <w:sz w:val="18"/>
                <w:szCs w:val="18"/>
                <w:color w:val="auto"/>
              </w:rPr>
              <w:t>—</w:t>
            </w:r>
          </w:p>
        </w:tc>
      </w:tr>
      <w:tr>
        <w:trPr>
          <w:trHeight w:val="27"/>
        </w:trPr>
        <w:tc>
          <w:tcPr>
            <w:tcW w:w="578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Reductions for Settlements</w:t>
            </w:r>
          </w:p>
        </w:tc>
        <w:tc>
          <w:tcPr>
            <w:tcW w:w="272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(0.3)</w:t>
            </w:r>
          </w:p>
        </w:tc>
      </w:tr>
      <w:tr>
        <w:trPr>
          <w:trHeight w:val="243"/>
        </w:trPr>
        <w:tc>
          <w:tcPr>
            <w:tcW w:w="5780" w:type="dxa"/>
            <w:vAlign w:val="bottom"/>
          </w:tcPr>
          <w:p>
            <w:pPr>
              <w:ind w:left="40"/>
              <w:spacing w:after="0"/>
              <w:rPr>
                <w:sz w:val="20"/>
                <w:szCs w:val="20"/>
                <w:color w:val="auto"/>
              </w:rPr>
            </w:pPr>
            <w:r>
              <w:rPr>
                <w:rFonts w:ascii="Arial" w:cs="Arial" w:eastAsia="Arial" w:hAnsi="Arial"/>
                <w:sz w:val="18"/>
                <w:szCs w:val="18"/>
                <w:color w:val="auto"/>
              </w:rPr>
              <w:t>Reductions for Expired Statute of Limitations</w:t>
            </w:r>
          </w:p>
        </w:tc>
        <w:tc>
          <w:tcPr>
            <w:tcW w:w="272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90"/>
              <w:spacing w:after="0"/>
              <w:rPr>
                <w:sz w:val="20"/>
                <w:szCs w:val="20"/>
                <w:color w:val="auto"/>
              </w:rPr>
            </w:pPr>
            <w:r>
              <w:rPr>
                <w:rFonts w:ascii="Arial" w:cs="Arial" w:eastAsia="Arial" w:hAnsi="Arial"/>
                <w:sz w:val="18"/>
                <w:szCs w:val="18"/>
                <w:color w:val="auto"/>
              </w:rPr>
              <w:t>(1.1)</w:t>
            </w:r>
          </w:p>
        </w:tc>
      </w:tr>
      <w:tr>
        <w:trPr>
          <w:trHeight w:val="27"/>
        </w:trPr>
        <w:tc>
          <w:tcPr>
            <w:tcW w:w="578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5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w:t>
            </w:r>
          </w:p>
        </w:tc>
        <w:tc>
          <w:tcPr>
            <w:tcW w:w="272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$2.7</w:t>
            </w:r>
          </w:p>
        </w:tc>
        <w:tc>
          <w:tcPr>
            <w:tcW w:w="154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$11.4</w:t>
            </w:r>
          </w:p>
        </w:tc>
        <w:tc>
          <w:tcPr>
            <w:tcW w:w="13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$12.3</w:t>
            </w:r>
          </w:p>
        </w:tc>
      </w:tr>
      <w:tr>
        <w:trPr>
          <w:trHeight w:val="20"/>
        </w:trPr>
        <w:tc>
          <w:tcPr>
            <w:tcW w:w="5780" w:type="dxa"/>
            <w:vAlign w:val="bottom"/>
            <w:shd w:val="clear" w:color="auto" w:fill="000000"/>
          </w:tcPr>
          <w:p>
            <w:pPr>
              <w:spacing w:after="0" w:line="20" w:lineRule="exact"/>
              <w:rPr>
                <w:sz w:val="1"/>
                <w:szCs w:val="1"/>
                <w:color w:val="auto"/>
              </w:rPr>
            </w:pPr>
          </w:p>
        </w:tc>
        <w:tc>
          <w:tcPr>
            <w:tcW w:w="272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Unrecognized tax benefits are the differences between a tax position taken or expected to be taken in a tax return and the benefit recognized and measured pursuant to the “more-likely-than-not” criteria. The unrecognized tax benefit balance includes permanent tax positions, which if recognized would affect the annual effective tax rate. In addition, the unrecognized tax benefit balance includes temporary tax positions for which the ultimate deductibility is highly certain but for which there is uncertainty about the timing of such deductibility. A change in the period of deductibility would not affect the effective tax rate but would accelerate the payment of cash to the taxing authority to an earlier period.</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gross unrecognized tax benefits as of December 31, 2012, includes $0.5 million of net unrecognized tax benefits that, if recognized, would affect the annual effective income tax rate. The decrease in the unrecognized tax benefit balance of $8.7 million in 2012 was due to the removal of our uncertain tax position for our tax accounting method change for deductible repairs. During 2012, the IRS issued a directive from its Large Business and International Division to its local examination teams that led to the removal of the repairs uncertain tax position in 2012.</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of December 31, 2012, we had $0.5 million ($1.1 million for 2011 and $0.7 million for 2010) of accrued interest related to unrecognized tax benefits included in our Consolidated Balance Sheet. We classify interest related to unrecognized tax benefits as interest expense and tax-related penalties in operating expenses in our Consolidated Statement of Income. In 2012, we recognized a $0.6 million decrease in interest expense (interest expense of $0.4 million for 2011 and a reduction of interest expense of $0.2 million for 2010). There were no penalties recognized in 2012, 2011 or 2010.</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ALLETE and its subsidiaries file a consolidated federal income tax return as well as combined and separate state income tax returns in various jurisdictions. ALLETE is currently under examination by the IRS for the tax years 2005 through 2009. ALLETE is no longer subject to federal or state examination for years before 2005.</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next 12 months it is reasonably possible the amount of unrecognized tax benefits could be reduced by $2.5 million due to statute expirations and anticipated audit settlements. This amount is primarily due to temporary tax positions.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2012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364" w:right="239" w:bottom="1440" w:gutter="0" w:footer="0" w:header="0"/>
        </w:sectPr>
      </w:pPr>
    </w:p>
    <w:bookmarkStart w:id="99" w:name="page100"/>
    <w:bookmarkEnd w:id="99"/>
    <w:p>
      <w:pPr>
        <w:spacing w:after="0"/>
        <w:rPr>
          <w:sz w:val="20"/>
          <w:szCs w:val="20"/>
          <w:color w:val="auto"/>
        </w:rPr>
      </w:pPr>
      <w:r>
        <w:rPr>
          <w:rFonts w:ascii="Arial" w:cs="Arial" w:eastAsia="Arial" w:hAnsi="Arial"/>
          <w:sz w:val="18"/>
          <w:szCs w:val="18"/>
          <w:b w:val="1"/>
          <w:bCs w:val="1"/>
          <w:color w:val="auto"/>
        </w:rPr>
        <w:t>NOTE 15. PENSION AND OTHER POSTRETIREMENT BENEFIT PLANS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have noncontributory union and non-union defined benefit pension plans covering eligible employees. The plans provide defined benefits based on years of service and final average pay. In 2012, we made total contributions of $7.3 million ($33.8 million in 2011, of which $20.0 million was contributed in shares of ALLETE common stock). We also have a defined contribution pension plan covering substantially all employees. The 2012 plan year employer contributions, which are made through the employee stock ownership plan portion of the RSOP, totaled $7.7 million ($7.3 million for the 2011 plan year.) (See Note 12. Common Stock and Earnings Per Share and Note 16. Employee Stock and Incentive Plans).</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2006, the non-union defined benefit pension plan was amended to suspend further crediting of service to the plan and to close the plan to new participants. In conjunction with those amendments, contributions were increased to the RSOP. In 2010, the Minnesota Power union defined benefit pension plan was amended to close the plan to new participants beginning February 1, 2011.</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postretirement health care and life insurance plans covering eligible employees. In 2010, our postretirement health plan was amended to close the plan to employees hired after January 31, 2011. The full eligibility requirement was also amended in 2010, to age 55 with 10 years of participation in the plan. The postretirement health plans are contributory with participant contributions adjusted annually. Postretirement health and life benefits are funded through a combination of Voluntary Employee Benefit Association trusts (VEBAs), established under section 501(c)(9) of the Internal Revenue Code, and an irrevocable grantor trust. In 2012, $1.5 million was contributed to the VEBAs. In 2011, we contributed $10.9 million to the VEBAs. There were no contributions made to the grantor trust in 2012 and 2011.</w:t>
      </w:r>
    </w:p>
    <w:p>
      <w:pPr>
        <w:spacing w:after="0" w:line="19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Management considers various factors when making funding decisions such as regulatory requirements, actuarially determined minimum contribution requirements, and contributions required to avoid benefit restrictions for the pension plans. Contributions are based on estimates and assumptions which are subject to change. We do not expect to make any contributions to the defined benefit pension plan in 2013. In January 2013, we contributed $4.8 million to the defined benefit postretirement health and life plan, of which $2.0 million was contributed to an irrevocable grantor trust and $2.8 million was contributed to the VEBAs. We do not expect to make any additional contributions to the defined benefit postretirement health and life plan in 2013.</w:t>
      </w:r>
    </w:p>
    <w:p>
      <w:pPr>
        <w:spacing w:after="0" w:line="15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Accounting for defined benefit pension and postretirement benefit plans requires that employers recognize on a prospective basis the funded status of their defined benefit pension and other postretirement plans on their Consolidated Balance Sheet and recognize as a component of other comprehensive income, net of tax, the gains or losses and prior service costs or credits that arise during the period but are not recognized as components of net periodic benefit cost.</w:t>
      </w:r>
    </w:p>
    <w:p>
      <w:pPr>
        <w:spacing w:after="0" w:line="14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defined benefit pension and postretirement health and life benefit costs recognized annually by our regulated companies are expected to be recovered through rates filed with our regulatory jurisdictions. As a result, these amounts that are required to otherwise be recognized in accumulated other comprehensive income have been recognized as a long-term regulatory asset on our Consolidated Balance Sheet, in accordance with the accounting standards for Regulated Operations. The defined benefit pension and postretirement health and life benefit costs associated with our other non-rate base operations are recognized in accumulated other comprehensive income.</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2012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364" w:right="239" w:bottom="1440" w:gutter="0" w:footer="0" w:header="0"/>
        </w:sectPr>
      </w:pPr>
    </w:p>
    <w:bookmarkStart w:id="100" w:name="page101"/>
    <w:bookmarkEnd w:id="100"/>
    <w:tbl>
      <w:tblPr>
        <w:tblLayout w:type="fixed"/>
        <w:tblInd w:w="0" w:type="dxa"/>
        <w:tblCellMar>
          <w:top w:w="0" w:type="dxa"/>
          <w:left w:w="0" w:type="dxa"/>
          <w:bottom w:w="0" w:type="dxa"/>
          <w:right w:w="0" w:type="dxa"/>
        </w:tblCellMar>
      </w:tblPr>
      <w:tr>
        <w:trPr>
          <w:trHeight w:val="234"/>
        </w:trPr>
        <w:tc>
          <w:tcPr>
            <w:tcW w:w="7960" w:type="dxa"/>
            <w:vAlign w:val="bottom"/>
          </w:tcPr>
          <w:p>
            <w:pPr>
              <w:spacing w:after="0"/>
              <w:rPr>
                <w:sz w:val="20"/>
                <w:szCs w:val="20"/>
                <w:color w:val="auto"/>
              </w:rPr>
            </w:pPr>
            <w:r>
              <w:rPr>
                <w:rFonts w:ascii="Arial" w:cs="Arial" w:eastAsia="Arial" w:hAnsi="Arial"/>
                <w:sz w:val="18"/>
                <w:szCs w:val="18"/>
                <w:b w:val="1"/>
                <w:bCs w:val="1"/>
                <w:color w:val="auto"/>
              </w:rPr>
              <w:t>NOTE 15. PENSION AND OTHER POSTRETIREMENT BENEFIT PLANS (Continued)</w:t>
            </w:r>
          </w:p>
        </w:tc>
        <w:tc>
          <w:tcPr>
            <w:tcW w:w="216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594"/>
        </w:trPr>
        <w:tc>
          <w:tcPr>
            <w:tcW w:w="7960" w:type="dxa"/>
            <w:vAlign w:val="bottom"/>
          </w:tcPr>
          <w:p>
            <w:pPr>
              <w:ind w:left="40"/>
              <w:spacing w:after="0"/>
              <w:rPr>
                <w:sz w:val="20"/>
                <w:szCs w:val="20"/>
                <w:color w:val="auto"/>
              </w:rPr>
            </w:pPr>
            <w:r>
              <w:rPr>
                <w:rFonts w:ascii="Arial" w:cs="Arial" w:eastAsia="Arial" w:hAnsi="Arial"/>
                <w:sz w:val="18"/>
                <w:szCs w:val="18"/>
                <w:b w:val="1"/>
                <w:bCs w:val="1"/>
                <w:color w:val="auto"/>
              </w:rPr>
              <w:t>Pension Obligation and Funded Status</w:t>
            </w:r>
          </w:p>
        </w:tc>
        <w:tc>
          <w:tcPr>
            <w:tcW w:w="21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70"/>
        </w:trPr>
        <w:tc>
          <w:tcPr>
            <w:tcW w:w="7960" w:type="dxa"/>
            <w:vAlign w:val="bottom"/>
          </w:tcPr>
          <w:p>
            <w:pPr>
              <w:ind w:left="40"/>
              <w:spacing w:after="0"/>
              <w:rPr>
                <w:sz w:val="20"/>
                <w:szCs w:val="20"/>
                <w:color w:val="auto"/>
              </w:rPr>
            </w:pPr>
            <w:r>
              <w:rPr>
                <w:rFonts w:ascii="Arial" w:cs="Arial" w:eastAsia="Arial" w:hAnsi="Arial"/>
                <w:sz w:val="18"/>
                <w:szCs w:val="18"/>
                <w:b w:val="1"/>
                <w:bCs w:val="1"/>
                <w:color w:val="auto"/>
              </w:rPr>
              <w:t>Year Ended December 31</w:t>
            </w:r>
          </w:p>
        </w:tc>
        <w:tc>
          <w:tcPr>
            <w:tcW w:w="2160" w:type="dxa"/>
            <w:vAlign w:val="bottom"/>
          </w:tcPr>
          <w:p>
            <w:pPr>
              <w:jc w:val="right"/>
              <w:ind w:right="710"/>
              <w:spacing w:after="0"/>
              <w:rPr>
                <w:sz w:val="20"/>
                <w:szCs w:val="20"/>
                <w:color w:val="auto"/>
              </w:rPr>
            </w:pPr>
            <w:r>
              <w:rPr>
                <w:rFonts w:ascii="Arial" w:cs="Arial" w:eastAsia="Arial" w:hAnsi="Arial"/>
                <w:sz w:val="18"/>
                <w:szCs w:val="18"/>
                <w:b w:val="1"/>
                <w:bCs w:val="1"/>
                <w:color w:val="auto"/>
              </w:rPr>
              <w:t>2012</w:t>
            </w:r>
          </w:p>
        </w:tc>
        <w:tc>
          <w:tcPr>
            <w:tcW w:w="1300" w:type="dxa"/>
            <w:vAlign w:val="bottom"/>
          </w:tcPr>
          <w:p>
            <w:pPr>
              <w:jc w:val="right"/>
              <w:ind w:right="550"/>
              <w:spacing w:after="0"/>
              <w:rPr>
                <w:sz w:val="20"/>
                <w:szCs w:val="20"/>
                <w:color w:val="auto"/>
              </w:rPr>
            </w:pPr>
            <w:r>
              <w:rPr>
                <w:rFonts w:ascii="Arial" w:cs="Arial" w:eastAsia="Arial" w:hAnsi="Arial"/>
                <w:sz w:val="18"/>
                <w:szCs w:val="18"/>
                <w:b w:val="1"/>
                <w:bCs w:val="1"/>
                <w:color w:val="auto"/>
              </w:rPr>
              <w:t>2011</w:t>
            </w:r>
          </w:p>
        </w:tc>
      </w:tr>
      <w:tr>
        <w:trPr>
          <w:trHeight w:val="27"/>
        </w:trPr>
        <w:tc>
          <w:tcPr>
            <w:tcW w:w="796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796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16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7"/>
        </w:trPr>
        <w:tc>
          <w:tcPr>
            <w:tcW w:w="796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5"/>
        </w:trPr>
        <w:tc>
          <w:tcPr>
            <w:tcW w:w="7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Benefit Obligation</w:t>
            </w:r>
          </w:p>
        </w:tc>
        <w:tc>
          <w:tcPr>
            <w:tcW w:w="216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$598.7</w:t>
            </w:r>
          </w:p>
        </w:tc>
        <w:tc>
          <w:tcPr>
            <w:tcW w:w="13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$550.6</w:t>
            </w:r>
          </w:p>
        </w:tc>
      </w:tr>
      <w:tr>
        <w:trPr>
          <w:trHeight w:val="237"/>
        </w:trPr>
        <w:tc>
          <w:tcPr>
            <w:tcW w:w="79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Change in Benefit Obligation</w:t>
            </w:r>
          </w:p>
        </w:tc>
        <w:tc>
          <w:tcPr>
            <w:tcW w:w="21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r>
      <w:tr>
        <w:trPr>
          <w:trHeight w:val="27"/>
        </w:trPr>
        <w:tc>
          <w:tcPr>
            <w:tcW w:w="796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Obligation, Beginning of Year</w:t>
            </w:r>
          </w:p>
        </w:tc>
        <w:tc>
          <w:tcPr>
            <w:tcW w:w="216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$597.5</w:t>
            </w:r>
          </w:p>
        </w:tc>
        <w:tc>
          <w:tcPr>
            <w:tcW w:w="13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$525.6</w:t>
            </w:r>
          </w:p>
        </w:tc>
      </w:tr>
      <w:tr>
        <w:trPr>
          <w:trHeight w:val="243"/>
        </w:trPr>
        <w:tc>
          <w:tcPr>
            <w:tcW w:w="7960" w:type="dxa"/>
            <w:vAlign w:val="bottom"/>
          </w:tcPr>
          <w:p>
            <w:pPr>
              <w:ind w:left="180"/>
              <w:spacing w:after="0"/>
              <w:rPr>
                <w:sz w:val="20"/>
                <w:szCs w:val="20"/>
                <w:color w:val="auto"/>
              </w:rPr>
            </w:pPr>
            <w:r>
              <w:rPr>
                <w:rFonts w:ascii="Arial" w:cs="Arial" w:eastAsia="Arial" w:hAnsi="Arial"/>
                <w:sz w:val="18"/>
                <w:szCs w:val="18"/>
                <w:color w:val="auto"/>
              </w:rPr>
              <w:t>Service Cost</w:t>
            </w:r>
          </w:p>
        </w:tc>
        <w:tc>
          <w:tcPr>
            <w:tcW w:w="2160" w:type="dxa"/>
            <w:vAlign w:val="bottom"/>
          </w:tcPr>
          <w:p>
            <w:pPr>
              <w:jc w:val="right"/>
              <w:ind w:right="310"/>
              <w:spacing w:after="0"/>
              <w:rPr>
                <w:sz w:val="20"/>
                <w:szCs w:val="20"/>
                <w:color w:val="auto"/>
              </w:rPr>
            </w:pPr>
            <w:r>
              <w:rPr>
                <w:rFonts w:ascii="Arial" w:cs="Arial" w:eastAsia="Arial" w:hAnsi="Arial"/>
                <w:sz w:val="18"/>
                <w:szCs w:val="18"/>
                <w:color w:val="auto"/>
              </w:rPr>
              <w:t>9.1</w:t>
            </w:r>
          </w:p>
        </w:tc>
        <w:tc>
          <w:tcPr>
            <w:tcW w:w="1300" w:type="dxa"/>
            <w:vAlign w:val="bottom"/>
          </w:tcPr>
          <w:p>
            <w:pPr>
              <w:jc w:val="right"/>
              <w:ind w:right="130"/>
              <w:spacing w:after="0"/>
              <w:rPr>
                <w:sz w:val="20"/>
                <w:szCs w:val="20"/>
                <w:color w:val="auto"/>
              </w:rPr>
            </w:pPr>
            <w:r>
              <w:rPr>
                <w:rFonts w:ascii="Arial" w:cs="Arial" w:eastAsia="Arial" w:hAnsi="Arial"/>
                <w:sz w:val="18"/>
                <w:szCs w:val="18"/>
                <w:color w:val="auto"/>
              </w:rPr>
              <w:t>7.6</w:t>
            </w:r>
          </w:p>
        </w:tc>
      </w:tr>
      <w:tr>
        <w:trPr>
          <w:trHeight w:val="27"/>
        </w:trPr>
        <w:tc>
          <w:tcPr>
            <w:tcW w:w="796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Cost</w:t>
            </w:r>
          </w:p>
        </w:tc>
        <w:tc>
          <w:tcPr>
            <w:tcW w:w="216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26.4</w:t>
            </w:r>
          </w:p>
        </w:tc>
        <w:tc>
          <w:tcPr>
            <w:tcW w:w="13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27.4</w:t>
            </w:r>
          </w:p>
        </w:tc>
      </w:tr>
      <w:tr>
        <w:trPr>
          <w:trHeight w:val="243"/>
        </w:trPr>
        <w:tc>
          <w:tcPr>
            <w:tcW w:w="7960" w:type="dxa"/>
            <w:vAlign w:val="bottom"/>
          </w:tcPr>
          <w:p>
            <w:pPr>
              <w:ind w:left="180"/>
              <w:spacing w:after="0"/>
              <w:rPr>
                <w:sz w:val="20"/>
                <w:szCs w:val="20"/>
                <w:color w:val="auto"/>
              </w:rPr>
            </w:pPr>
            <w:r>
              <w:rPr>
                <w:rFonts w:ascii="Arial" w:cs="Arial" w:eastAsia="Arial" w:hAnsi="Arial"/>
                <w:sz w:val="18"/>
                <w:szCs w:val="18"/>
                <w:color w:val="auto"/>
              </w:rPr>
              <w:t>Actuarial Loss</w:t>
            </w:r>
          </w:p>
        </w:tc>
        <w:tc>
          <w:tcPr>
            <w:tcW w:w="2160" w:type="dxa"/>
            <w:vAlign w:val="bottom"/>
          </w:tcPr>
          <w:p>
            <w:pPr>
              <w:jc w:val="right"/>
              <w:ind w:right="310"/>
              <w:spacing w:after="0"/>
              <w:rPr>
                <w:sz w:val="20"/>
                <w:szCs w:val="20"/>
                <w:color w:val="auto"/>
              </w:rPr>
            </w:pPr>
            <w:r>
              <w:rPr>
                <w:rFonts w:ascii="Arial" w:cs="Arial" w:eastAsia="Arial" w:hAnsi="Arial"/>
                <w:sz w:val="18"/>
                <w:szCs w:val="18"/>
                <w:color w:val="auto"/>
              </w:rPr>
              <w:t>38.5</w:t>
            </w:r>
          </w:p>
        </w:tc>
        <w:tc>
          <w:tcPr>
            <w:tcW w:w="1300" w:type="dxa"/>
            <w:vAlign w:val="bottom"/>
          </w:tcPr>
          <w:p>
            <w:pPr>
              <w:jc w:val="right"/>
              <w:ind w:right="130"/>
              <w:spacing w:after="0"/>
              <w:rPr>
                <w:sz w:val="20"/>
                <w:szCs w:val="20"/>
                <w:color w:val="auto"/>
              </w:rPr>
            </w:pPr>
            <w:r>
              <w:rPr>
                <w:rFonts w:ascii="Arial" w:cs="Arial" w:eastAsia="Arial" w:hAnsi="Arial"/>
                <w:sz w:val="18"/>
                <w:szCs w:val="18"/>
                <w:color w:val="auto"/>
              </w:rPr>
              <w:t>54.6</w:t>
            </w:r>
          </w:p>
        </w:tc>
      </w:tr>
      <w:tr>
        <w:trPr>
          <w:trHeight w:val="27"/>
        </w:trPr>
        <w:tc>
          <w:tcPr>
            <w:tcW w:w="796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Benefits Paid</w:t>
            </w:r>
          </w:p>
        </w:tc>
        <w:tc>
          <w:tcPr>
            <w:tcW w:w="21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(30.9)</w:t>
            </w:r>
          </w:p>
        </w:tc>
        <w:tc>
          <w:tcPr>
            <w:tcW w:w="1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(28.6)</w:t>
            </w:r>
          </w:p>
        </w:tc>
      </w:tr>
      <w:tr>
        <w:trPr>
          <w:trHeight w:val="243"/>
        </w:trPr>
        <w:tc>
          <w:tcPr>
            <w:tcW w:w="7960" w:type="dxa"/>
            <w:vAlign w:val="bottom"/>
          </w:tcPr>
          <w:p>
            <w:pPr>
              <w:ind w:left="180"/>
              <w:spacing w:after="0"/>
              <w:rPr>
                <w:sz w:val="20"/>
                <w:szCs w:val="20"/>
                <w:color w:val="auto"/>
              </w:rPr>
            </w:pPr>
            <w:r>
              <w:rPr>
                <w:rFonts w:ascii="Arial" w:cs="Arial" w:eastAsia="Arial" w:hAnsi="Arial"/>
                <w:sz w:val="18"/>
                <w:szCs w:val="18"/>
                <w:color w:val="auto"/>
              </w:rPr>
              <w:t>Participant Contributions</w:t>
            </w:r>
          </w:p>
        </w:tc>
        <w:tc>
          <w:tcPr>
            <w:tcW w:w="2160" w:type="dxa"/>
            <w:vAlign w:val="bottom"/>
          </w:tcPr>
          <w:p>
            <w:pPr>
              <w:jc w:val="right"/>
              <w:ind w:right="310"/>
              <w:spacing w:after="0"/>
              <w:rPr>
                <w:sz w:val="20"/>
                <w:szCs w:val="20"/>
                <w:color w:val="auto"/>
              </w:rPr>
            </w:pPr>
            <w:r>
              <w:rPr>
                <w:rFonts w:ascii="Arial" w:cs="Arial" w:eastAsia="Arial" w:hAnsi="Arial"/>
                <w:sz w:val="18"/>
                <w:szCs w:val="18"/>
                <w:color w:val="auto"/>
              </w:rPr>
              <w:t>11.5</w:t>
            </w:r>
          </w:p>
        </w:tc>
        <w:tc>
          <w:tcPr>
            <w:tcW w:w="1300" w:type="dxa"/>
            <w:vAlign w:val="bottom"/>
          </w:tcPr>
          <w:p>
            <w:pPr>
              <w:jc w:val="right"/>
              <w:ind w:right="130"/>
              <w:spacing w:after="0"/>
              <w:rPr>
                <w:sz w:val="20"/>
                <w:szCs w:val="20"/>
                <w:color w:val="auto"/>
              </w:rPr>
            </w:pPr>
            <w:r>
              <w:rPr>
                <w:rFonts w:ascii="Arial" w:cs="Arial" w:eastAsia="Arial" w:hAnsi="Arial"/>
                <w:sz w:val="18"/>
                <w:szCs w:val="18"/>
                <w:color w:val="auto"/>
              </w:rPr>
              <w:t>10.9</w:t>
            </w:r>
          </w:p>
        </w:tc>
      </w:tr>
      <w:tr>
        <w:trPr>
          <w:trHeight w:val="27"/>
        </w:trPr>
        <w:tc>
          <w:tcPr>
            <w:tcW w:w="796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9"/>
        </w:trPr>
        <w:tc>
          <w:tcPr>
            <w:tcW w:w="7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Obligation, End of Year</w:t>
            </w:r>
          </w:p>
        </w:tc>
        <w:tc>
          <w:tcPr>
            <w:tcW w:w="216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$652.1</w:t>
            </w:r>
          </w:p>
        </w:tc>
        <w:tc>
          <w:tcPr>
            <w:tcW w:w="13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$597.5</w:t>
            </w:r>
          </w:p>
        </w:tc>
      </w:tr>
      <w:tr>
        <w:trPr>
          <w:trHeight w:val="237"/>
        </w:trPr>
        <w:tc>
          <w:tcPr>
            <w:tcW w:w="79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Change in Plan Assets</w:t>
            </w:r>
          </w:p>
        </w:tc>
        <w:tc>
          <w:tcPr>
            <w:tcW w:w="21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r>
      <w:tr>
        <w:trPr>
          <w:trHeight w:val="27"/>
        </w:trPr>
        <w:tc>
          <w:tcPr>
            <w:tcW w:w="796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Fair Value, Beginning of Year</w:t>
            </w:r>
          </w:p>
        </w:tc>
        <w:tc>
          <w:tcPr>
            <w:tcW w:w="216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$432.4</w:t>
            </w:r>
          </w:p>
        </w:tc>
        <w:tc>
          <w:tcPr>
            <w:tcW w:w="13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$382.0</w:t>
            </w:r>
          </w:p>
        </w:tc>
      </w:tr>
      <w:tr>
        <w:trPr>
          <w:trHeight w:val="243"/>
        </w:trPr>
        <w:tc>
          <w:tcPr>
            <w:tcW w:w="7960" w:type="dxa"/>
            <w:vAlign w:val="bottom"/>
          </w:tcPr>
          <w:p>
            <w:pPr>
              <w:ind w:left="180"/>
              <w:spacing w:after="0"/>
              <w:rPr>
                <w:sz w:val="20"/>
                <w:szCs w:val="20"/>
                <w:color w:val="auto"/>
              </w:rPr>
            </w:pPr>
            <w:r>
              <w:rPr>
                <w:rFonts w:ascii="Arial" w:cs="Arial" w:eastAsia="Arial" w:hAnsi="Arial"/>
                <w:sz w:val="18"/>
                <w:szCs w:val="18"/>
                <w:color w:val="auto"/>
              </w:rPr>
              <w:t>Actual Return on Plan Assets</w:t>
            </w:r>
          </w:p>
        </w:tc>
        <w:tc>
          <w:tcPr>
            <w:tcW w:w="2160" w:type="dxa"/>
            <w:vAlign w:val="bottom"/>
          </w:tcPr>
          <w:p>
            <w:pPr>
              <w:jc w:val="right"/>
              <w:ind w:right="310"/>
              <w:spacing w:after="0"/>
              <w:rPr>
                <w:sz w:val="20"/>
                <w:szCs w:val="20"/>
                <w:color w:val="auto"/>
              </w:rPr>
            </w:pPr>
            <w:r>
              <w:rPr>
                <w:rFonts w:ascii="Arial" w:cs="Arial" w:eastAsia="Arial" w:hAnsi="Arial"/>
                <w:sz w:val="18"/>
                <w:szCs w:val="18"/>
                <w:color w:val="auto"/>
              </w:rPr>
              <w:t>38.7</w:t>
            </w:r>
          </w:p>
        </w:tc>
        <w:tc>
          <w:tcPr>
            <w:tcW w:w="1300" w:type="dxa"/>
            <w:vAlign w:val="bottom"/>
          </w:tcPr>
          <w:p>
            <w:pPr>
              <w:jc w:val="right"/>
              <w:ind w:right="130"/>
              <w:spacing w:after="0"/>
              <w:rPr>
                <w:sz w:val="20"/>
                <w:szCs w:val="20"/>
                <w:color w:val="auto"/>
              </w:rPr>
            </w:pPr>
            <w:r>
              <w:rPr>
                <w:rFonts w:ascii="Arial" w:cs="Arial" w:eastAsia="Arial" w:hAnsi="Arial"/>
                <w:sz w:val="18"/>
                <w:szCs w:val="18"/>
                <w:color w:val="auto"/>
              </w:rPr>
              <w:t>33.2</w:t>
            </w:r>
          </w:p>
        </w:tc>
      </w:tr>
      <w:tr>
        <w:trPr>
          <w:trHeight w:val="27"/>
        </w:trPr>
        <w:tc>
          <w:tcPr>
            <w:tcW w:w="796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Employer Contribution</w:t>
            </w:r>
          </w:p>
        </w:tc>
        <w:tc>
          <w:tcPr>
            <w:tcW w:w="216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19.9</w:t>
            </w:r>
          </w:p>
        </w:tc>
        <w:tc>
          <w:tcPr>
            <w:tcW w:w="13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45.8</w:t>
            </w:r>
          </w:p>
        </w:tc>
      </w:tr>
      <w:tr>
        <w:trPr>
          <w:trHeight w:val="243"/>
        </w:trPr>
        <w:tc>
          <w:tcPr>
            <w:tcW w:w="7960" w:type="dxa"/>
            <w:vAlign w:val="bottom"/>
          </w:tcPr>
          <w:p>
            <w:pPr>
              <w:ind w:left="180"/>
              <w:spacing w:after="0"/>
              <w:rPr>
                <w:sz w:val="20"/>
                <w:szCs w:val="20"/>
                <w:color w:val="auto"/>
              </w:rPr>
            </w:pPr>
            <w:r>
              <w:rPr>
                <w:rFonts w:ascii="Arial" w:cs="Arial" w:eastAsia="Arial" w:hAnsi="Arial"/>
                <w:sz w:val="18"/>
                <w:szCs w:val="18"/>
                <w:color w:val="auto"/>
              </w:rPr>
              <w:t>Benefits Paid</w:t>
            </w:r>
          </w:p>
        </w:tc>
        <w:tc>
          <w:tcPr>
            <w:tcW w:w="2160" w:type="dxa"/>
            <w:vAlign w:val="bottom"/>
          </w:tcPr>
          <w:p>
            <w:pPr>
              <w:jc w:val="right"/>
              <w:ind w:right="250"/>
              <w:spacing w:after="0"/>
              <w:rPr>
                <w:sz w:val="20"/>
                <w:szCs w:val="20"/>
                <w:color w:val="auto"/>
              </w:rPr>
            </w:pPr>
            <w:r>
              <w:rPr>
                <w:rFonts w:ascii="Arial" w:cs="Arial" w:eastAsia="Arial" w:hAnsi="Arial"/>
                <w:sz w:val="18"/>
                <w:szCs w:val="18"/>
                <w:color w:val="auto"/>
              </w:rPr>
              <w:t>(30.9)</w:t>
            </w: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(28.6)</w:t>
            </w:r>
          </w:p>
        </w:tc>
      </w:tr>
      <w:tr>
        <w:trPr>
          <w:trHeight w:val="27"/>
        </w:trPr>
        <w:tc>
          <w:tcPr>
            <w:tcW w:w="796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9"/>
        </w:trPr>
        <w:tc>
          <w:tcPr>
            <w:tcW w:w="7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Fair Value, End of Year</w:t>
            </w:r>
          </w:p>
        </w:tc>
        <w:tc>
          <w:tcPr>
            <w:tcW w:w="216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$460.1</w:t>
            </w:r>
          </w:p>
        </w:tc>
        <w:tc>
          <w:tcPr>
            <w:tcW w:w="13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$432.4</w:t>
            </w:r>
          </w:p>
        </w:tc>
      </w:tr>
      <w:tr>
        <w:trPr>
          <w:trHeight w:val="237"/>
        </w:trPr>
        <w:tc>
          <w:tcPr>
            <w:tcW w:w="79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Funded Status, End of Year</w:t>
            </w:r>
          </w:p>
        </w:tc>
        <w:tc>
          <w:tcPr>
            <w:tcW w:w="21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rPr>
              <w:t>$(192.0)</w:t>
            </w:r>
          </w:p>
        </w:tc>
        <w:tc>
          <w:tcPr>
            <w:tcW w:w="13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$(165.1)</w:t>
            </w:r>
          </w:p>
        </w:tc>
      </w:tr>
      <w:tr>
        <w:trPr>
          <w:trHeight w:val="27"/>
        </w:trPr>
        <w:tc>
          <w:tcPr>
            <w:tcW w:w="796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91"/>
        </w:trPr>
        <w:tc>
          <w:tcPr>
            <w:tcW w:w="7960" w:type="dxa"/>
            <w:vAlign w:val="bottom"/>
            <w:shd w:val="clear" w:color="auto" w:fill="CCEEFF"/>
          </w:tcPr>
          <w:p>
            <w:pPr>
              <w:spacing w:after="0"/>
              <w:rPr>
                <w:sz w:val="24"/>
                <w:szCs w:val="24"/>
                <w:color w:val="auto"/>
              </w:rPr>
            </w:pPr>
          </w:p>
        </w:tc>
        <w:tc>
          <w:tcPr>
            <w:tcW w:w="216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43"/>
        </w:trPr>
        <w:tc>
          <w:tcPr>
            <w:tcW w:w="7960" w:type="dxa"/>
            <w:vAlign w:val="bottom"/>
          </w:tcPr>
          <w:p>
            <w:pPr>
              <w:ind w:left="40"/>
              <w:spacing w:after="0"/>
              <w:rPr>
                <w:sz w:val="20"/>
                <w:szCs w:val="20"/>
                <w:color w:val="auto"/>
              </w:rPr>
            </w:pPr>
            <w:r>
              <w:rPr>
                <w:rFonts w:ascii="Arial" w:cs="Arial" w:eastAsia="Arial" w:hAnsi="Arial"/>
                <w:sz w:val="18"/>
                <w:szCs w:val="18"/>
                <w:b w:val="1"/>
                <w:bCs w:val="1"/>
                <w:color w:val="auto"/>
              </w:rPr>
              <w:t>Net Pension Amounts Recognized in Consolidated Balance Sheet Consist of:</w:t>
            </w:r>
          </w:p>
        </w:tc>
        <w:tc>
          <w:tcPr>
            <w:tcW w:w="216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796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7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Current Liabilities</w:t>
            </w:r>
          </w:p>
        </w:tc>
        <w:tc>
          <w:tcPr>
            <w:tcW w:w="21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$(1.1)</w:t>
            </w:r>
          </w:p>
        </w:tc>
        <w:tc>
          <w:tcPr>
            <w:tcW w:w="1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w:t>
            </w:r>
          </w:p>
        </w:tc>
      </w:tr>
      <w:tr>
        <w:trPr>
          <w:trHeight w:val="243"/>
        </w:trPr>
        <w:tc>
          <w:tcPr>
            <w:tcW w:w="7960" w:type="dxa"/>
            <w:vAlign w:val="bottom"/>
          </w:tcPr>
          <w:p>
            <w:pPr>
              <w:ind w:left="180"/>
              <w:spacing w:after="0"/>
              <w:rPr>
                <w:sz w:val="20"/>
                <w:szCs w:val="20"/>
                <w:color w:val="auto"/>
              </w:rPr>
            </w:pPr>
            <w:r>
              <w:rPr>
                <w:rFonts w:ascii="Arial" w:cs="Arial" w:eastAsia="Arial" w:hAnsi="Arial"/>
                <w:sz w:val="18"/>
                <w:szCs w:val="18"/>
                <w:color w:val="auto"/>
              </w:rPr>
              <w:t>Non-Current Liabilities</w:t>
            </w:r>
          </w:p>
        </w:tc>
        <w:tc>
          <w:tcPr>
            <w:tcW w:w="2160" w:type="dxa"/>
            <w:vAlign w:val="bottom"/>
          </w:tcPr>
          <w:p>
            <w:pPr>
              <w:jc w:val="right"/>
              <w:ind w:right="250"/>
              <w:spacing w:after="0"/>
              <w:rPr>
                <w:sz w:val="20"/>
                <w:szCs w:val="20"/>
                <w:color w:val="auto"/>
              </w:rPr>
            </w:pPr>
            <w:r>
              <w:rPr>
                <w:rFonts w:ascii="Arial" w:cs="Arial" w:eastAsia="Arial" w:hAnsi="Arial"/>
                <w:sz w:val="18"/>
                <w:szCs w:val="18"/>
                <w:color w:val="auto"/>
              </w:rPr>
              <w:t>$(190.9)</w:t>
            </w: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$(164.0)</w:t>
            </w:r>
          </w:p>
        </w:tc>
      </w:tr>
      <w:tr>
        <w:trPr>
          <w:trHeight w:val="27"/>
        </w:trPr>
        <w:tc>
          <w:tcPr>
            <w:tcW w:w="796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pension costs that are reported as a component within our Consolidated Balance Sheet, reflected in long-term regulatory assets and accumulated other comprehensive income, consist of the following:</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40" w:type="dxa"/>
            <w:vAlign w:val="bottom"/>
          </w:tcPr>
          <w:p>
            <w:pPr>
              <w:ind w:left="40"/>
              <w:spacing w:after="0"/>
              <w:rPr>
                <w:sz w:val="20"/>
                <w:szCs w:val="20"/>
                <w:color w:val="auto"/>
              </w:rPr>
            </w:pPr>
            <w:r>
              <w:rPr>
                <w:rFonts w:ascii="Arial" w:cs="Arial" w:eastAsia="Arial" w:hAnsi="Arial"/>
                <w:sz w:val="18"/>
                <w:szCs w:val="18"/>
                <w:b w:val="1"/>
                <w:bCs w:val="1"/>
                <w:color w:val="auto"/>
              </w:rPr>
              <w:t>Unrecognized Pension Costs</w:t>
            </w:r>
          </w:p>
        </w:tc>
        <w:tc>
          <w:tcPr>
            <w:tcW w:w="442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70"/>
        </w:trPr>
        <w:tc>
          <w:tcPr>
            <w:tcW w:w="5840" w:type="dxa"/>
            <w:vAlign w:val="bottom"/>
          </w:tcPr>
          <w:p>
            <w:pPr>
              <w:ind w:left="40"/>
              <w:spacing w:after="0"/>
              <w:rPr>
                <w:sz w:val="20"/>
                <w:szCs w:val="20"/>
                <w:color w:val="auto"/>
              </w:rPr>
            </w:pPr>
            <w:r>
              <w:rPr>
                <w:rFonts w:ascii="Arial" w:cs="Arial" w:eastAsia="Arial" w:hAnsi="Arial"/>
                <w:sz w:val="18"/>
                <w:szCs w:val="18"/>
                <w:b w:val="1"/>
                <w:bCs w:val="1"/>
                <w:color w:val="auto"/>
              </w:rPr>
              <w:t>Year Ended December 31</w:t>
            </w:r>
          </w:p>
        </w:tc>
        <w:tc>
          <w:tcPr>
            <w:tcW w:w="4420" w:type="dxa"/>
            <w:vAlign w:val="bottom"/>
          </w:tcPr>
          <w:p>
            <w:pPr>
              <w:jc w:val="right"/>
              <w:ind w:right="630"/>
              <w:spacing w:after="0"/>
              <w:rPr>
                <w:sz w:val="20"/>
                <w:szCs w:val="20"/>
                <w:color w:val="auto"/>
              </w:rPr>
            </w:pPr>
            <w:r>
              <w:rPr>
                <w:rFonts w:ascii="Arial" w:cs="Arial" w:eastAsia="Arial" w:hAnsi="Arial"/>
                <w:sz w:val="18"/>
                <w:szCs w:val="18"/>
                <w:b w:val="1"/>
                <w:bCs w:val="1"/>
                <w:color w:val="auto"/>
              </w:rPr>
              <w:t>2012</w:t>
            </w:r>
          </w:p>
        </w:tc>
        <w:tc>
          <w:tcPr>
            <w:tcW w:w="1160" w:type="dxa"/>
            <w:vAlign w:val="bottom"/>
          </w:tcPr>
          <w:p>
            <w:pPr>
              <w:jc w:val="right"/>
              <w:ind w:right="430"/>
              <w:spacing w:after="0"/>
              <w:rPr>
                <w:sz w:val="20"/>
                <w:szCs w:val="20"/>
                <w:color w:val="auto"/>
              </w:rPr>
            </w:pPr>
            <w:r>
              <w:rPr>
                <w:rFonts w:ascii="Arial" w:cs="Arial" w:eastAsia="Arial" w:hAnsi="Arial"/>
                <w:sz w:val="18"/>
                <w:szCs w:val="18"/>
                <w:b w:val="1"/>
                <w:bCs w:val="1"/>
                <w:color w:val="auto"/>
              </w:rPr>
              <w:t>2011</w:t>
            </w:r>
          </w:p>
        </w:tc>
      </w:tr>
      <w:tr>
        <w:trPr>
          <w:trHeight w:val="27"/>
        </w:trPr>
        <w:tc>
          <w:tcPr>
            <w:tcW w:w="5840" w:type="dxa"/>
            <w:vAlign w:val="bottom"/>
            <w:tcBorders>
              <w:bottom w:val="single" w:sz="8" w:color="auto"/>
            </w:tcBorders>
          </w:tcPr>
          <w:p>
            <w:pPr>
              <w:spacing w:after="0"/>
              <w:rPr>
                <w:sz w:val="2"/>
                <w:szCs w:val="2"/>
                <w:color w:val="auto"/>
              </w:rPr>
            </w:pPr>
          </w:p>
        </w:tc>
        <w:tc>
          <w:tcPr>
            <w:tcW w:w="44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7"/>
        </w:trPr>
        <w:tc>
          <w:tcPr>
            <w:tcW w:w="584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442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7"/>
        </w:trPr>
        <w:tc>
          <w:tcPr>
            <w:tcW w:w="5840" w:type="dxa"/>
            <w:vAlign w:val="bottom"/>
          </w:tcPr>
          <w:p>
            <w:pPr>
              <w:spacing w:after="0"/>
              <w:rPr>
                <w:sz w:val="2"/>
                <w:szCs w:val="2"/>
                <w:color w:val="auto"/>
              </w:rPr>
            </w:pPr>
          </w:p>
        </w:tc>
        <w:tc>
          <w:tcPr>
            <w:tcW w:w="44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4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$286.8</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$269.0</w:t>
            </w:r>
          </w:p>
        </w:tc>
      </w:tr>
      <w:tr>
        <w:trPr>
          <w:trHeight w:val="243"/>
        </w:trPr>
        <w:tc>
          <w:tcPr>
            <w:tcW w:w="5840" w:type="dxa"/>
            <w:vAlign w:val="bottom"/>
          </w:tcPr>
          <w:p>
            <w:pPr>
              <w:ind w:left="40"/>
              <w:spacing w:after="0"/>
              <w:rPr>
                <w:sz w:val="20"/>
                <w:szCs w:val="20"/>
                <w:color w:val="auto"/>
              </w:rPr>
            </w:pPr>
            <w:r>
              <w:rPr>
                <w:rFonts w:ascii="Arial" w:cs="Arial" w:eastAsia="Arial" w:hAnsi="Arial"/>
                <w:sz w:val="18"/>
                <w:szCs w:val="18"/>
                <w:color w:val="auto"/>
              </w:rPr>
              <w:t>Prior Service Cost</w:t>
            </w:r>
          </w:p>
        </w:tc>
        <w:tc>
          <w:tcPr>
            <w:tcW w:w="4420" w:type="dxa"/>
            <w:vAlign w:val="bottom"/>
          </w:tcPr>
          <w:p>
            <w:pPr>
              <w:jc w:val="right"/>
              <w:ind w:right="210"/>
              <w:spacing w:after="0"/>
              <w:rPr>
                <w:sz w:val="20"/>
                <w:szCs w:val="20"/>
                <w:color w:val="auto"/>
              </w:rPr>
            </w:pPr>
            <w:r>
              <w:rPr>
                <w:rFonts w:ascii="Arial" w:cs="Arial" w:eastAsia="Arial" w:hAnsi="Arial"/>
                <w:sz w:val="18"/>
                <w:szCs w:val="18"/>
                <w:color w:val="auto"/>
              </w:rPr>
              <w:t>0.7</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1.1</w:t>
            </w:r>
          </w:p>
        </w:tc>
      </w:tr>
      <w:tr>
        <w:trPr>
          <w:trHeight w:val="27"/>
        </w:trPr>
        <w:tc>
          <w:tcPr>
            <w:tcW w:w="5840" w:type="dxa"/>
            <w:vAlign w:val="bottom"/>
            <w:tcBorders>
              <w:bottom w:val="single" w:sz="8" w:color="auto"/>
            </w:tcBorders>
          </w:tcPr>
          <w:p>
            <w:pPr>
              <w:spacing w:after="0"/>
              <w:rPr>
                <w:sz w:val="2"/>
                <w:szCs w:val="2"/>
                <w:color w:val="auto"/>
              </w:rPr>
            </w:pPr>
          </w:p>
        </w:tc>
        <w:tc>
          <w:tcPr>
            <w:tcW w:w="44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5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Unrecognized Pension Costs</w:t>
            </w:r>
          </w:p>
        </w:tc>
        <w:tc>
          <w:tcPr>
            <w:tcW w:w="4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$287.5</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$270.1</w:t>
            </w:r>
          </w:p>
        </w:tc>
      </w:tr>
      <w:tr>
        <w:trPr>
          <w:trHeight w:val="20"/>
        </w:trPr>
        <w:tc>
          <w:tcPr>
            <w:tcW w:w="5840" w:type="dxa"/>
            <w:vAlign w:val="bottom"/>
            <w:shd w:val="clear" w:color="auto" w:fill="000000"/>
          </w:tcPr>
          <w:p>
            <w:pPr>
              <w:spacing w:after="0" w:line="20" w:lineRule="exact"/>
              <w:rPr>
                <w:sz w:val="1"/>
                <w:szCs w:val="1"/>
                <w:color w:val="auto"/>
              </w:rPr>
            </w:pPr>
          </w:p>
        </w:tc>
        <w:tc>
          <w:tcPr>
            <w:tcW w:w="44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r>
    </w:tbl>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40" w:type="dxa"/>
            <w:vAlign w:val="bottom"/>
          </w:tcPr>
          <w:p>
            <w:pPr>
              <w:ind w:left="40"/>
              <w:spacing w:after="0"/>
              <w:rPr>
                <w:sz w:val="20"/>
                <w:szCs w:val="20"/>
                <w:color w:val="auto"/>
              </w:rPr>
            </w:pPr>
            <w:r>
              <w:rPr>
                <w:rFonts w:ascii="Arial" w:cs="Arial" w:eastAsia="Arial" w:hAnsi="Arial"/>
                <w:sz w:val="18"/>
                <w:szCs w:val="18"/>
                <w:b w:val="1"/>
                <w:bCs w:val="1"/>
                <w:color w:val="auto"/>
              </w:rPr>
              <w:t>Components of Net Periodic Pension Expense</w:t>
            </w:r>
          </w:p>
        </w:tc>
        <w:tc>
          <w:tcPr>
            <w:tcW w:w="3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70"/>
        </w:trPr>
        <w:tc>
          <w:tcPr>
            <w:tcW w:w="5540" w:type="dxa"/>
            <w:vAlign w:val="bottom"/>
          </w:tcPr>
          <w:p>
            <w:pPr>
              <w:ind w:left="40"/>
              <w:spacing w:after="0"/>
              <w:rPr>
                <w:sz w:val="20"/>
                <w:szCs w:val="20"/>
                <w:color w:val="auto"/>
              </w:rPr>
            </w:pPr>
            <w:r>
              <w:rPr>
                <w:rFonts w:ascii="Arial" w:cs="Arial" w:eastAsia="Arial" w:hAnsi="Arial"/>
                <w:sz w:val="18"/>
                <w:szCs w:val="18"/>
                <w:b w:val="1"/>
                <w:bCs w:val="1"/>
                <w:color w:val="auto"/>
              </w:rPr>
              <w:t>Year Ended December 31</w:t>
            </w:r>
          </w:p>
        </w:tc>
        <w:tc>
          <w:tcPr>
            <w:tcW w:w="3120" w:type="dxa"/>
            <w:vAlign w:val="bottom"/>
          </w:tcPr>
          <w:p>
            <w:pPr>
              <w:jc w:val="right"/>
              <w:ind w:right="670"/>
              <w:spacing w:after="0"/>
              <w:rPr>
                <w:sz w:val="20"/>
                <w:szCs w:val="20"/>
                <w:color w:val="auto"/>
              </w:rPr>
            </w:pPr>
            <w:r>
              <w:rPr>
                <w:rFonts w:ascii="Arial" w:cs="Arial" w:eastAsia="Arial" w:hAnsi="Arial"/>
                <w:sz w:val="18"/>
                <w:szCs w:val="18"/>
                <w:b w:val="1"/>
                <w:bCs w:val="1"/>
                <w:color w:val="auto"/>
              </w:rPr>
              <w:t>2012</w:t>
            </w:r>
          </w:p>
        </w:tc>
        <w:tc>
          <w:tcPr>
            <w:tcW w:w="1460" w:type="dxa"/>
            <w:vAlign w:val="bottom"/>
          </w:tcPr>
          <w:p>
            <w:pPr>
              <w:jc w:val="right"/>
              <w:ind w:right="690"/>
              <w:spacing w:after="0"/>
              <w:rPr>
                <w:sz w:val="20"/>
                <w:szCs w:val="20"/>
                <w:color w:val="auto"/>
              </w:rPr>
            </w:pPr>
            <w:r>
              <w:rPr>
                <w:rFonts w:ascii="Arial" w:cs="Arial" w:eastAsia="Arial" w:hAnsi="Arial"/>
                <w:sz w:val="18"/>
                <w:szCs w:val="18"/>
                <w:b w:val="1"/>
                <w:bCs w:val="1"/>
                <w:color w:val="auto"/>
              </w:rPr>
              <w:t>2011</w:t>
            </w:r>
          </w:p>
        </w:tc>
        <w:tc>
          <w:tcPr>
            <w:tcW w:w="1300" w:type="dxa"/>
            <w:vAlign w:val="bottom"/>
          </w:tcPr>
          <w:p>
            <w:pPr>
              <w:jc w:val="right"/>
              <w:ind w:right="530"/>
              <w:spacing w:after="0"/>
              <w:rPr>
                <w:sz w:val="20"/>
                <w:szCs w:val="20"/>
                <w:color w:val="auto"/>
              </w:rPr>
            </w:pPr>
            <w:r>
              <w:rPr>
                <w:rFonts w:ascii="Arial" w:cs="Arial" w:eastAsia="Arial" w:hAnsi="Arial"/>
                <w:sz w:val="18"/>
                <w:szCs w:val="18"/>
                <w:b w:val="1"/>
                <w:bCs w:val="1"/>
                <w:color w:val="auto"/>
              </w:rPr>
              <w:t>2010</w:t>
            </w:r>
          </w:p>
        </w:tc>
      </w:tr>
      <w:tr>
        <w:trPr>
          <w:trHeight w:val="27"/>
        </w:trPr>
        <w:tc>
          <w:tcPr>
            <w:tcW w:w="5540" w:type="dxa"/>
            <w:vAlign w:val="bottom"/>
            <w:tcBorders>
              <w:bottom w:val="single" w:sz="8" w:color="auto"/>
            </w:tcBorders>
          </w:tcPr>
          <w:p>
            <w:pPr>
              <w:spacing w:after="0"/>
              <w:rPr>
                <w:sz w:val="2"/>
                <w:szCs w:val="2"/>
                <w:color w:val="auto"/>
              </w:rPr>
            </w:pPr>
          </w:p>
        </w:tc>
        <w:tc>
          <w:tcPr>
            <w:tcW w:w="3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554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3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7"/>
        </w:trPr>
        <w:tc>
          <w:tcPr>
            <w:tcW w:w="554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31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$9.1</w:t>
            </w:r>
          </w:p>
        </w:tc>
        <w:tc>
          <w:tcPr>
            <w:tcW w:w="14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$7.6</w:t>
            </w:r>
          </w:p>
        </w:tc>
        <w:tc>
          <w:tcPr>
            <w:tcW w:w="13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$6.2</w:t>
            </w:r>
          </w:p>
        </w:tc>
      </w:tr>
      <w:tr>
        <w:trPr>
          <w:trHeight w:val="243"/>
        </w:trPr>
        <w:tc>
          <w:tcPr>
            <w:tcW w:w="554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3120" w:type="dxa"/>
            <w:vAlign w:val="bottom"/>
          </w:tcPr>
          <w:p>
            <w:pPr>
              <w:jc w:val="right"/>
              <w:ind w:right="290"/>
              <w:spacing w:after="0"/>
              <w:rPr>
                <w:sz w:val="20"/>
                <w:szCs w:val="20"/>
                <w:color w:val="auto"/>
              </w:rPr>
            </w:pPr>
            <w:r>
              <w:rPr>
                <w:rFonts w:ascii="Arial" w:cs="Arial" w:eastAsia="Arial" w:hAnsi="Arial"/>
                <w:sz w:val="18"/>
                <w:szCs w:val="18"/>
                <w:color w:val="auto"/>
              </w:rPr>
              <w:t>26.4</w:t>
            </w:r>
          </w:p>
        </w:tc>
        <w:tc>
          <w:tcPr>
            <w:tcW w:w="1460" w:type="dxa"/>
            <w:vAlign w:val="bottom"/>
          </w:tcPr>
          <w:p>
            <w:pPr>
              <w:jc w:val="right"/>
              <w:ind w:right="290"/>
              <w:spacing w:after="0"/>
              <w:rPr>
                <w:sz w:val="20"/>
                <w:szCs w:val="20"/>
                <w:color w:val="auto"/>
              </w:rPr>
            </w:pPr>
            <w:r>
              <w:rPr>
                <w:rFonts w:ascii="Arial" w:cs="Arial" w:eastAsia="Arial" w:hAnsi="Arial"/>
                <w:sz w:val="18"/>
                <w:szCs w:val="18"/>
                <w:color w:val="auto"/>
              </w:rPr>
              <w:t>27.4</w:t>
            </w:r>
          </w:p>
        </w:tc>
        <w:tc>
          <w:tcPr>
            <w:tcW w:w="1300" w:type="dxa"/>
            <w:vAlign w:val="bottom"/>
          </w:tcPr>
          <w:p>
            <w:pPr>
              <w:jc w:val="right"/>
              <w:ind w:right="130"/>
              <w:spacing w:after="0"/>
              <w:rPr>
                <w:sz w:val="20"/>
                <w:szCs w:val="20"/>
                <w:color w:val="auto"/>
              </w:rPr>
            </w:pPr>
            <w:r>
              <w:rPr>
                <w:rFonts w:ascii="Arial" w:cs="Arial" w:eastAsia="Arial" w:hAnsi="Arial"/>
                <w:sz w:val="18"/>
                <w:szCs w:val="18"/>
                <w:color w:val="auto"/>
              </w:rPr>
              <w:t>26.2</w:t>
            </w:r>
          </w:p>
        </w:tc>
      </w:tr>
      <w:tr>
        <w:trPr>
          <w:trHeight w:val="27"/>
        </w:trPr>
        <w:tc>
          <w:tcPr>
            <w:tcW w:w="554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31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(35.4)</w:t>
            </w:r>
          </w:p>
        </w:tc>
        <w:tc>
          <w:tcPr>
            <w:tcW w:w="14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(34.6)</w:t>
            </w:r>
          </w:p>
        </w:tc>
        <w:tc>
          <w:tcPr>
            <w:tcW w:w="1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(33.7)</w:t>
            </w:r>
          </w:p>
        </w:tc>
      </w:tr>
      <w:tr>
        <w:trPr>
          <w:trHeight w:val="243"/>
        </w:trPr>
        <w:tc>
          <w:tcPr>
            <w:tcW w:w="5540" w:type="dxa"/>
            <w:vAlign w:val="bottom"/>
          </w:tcPr>
          <w:p>
            <w:pPr>
              <w:ind w:left="40"/>
              <w:spacing w:after="0"/>
              <w:rPr>
                <w:sz w:val="20"/>
                <w:szCs w:val="20"/>
                <w:color w:val="auto"/>
              </w:rPr>
            </w:pPr>
            <w:r>
              <w:rPr>
                <w:rFonts w:ascii="Arial" w:cs="Arial" w:eastAsia="Arial" w:hAnsi="Arial"/>
                <w:sz w:val="18"/>
                <w:szCs w:val="18"/>
                <w:color w:val="auto"/>
              </w:rPr>
              <w:t>Amortization of Loss</w:t>
            </w:r>
          </w:p>
        </w:tc>
        <w:tc>
          <w:tcPr>
            <w:tcW w:w="3120" w:type="dxa"/>
            <w:vAlign w:val="bottom"/>
          </w:tcPr>
          <w:p>
            <w:pPr>
              <w:jc w:val="right"/>
              <w:ind w:right="290"/>
              <w:spacing w:after="0"/>
              <w:rPr>
                <w:sz w:val="20"/>
                <w:szCs w:val="20"/>
                <w:color w:val="auto"/>
              </w:rPr>
            </w:pPr>
            <w:r>
              <w:rPr>
                <w:rFonts w:ascii="Arial" w:cs="Arial" w:eastAsia="Arial" w:hAnsi="Arial"/>
                <w:sz w:val="18"/>
                <w:szCs w:val="18"/>
                <w:color w:val="auto"/>
              </w:rPr>
              <w:t>17.5</w:t>
            </w:r>
          </w:p>
        </w:tc>
        <w:tc>
          <w:tcPr>
            <w:tcW w:w="1460" w:type="dxa"/>
            <w:vAlign w:val="bottom"/>
          </w:tcPr>
          <w:p>
            <w:pPr>
              <w:jc w:val="right"/>
              <w:ind w:right="290"/>
              <w:spacing w:after="0"/>
              <w:rPr>
                <w:sz w:val="20"/>
                <w:szCs w:val="20"/>
                <w:color w:val="auto"/>
              </w:rPr>
            </w:pPr>
            <w:r>
              <w:rPr>
                <w:rFonts w:ascii="Arial" w:cs="Arial" w:eastAsia="Arial" w:hAnsi="Arial"/>
                <w:sz w:val="18"/>
                <w:szCs w:val="18"/>
                <w:color w:val="auto"/>
              </w:rPr>
              <w:t>12.1</w:t>
            </w:r>
          </w:p>
        </w:tc>
        <w:tc>
          <w:tcPr>
            <w:tcW w:w="1300" w:type="dxa"/>
            <w:vAlign w:val="bottom"/>
          </w:tcPr>
          <w:p>
            <w:pPr>
              <w:jc w:val="right"/>
              <w:ind w:right="130"/>
              <w:spacing w:after="0"/>
              <w:rPr>
                <w:sz w:val="20"/>
                <w:szCs w:val="20"/>
                <w:color w:val="auto"/>
              </w:rPr>
            </w:pPr>
            <w:r>
              <w:rPr>
                <w:rFonts w:ascii="Arial" w:cs="Arial" w:eastAsia="Arial" w:hAnsi="Arial"/>
                <w:sz w:val="18"/>
                <w:szCs w:val="18"/>
                <w:color w:val="auto"/>
              </w:rPr>
              <w:t>6.6</w:t>
            </w:r>
          </w:p>
        </w:tc>
      </w:tr>
      <w:tr>
        <w:trPr>
          <w:trHeight w:val="27"/>
        </w:trPr>
        <w:tc>
          <w:tcPr>
            <w:tcW w:w="554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5"/>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Prior Service Cost</w:t>
            </w:r>
          </w:p>
        </w:tc>
        <w:tc>
          <w:tcPr>
            <w:tcW w:w="31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0.3</w:t>
            </w:r>
          </w:p>
        </w:tc>
        <w:tc>
          <w:tcPr>
            <w:tcW w:w="14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0.3</w:t>
            </w:r>
          </w:p>
        </w:tc>
        <w:tc>
          <w:tcPr>
            <w:tcW w:w="13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0.5</w:t>
            </w:r>
          </w:p>
        </w:tc>
      </w:tr>
      <w:tr>
        <w:trPr>
          <w:trHeight w:val="237"/>
        </w:trPr>
        <w:tc>
          <w:tcPr>
            <w:tcW w:w="55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Net Pension Expense</w:t>
            </w:r>
          </w:p>
        </w:tc>
        <w:tc>
          <w:tcPr>
            <w:tcW w:w="312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$17.9</w:t>
            </w:r>
          </w:p>
        </w:tc>
        <w:tc>
          <w:tcPr>
            <w:tcW w:w="146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$12.8</w:t>
            </w:r>
          </w:p>
        </w:tc>
        <w:tc>
          <w:tcPr>
            <w:tcW w:w="130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$5.8</w:t>
            </w:r>
          </w:p>
        </w:tc>
      </w:tr>
      <w:tr>
        <w:trPr>
          <w:trHeight w:val="27"/>
        </w:trPr>
        <w:tc>
          <w:tcPr>
            <w:tcW w:w="5540" w:type="dxa"/>
            <w:vAlign w:val="bottom"/>
            <w:tcBorders>
              <w:bottom w:val="single" w:sz="8" w:color="auto"/>
            </w:tcBorders>
          </w:tcPr>
          <w:p>
            <w:pPr>
              <w:spacing w:after="0"/>
              <w:rPr>
                <w:sz w:val="2"/>
                <w:szCs w:val="2"/>
                <w:color w:val="auto"/>
              </w:rPr>
            </w:pPr>
          </w:p>
        </w:tc>
        <w:tc>
          <w:tcPr>
            <w:tcW w:w="3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2012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20"/>
          </w:cols>
          <w:pgMar w:left="240" w:top="364" w:right="239" w:bottom="1440" w:gutter="0" w:footer="0" w:header="0"/>
        </w:sectPr>
      </w:pPr>
    </w:p>
    <w:bookmarkStart w:id="101" w:name="page102"/>
    <w:bookmarkEnd w:id="101"/>
    <w:tbl>
      <w:tblPr>
        <w:tblLayout w:type="fixed"/>
        <w:tblInd w:w="0" w:type="dxa"/>
        <w:tblCellMar>
          <w:top w:w="0" w:type="dxa"/>
          <w:left w:w="0" w:type="dxa"/>
          <w:bottom w:w="0" w:type="dxa"/>
          <w:right w:w="0" w:type="dxa"/>
        </w:tblCellMar>
      </w:tblPr>
      <w:tr>
        <w:trPr>
          <w:trHeight w:val="234"/>
        </w:trPr>
        <w:tc>
          <w:tcPr>
            <w:tcW w:w="8320" w:type="dxa"/>
            <w:vAlign w:val="bottom"/>
          </w:tcPr>
          <w:p>
            <w:pPr>
              <w:spacing w:after="0"/>
              <w:rPr>
                <w:sz w:val="20"/>
                <w:szCs w:val="20"/>
                <w:color w:val="auto"/>
              </w:rPr>
            </w:pPr>
            <w:r>
              <w:rPr>
                <w:rFonts w:ascii="Arial" w:cs="Arial" w:eastAsia="Arial" w:hAnsi="Arial"/>
                <w:sz w:val="18"/>
                <w:szCs w:val="18"/>
                <w:b w:val="1"/>
                <w:bCs w:val="1"/>
                <w:color w:val="auto"/>
              </w:rPr>
              <w:t>NOTE 15. PENSION AND OTHER POSTRETIREMENT BENEFIT PLANS (Continued)</w:t>
            </w:r>
          </w:p>
        </w:tc>
        <w:tc>
          <w:tcPr>
            <w:tcW w:w="188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576"/>
        </w:trPr>
        <w:tc>
          <w:tcPr>
            <w:tcW w:w="8320" w:type="dxa"/>
            <w:vAlign w:val="bottom"/>
          </w:tcPr>
          <w:p>
            <w:pPr>
              <w:ind w:left="40"/>
              <w:spacing w:after="0"/>
              <w:rPr>
                <w:sz w:val="20"/>
                <w:szCs w:val="20"/>
                <w:color w:val="auto"/>
              </w:rPr>
            </w:pPr>
            <w:r>
              <w:rPr>
                <w:rFonts w:ascii="Arial" w:cs="Arial" w:eastAsia="Arial" w:hAnsi="Arial"/>
                <w:sz w:val="18"/>
                <w:szCs w:val="18"/>
                <w:b w:val="1"/>
                <w:bCs w:val="1"/>
                <w:color w:val="auto"/>
              </w:rPr>
              <w:t>Other Changes in Pension Plan Assets and Benefit Obligations Recognized in</w:t>
            </w:r>
          </w:p>
        </w:tc>
        <w:tc>
          <w:tcPr>
            <w:tcW w:w="18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34"/>
        </w:trPr>
        <w:tc>
          <w:tcPr>
            <w:tcW w:w="8320" w:type="dxa"/>
            <w:vAlign w:val="bottom"/>
          </w:tcPr>
          <w:p>
            <w:pPr>
              <w:ind w:left="40"/>
              <w:spacing w:after="0"/>
              <w:rPr>
                <w:sz w:val="20"/>
                <w:szCs w:val="20"/>
                <w:color w:val="auto"/>
              </w:rPr>
            </w:pPr>
            <w:r>
              <w:rPr>
                <w:rFonts w:ascii="Arial" w:cs="Arial" w:eastAsia="Arial" w:hAnsi="Arial"/>
                <w:sz w:val="18"/>
                <w:szCs w:val="18"/>
                <w:b w:val="1"/>
                <w:bCs w:val="1"/>
                <w:color w:val="auto"/>
              </w:rPr>
              <w:t>Other Comprehensive Income and Regulatory Assets</w:t>
            </w:r>
          </w:p>
        </w:tc>
        <w:tc>
          <w:tcPr>
            <w:tcW w:w="188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70"/>
        </w:trPr>
        <w:tc>
          <w:tcPr>
            <w:tcW w:w="8320" w:type="dxa"/>
            <w:vAlign w:val="bottom"/>
          </w:tcPr>
          <w:p>
            <w:pPr>
              <w:ind w:left="40"/>
              <w:spacing w:after="0"/>
              <w:rPr>
                <w:sz w:val="20"/>
                <w:szCs w:val="20"/>
                <w:color w:val="auto"/>
              </w:rPr>
            </w:pPr>
            <w:r>
              <w:rPr>
                <w:rFonts w:ascii="Arial" w:cs="Arial" w:eastAsia="Arial" w:hAnsi="Arial"/>
                <w:sz w:val="18"/>
                <w:szCs w:val="18"/>
                <w:b w:val="1"/>
                <w:bCs w:val="1"/>
                <w:color w:val="auto"/>
              </w:rPr>
              <w:t>Year Ended December 31</w:t>
            </w:r>
          </w:p>
        </w:tc>
        <w:tc>
          <w:tcPr>
            <w:tcW w:w="1880" w:type="dxa"/>
            <w:vAlign w:val="bottom"/>
          </w:tcPr>
          <w:p>
            <w:pPr>
              <w:jc w:val="right"/>
              <w:ind w:right="790"/>
              <w:spacing w:after="0"/>
              <w:rPr>
                <w:sz w:val="20"/>
                <w:szCs w:val="20"/>
                <w:color w:val="auto"/>
              </w:rPr>
            </w:pPr>
            <w:r>
              <w:rPr>
                <w:rFonts w:ascii="Arial" w:cs="Arial" w:eastAsia="Arial" w:hAnsi="Arial"/>
                <w:sz w:val="18"/>
                <w:szCs w:val="18"/>
                <w:b w:val="1"/>
                <w:bCs w:val="1"/>
                <w:color w:val="auto"/>
              </w:rPr>
              <w:t>2012</w:t>
            </w:r>
          </w:p>
        </w:tc>
        <w:tc>
          <w:tcPr>
            <w:tcW w:w="1220" w:type="dxa"/>
            <w:vAlign w:val="bottom"/>
          </w:tcPr>
          <w:p>
            <w:pPr>
              <w:jc w:val="right"/>
              <w:ind w:right="550"/>
              <w:spacing w:after="0"/>
              <w:rPr>
                <w:sz w:val="20"/>
                <w:szCs w:val="20"/>
                <w:color w:val="auto"/>
              </w:rPr>
            </w:pPr>
            <w:r>
              <w:rPr>
                <w:rFonts w:ascii="Arial" w:cs="Arial" w:eastAsia="Arial" w:hAnsi="Arial"/>
                <w:sz w:val="18"/>
                <w:szCs w:val="18"/>
                <w:b w:val="1"/>
                <w:bCs w:val="1"/>
                <w:color w:val="auto"/>
              </w:rPr>
              <w:t>2011</w:t>
            </w:r>
          </w:p>
        </w:tc>
      </w:tr>
      <w:tr>
        <w:trPr>
          <w:trHeight w:val="27"/>
        </w:trPr>
        <w:tc>
          <w:tcPr>
            <w:tcW w:w="832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832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188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7"/>
        </w:trPr>
        <w:tc>
          <w:tcPr>
            <w:tcW w:w="83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188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$35.2</w:t>
            </w:r>
          </w:p>
        </w:tc>
        <w:tc>
          <w:tcPr>
            <w:tcW w:w="12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$56.1</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Amortization of Prior Service Cost</w:t>
            </w:r>
          </w:p>
        </w:tc>
        <w:tc>
          <w:tcPr>
            <w:tcW w:w="1880" w:type="dxa"/>
            <w:vAlign w:val="bottom"/>
          </w:tcPr>
          <w:p>
            <w:pPr>
              <w:jc w:val="right"/>
              <w:ind w:right="330"/>
              <w:spacing w:after="0"/>
              <w:rPr>
                <w:sz w:val="20"/>
                <w:szCs w:val="20"/>
                <w:color w:val="auto"/>
              </w:rPr>
            </w:pPr>
            <w:r>
              <w:rPr>
                <w:rFonts w:ascii="Arial" w:cs="Arial" w:eastAsia="Arial" w:hAnsi="Arial"/>
                <w:sz w:val="18"/>
                <w:szCs w:val="18"/>
                <w:color w:val="auto"/>
              </w:rPr>
              <w:t>(0.3)</w:t>
            </w: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(0.3)</w:t>
            </w:r>
          </w:p>
        </w:tc>
      </w:tr>
      <w:tr>
        <w:trPr>
          <w:trHeight w:val="27"/>
        </w:trPr>
        <w:tc>
          <w:tcPr>
            <w:tcW w:w="83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5"/>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Loss</w:t>
            </w:r>
          </w:p>
        </w:tc>
        <w:tc>
          <w:tcPr>
            <w:tcW w:w="188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(17.5)</w:t>
            </w:r>
          </w:p>
        </w:tc>
        <w:tc>
          <w:tcPr>
            <w:tcW w:w="12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(12.2)</w:t>
            </w:r>
          </w:p>
        </w:tc>
      </w:tr>
      <w:tr>
        <w:trPr>
          <w:trHeight w:val="237"/>
        </w:trPr>
        <w:tc>
          <w:tcPr>
            <w:tcW w:w="83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Recognized in Other Comprehensive Income and Regulatory Assets</w:t>
            </w:r>
          </w:p>
        </w:tc>
        <w:tc>
          <w:tcPr>
            <w:tcW w:w="188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color w:val="auto"/>
              </w:rPr>
              <w:t>$17.4</w:t>
            </w:r>
          </w:p>
        </w:tc>
        <w:tc>
          <w:tcPr>
            <w:tcW w:w="12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$43.6</w:t>
            </w:r>
          </w:p>
        </w:tc>
      </w:tr>
      <w:tr>
        <w:trPr>
          <w:trHeight w:val="27"/>
        </w:trPr>
        <w:tc>
          <w:tcPr>
            <w:tcW w:w="832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588"/>
        </w:trPr>
        <w:tc>
          <w:tcPr>
            <w:tcW w:w="8320" w:type="dxa"/>
            <w:vAlign w:val="bottom"/>
          </w:tcPr>
          <w:p>
            <w:pPr>
              <w:ind w:left="40"/>
              <w:spacing w:after="0"/>
              <w:rPr>
                <w:sz w:val="20"/>
                <w:szCs w:val="20"/>
                <w:color w:val="auto"/>
              </w:rPr>
            </w:pPr>
            <w:r>
              <w:rPr>
                <w:rFonts w:ascii="Arial" w:cs="Arial" w:eastAsia="Arial" w:hAnsi="Arial"/>
                <w:sz w:val="18"/>
                <w:szCs w:val="18"/>
                <w:b w:val="1"/>
                <w:bCs w:val="1"/>
                <w:color w:val="auto"/>
              </w:rPr>
              <w:t>Information for Pension Plans with an Accumulated Benefit Obligation in Excess of Plan Assets</w:t>
            </w:r>
          </w:p>
        </w:tc>
        <w:tc>
          <w:tcPr>
            <w:tcW w:w="18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70"/>
        </w:trPr>
        <w:tc>
          <w:tcPr>
            <w:tcW w:w="8320" w:type="dxa"/>
            <w:vAlign w:val="bottom"/>
          </w:tcPr>
          <w:p>
            <w:pPr>
              <w:ind w:left="40"/>
              <w:spacing w:after="0"/>
              <w:rPr>
                <w:sz w:val="20"/>
                <w:szCs w:val="20"/>
                <w:color w:val="auto"/>
              </w:rPr>
            </w:pPr>
            <w:r>
              <w:rPr>
                <w:rFonts w:ascii="Arial" w:cs="Arial" w:eastAsia="Arial" w:hAnsi="Arial"/>
                <w:sz w:val="18"/>
                <w:szCs w:val="18"/>
                <w:b w:val="1"/>
                <w:bCs w:val="1"/>
                <w:color w:val="auto"/>
              </w:rPr>
              <w:t>Year Ended December 31</w:t>
            </w:r>
          </w:p>
        </w:tc>
        <w:tc>
          <w:tcPr>
            <w:tcW w:w="1880" w:type="dxa"/>
            <w:vAlign w:val="bottom"/>
          </w:tcPr>
          <w:p>
            <w:pPr>
              <w:jc w:val="right"/>
              <w:ind w:right="570"/>
              <w:spacing w:after="0"/>
              <w:rPr>
                <w:sz w:val="20"/>
                <w:szCs w:val="20"/>
                <w:color w:val="auto"/>
              </w:rPr>
            </w:pPr>
            <w:r>
              <w:rPr>
                <w:rFonts w:ascii="Arial" w:cs="Arial" w:eastAsia="Arial" w:hAnsi="Arial"/>
                <w:sz w:val="18"/>
                <w:szCs w:val="18"/>
                <w:b w:val="1"/>
                <w:bCs w:val="1"/>
                <w:color w:val="auto"/>
              </w:rPr>
              <w:t>2012</w:t>
            </w:r>
          </w:p>
        </w:tc>
        <w:tc>
          <w:tcPr>
            <w:tcW w:w="1220" w:type="dxa"/>
            <w:vAlign w:val="bottom"/>
          </w:tcPr>
          <w:p>
            <w:pPr>
              <w:jc w:val="right"/>
              <w:ind w:right="430"/>
              <w:spacing w:after="0"/>
              <w:rPr>
                <w:sz w:val="20"/>
                <w:szCs w:val="20"/>
                <w:color w:val="auto"/>
              </w:rPr>
            </w:pPr>
            <w:r>
              <w:rPr>
                <w:rFonts w:ascii="Arial" w:cs="Arial" w:eastAsia="Arial" w:hAnsi="Arial"/>
                <w:sz w:val="18"/>
                <w:szCs w:val="18"/>
                <w:b w:val="1"/>
                <w:bCs w:val="1"/>
                <w:color w:val="auto"/>
              </w:rPr>
              <w:t>2011</w:t>
            </w:r>
          </w:p>
        </w:tc>
      </w:tr>
      <w:tr>
        <w:trPr>
          <w:trHeight w:val="27"/>
        </w:trPr>
        <w:tc>
          <w:tcPr>
            <w:tcW w:w="832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832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188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7"/>
        </w:trPr>
        <w:tc>
          <w:tcPr>
            <w:tcW w:w="83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Projected Benefit Obligation</w:t>
            </w:r>
          </w:p>
        </w:tc>
        <w:tc>
          <w:tcPr>
            <w:tcW w:w="18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$652.1</w:t>
            </w:r>
          </w:p>
        </w:tc>
        <w:tc>
          <w:tcPr>
            <w:tcW w:w="122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$597.5</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Accumulated Benefit Obligation</w:t>
            </w:r>
          </w:p>
        </w:tc>
        <w:tc>
          <w:tcPr>
            <w:tcW w:w="1880" w:type="dxa"/>
            <w:vAlign w:val="bottom"/>
          </w:tcPr>
          <w:p>
            <w:pPr>
              <w:jc w:val="right"/>
              <w:ind w:right="150"/>
              <w:spacing w:after="0"/>
              <w:rPr>
                <w:sz w:val="20"/>
                <w:szCs w:val="20"/>
                <w:color w:val="auto"/>
              </w:rPr>
            </w:pPr>
            <w:r>
              <w:rPr>
                <w:rFonts w:ascii="Arial" w:cs="Arial" w:eastAsia="Arial" w:hAnsi="Arial"/>
                <w:sz w:val="18"/>
                <w:szCs w:val="18"/>
                <w:color w:val="auto"/>
              </w:rPr>
              <w:t>$598.7</w:t>
            </w:r>
          </w:p>
        </w:tc>
        <w:tc>
          <w:tcPr>
            <w:tcW w:w="1220" w:type="dxa"/>
            <w:vAlign w:val="bottom"/>
          </w:tcPr>
          <w:p>
            <w:pPr>
              <w:ind w:left="620"/>
              <w:spacing w:after="0"/>
              <w:rPr>
                <w:sz w:val="20"/>
                <w:szCs w:val="20"/>
                <w:color w:val="auto"/>
              </w:rPr>
            </w:pPr>
            <w:r>
              <w:rPr>
                <w:rFonts w:ascii="Arial" w:cs="Arial" w:eastAsia="Arial" w:hAnsi="Arial"/>
                <w:sz w:val="18"/>
                <w:szCs w:val="18"/>
                <w:color w:val="auto"/>
              </w:rPr>
              <w:t>$550.6</w:t>
            </w:r>
          </w:p>
        </w:tc>
      </w:tr>
      <w:tr>
        <w:trPr>
          <w:trHeight w:val="27"/>
        </w:trPr>
        <w:tc>
          <w:tcPr>
            <w:tcW w:w="83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5"/>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of Plan Assets</w:t>
            </w:r>
          </w:p>
        </w:tc>
        <w:tc>
          <w:tcPr>
            <w:tcW w:w="18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$460.1</w:t>
            </w:r>
          </w:p>
        </w:tc>
        <w:tc>
          <w:tcPr>
            <w:tcW w:w="122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$432.4</w:t>
            </w:r>
          </w:p>
        </w:tc>
      </w:tr>
      <w:tr>
        <w:trPr>
          <w:trHeight w:val="588"/>
        </w:trPr>
        <w:tc>
          <w:tcPr>
            <w:tcW w:w="83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Postretirement Health and Life Obligation and Funded Status</w:t>
            </w:r>
          </w:p>
        </w:tc>
        <w:tc>
          <w:tcPr>
            <w:tcW w:w="18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r>
      <w:tr>
        <w:trPr>
          <w:trHeight w:val="270"/>
        </w:trPr>
        <w:tc>
          <w:tcPr>
            <w:tcW w:w="8320" w:type="dxa"/>
            <w:vAlign w:val="bottom"/>
          </w:tcPr>
          <w:p>
            <w:pPr>
              <w:ind w:left="40"/>
              <w:spacing w:after="0"/>
              <w:rPr>
                <w:sz w:val="20"/>
                <w:szCs w:val="20"/>
                <w:color w:val="auto"/>
              </w:rPr>
            </w:pPr>
            <w:r>
              <w:rPr>
                <w:rFonts w:ascii="Arial" w:cs="Arial" w:eastAsia="Arial" w:hAnsi="Arial"/>
                <w:sz w:val="18"/>
                <w:szCs w:val="18"/>
                <w:b w:val="1"/>
                <w:bCs w:val="1"/>
                <w:color w:val="auto"/>
              </w:rPr>
              <w:t>Year Ended December 31</w:t>
            </w:r>
          </w:p>
        </w:tc>
        <w:tc>
          <w:tcPr>
            <w:tcW w:w="1880" w:type="dxa"/>
            <w:vAlign w:val="bottom"/>
          </w:tcPr>
          <w:p>
            <w:pPr>
              <w:jc w:val="right"/>
              <w:ind w:right="790"/>
              <w:spacing w:after="0"/>
              <w:rPr>
                <w:sz w:val="20"/>
                <w:szCs w:val="20"/>
                <w:color w:val="auto"/>
              </w:rPr>
            </w:pPr>
            <w:r>
              <w:rPr>
                <w:rFonts w:ascii="Arial" w:cs="Arial" w:eastAsia="Arial" w:hAnsi="Arial"/>
                <w:sz w:val="18"/>
                <w:szCs w:val="18"/>
                <w:b w:val="1"/>
                <w:bCs w:val="1"/>
                <w:color w:val="auto"/>
              </w:rPr>
              <w:t>2012</w:t>
            </w:r>
          </w:p>
        </w:tc>
        <w:tc>
          <w:tcPr>
            <w:tcW w:w="1220" w:type="dxa"/>
            <w:vAlign w:val="bottom"/>
          </w:tcPr>
          <w:p>
            <w:pPr>
              <w:jc w:val="right"/>
              <w:ind w:right="550"/>
              <w:spacing w:after="0"/>
              <w:rPr>
                <w:sz w:val="20"/>
                <w:szCs w:val="20"/>
                <w:color w:val="auto"/>
              </w:rPr>
            </w:pPr>
            <w:r>
              <w:rPr>
                <w:rFonts w:ascii="Arial" w:cs="Arial" w:eastAsia="Arial" w:hAnsi="Arial"/>
                <w:sz w:val="18"/>
                <w:szCs w:val="18"/>
                <w:b w:val="1"/>
                <w:bCs w:val="1"/>
                <w:color w:val="auto"/>
              </w:rPr>
              <w:t>2011</w:t>
            </w:r>
          </w:p>
        </w:tc>
      </w:tr>
      <w:tr>
        <w:trPr>
          <w:trHeight w:val="27"/>
        </w:trPr>
        <w:tc>
          <w:tcPr>
            <w:tcW w:w="832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832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188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7"/>
        </w:trPr>
        <w:tc>
          <w:tcPr>
            <w:tcW w:w="83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Benefit Obligation</w:t>
            </w:r>
          </w:p>
        </w:tc>
        <w:tc>
          <w:tcPr>
            <w:tcW w:w="18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8320" w:type="dxa"/>
            <w:vAlign w:val="bottom"/>
          </w:tcPr>
          <w:p>
            <w:pPr>
              <w:ind w:left="180"/>
              <w:spacing w:after="0"/>
              <w:rPr>
                <w:sz w:val="20"/>
                <w:szCs w:val="20"/>
                <w:color w:val="auto"/>
              </w:rPr>
            </w:pPr>
            <w:r>
              <w:rPr>
                <w:rFonts w:ascii="Arial" w:cs="Arial" w:eastAsia="Arial" w:hAnsi="Arial"/>
                <w:sz w:val="18"/>
                <w:szCs w:val="18"/>
                <w:color w:val="auto"/>
              </w:rPr>
              <w:t>Obligation, Beginning of Year</w:t>
            </w:r>
          </w:p>
        </w:tc>
        <w:tc>
          <w:tcPr>
            <w:tcW w:w="1880" w:type="dxa"/>
            <w:vAlign w:val="bottom"/>
          </w:tcPr>
          <w:p>
            <w:pPr>
              <w:jc w:val="right"/>
              <w:ind w:right="390"/>
              <w:spacing w:after="0"/>
              <w:rPr>
                <w:sz w:val="20"/>
                <w:szCs w:val="20"/>
                <w:color w:val="auto"/>
              </w:rPr>
            </w:pPr>
            <w:r>
              <w:rPr>
                <w:rFonts w:ascii="Arial" w:cs="Arial" w:eastAsia="Arial" w:hAnsi="Arial"/>
                <w:sz w:val="18"/>
                <w:szCs w:val="18"/>
                <w:color w:val="auto"/>
              </w:rPr>
              <w:t>$210.6</w:t>
            </w: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$204.1</w:t>
            </w:r>
          </w:p>
        </w:tc>
      </w:tr>
      <w:tr>
        <w:trPr>
          <w:trHeight w:val="27"/>
        </w:trPr>
        <w:tc>
          <w:tcPr>
            <w:tcW w:w="83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Service Cost</w:t>
            </w:r>
          </w:p>
        </w:tc>
        <w:tc>
          <w:tcPr>
            <w:tcW w:w="188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4.2</w:t>
            </w:r>
          </w:p>
        </w:tc>
        <w:tc>
          <w:tcPr>
            <w:tcW w:w="12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3.8</w:t>
            </w:r>
          </w:p>
        </w:tc>
      </w:tr>
      <w:tr>
        <w:trPr>
          <w:trHeight w:val="243"/>
        </w:trPr>
        <w:tc>
          <w:tcPr>
            <w:tcW w:w="8320" w:type="dxa"/>
            <w:vAlign w:val="bottom"/>
          </w:tcPr>
          <w:p>
            <w:pPr>
              <w:ind w:left="180"/>
              <w:spacing w:after="0"/>
              <w:rPr>
                <w:sz w:val="20"/>
                <w:szCs w:val="20"/>
                <w:color w:val="auto"/>
              </w:rPr>
            </w:pPr>
            <w:r>
              <w:rPr>
                <w:rFonts w:ascii="Arial" w:cs="Arial" w:eastAsia="Arial" w:hAnsi="Arial"/>
                <w:sz w:val="18"/>
                <w:szCs w:val="18"/>
                <w:color w:val="auto"/>
              </w:rPr>
              <w:t>Interest Cost</w:t>
            </w:r>
          </w:p>
        </w:tc>
        <w:tc>
          <w:tcPr>
            <w:tcW w:w="1880" w:type="dxa"/>
            <w:vAlign w:val="bottom"/>
          </w:tcPr>
          <w:p>
            <w:pPr>
              <w:jc w:val="right"/>
              <w:ind w:right="390"/>
              <w:spacing w:after="0"/>
              <w:rPr>
                <w:sz w:val="20"/>
                <w:szCs w:val="20"/>
                <w:color w:val="auto"/>
              </w:rPr>
            </w:pPr>
            <w:r>
              <w:rPr>
                <w:rFonts w:ascii="Arial" w:cs="Arial" w:eastAsia="Arial" w:hAnsi="Arial"/>
                <w:sz w:val="18"/>
                <w:szCs w:val="18"/>
                <w:color w:val="auto"/>
              </w:rPr>
              <w:t>9.4</w:t>
            </w: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10.8</w:t>
            </w:r>
          </w:p>
        </w:tc>
      </w:tr>
      <w:tr>
        <w:trPr>
          <w:trHeight w:val="27"/>
        </w:trPr>
        <w:tc>
          <w:tcPr>
            <w:tcW w:w="83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Actuarial Gain</w:t>
            </w:r>
          </w:p>
        </w:tc>
        <w:tc>
          <w:tcPr>
            <w:tcW w:w="188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(43.2)</w:t>
            </w:r>
          </w:p>
        </w:tc>
        <w:tc>
          <w:tcPr>
            <w:tcW w:w="12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(2.9)</w:t>
            </w:r>
          </w:p>
        </w:tc>
      </w:tr>
      <w:tr>
        <w:trPr>
          <w:trHeight w:val="243"/>
        </w:trPr>
        <w:tc>
          <w:tcPr>
            <w:tcW w:w="8320" w:type="dxa"/>
            <w:vAlign w:val="bottom"/>
          </w:tcPr>
          <w:p>
            <w:pPr>
              <w:ind w:left="180"/>
              <w:spacing w:after="0"/>
              <w:rPr>
                <w:sz w:val="20"/>
                <w:szCs w:val="20"/>
                <w:color w:val="auto"/>
              </w:rPr>
            </w:pPr>
            <w:r>
              <w:rPr>
                <w:rFonts w:ascii="Arial" w:cs="Arial" w:eastAsia="Arial" w:hAnsi="Arial"/>
                <w:sz w:val="18"/>
                <w:szCs w:val="18"/>
                <w:color w:val="auto"/>
              </w:rPr>
              <w:t>Participant Contributions</w:t>
            </w:r>
          </w:p>
        </w:tc>
        <w:tc>
          <w:tcPr>
            <w:tcW w:w="1880" w:type="dxa"/>
            <w:vAlign w:val="bottom"/>
          </w:tcPr>
          <w:p>
            <w:pPr>
              <w:jc w:val="right"/>
              <w:ind w:right="390"/>
              <w:spacing w:after="0"/>
              <w:rPr>
                <w:sz w:val="20"/>
                <w:szCs w:val="20"/>
                <w:color w:val="auto"/>
              </w:rPr>
            </w:pPr>
            <w:r>
              <w:rPr>
                <w:rFonts w:ascii="Arial" w:cs="Arial" w:eastAsia="Arial" w:hAnsi="Arial"/>
                <w:sz w:val="18"/>
                <w:szCs w:val="18"/>
                <w:color w:val="auto"/>
              </w:rPr>
              <w:t>2.6</w:t>
            </w: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2.5</w:t>
            </w:r>
          </w:p>
        </w:tc>
      </w:tr>
      <w:tr>
        <w:trPr>
          <w:trHeight w:val="27"/>
        </w:trPr>
        <w:tc>
          <w:tcPr>
            <w:tcW w:w="83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Plan Amendments</w:t>
            </w:r>
          </w:p>
        </w:tc>
        <w:tc>
          <w:tcPr>
            <w:tcW w:w="188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(5.3)</w:t>
            </w:r>
          </w:p>
        </w:tc>
        <w:tc>
          <w:tcPr>
            <w:tcW w:w="12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r>
      <w:tr>
        <w:trPr>
          <w:trHeight w:val="243"/>
        </w:trPr>
        <w:tc>
          <w:tcPr>
            <w:tcW w:w="8320" w:type="dxa"/>
            <w:vAlign w:val="bottom"/>
          </w:tcPr>
          <w:p>
            <w:pPr>
              <w:ind w:left="180"/>
              <w:spacing w:after="0"/>
              <w:rPr>
                <w:sz w:val="20"/>
                <w:szCs w:val="20"/>
                <w:color w:val="auto"/>
              </w:rPr>
            </w:pPr>
            <w:r>
              <w:rPr>
                <w:rFonts w:ascii="Arial" w:cs="Arial" w:eastAsia="Arial" w:hAnsi="Arial"/>
                <w:sz w:val="18"/>
                <w:szCs w:val="18"/>
                <w:color w:val="auto"/>
              </w:rPr>
              <w:t>Benefits Paid</w:t>
            </w:r>
          </w:p>
        </w:tc>
        <w:tc>
          <w:tcPr>
            <w:tcW w:w="1880" w:type="dxa"/>
            <w:vAlign w:val="bottom"/>
          </w:tcPr>
          <w:p>
            <w:pPr>
              <w:jc w:val="right"/>
              <w:ind w:right="330"/>
              <w:spacing w:after="0"/>
              <w:rPr>
                <w:sz w:val="20"/>
                <w:szCs w:val="20"/>
                <w:color w:val="auto"/>
              </w:rPr>
            </w:pPr>
            <w:r>
              <w:rPr>
                <w:rFonts w:ascii="Arial" w:cs="Arial" w:eastAsia="Arial" w:hAnsi="Arial"/>
                <w:sz w:val="18"/>
                <w:szCs w:val="18"/>
                <w:color w:val="auto"/>
              </w:rPr>
              <w:t>(9.5)</w:t>
            </w: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(7.7)</w:t>
            </w:r>
          </w:p>
        </w:tc>
      </w:tr>
      <w:tr>
        <w:trPr>
          <w:trHeight w:val="27"/>
        </w:trPr>
        <w:tc>
          <w:tcPr>
            <w:tcW w:w="832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Obligation, End of Year</w:t>
            </w:r>
          </w:p>
        </w:tc>
        <w:tc>
          <w:tcPr>
            <w:tcW w:w="188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$168.8</w:t>
            </w:r>
          </w:p>
        </w:tc>
        <w:tc>
          <w:tcPr>
            <w:tcW w:w="12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$210.6</w:t>
            </w:r>
          </w:p>
        </w:tc>
      </w:tr>
      <w:tr>
        <w:trPr>
          <w:trHeight w:val="237"/>
        </w:trPr>
        <w:tc>
          <w:tcPr>
            <w:tcW w:w="83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Change in Plan Assets</w:t>
            </w:r>
          </w:p>
        </w:tc>
        <w:tc>
          <w:tcPr>
            <w:tcW w:w="18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r>
      <w:tr>
        <w:trPr>
          <w:trHeight w:val="27"/>
        </w:trPr>
        <w:tc>
          <w:tcPr>
            <w:tcW w:w="83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Fair Value, Beginning of Year</w:t>
            </w:r>
          </w:p>
        </w:tc>
        <w:tc>
          <w:tcPr>
            <w:tcW w:w="188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$121.0</w:t>
            </w:r>
          </w:p>
        </w:tc>
        <w:tc>
          <w:tcPr>
            <w:tcW w:w="12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$114.7</w:t>
            </w:r>
          </w:p>
        </w:tc>
      </w:tr>
      <w:tr>
        <w:trPr>
          <w:trHeight w:val="243"/>
        </w:trPr>
        <w:tc>
          <w:tcPr>
            <w:tcW w:w="8320" w:type="dxa"/>
            <w:vAlign w:val="bottom"/>
          </w:tcPr>
          <w:p>
            <w:pPr>
              <w:ind w:left="180"/>
              <w:spacing w:after="0"/>
              <w:rPr>
                <w:sz w:val="20"/>
                <w:szCs w:val="20"/>
                <w:color w:val="auto"/>
              </w:rPr>
            </w:pPr>
            <w:r>
              <w:rPr>
                <w:rFonts w:ascii="Arial" w:cs="Arial" w:eastAsia="Arial" w:hAnsi="Arial"/>
                <w:sz w:val="18"/>
                <w:szCs w:val="18"/>
                <w:color w:val="auto"/>
              </w:rPr>
              <w:t>Actual Return on Plan Assets</w:t>
            </w:r>
          </w:p>
        </w:tc>
        <w:tc>
          <w:tcPr>
            <w:tcW w:w="1880" w:type="dxa"/>
            <w:vAlign w:val="bottom"/>
          </w:tcPr>
          <w:p>
            <w:pPr>
              <w:jc w:val="right"/>
              <w:ind w:right="390"/>
              <w:spacing w:after="0"/>
              <w:rPr>
                <w:sz w:val="20"/>
                <w:szCs w:val="20"/>
                <w:color w:val="auto"/>
              </w:rPr>
            </w:pPr>
            <w:r>
              <w:rPr>
                <w:rFonts w:ascii="Arial" w:cs="Arial" w:eastAsia="Arial" w:hAnsi="Arial"/>
                <w:sz w:val="18"/>
                <w:szCs w:val="18"/>
                <w:color w:val="auto"/>
              </w:rPr>
              <w:t>14.3</w:t>
            </w: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w:t>
            </w:r>
          </w:p>
        </w:tc>
      </w:tr>
      <w:tr>
        <w:trPr>
          <w:trHeight w:val="27"/>
        </w:trPr>
        <w:tc>
          <w:tcPr>
            <w:tcW w:w="83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Employer Contribution</w:t>
            </w:r>
          </w:p>
        </w:tc>
        <w:tc>
          <w:tcPr>
            <w:tcW w:w="188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2.3</w:t>
            </w:r>
          </w:p>
        </w:tc>
        <w:tc>
          <w:tcPr>
            <w:tcW w:w="12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11.4</w:t>
            </w:r>
          </w:p>
        </w:tc>
      </w:tr>
      <w:tr>
        <w:trPr>
          <w:trHeight w:val="243"/>
        </w:trPr>
        <w:tc>
          <w:tcPr>
            <w:tcW w:w="8320" w:type="dxa"/>
            <w:vAlign w:val="bottom"/>
          </w:tcPr>
          <w:p>
            <w:pPr>
              <w:ind w:left="180"/>
              <w:spacing w:after="0"/>
              <w:rPr>
                <w:sz w:val="20"/>
                <w:szCs w:val="20"/>
                <w:color w:val="auto"/>
              </w:rPr>
            </w:pPr>
            <w:r>
              <w:rPr>
                <w:rFonts w:ascii="Arial" w:cs="Arial" w:eastAsia="Arial" w:hAnsi="Arial"/>
                <w:sz w:val="18"/>
                <w:szCs w:val="18"/>
                <w:color w:val="auto"/>
              </w:rPr>
              <w:t>Participant Contributions</w:t>
            </w:r>
          </w:p>
        </w:tc>
        <w:tc>
          <w:tcPr>
            <w:tcW w:w="1880" w:type="dxa"/>
            <w:vAlign w:val="bottom"/>
          </w:tcPr>
          <w:p>
            <w:pPr>
              <w:jc w:val="right"/>
              <w:ind w:right="390"/>
              <w:spacing w:after="0"/>
              <w:rPr>
                <w:sz w:val="20"/>
                <w:szCs w:val="20"/>
                <w:color w:val="auto"/>
              </w:rPr>
            </w:pPr>
            <w:r>
              <w:rPr>
                <w:rFonts w:ascii="Arial" w:cs="Arial" w:eastAsia="Arial" w:hAnsi="Arial"/>
                <w:sz w:val="18"/>
                <w:szCs w:val="18"/>
                <w:color w:val="auto"/>
              </w:rPr>
              <w:t>2.5</w:t>
            </w: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2.5</w:t>
            </w:r>
          </w:p>
        </w:tc>
      </w:tr>
      <w:tr>
        <w:trPr>
          <w:trHeight w:val="27"/>
        </w:trPr>
        <w:tc>
          <w:tcPr>
            <w:tcW w:w="83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5"/>
        </w:trPr>
        <w:tc>
          <w:tcPr>
            <w:tcW w:w="8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Benefits Paid</w:t>
            </w:r>
          </w:p>
        </w:tc>
        <w:tc>
          <w:tcPr>
            <w:tcW w:w="188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(9.1)</w:t>
            </w:r>
          </w:p>
        </w:tc>
        <w:tc>
          <w:tcPr>
            <w:tcW w:w="12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(7.6)</w:t>
            </w:r>
          </w:p>
        </w:tc>
      </w:tr>
      <w:tr>
        <w:trPr>
          <w:trHeight w:val="237"/>
        </w:trPr>
        <w:tc>
          <w:tcPr>
            <w:tcW w:w="832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Fair Value, End of Year</w:t>
            </w:r>
          </w:p>
        </w:tc>
        <w:tc>
          <w:tcPr>
            <w:tcW w:w="188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color w:val="auto"/>
              </w:rPr>
              <w:t>$131.0</w:t>
            </w:r>
          </w:p>
        </w:tc>
        <w:tc>
          <w:tcPr>
            <w:tcW w:w="12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$121.0</w:t>
            </w:r>
          </w:p>
        </w:tc>
      </w:tr>
      <w:tr>
        <w:trPr>
          <w:trHeight w:val="27"/>
        </w:trPr>
        <w:tc>
          <w:tcPr>
            <w:tcW w:w="832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Funded Status, End of Year</w:t>
            </w:r>
          </w:p>
        </w:tc>
        <w:tc>
          <w:tcPr>
            <w:tcW w:w="188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$(37.8)</w:t>
            </w:r>
          </w:p>
        </w:tc>
        <w:tc>
          <w:tcPr>
            <w:tcW w:w="12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$(89.6)</w:t>
            </w:r>
          </w:p>
        </w:tc>
      </w:tr>
      <w:tr>
        <w:trPr>
          <w:trHeight w:val="534"/>
        </w:trPr>
        <w:tc>
          <w:tcPr>
            <w:tcW w:w="83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w w:val="97"/>
              </w:rPr>
              <w:t>Net Postretirement Health and Life Amounts Recognized in Consolidated Balance Sheet Consist of:</w:t>
            </w:r>
          </w:p>
        </w:tc>
        <w:tc>
          <w:tcPr>
            <w:tcW w:w="18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r>
      <w:tr>
        <w:trPr>
          <w:trHeight w:val="27"/>
        </w:trPr>
        <w:tc>
          <w:tcPr>
            <w:tcW w:w="832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8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Current Liabilities</w:t>
            </w:r>
          </w:p>
        </w:tc>
        <w:tc>
          <w:tcPr>
            <w:tcW w:w="188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$(0.8)</w:t>
            </w:r>
          </w:p>
        </w:tc>
        <w:tc>
          <w:tcPr>
            <w:tcW w:w="122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$(0.9)</w:t>
            </w:r>
          </w:p>
        </w:tc>
      </w:tr>
      <w:tr>
        <w:trPr>
          <w:trHeight w:val="243"/>
        </w:trPr>
        <w:tc>
          <w:tcPr>
            <w:tcW w:w="8320" w:type="dxa"/>
            <w:vAlign w:val="bottom"/>
          </w:tcPr>
          <w:p>
            <w:pPr>
              <w:ind w:left="180"/>
              <w:spacing w:after="0"/>
              <w:rPr>
                <w:sz w:val="20"/>
                <w:szCs w:val="20"/>
                <w:color w:val="auto"/>
              </w:rPr>
            </w:pPr>
            <w:r>
              <w:rPr>
                <w:rFonts w:ascii="Arial" w:cs="Arial" w:eastAsia="Arial" w:hAnsi="Arial"/>
                <w:sz w:val="18"/>
                <w:szCs w:val="18"/>
                <w:color w:val="auto"/>
              </w:rPr>
              <w:t>Non-Current Liabilities</w:t>
            </w:r>
          </w:p>
        </w:tc>
        <w:tc>
          <w:tcPr>
            <w:tcW w:w="1880" w:type="dxa"/>
            <w:vAlign w:val="bottom"/>
          </w:tcPr>
          <w:p>
            <w:pPr>
              <w:jc w:val="right"/>
              <w:ind w:right="330"/>
              <w:spacing w:after="0"/>
              <w:rPr>
                <w:sz w:val="20"/>
                <w:szCs w:val="20"/>
                <w:color w:val="auto"/>
              </w:rPr>
            </w:pPr>
            <w:r>
              <w:rPr>
                <w:rFonts w:ascii="Arial" w:cs="Arial" w:eastAsia="Arial" w:hAnsi="Arial"/>
                <w:sz w:val="18"/>
                <w:szCs w:val="18"/>
                <w:color w:val="auto"/>
              </w:rPr>
              <w:t>$(37.0)</w:t>
            </w: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$(88.7)</w:t>
            </w:r>
          </w:p>
        </w:tc>
      </w:tr>
      <w:tr>
        <w:trPr>
          <w:trHeight w:val="27"/>
        </w:trPr>
        <w:tc>
          <w:tcPr>
            <w:tcW w:w="832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According to the accounting standards for retirement benefits, only assets in the VEBAs are treated as plan assets in the above table for the purpose of determining funded status. In addition to the postretirement health and life assets reported in the previous table, we had $22.1 million in irrevocable grantor trusts included in Other Investments on our Consolidated Balance Sheet at December 31, 2012 ($20.3 million at December 31, 2011).</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2012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20"/>
          </w:cols>
          <w:pgMar w:left="240" w:top="364" w:right="23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b w:val="1"/>
          <w:bCs w:val="1"/>
          <w:color w:val="auto"/>
        </w:rPr>
        <w:t>NOTE 15. PENSION AND OTHER POSTRETIREMENT BENEFIT PLANS (Continued)</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postretirement health and life costs that are reported as a component within our Consolidated Balance Sheet, reflected in regulatory long-term assets and accumulated other comprehensive income, consist of the following:</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Unrecognized Postretirement Health and Life Costs</w:t>
            </w:r>
          </w:p>
        </w:tc>
        <w:tc>
          <w:tcPr>
            <w:tcW w:w="18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270"/>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Year Ended December 31</w:t>
            </w:r>
          </w:p>
        </w:tc>
        <w:tc>
          <w:tcPr>
            <w:tcW w:w="1800" w:type="dxa"/>
            <w:vAlign w:val="bottom"/>
          </w:tcPr>
          <w:p>
            <w:pPr>
              <w:spacing w:after="0"/>
              <w:rPr>
                <w:sz w:val="23"/>
                <w:szCs w:val="23"/>
                <w:color w:val="auto"/>
              </w:rPr>
            </w:pPr>
          </w:p>
        </w:tc>
        <w:tc>
          <w:tcPr>
            <w:tcW w:w="13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2012</w:t>
            </w:r>
          </w:p>
        </w:tc>
        <w:tc>
          <w:tcPr>
            <w:tcW w:w="1520" w:type="dxa"/>
            <w:vAlign w:val="bottom"/>
          </w:tcPr>
          <w:p>
            <w:pPr>
              <w:jc w:val="center"/>
              <w:ind w:right="10"/>
              <w:spacing w:after="0"/>
              <w:rPr>
                <w:sz w:val="20"/>
                <w:szCs w:val="20"/>
                <w:color w:val="auto"/>
              </w:rPr>
            </w:pPr>
            <w:r>
              <w:rPr>
                <w:rFonts w:ascii="Arial" w:cs="Arial" w:eastAsia="Arial" w:hAnsi="Arial"/>
                <w:sz w:val="18"/>
                <w:szCs w:val="18"/>
                <w:b w:val="1"/>
                <w:bCs w:val="1"/>
                <w:color w:val="auto"/>
                <w:w w:val="84"/>
              </w:rPr>
              <w:t>2011</w:t>
            </w:r>
          </w:p>
        </w:tc>
      </w:tr>
      <w:tr>
        <w:trPr>
          <w:trHeight w:val="27"/>
        </w:trPr>
        <w:tc>
          <w:tcPr>
            <w:tcW w:w="67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18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18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$23.5</w:t>
            </w:r>
          </w:p>
        </w:tc>
        <w:tc>
          <w:tcPr>
            <w:tcW w:w="15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$78.5</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Prior Service Credit</w:t>
            </w:r>
          </w:p>
        </w:tc>
        <w:tc>
          <w:tcPr>
            <w:tcW w:w="180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(13.1)</w:t>
            </w:r>
          </w:p>
        </w:tc>
        <w:tc>
          <w:tcPr>
            <w:tcW w:w="1520" w:type="dxa"/>
            <w:vAlign w:val="bottom"/>
          </w:tcPr>
          <w:p>
            <w:pPr>
              <w:jc w:val="right"/>
              <w:ind w:right="70"/>
              <w:spacing w:after="0"/>
              <w:rPr>
                <w:sz w:val="20"/>
                <w:szCs w:val="20"/>
                <w:color w:val="auto"/>
              </w:rPr>
            </w:pPr>
            <w:r>
              <w:rPr>
                <w:rFonts w:ascii="Arial" w:cs="Arial" w:eastAsia="Arial" w:hAnsi="Arial"/>
                <w:sz w:val="18"/>
                <w:szCs w:val="18"/>
                <w:color w:val="auto"/>
              </w:rPr>
              <w:t>(9.5)</w:t>
            </w:r>
          </w:p>
        </w:tc>
      </w:tr>
      <w:tr>
        <w:trPr>
          <w:trHeight w:val="27"/>
        </w:trPr>
        <w:tc>
          <w:tcPr>
            <w:tcW w:w="67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5"/>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Transition Obligation</w:t>
            </w:r>
          </w:p>
        </w:tc>
        <w:tc>
          <w:tcPr>
            <w:tcW w:w="18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0.1</w:t>
            </w:r>
          </w:p>
        </w:tc>
      </w:tr>
      <w:tr>
        <w:trPr>
          <w:trHeight w:val="237"/>
        </w:trPr>
        <w:tc>
          <w:tcPr>
            <w:tcW w:w="67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Unrecognized Postretirement Health and Life Costs</w:t>
            </w:r>
          </w:p>
        </w:tc>
        <w:tc>
          <w:tcPr>
            <w:tcW w:w="180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$10.4</w:t>
            </w:r>
          </w:p>
        </w:tc>
        <w:tc>
          <w:tcPr>
            <w:tcW w:w="15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$69.1</w:t>
            </w:r>
          </w:p>
        </w:tc>
      </w:tr>
      <w:tr>
        <w:trPr>
          <w:trHeight w:val="27"/>
        </w:trPr>
        <w:tc>
          <w:tcPr>
            <w:tcW w:w="67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588"/>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Components of Net Periodic Postretirement Health and Life Expense</w:t>
            </w:r>
          </w:p>
        </w:tc>
        <w:tc>
          <w:tcPr>
            <w:tcW w:w="18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70"/>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Year Ended December 31</w:t>
            </w:r>
          </w:p>
        </w:tc>
        <w:tc>
          <w:tcPr>
            <w:tcW w:w="1800" w:type="dxa"/>
            <w:vAlign w:val="bottom"/>
          </w:tcPr>
          <w:p>
            <w:pPr>
              <w:jc w:val="right"/>
              <w:ind w:right="550"/>
              <w:spacing w:after="0"/>
              <w:rPr>
                <w:sz w:val="20"/>
                <w:szCs w:val="20"/>
                <w:color w:val="auto"/>
              </w:rPr>
            </w:pPr>
            <w:r>
              <w:rPr>
                <w:rFonts w:ascii="Arial" w:cs="Arial" w:eastAsia="Arial" w:hAnsi="Arial"/>
                <w:sz w:val="18"/>
                <w:szCs w:val="18"/>
                <w:b w:val="1"/>
                <w:bCs w:val="1"/>
                <w:color w:val="auto"/>
              </w:rPr>
              <w:t>2012</w:t>
            </w:r>
          </w:p>
        </w:tc>
        <w:tc>
          <w:tcPr>
            <w:tcW w:w="13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2011</w:t>
            </w:r>
          </w:p>
        </w:tc>
        <w:tc>
          <w:tcPr>
            <w:tcW w:w="1520" w:type="dxa"/>
            <w:vAlign w:val="bottom"/>
          </w:tcPr>
          <w:p>
            <w:pPr>
              <w:jc w:val="center"/>
              <w:spacing w:after="0"/>
              <w:rPr>
                <w:sz w:val="20"/>
                <w:szCs w:val="20"/>
                <w:color w:val="auto"/>
              </w:rPr>
            </w:pPr>
            <w:r>
              <w:rPr>
                <w:rFonts w:ascii="Arial" w:cs="Arial" w:eastAsia="Arial" w:hAnsi="Arial"/>
                <w:sz w:val="18"/>
                <w:szCs w:val="18"/>
                <w:b w:val="1"/>
                <w:bCs w:val="1"/>
                <w:color w:val="auto"/>
                <w:w w:val="89"/>
              </w:rPr>
              <w:t>2010</w:t>
            </w:r>
          </w:p>
        </w:tc>
      </w:tr>
      <w:tr>
        <w:trPr>
          <w:trHeight w:val="27"/>
        </w:trPr>
        <w:tc>
          <w:tcPr>
            <w:tcW w:w="67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18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18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$4.2</w:t>
            </w:r>
          </w:p>
        </w:tc>
        <w:tc>
          <w:tcPr>
            <w:tcW w:w="1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$3.8</w:t>
            </w:r>
          </w:p>
        </w:tc>
        <w:tc>
          <w:tcPr>
            <w:tcW w:w="15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$4.8</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1800" w:type="dxa"/>
            <w:vAlign w:val="bottom"/>
          </w:tcPr>
          <w:p>
            <w:pPr>
              <w:jc w:val="right"/>
              <w:ind w:right="170"/>
              <w:spacing w:after="0"/>
              <w:rPr>
                <w:sz w:val="20"/>
                <w:szCs w:val="20"/>
                <w:color w:val="auto"/>
              </w:rPr>
            </w:pPr>
            <w:r>
              <w:rPr>
                <w:rFonts w:ascii="Arial" w:cs="Arial" w:eastAsia="Arial" w:hAnsi="Arial"/>
                <w:sz w:val="18"/>
                <w:szCs w:val="18"/>
                <w:color w:val="auto"/>
              </w:rPr>
              <w:t>9.4</w:t>
            </w: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10.8</w:t>
            </w:r>
          </w:p>
        </w:tc>
        <w:tc>
          <w:tcPr>
            <w:tcW w:w="1520" w:type="dxa"/>
            <w:vAlign w:val="bottom"/>
          </w:tcPr>
          <w:p>
            <w:pPr>
              <w:jc w:val="right"/>
              <w:ind w:right="130"/>
              <w:spacing w:after="0"/>
              <w:rPr>
                <w:sz w:val="20"/>
                <w:szCs w:val="20"/>
                <w:color w:val="auto"/>
              </w:rPr>
            </w:pPr>
            <w:r>
              <w:rPr>
                <w:rFonts w:ascii="Arial" w:cs="Arial" w:eastAsia="Arial" w:hAnsi="Arial"/>
                <w:sz w:val="18"/>
                <w:szCs w:val="18"/>
                <w:color w:val="auto"/>
              </w:rPr>
              <w:t>10.9</w:t>
            </w:r>
          </w:p>
        </w:tc>
      </w:tr>
      <w:tr>
        <w:trPr>
          <w:trHeight w:val="27"/>
        </w:trPr>
        <w:tc>
          <w:tcPr>
            <w:tcW w:w="67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18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(9.9)</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w:t>
            </w:r>
          </w:p>
        </w:tc>
        <w:tc>
          <w:tcPr>
            <w:tcW w:w="15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(9.5)</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Amortization of Prior Service Credit</w:t>
            </w:r>
          </w:p>
        </w:tc>
        <w:tc>
          <w:tcPr>
            <w:tcW w:w="1800" w:type="dxa"/>
            <w:vAlign w:val="bottom"/>
          </w:tcPr>
          <w:p>
            <w:pPr>
              <w:jc w:val="right"/>
              <w:ind w:right="110"/>
              <w:spacing w:after="0"/>
              <w:rPr>
                <w:sz w:val="20"/>
                <w:szCs w:val="20"/>
                <w:color w:val="auto"/>
              </w:rPr>
            </w:pPr>
            <w:r>
              <w:rPr>
                <w:rFonts w:ascii="Arial" w:cs="Arial" w:eastAsia="Arial" w:hAnsi="Arial"/>
                <w:sz w:val="18"/>
                <w:szCs w:val="18"/>
                <w:color w:val="auto"/>
              </w:rPr>
              <w:t>(1.7)</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(1.7)</w:t>
            </w:r>
          </w:p>
        </w:tc>
        <w:tc>
          <w:tcPr>
            <w:tcW w:w="1520" w:type="dxa"/>
            <w:vAlign w:val="bottom"/>
          </w:tcPr>
          <w:p>
            <w:pPr>
              <w:jc w:val="right"/>
              <w:ind w:right="70"/>
              <w:spacing w:after="0"/>
              <w:rPr>
                <w:sz w:val="20"/>
                <w:szCs w:val="20"/>
                <w:color w:val="auto"/>
              </w:rPr>
            </w:pPr>
            <w:r>
              <w:rPr>
                <w:rFonts w:ascii="Arial" w:cs="Arial" w:eastAsia="Arial" w:hAnsi="Arial"/>
                <w:sz w:val="18"/>
                <w:szCs w:val="18"/>
                <w:color w:val="auto"/>
              </w:rPr>
              <w:t>(0.1)</w:t>
            </w:r>
          </w:p>
        </w:tc>
      </w:tr>
      <w:tr>
        <w:trPr>
          <w:trHeight w:val="27"/>
        </w:trPr>
        <w:tc>
          <w:tcPr>
            <w:tcW w:w="67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Loss</w:t>
            </w:r>
          </w:p>
        </w:tc>
        <w:tc>
          <w:tcPr>
            <w:tcW w:w="18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7.5</w:t>
            </w:r>
          </w:p>
        </w:tc>
        <w:tc>
          <w:tcPr>
            <w:tcW w:w="1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8.5</w:t>
            </w:r>
          </w:p>
        </w:tc>
        <w:tc>
          <w:tcPr>
            <w:tcW w:w="15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4.8</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Amortization of Transition Obligation</w:t>
            </w:r>
          </w:p>
        </w:tc>
        <w:tc>
          <w:tcPr>
            <w:tcW w:w="1800" w:type="dxa"/>
            <w:vAlign w:val="bottom"/>
          </w:tcPr>
          <w:p>
            <w:pPr>
              <w:jc w:val="right"/>
              <w:ind w:right="170"/>
              <w:spacing w:after="0"/>
              <w:rPr>
                <w:sz w:val="20"/>
                <w:szCs w:val="20"/>
                <w:color w:val="auto"/>
              </w:rPr>
            </w:pPr>
            <w:r>
              <w:rPr>
                <w:rFonts w:ascii="Arial" w:cs="Arial" w:eastAsia="Arial" w:hAnsi="Arial"/>
                <w:sz w:val="18"/>
                <w:szCs w:val="18"/>
                <w:color w:val="auto"/>
              </w:rPr>
              <w:t>0.1</w:t>
            </w: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0.1</w:t>
            </w:r>
          </w:p>
        </w:tc>
        <w:tc>
          <w:tcPr>
            <w:tcW w:w="1520" w:type="dxa"/>
            <w:vAlign w:val="bottom"/>
          </w:tcPr>
          <w:p>
            <w:pPr>
              <w:jc w:val="right"/>
              <w:ind w:right="130"/>
              <w:spacing w:after="0"/>
              <w:rPr>
                <w:sz w:val="20"/>
                <w:szCs w:val="20"/>
                <w:color w:val="auto"/>
              </w:rPr>
            </w:pPr>
            <w:r>
              <w:rPr>
                <w:rFonts w:ascii="Arial" w:cs="Arial" w:eastAsia="Arial" w:hAnsi="Arial"/>
                <w:sz w:val="18"/>
                <w:szCs w:val="18"/>
                <w:color w:val="auto"/>
              </w:rPr>
              <w:t>2.5</w:t>
            </w:r>
          </w:p>
        </w:tc>
      </w:tr>
      <w:tr>
        <w:trPr>
          <w:trHeight w:val="27"/>
        </w:trPr>
        <w:tc>
          <w:tcPr>
            <w:tcW w:w="67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Postretirement Health and Life Expense</w:t>
            </w:r>
          </w:p>
        </w:tc>
        <w:tc>
          <w:tcPr>
            <w:tcW w:w="18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$9.6</w:t>
            </w:r>
          </w:p>
        </w:tc>
        <w:tc>
          <w:tcPr>
            <w:tcW w:w="1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$11.8</w:t>
            </w:r>
          </w:p>
        </w:tc>
        <w:tc>
          <w:tcPr>
            <w:tcW w:w="15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$13.4</w:t>
            </w:r>
          </w:p>
        </w:tc>
      </w:tr>
      <w:tr>
        <w:trPr>
          <w:trHeight w:val="569"/>
        </w:trPr>
        <w:tc>
          <w:tcPr>
            <w:tcW w:w="67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Other Changes in Postretirement Benefit Plan Assets and Benefit Obligations</w:t>
            </w:r>
          </w:p>
        </w:tc>
        <w:tc>
          <w:tcPr>
            <w:tcW w:w="180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1520" w:type="dxa"/>
            <w:vAlign w:val="bottom"/>
            <w:tcBorders>
              <w:top w:val="single" w:sz="8" w:color="auto"/>
            </w:tcBorders>
          </w:tcPr>
          <w:p>
            <w:pPr>
              <w:spacing w:after="0"/>
              <w:rPr>
                <w:sz w:val="24"/>
                <w:szCs w:val="24"/>
                <w:color w:val="auto"/>
              </w:rPr>
            </w:pPr>
          </w:p>
        </w:tc>
      </w:tr>
      <w:tr>
        <w:trPr>
          <w:trHeight w:val="234"/>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Recognized in Other Comprehensive Income and Regulatory Assets</w:t>
            </w:r>
          </w:p>
        </w:tc>
        <w:tc>
          <w:tcPr>
            <w:tcW w:w="18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270"/>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Year Ended December 31</w:t>
            </w:r>
          </w:p>
        </w:tc>
        <w:tc>
          <w:tcPr>
            <w:tcW w:w="1800" w:type="dxa"/>
            <w:vAlign w:val="bottom"/>
          </w:tcPr>
          <w:p>
            <w:pPr>
              <w:spacing w:after="0"/>
              <w:rPr>
                <w:sz w:val="23"/>
                <w:szCs w:val="23"/>
                <w:color w:val="auto"/>
              </w:rPr>
            </w:pPr>
          </w:p>
        </w:tc>
        <w:tc>
          <w:tcPr>
            <w:tcW w:w="13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1520" w:type="dxa"/>
            <w:vAlign w:val="bottom"/>
          </w:tcPr>
          <w:p>
            <w:pPr>
              <w:jc w:val="center"/>
              <w:ind w:right="10"/>
              <w:spacing w:after="0"/>
              <w:rPr>
                <w:sz w:val="20"/>
                <w:szCs w:val="20"/>
                <w:color w:val="auto"/>
              </w:rPr>
            </w:pPr>
            <w:r>
              <w:rPr>
                <w:rFonts w:ascii="Arial" w:cs="Arial" w:eastAsia="Arial" w:hAnsi="Arial"/>
                <w:sz w:val="18"/>
                <w:szCs w:val="18"/>
                <w:b w:val="1"/>
                <w:bCs w:val="1"/>
                <w:color w:val="auto"/>
                <w:w w:val="84"/>
              </w:rPr>
              <w:t>2011</w:t>
            </w:r>
          </w:p>
        </w:tc>
      </w:tr>
      <w:tr>
        <w:trPr>
          <w:trHeight w:val="27"/>
        </w:trPr>
        <w:tc>
          <w:tcPr>
            <w:tcW w:w="67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18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(Gain) Loss</w:t>
            </w:r>
          </w:p>
        </w:tc>
        <w:tc>
          <w:tcPr>
            <w:tcW w:w="18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$(47.5)</w:t>
            </w:r>
          </w:p>
        </w:tc>
        <w:tc>
          <w:tcPr>
            <w:tcW w:w="15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$6.9</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Prior Service Credit Arising During the Period</w:t>
            </w:r>
          </w:p>
        </w:tc>
        <w:tc>
          <w:tcPr>
            <w:tcW w:w="180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(5.3)</w:t>
            </w:r>
          </w:p>
        </w:tc>
        <w:tc>
          <w:tcPr>
            <w:tcW w:w="1520" w:type="dxa"/>
            <w:vAlign w:val="bottom"/>
          </w:tcPr>
          <w:p>
            <w:pPr>
              <w:jc w:val="right"/>
              <w:ind w:right="130"/>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Prior Service Credit</w:t>
            </w:r>
          </w:p>
        </w:tc>
        <w:tc>
          <w:tcPr>
            <w:tcW w:w="18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1.7</w:t>
            </w:r>
          </w:p>
        </w:tc>
        <w:tc>
          <w:tcPr>
            <w:tcW w:w="15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1.7</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Amortization of Transition Obligation</w:t>
            </w:r>
          </w:p>
        </w:tc>
        <w:tc>
          <w:tcPr>
            <w:tcW w:w="180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(0.1)</w:t>
            </w:r>
          </w:p>
        </w:tc>
        <w:tc>
          <w:tcPr>
            <w:tcW w:w="1520" w:type="dxa"/>
            <w:vAlign w:val="bottom"/>
          </w:tcPr>
          <w:p>
            <w:pPr>
              <w:jc w:val="right"/>
              <w:ind w:right="70"/>
              <w:spacing w:after="0"/>
              <w:rPr>
                <w:sz w:val="20"/>
                <w:szCs w:val="20"/>
                <w:color w:val="auto"/>
              </w:rPr>
            </w:pPr>
            <w:r>
              <w:rPr>
                <w:rFonts w:ascii="Arial" w:cs="Arial" w:eastAsia="Arial" w:hAnsi="Arial"/>
                <w:sz w:val="18"/>
                <w:szCs w:val="18"/>
                <w:color w:val="auto"/>
              </w:rPr>
              <w:t>(0.1)</w:t>
            </w:r>
          </w:p>
        </w:tc>
      </w:tr>
      <w:tr>
        <w:trPr>
          <w:trHeight w:val="27"/>
        </w:trPr>
        <w:tc>
          <w:tcPr>
            <w:tcW w:w="67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5"/>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Loss</w:t>
            </w:r>
          </w:p>
        </w:tc>
        <w:tc>
          <w:tcPr>
            <w:tcW w:w="18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w:t>
            </w:r>
          </w:p>
        </w:tc>
        <w:tc>
          <w:tcPr>
            <w:tcW w:w="15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(8.5)</w:t>
            </w:r>
          </w:p>
        </w:tc>
      </w:tr>
      <w:tr>
        <w:trPr>
          <w:trHeight w:val="237"/>
        </w:trPr>
        <w:tc>
          <w:tcPr>
            <w:tcW w:w="67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Recognized in Other Comprehensive Income and Regulatory Assets</w:t>
            </w:r>
          </w:p>
        </w:tc>
        <w:tc>
          <w:tcPr>
            <w:tcW w:w="180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$(58.7)</w:t>
            </w:r>
          </w:p>
        </w:tc>
        <w:tc>
          <w:tcPr>
            <w:tcW w:w="15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588"/>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Estimated Future Benefit Payments</w:t>
            </w:r>
          </w:p>
        </w:tc>
        <w:tc>
          <w:tcPr>
            <w:tcW w:w="18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70"/>
        </w:trPr>
        <w:tc>
          <w:tcPr>
            <w:tcW w:w="674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520" w:type="dxa"/>
            <w:vAlign w:val="bottom"/>
          </w:tcPr>
          <w:p>
            <w:pPr>
              <w:jc w:val="center"/>
              <w:spacing w:after="0"/>
              <w:rPr>
                <w:sz w:val="20"/>
                <w:szCs w:val="20"/>
                <w:color w:val="auto"/>
              </w:rPr>
            </w:pPr>
            <w:r>
              <w:rPr>
                <w:rFonts w:ascii="Arial" w:cs="Arial" w:eastAsia="Arial" w:hAnsi="Arial"/>
                <w:sz w:val="18"/>
                <w:szCs w:val="18"/>
                <w:b w:val="1"/>
                <w:bCs w:val="1"/>
                <w:color w:val="auto"/>
                <w:w w:val="89"/>
              </w:rPr>
              <w:t>Postretirement</w:t>
            </w:r>
          </w:p>
        </w:tc>
      </w:tr>
      <w:tr>
        <w:trPr>
          <w:trHeight w:val="270"/>
        </w:trPr>
        <w:tc>
          <w:tcPr>
            <w:tcW w:w="674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1360" w:type="dxa"/>
            <w:vAlign w:val="bottom"/>
          </w:tcPr>
          <w:p>
            <w:pPr>
              <w:jc w:val="right"/>
              <w:ind w:right="470"/>
              <w:spacing w:after="0"/>
              <w:rPr>
                <w:sz w:val="20"/>
                <w:szCs w:val="20"/>
                <w:color w:val="auto"/>
              </w:rPr>
            </w:pPr>
            <w:r>
              <w:rPr>
                <w:rFonts w:ascii="Arial" w:cs="Arial" w:eastAsia="Arial" w:hAnsi="Arial"/>
                <w:sz w:val="18"/>
                <w:szCs w:val="18"/>
                <w:b w:val="1"/>
                <w:bCs w:val="1"/>
                <w:color w:val="auto"/>
              </w:rPr>
              <w:t>Pension</w:t>
            </w:r>
          </w:p>
        </w:tc>
        <w:tc>
          <w:tcPr>
            <w:tcW w:w="1520" w:type="dxa"/>
            <w:vAlign w:val="bottom"/>
          </w:tcPr>
          <w:p>
            <w:pPr>
              <w:jc w:val="center"/>
              <w:spacing w:after="0"/>
              <w:rPr>
                <w:sz w:val="20"/>
                <w:szCs w:val="20"/>
                <w:color w:val="auto"/>
              </w:rPr>
            </w:pPr>
            <w:r>
              <w:rPr>
                <w:rFonts w:ascii="Arial" w:cs="Arial" w:eastAsia="Arial" w:hAnsi="Arial"/>
                <w:sz w:val="18"/>
                <w:szCs w:val="18"/>
                <w:b w:val="1"/>
                <w:bCs w:val="1"/>
                <w:color w:val="auto"/>
                <w:w w:val="94"/>
              </w:rPr>
              <w:t>Health and Life</w:t>
            </w:r>
          </w:p>
        </w:tc>
      </w:tr>
      <w:tr>
        <w:trPr>
          <w:trHeight w:val="27"/>
        </w:trPr>
        <w:tc>
          <w:tcPr>
            <w:tcW w:w="67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18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2013</w:t>
            </w:r>
          </w:p>
        </w:tc>
        <w:tc>
          <w:tcPr>
            <w:tcW w:w="18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$31.2</w:t>
            </w: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2014</w:t>
            </w:r>
          </w:p>
        </w:tc>
        <w:tc>
          <w:tcPr>
            <w:tcW w:w="1800" w:type="dxa"/>
            <w:vAlign w:val="bottom"/>
          </w:tcPr>
          <w:p>
            <w:pPr>
              <w:spacing w:after="0"/>
              <w:rPr>
                <w:sz w:val="21"/>
                <w:szCs w:val="21"/>
                <w:color w:val="auto"/>
              </w:rPr>
            </w:pP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$32.1</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$8.2</w:t>
            </w:r>
          </w:p>
        </w:tc>
      </w:tr>
      <w:tr>
        <w:trPr>
          <w:trHeight w:val="27"/>
        </w:trPr>
        <w:tc>
          <w:tcPr>
            <w:tcW w:w="67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2015</w:t>
            </w:r>
          </w:p>
        </w:tc>
        <w:tc>
          <w:tcPr>
            <w:tcW w:w="18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$33.2</w:t>
            </w: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2016</w:t>
            </w:r>
          </w:p>
        </w:tc>
        <w:tc>
          <w:tcPr>
            <w:tcW w:w="1800" w:type="dxa"/>
            <w:vAlign w:val="bottom"/>
          </w:tcPr>
          <w:p>
            <w:pPr>
              <w:spacing w:after="0"/>
              <w:rPr>
                <w:sz w:val="21"/>
                <w:szCs w:val="21"/>
                <w:color w:val="auto"/>
              </w:rPr>
            </w:pP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$34.4</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$9.4</w:t>
            </w:r>
          </w:p>
        </w:tc>
      </w:tr>
      <w:tr>
        <w:trPr>
          <w:trHeight w:val="27"/>
        </w:trPr>
        <w:tc>
          <w:tcPr>
            <w:tcW w:w="67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18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$35.5</w:t>
            </w: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Years 2018 – 2022</w:t>
            </w:r>
          </w:p>
        </w:tc>
        <w:tc>
          <w:tcPr>
            <w:tcW w:w="1800" w:type="dxa"/>
            <w:vAlign w:val="bottom"/>
          </w:tcPr>
          <w:p>
            <w:pPr>
              <w:spacing w:after="0"/>
              <w:rPr>
                <w:sz w:val="21"/>
                <w:szCs w:val="21"/>
                <w:color w:val="auto"/>
              </w:rPr>
            </w:pP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$189.4</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$52.0</w:t>
            </w:r>
          </w:p>
        </w:tc>
      </w:tr>
      <w:tr>
        <w:trPr>
          <w:trHeight w:val="27"/>
        </w:trPr>
        <w:tc>
          <w:tcPr>
            <w:tcW w:w="67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2012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20"/>
          </w:cols>
          <w:pgMar w:left="240" w:top="364" w:right="23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b w:val="1"/>
          <w:bCs w:val="1"/>
          <w:color w:val="auto"/>
        </w:rPr>
        <w:t>NOTE 15. PENSION AND OTHER POSTRETIREMENT BENEFIT PLANS (Continued)</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pension and postretirement health and life costs recorded in regulatory long-term assets and accumulated other comprehensive income expected to be recognized as a component of net pension and postretirement benefit costs for the year ending December 31, 2013, are as follows:</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520" w:type="dxa"/>
            <w:vAlign w:val="bottom"/>
          </w:tcPr>
          <w:p>
            <w:pPr>
              <w:jc w:val="right"/>
              <w:ind w:right="190"/>
              <w:spacing w:after="0"/>
              <w:rPr>
                <w:sz w:val="20"/>
                <w:szCs w:val="20"/>
                <w:color w:val="auto"/>
              </w:rPr>
            </w:pPr>
            <w:r>
              <w:rPr>
                <w:rFonts w:ascii="Arial" w:cs="Arial" w:eastAsia="Arial" w:hAnsi="Arial"/>
                <w:sz w:val="18"/>
                <w:szCs w:val="18"/>
                <w:b w:val="1"/>
                <w:bCs w:val="1"/>
                <w:color w:val="auto"/>
                <w:w w:val="96"/>
              </w:rPr>
              <w:t>Postretirement</w:t>
            </w:r>
          </w:p>
        </w:tc>
      </w:tr>
      <w:tr>
        <w:trPr>
          <w:trHeight w:val="234"/>
        </w:trPr>
        <w:tc>
          <w:tcPr>
            <w:tcW w:w="67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w w:val="94"/>
              </w:rPr>
              <w:t>Pension</w:t>
            </w:r>
          </w:p>
        </w:tc>
        <w:tc>
          <w:tcPr>
            <w:tcW w:w="660" w:type="dxa"/>
            <w:vAlign w:val="bottom"/>
          </w:tcPr>
          <w:p>
            <w:pPr>
              <w:spacing w:after="0"/>
              <w:rPr>
                <w:sz w:val="20"/>
                <w:szCs w:val="20"/>
                <w:color w:val="auto"/>
              </w:rPr>
            </w:pPr>
          </w:p>
        </w:tc>
        <w:tc>
          <w:tcPr>
            <w:tcW w:w="1520" w:type="dxa"/>
            <w:vAlign w:val="bottom"/>
          </w:tcPr>
          <w:p>
            <w:pPr>
              <w:jc w:val="right"/>
              <w:ind w:right="150"/>
              <w:spacing w:after="0"/>
              <w:rPr>
                <w:sz w:val="20"/>
                <w:szCs w:val="20"/>
                <w:color w:val="auto"/>
              </w:rPr>
            </w:pPr>
            <w:r>
              <w:rPr>
                <w:rFonts w:ascii="Arial" w:cs="Arial" w:eastAsia="Arial" w:hAnsi="Arial"/>
                <w:sz w:val="18"/>
                <w:szCs w:val="18"/>
                <w:b w:val="1"/>
                <w:bCs w:val="1"/>
                <w:color w:val="auto"/>
                <w:w w:val="97"/>
              </w:rPr>
              <w:t>Health and Life</w:t>
            </w:r>
          </w:p>
        </w:tc>
      </w:tr>
      <w:tr>
        <w:trPr>
          <w:trHeight w:val="27"/>
        </w:trPr>
        <w:tc>
          <w:tcPr>
            <w:tcW w:w="67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37"/>
        </w:trPr>
        <w:tc>
          <w:tcPr>
            <w:tcW w:w="678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17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27"/>
        </w:trPr>
        <w:tc>
          <w:tcPr>
            <w:tcW w:w="67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6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17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$21.4</w:t>
            </w:r>
          </w:p>
        </w:tc>
        <w:tc>
          <w:tcPr>
            <w:tcW w:w="15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$1.6</w:t>
            </w:r>
          </w:p>
        </w:tc>
      </w:tr>
      <w:tr>
        <w:trPr>
          <w:trHeight w:val="243"/>
        </w:trPr>
        <w:tc>
          <w:tcPr>
            <w:tcW w:w="6780" w:type="dxa"/>
            <w:vAlign w:val="bottom"/>
          </w:tcPr>
          <w:p>
            <w:pPr>
              <w:ind w:left="40"/>
              <w:spacing w:after="0"/>
              <w:rPr>
                <w:sz w:val="20"/>
                <w:szCs w:val="20"/>
                <w:color w:val="auto"/>
              </w:rPr>
            </w:pPr>
            <w:r>
              <w:rPr>
                <w:rFonts w:ascii="Arial" w:cs="Arial" w:eastAsia="Arial" w:hAnsi="Arial"/>
                <w:sz w:val="18"/>
                <w:szCs w:val="18"/>
                <w:color w:val="auto"/>
              </w:rPr>
              <w:t>Prior Service Cost (Credit)</w:t>
            </w:r>
          </w:p>
        </w:tc>
        <w:tc>
          <w:tcPr>
            <w:tcW w:w="17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60" w:type="dxa"/>
            <w:vAlign w:val="bottom"/>
          </w:tcPr>
          <w:p>
            <w:pPr>
              <w:jc w:val="right"/>
              <w:ind w:right="190"/>
              <w:spacing w:after="0"/>
              <w:rPr>
                <w:sz w:val="20"/>
                <w:szCs w:val="20"/>
                <w:color w:val="auto"/>
              </w:rPr>
            </w:pPr>
            <w:r>
              <w:rPr>
                <w:rFonts w:ascii="Arial" w:cs="Arial" w:eastAsia="Arial" w:hAnsi="Arial"/>
                <w:sz w:val="18"/>
                <w:szCs w:val="18"/>
                <w:color w:val="auto"/>
              </w:rPr>
              <w:t>0.3</w:t>
            </w:r>
          </w:p>
        </w:tc>
        <w:tc>
          <w:tcPr>
            <w:tcW w:w="1520" w:type="dxa"/>
            <w:vAlign w:val="bottom"/>
          </w:tcPr>
          <w:p>
            <w:pPr>
              <w:jc w:val="right"/>
              <w:ind w:right="70"/>
              <w:spacing w:after="0"/>
              <w:rPr>
                <w:sz w:val="20"/>
                <w:szCs w:val="20"/>
                <w:color w:val="auto"/>
              </w:rPr>
            </w:pPr>
            <w:r>
              <w:rPr>
                <w:rFonts w:ascii="Arial" w:cs="Arial" w:eastAsia="Arial" w:hAnsi="Arial"/>
                <w:sz w:val="18"/>
                <w:szCs w:val="18"/>
                <w:color w:val="auto"/>
              </w:rPr>
              <w:t>(2.5)</w:t>
            </w:r>
          </w:p>
        </w:tc>
      </w:tr>
      <w:tr>
        <w:trPr>
          <w:trHeight w:val="27"/>
        </w:trPr>
        <w:tc>
          <w:tcPr>
            <w:tcW w:w="67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69"/>
        </w:trPr>
        <w:tc>
          <w:tcPr>
            <w:tcW w:w="6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Pension and Postretirement Health and Life Cost (Credit)</w:t>
            </w:r>
          </w:p>
        </w:tc>
        <w:tc>
          <w:tcPr>
            <w:tcW w:w="176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$21.7</w:t>
            </w:r>
          </w:p>
        </w:tc>
        <w:tc>
          <w:tcPr>
            <w:tcW w:w="15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$(0.9)</w:t>
            </w:r>
          </w:p>
        </w:tc>
      </w:tr>
      <w:tr>
        <w:trPr>
          <w:trHeight w:val="588"/>
        </w:trPr>
        <w:tc>
          <w:tcPr>
            <w:tcW w:w="678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Weighted-Average Assumptions Used to Determine Benefit Obligation</w:t>
            </w:r>
          </w:p>
        </w:tc>
        <w:tc>
          <w:tcPr>
            <w:tcW w:w="176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520" w:type="dxa"/>
            <w:vAlign w:val="bottom"/>
            <w:tcBorders>
              <w:top w:val="single" w:sz="8" w:color="auto"/>
            </w:tcBorders>
          </w:tcPr>
          <w:p>
            <w:pPr>
              <w:spacing w:after="0"/>
              <w:rPr>
                <w:sz w:val="24"/>
                <w:szCs w:val="24"/>
                <w:color w:val="auto"/>
              </w:rPr>
            </w:pPr>
          </w:p>
        </w:tc>
      </w:tr>
      <w:tr>
        <w:trPr>
          <w:trHeight w:val="270"/>
        </w:trPr>
        <w:tc>
          <w:tcPr>
            <w:tcW w:w="6780" w:type="dxa"/>
            <w:vAlign w:val="bottom"/>
          </w:tcPr>
          <w:p>
            <w:pPr>
              <w:ind w:left="40"/>
              <w:spacing w:after="0"/>
              <w:rPr>
                <w:sz w:val="20"/>
                <w:szCs w:val="20"/>
                <w:color w:val="auto"/>
              </w:rPr>
            </w:pPr>
            <w:r>
              <w:rPr>
                <w:rFonts w:ascii="Arial" w:cs="Arial" w:eastAsia="Arial" w:hAnsi="Arial"/>
                <w:sz w:val="18"/>
                <w:szCs w:val="18"/>
                <w:b w:val="1"/>
                <w:bCs w:val="1"/>
                <w:color w:val="auto"/>
              </w:rPr>
              <w:t>As of December 31</w:t>
            </w:r>
          </w:p>
        </w:tc>
        <w:tc>
          <w:tcPr>
            <w:tcW w:w="1760" w:type="dxa"/>
            <w:vAlign w:val="bottom"/>
          </w:tcPr>
          <w:p>
            <w:pPr>
              <w:spacing w:after="0"/>
              <w:rPr>
                <w:sz w:val="23"/>
                <w:szCs w:val="23"/>
                <w:color w:val="auto"/>
              </w:rPr>
            </w:pPr>
          </w:p>
        </w:tc>
        <w:tc>
          <w:tcPr>
            <w:tcW w:w="1360" w:type="dxa"/>
            <w:vAlign w:val="bottom"/>
            <w:gridSpan w:val="2"/>
          </w:tcPr>
          <w:p>
            <w:pPr>
              <w:jc w:val="center"/>
              <w:ind w:left="230"/>
              <w:spacing w:after="0"/>
              <w:rPr>
                <w:sz w:val="20"/>
                <w:szCs w:val="20"/>
                <w:color w:val="auto"/>
              </w:rPr>
            </w:pPr>
            <w:r>
              <w:rPr>
                <w:rFonts w:ascii="Arial" w:cs="Arial" w:eastAsia="Arial" w:hAnsi="Arial"/>
                <w:sz w:val="18"/>
                <w:szCs w:val="18"/>
                <w:b w:val="1"/>
                <w:bCs w:val="1"/>
                <w:color w:val="auto"/>
                <w:w w:val="89"/>
              </w:rPr>
              <w:t>2012</w:t>
            </w:r>
          </w:p>
        </w:tc>
        <w:tc>
          <w:tcPr>
            <w:tcW w:w="1520" w:type="dxa"/>
            <w:vAlign w:val="bottom"/>
          </w:tcPr>
          <w:p>
            <w:pPr>
              <w:jc w:val="center"/>
              <w:ind w:left="70"/>
              <w:spacing w:after="0"/>
              <w:rPr>
                <w:sz w:val="20"/>
                <w:szCs w:val="20"/>
                <w:color w:val="auto"/>
              </w:rPr>
            </w:pPr>
            <w:r>
              <w:rPr>
                <w:rFonts w:ascii="Arial" w:cs="Arial" w:eastAsia="Arial" w:hAnsi="Arial"/>
                <w:sz w:val="18"/>
                <w:szCs w:val="18"/>
                <w:b w:val="1"/>
                <w:bCs w:val="1"/>
                <w:color w:val="auto"/>
                <w:w w:val="89"/>
              </w:rPr>
              <w:t>2011</w:t>
            </w:r>
          </w:p>
        </w:tc>
      </w:tr>
      <w:tr>
        <w:trPr>
          <w:trHeight w:val="27"/>
        </w:trPr>
        <w:tc>
          <w:tcPr>
            <w:tcW w:w="67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4"/>
        </w:trPr>
        <w:tc>
          <w:tcPr>
            <w:tcW w:w="6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Discount Rate</w:t>
            </w:r>
          </w:p>
        </w:tc>
        <w:tc>
          <w:tcPr>
            <w:tcW w:w="17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r>
      <w:tr>
        <w:trPr>
          <w:trHeight w:val="243"/>
        </w:trPr>
        <w:tc>
          <w:tcPr>
            <w:tcW w:w="6780" w:type="dxa"/>
            <w:vAlign w:val="bottom"/>
          </w:tcPr>
          <w:p>
            <w:pPr>
              <w:ind w:left="180"/>
              <w:spacing w:after="0"/>
              <w:rPr>
                <w:sz w:val="20"/>
                <w:szCs w:val="20"/>
                <w:color w:val="auto"/>
              </w:rPr>
            </w:pPr>
            <w:r>
              <w:rPr>
                <w:rFonts w:ascii="Arial" w:cs="Arial" w:eastAsia="Arial" w:hAnsi="Arial"/>
                <w:sz w:val="18"/>
                <w:szCs w:val="18"/>
                <w:color w:val="auto"/>
              </w:rPr>
              <w:t>Pension</w:t>
            </w:r>
          </w:p>
        </w:tc>
        <w:tc>
          <w:tcPr>
            <w:tcW w:w="1760" w:type="dxa"/>
            <w:vAlign w:val="bottom"/>
          </w:tcPr>
          <w:p>
            <w:pPr>
              <w:spacing w:after="0"/>
              <w:rPr>
                <w:sz w:val="21"/>
                <w:szCs w:val="21"/>
                <w:color w:val="auto"/>
              </w:rPr>
            </w:pPr>
          </w:p>
        </w:tc>
        <w:tc>
          <w:tcPr>
            <w:tcW w:w="1360" w:type="dxa"/>
            <w:vAlign w:val="bottom"/>
            <w:gridSpan w:val="2"/>
          </w:tcPr>
          <w:p>
            <w:pPr>
              <w:jc w:val="center"/>
              <w:ind w:left="210"/>
              <w:spacing w:after="0"/>
              <w:rPr>
                <w:sz w:val="20"/>
                <w:szCs w:val="20"/>
                <w:color w:val="auto"/>
              </w:rPr>
            </w:pPr>
            <w:r>
              <w:rPr>
                <w:rFonts w:ascii="Arial" w:cs="Arial" w:eastAsia="Arial" w:hAnsi="Arial"/>
                <w:sz w:val="18"/>
                <w:szCs w:val="18"/>
                <w:color w:val="auto"/>
                <w:w w:val="90"/>
              </w:rPr>
              <w:t>4.10%</w:t>
            </w:r>
          </w:p>
        </w:tc>
        <w:tc>
          <w:tcPr>
            <w:tcW w:w="1520" w:type="dxa"/>
            <w:vAlign w:val="bottom"/>
          </w:tcPr>
          <w:p>
            <w:pPr>
              <w:jc w:val="center"/>
              <w:ind w:left="70"/>
              <w:spacing w:after="0"/>
              <w:rPr>
                <w:sz w:val="20"/>
                <w:szCs w:val="20"/>
                <w:color w:val="auto"/>
              </w:rPr>
            </w:pPr>
            <w:r>
              <w:rPr>
                <w:rFonts w:ascii="Arial" w:cs="Arial" w:eastAsia="Arial" w:hAnsi="Arial"/>
                <w:sz w:val="18"/>
                <w:szCs w:val="18"/>
                <w:color w:val="auto"/>
                <w:w w:val="93"/>
              </w:rPr>
              <w:t>4.54%</w:t>
            </w:r>
          </w:p>
        </w:tc>
      </w:tr>
      <w:tr>
        <w:trPr>
          <w:trHeight w:val="27"/>
        </w:trPr>
        <w:tc>
          <w:tcPr>
            <w:tcW w:w="67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6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Postretirement Health and Life</w:t>
            </w:r>
          </w:p>
        </w:tc>
        <w:tc>
          <w:tcPr>
            <w:tcW w:w="17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center"/>
              <w:ind w:left="210"/>
              <w:spacing w:after="0"/>
              <w:rPr>
                <w:sz w:val="20"/>
                <w:szCs w:val="20"/>
                <w:color w:val="auto"/>
              </w:rPr>
            </w:pPr>
            <w:r>
              <w:rPr>
                <w:rFonts w:ascii="Arial" w:cs="Arial" w:eastAsia="Arial" w:hAnsi="Arial"/>
                <w:sz w:val="18"/>
                <w:szCs w:val="18"/>
                <w:color w:val="auto"/>
                <w:w w:val="90"/>
              </w:rPr>
              <w:t>4.13%</w:t>
            </w:r>
          </w:p>
        </w:tc>
        <w:tc>
          <w:tcPr>
            <w:tcW w:w="1520" w:type="dxa"/>
            <w:vAlign w:val="bottom"/>
            <w:tcBorders>
              <w:bottom w:val="single" w:sz="8" w:color="CCEEFF"/>
            </w:tcBorders>
            <w:shd w:val="clear" w:color="auto" w:fill="CCEEFF"/>
          </w:tcPr>
          <w:p>
            <w:pPr>
              <w:jc w:val="center"/>
              <w:ind w:left="70"/>
              <w:spacing w:after="0"/>
              <w:rPr>
                <w:sz w:val="20"/>
                <w:szCs w:val="20"/>
                <w:color w:val="auto"/>
              </w:rPr>
            </w:pPr>
            <w:r>
              <w:rPr>
                <w:rFonts w:ascii="Arial" w:cs="Arial" w:eastAsia="Arial" w:hAnsi="Arial"/>
                <w:sz w:val="18"/>
                <w:szCs w:val="18"/>
                <w:color w:val="auto"/>
                <w:w w:val="93"/>
              </w:rPr>
              <w:t>4.56%</w:t>
            </w:r>
          </w:p>
        </w:tc>
      </w:tr>
      <w:tr>
        <w:trPr>
          <w:trHeight w:val="243"/>
        </w:trPr>
        <w:tc>
          <w:tcPr>
            <w:tcW w:w="6780" w:type="dxa"/>
            <w:vAlign w:val="bottom"/>
          </w:tcPr>
          <w:p>
            <w:pPr>
              <w:ind w:left="40"/>
              <w:spacing w:after="0"/>
              <w:rPr>
                <w:sz w:val="20"/>
                <w:szCs w:val="20"/>
                <w:color w:val="auto"/>
              </w:rPr>
            </w:pPr>
            <w:r>
              <w:rPr>
                <w:rFonts w:ascii="Arial" w:cs="Arial" w:eastAsia="Arial" w:hAnsi="Arial"/>
                <w:sz w:val="18"/>
                <w:szCs w:val="18"/>
                <w:color w:val="auto"/>
              </w:rPr>
              <w:t>Rate of Compensation Increase</w:t>
            </w:r>
          </w:p>
        </w:tc>
        <w:tc>
          <w:tcPr>
            <w:tcW w:w="17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4.3</w:t>
            </w:r>
          </w:p>
        </w:tc>
        <w:tc>
          <w:tcPr>
            <w:tcW w:w="660" w:type="dxa"/>
            <w:vAlign w:val="bottom"/>
          </w:tcPr>
          <w:p>
            <w:pPr>
              <w:ind w:left="20"/>
              <w:spacing w:after="0"/>
              <w:rPr>
                <w:sz w:val="20"/>
                <w:szCs w:val="20"/>
                <w:color w:val="auto"/>
              </w:rPr>
            </w:pPr>
            <w:r>
              <w:rPr>
                <w:rFonts w:ascii="Arial" w:cs="Arial" w:eastAsia="Arial" w:hAnsi="Arial"/>
                <w:sz w:val="18"/>
                <w:szCs w:val="18"/>
                <w:color w:val="auto"/>
              </w:rPr>
              <w:t>- 4.6%</w:t>
            </w:r>
          </w:p>
        </w:tc>
        <w:tc>
          <w:tcPr>
            <w:tcW w:w="1520" w:type="dxa"/>
            <w:vAlign w:val="bottom"/>
          </w:tcPr>
          <w:p>
            <w:pPr>
              <w:jc w:val="center"/>
              <w:ind w:left="70"/>
              <w:spacing w:after="0"/>
              <w:rPr>
                <w:sz w:val="20"/>
                <w:szCs w:val="20"/>
                <w:color w:val="auto"/>
              </w:rPr>
            </w:pPr>
            <w:r>
              <w:rPr>
                <w:rFonts w:ascii="Arial" w:cs="Arial" w:eastAsia="Arial" w:hAnsi="Arial"/>
                <w:sz w:val="18"/>
                <w:szCs w:val="18"/>
                <w:color w:val="auto"/>
                <w:w w:val="92"/>
              </w:rPr>
              <w:t>4.3 - 4.6%</w:t>
            </w:r>
          </w:p>
        </w:tc>
      </w:tr>
      <w:tr>
        <w:trPr>
          <w:trHeight w:val="27"/>
        </w:trPr>
        <w:tc>
          <w:tcPr>
            <w:tcW w:w="67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6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Health Care Trend Rates</w:t>
            </w:r>
          </w:p>
        </w:tc>
        <w:tc>
          <w:tcPr>
            <w:tcW w:w="17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r>
      <w:tr>
        <w:trPr>
          <w:trHeight w:val="243"/>
        </w:trPr>
        <w:tc>
          <w:tcPr>
            <w:tcW w:w="6780" w:type="dxa"/>
            <w:vAlign w:val="bottom"/>
          </w:tcPr>
          <w:p>
            <w:pPr>
              <w:ind w:left="180"/>
              <w:spacing w:after="0"/>
              <w:rPr>
                <w:sz w:val="20"/>
                <w:szCs w:val="20"/>
                <w:color w:val="auto"/>
              </w:rPr>
            </w:pPr>
            <w:r>
              <w:rPr>
                <w:rFonts w:ascii="Arial" w:cs="Arial" w:eastAsia="Arial" w:hAnsi="Arial"/>
                <w:sz w:val="18"/>
                <w:szCs w:val="18"/>
                <w:color w:val="auto"/>
              </w:rPr>
              <w:t>Trend Rate</w:t>
            </w:r>
          </w:p>
        </w:tc>
        <w:tc>
          <w:tcPr>
            <w:tcW w:w="1760" w:type="dxa"/>
            <w:vAlign w:val="bottom"/>
          </w:tcPr>
          <w:p>
            <w:pPr>
              <w:spacing w:after="0"/>
              <w:rPr>
                <w:sz w:val="21"/>
                <w:szCs w:val="21"/>
                <w:color w:val="auto"/>
              </w:rPr>
            </w:pPr>
          </w:p>
        </w:tc>
        <w:tc>
          <w:tcPr>
            <w:tcW w:w="1360" w:type="dxa"/>
            <w:vAlign w:val="bottom"/>
            <w:gridSpan w:val="2"/>
          </w:tcPr>
          <w:p>
            <w:pPr>
              <w:jc w:val="center"/>
              <w:ind w:left="210"/>
              <w:spacing w:after="0"/>
              <w:rPr>
                <w:sz w:val="20"/>
                <w:szCs w:val="20"/>
                <w:color w:val="auto"/>
              </w:rPr>
            </w:pPr>
            <w:r>
              <w:rPr>
                <w:rFonts w:ascii="Arial" w:cs="Arial" w:eastAsia="Arial" w:hAnsi="Arial"/>
                <w:sz w:val="18"/>
                <w:szCs w:val="18"/>
                <w:color w:val="auto"/>
                <w:w w:val="90"/>
              </w:rPr>
              <w:t>9.25%</w:t>
            </w:r>
          </w:p>
        </w:tc>
        <w:tc>
          <w:tcPr>
            <w:tcW w:w="1520" w:type="dxa"/>
            <w:vAlign w:val="bottom"/>
          </w:tcPr>
          <w:p>
            <w:pPr>
              <w:jc w:val="center"/>
              <w:ind w:left="70"/>
              <w:spacing w:after="0"/>
              <w:rPr>
                <w:sz w:val="20"/>
                <w:szCs w:val="20"/>
                <w:color w:val="auto"/>
              </w:rPr>
            </w:pPr>
            <w:r>
              <w:rPr>
                <w:rFonts w:ascii="Arial" w:cs="Arial" w:eastAsia="Arial" w:hAnsi="Arial"/>
                <w:sz w:val="18"/>
                <w:szCs w:val="18"/>
                <w:color w:val="auto"/>
                <w:w w:val="88"/>
              </w:rPr>
              <w:t>10%</w:t>
            </w:r>
          </w:p>
        </w:tc>
      </w:tr>
      <w:tr>
        <w:trPr>
          <w:trHeight w:val="27"/>
        </w:trPr>
        <w:tc>
          <w:tcPr>
            <w:tcW w:w="67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6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Ultimate Trend Rate</w:t>
            </w:r>
          </w:p>
        </w:tc>
        <w:tc>
          <w:tcPr>
            <w:tcW w:w="17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center"/>
              <w:ind w:right="290"/>
              <w:spacing w:after="0"/>
              <w:rPr>
                <w:sz w:val="20"/>
                <w:szCs w:val="20"/>
                <w:color w:val="auto"/>
              </w:rPr>
            </w:pPr>
            <w:r>
              <w:rPr>
                <w:rFonts w:ascii="Arial" w:cs="Arial" w:eastAsia="Arial" w:hAnsi="Arial"/>
                <w:sz w:val="18"/>
                <w:szCs w:val="18"/>
                <w:color w:val="auto"/>
                <w:w w:val="92"/>
              </w:rPr>
              <w:t>5%</w:t>
            </w:r>
          </w:p>
        </w:tc>
        <w:tc>
          <w:tcPr>
            <w:tcW w:w="1520" w:type="dxa"/>
            <w:vAlign w:val="bottom"/>
            <w:tcBorders>
              <w:bottom w:val="single" w:sz="8" w:color="CCEEFF"/>
            </w:tcBorders>
            <w:shd w:val="clear" w:color="auto" w:fill="CCEEFF"/>
          </w:tcPr>
          <w:p>
            <w:pPr>
              <w:jc w:val="center"/>
              <w:ind w:left="70"/>
              <w:spacing w:after="0"/>
              <w:rPr>
                <w:sz w:val="20"/>
                <w:szCs w:val="20"/>
                <w:color w:val="auto"/>
              </w:rPr>
            </w:pPr>
            <w:r>
              <w:rPr>
                <w:rFonts w:ascii="Arial" w:cs="Arial" w:eastAsia="Arial" w:hAnsi="Arial"/>
                <w:sz w:val="18"/>
                <w:szCs w:val="18"/>
                <w:color w:val="auto"/>
                <w:w w:val="92"/>
              </w:rPr>
              <w:t>5%</w:t>
            </w:r>
          </w:p>
        </w:tc>
      </w:tr>
      <w:tr>
        <w:trPr>
          <w:trHeight w:val="243"/>
        </w:trPr>
        <w:tc>
          <w:tcPr>
            <w:tcW w:w="6780" w:type="dxa"/>
            <w:vAlign w:val="bottom"/>
          </w:tcPr>
          <w:p>
            <w:pPr>
              <w:ind w:left="180"/>
              <w:spacing w:after="0"/>
              <w:rPr>
                <w:sz w:val="20"/>
                <w:szCs w:val="20"/>
                <w:color w:val="auto"/>
              </w:rPr>
            </w:pPr>
            <w:r>
              <w:rPr>
                <w:rFonts w:ascii="Arial" w:cs="Arial" w:eastAsia="Arial" w:hAnsi="Arial"/>
                <w:sz w:val="18"/>
                <w:szCs w:val="18"/>
                <w:color w:val="auto"/>
              </w:rPr>
              <w:t>Year Ultimate Trend Rate Effective</w:t>
            </w:r>
          </w:p>
        </w:tc>
        <w:tc>
          <w:tcPr>
            <w:tcW w:w="1760" w:type="dxa"/>
            <w:vAlign w:val="bottom"/>
          </w:tcPr>
          <w:p>
            <w:pPr>
              <w:spacing w:after="0"/>
              <w:rPr>
                <w:sz w:val="21"/>
                <w:szCs w:val="21"/>
                <w:color w:val="auto"/>
              </w:rPr>
            </w:pPr>
          </w:p>
        </w:tc>
        <w:tc>
          <w:tcPr>
            <w:tcW w:w="1360" w:type="dxa"/>
            <w:vAlign w:val="bottom"/>
            <w:gridSpan w:val="2"/>
          </w:tcPr>
          <w:p>
            <w:pPr>
              <w:jc w:val="center"/>
              <w:ind w:left="230"/>
              <w:spacing w:after="0"/>
              <w:rPr>
                <w:sz w:val="20"/>
                <w:szCs w:val="20"/>
                <w:color w:val="auto"/>
              </w:rPr>
            </w:pPr>
            <w:r>
              <w:rPr>
                <w:rFonts w:ascii="Arial" w:cs="Arial" w:eastAsia="Arial" w:hAnsi="Arial"/>
                <w:sz w:val="18"/>
                <w:szCs w:val="18"/>
                <w:color w:val="auto"/>
                <w:w w:val="89"/>
              </w:rPr>
              <w:t>2019</w:t>
            </w:r>
          </w:p>
        </w:tc>
        <w:tc>
          <w:tcPr>
            <w:tcW w:w="1520" w:type="dxa"/>
            <w:vAlign w:val="bottom"/>
          </w:tcPr>
          <w:p>
            <w:pPr>
              <w:jc w:val="center"/>
              <w:ind w:left="70"/>
              <w:spacing w:after="0"/>
              <w:rPr>
                <w:sz w:val="20"/>
                <w:szCs w:val="20"/>
                <w:color w:val="auto"/>
              </w:rPr>
            </w:pPr>
            <w:r>
              <w:rPr>
                <w:rFonts w:ascii="Arial" w:cs="Arial" w:eastAsia="Arial" w:hAnsi="Arial"/>
                <w:sz w:val="18"/>
                <w:szCs w:val="18"/>
                <w:color w:val="auto"/>
                <w:w w:val="89"/>
              </w:rPr>
              <w:t>2018</w:t>
            </w:r>
          </w:p>
        </w:tc>
      </w:tr>
      <w:tr>
        <w:trPr>
          <w:trHeight w:val="27"/>
        </w:trPr>
        <w:tc>
          <w:tcPr>
            <w:tcW w:w="67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588"/>
        </w:trPr>
        <w:tc>
          <w:tcPr>
            <w:tcW w:w="6780" w:type="dxa"/>
            <w:vAlign w:val="bottom"/>
          </w:tcPr>
          <w:p>
            <w:pPr>
              <w:ind w:left="40"/>
              <w:spacing w:after="0"/>
              <w:rPr>
                <w:sz w:val="20"/>
                <w:szCs w:val="20"/>
                <w:color w:val="auto"/>
              </w:rPr>
            </w:pPr>
            <w:r>
              <w:rPr>
                <w:rFonts w:ascii="Arial" w:cs="Arial" w:eastAsia="Arial" w:hAnsi="Arial"/>
                <w:sz w:val="18"/>
                <w:szCs w:val="18"/>
                <w:b w:val="1"/>
                <w:bCs w:val="1"/>
                <w:color w:val="auto"/>
                <w:w w:val="99"/>
              </w:rPr>
              <w:t>Weighted-Average Assumptions Used to Determine Net Periodic Benefit Costs</w:t>
            </w:r>
          </w:p>
        </w:tc>
        <w:tc>
          <w:tcPr>
            <w:tcW w:w="1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70"/>
        </w:trPr>
        <w:tc>
          <w:tcPr>
            <w:tcW w:w="6780" w:type="dxa"/>
            <w:vAlign w:val="bottom"/>
          </w:tcPr>
          <w:p>
            <w:pPr>
              <w:ind w:left="40"/>
              <w:spacing w:after="0"/>
              <w:rPr>
                <w:sz w:val="20"/>
                <w:szCs w:val="20"/>
                <w:color w:val="auto"/>
              </w:rPr>
            </w:pPr>
            <w:r>
              <w:rPr>
                <w:rFonts w:ascii="Arial" w:cs="Arial" w:eastAsia="Arial" w:hAnsi="Arial"/>
                <w:sz w:val="18"/>
                <w:szCs w:val="18"/>
                <w:b w:val="1"/>
                <w:bCs w:val="1"/>
                <w:color w:val="auto"/>
              </w:rPr>
              <w:t>Year Ended December 31</w:t>
            </w:r>
          </w:p>
        </w:tc>
        <w:tc>
          <w:tcPr>
            <w:tcW w:w="1760" w:type="dxa"/>
            <w:vAlign w:val="bottom"/>
          </w:tcPr>
          <w:p>
            <w:pPr>
              <w:jc w:val="center"/>
              <w:ind w:left="590"/>
              <w:spacing w:after="0"/>
              <w:rPr>
                <w:sz w:val="20"/>
                <w:szCs w:val="20"/>
                <w:color w:val="auto"/>
              </w:rPr>
            </w:pPr>
            <w:r>
              <w:rPr>
                <w:rFonts w:ascii="Arial" w:cs="Arial" w:eastAsia="Arial" w:hAnsi="Arial"/>
                <w:sz w:val="18"/>
                <w:szCs w:val="18"/>
                <w:b w:val="1"/>
                <w:bCs w:val="1"/>
                <w:color w:val="auto"/>
                <w:w w:val="89"/>
              </w:rPr>
              <w:t>2012</w:t>
            </w:r>
          </w:p>
        </w:tc>
        <w:tc>
          <w:tcPr>
            <w:tcW w:w="1360" w:type="dxa"/>
            <w:vAlign w:val="bottom"/>
            <w:gridSpan w:val="2"/>
          </w:tcPr>
          <w:p>
            <w:pPr>
              <w:jc w:val="center"/>
              <w:ind w:left="210"/>
              <w:spacing w:after="0"/>
              <w:rPr>
                <w:sz w:val="20"/>
                <w:szCs w:val="20"/>
                <w:color w:val="auto"/>
              </w:rPr>
            </w:pPr>
            <w:r>
              <w:rPr>
                <w:rFonts w:ascii="Arial" w:cs="Arial" w:eastAsia="Arial" w:hAnsi="Arial"/>
                <w:sz w:val="18"/>
                <w:szCs w:val="18"/>
                <w:b w:val="1"/>
                <w:bCs w:val="1"/>
                <w:color w:val="auto"/>
                <w:w w:val="84"/>
              </w:rPr>
              <w:t>2011</w:t>
            </w:r>
          </w:p>
        </w:tc>
        <w:tc>
          <w:tcPr>
            <w:tcW w:w="1520" w:type="dxa"/>
            <w:vAlign w:val="bottom"/>
          </w:tcPr>
          <w:p>
            <w:pPr>
              <w:jc w:val="center"/>
              <w:ind w:left="70"/>
              <w:spacing w:after="0"/>
              <w:rPr>
                <w:sz w:val="20"/>
                <w:szCs w:val="20"/>
                <w:color w:val="auto"/>
              </w:rPr>
            </w:pPr>
            <w:r>
              <w:rPr>
                <w:rFonts w:ascii="Arial" w:cs="Arial" w:eastAsia="Arial" w:hAnsi="Arial"/>
                <w:sz w:val="18"/>
                <w:szCs w:val="18"/>
                <w:b w:val="1"/>
                <w:bCs w:val="1"/>
                <w:color w:val="auto"/>
                <w:w w:val="89"/>
              </w:rPr>
              <w:t>2010</w:t>
            </w:r>
          </w:p>
        </w:tc>
      </w:tr>
      <w:tr>
        <w:trPr>
          <w:trHeight w:val="27"/>
        </w:trPr>
        <w:tc>
          <w:tcPr>
            <w:tcW w:w="67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4"/>
        </w:trPr>
        <w:tc>
          <w:tcPr>
            <w:tcW w:w="6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Discount Rate</w:t>
            </w:r>
          </w:p>
        </w:tc>
        <w:tc>
          <w:tcPr>
            <w:tcW w:w="1760" w:type="dxa"/>
            <w:vAlign w:val="bottom"/>
            <w:tcBorders>
              <w:bottom w:val="single" w:sz="8" w:color="CCEEFF"/>
            </w:tcBorders>
            <w:shd w:val="clear" w:color="auto" w:fill="CCEEFF"/>
          </w:tcPr>
          <w:p>
            <w:pPr>
              <w:jc w:val="center"/>
              <w:ind w:left="590"/>
              <w:spacing w:after="0"/>
              <w:rPr>
                <w:sz w:val="20"/>
                <w:szCs w:val="20"/>
                <w:color w:val="auto"/>
              </w:rPr>
            </w:pPr>
            <w:r>
              <w:rPr>
                <w:rFonts w:ascii="Arial" w:cs="Arial" w:eastAsia="Arial" w:hAnsi="Arial"/>
                <w:sz w:val="18"/>
                <w:szCs w:val="18"/>
                <w:color w:val="auto"/>
                <w:w w:val="90"/>
              </w:rPr>
              <w:t>4.54 - 4.56%</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5.36</w:t>
            </w:r>
          </w:p>
        </w:tc>
        <w:tc>
          <w:tcPr>
            <w:tcW w:w="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- 5.40%</w:t>
            </w:r>
          </w:p>
        </w:tc>
        <w:tc>
          <w:tcPr>
            <w:tcW w:w="1520" w:type="dxa"/>
            <w:vAlign w:val="bottom"/>
            <w:tcBorders>
              <w:bottom w:val="single" w:sz="8" w:color="CCEEFF"/>
            </w:tcBorders>
            <w:shd w:val="clear" w:color="auto" w:fill="CCEEFF"/>
          </w:tcPr>
          <w:p>
            <w:pPr>
              <w:jc w:val="center"/>
              <w:ind w:left="70"/>
              <w:spacing w:after="0"/>
              <w:rPr>
                <w:sz w:val="20"/>
                <w:szCs w:val="20"/>
                <w:color w:val="auto"/>
              </w:rPr>
            </w:pPr>
            <w:r>
              <w:rPr>
                <w:rFonts w:ascii="Arial" w:cs="Arial" w:eastAsia="Arial" w:hAnsi="Arial"/>
                <w:sz w:val="18"/>
                <w:szCs w:val="18"/>
                <w:color w:val="auto"/>
                <w:w w:val="93"/>
              </w:rPr>
              <w:t>5.81%</w:t>
            </w:r>
          </w:p>
        </w:tc>
      </w:tr>
      <w:tr>
        <w:trPr>
          <w:trHeight w:val="243"/>
        </w:trPr>
        <w:tc>
          <w:tcPr>
            <w:tcW w:w="6780" w:type="dxa"/>
            <w:vAlign w:val="bottom"/>
          </w:tcPr>
          <w:p>
            <w:pPr>
              <w:ind w:left="40"/>
              <w:spacing w:after="0"/>
              <w:rPr>
                <w:sz w:val="20"/>
                <w:szCs w:val="20"/>
                <w:color w:val="auto"/>
              </w:rPr>
            </w:pPr>
            <w:r>
              <w:rPr>
                <w:rFonts w:ascii="Arial" w:cs="Arial" w:eastAsia="Arial" w:hAnsi="Arial"/>
                <w:sz w:val="18"/>
                <w:szCs w:val="18"/>
                <w:color w:val="auto"/>
              </w:rPr>
              <w:t>Expected Long-Term Return on Plan Assets</w:t>
            </w:r>
          </w:p>
        </w:tc>
        <w:tc>
          <w:tcPr>
            <w:tcW w:w="17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7"/>
        </w:trPr>
        <w:tc>
          <w:tcPr>
            <w:tcW w:w="67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6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Pension</w:t>
            </w:r>
          </w:p>
        </w:tc>
        <w:tc>
          <w:tcPr>
            <w:tcW w:w="1760" w:type="dxa"/>
            <w:vAlign w:val="bottom"/>
            <w:tcBorders>
              <w:bottom w:val="single" w:sz="8" w:color="CCEEFF"/>
            </w:tcBorders>
            <w:shd w:val="clear" w:color="auto" w:fill="CCEEFF"/>
          </w:tcPr>
          <w:p>
            <w:pPr>
              <w:jc w:val="center"/>
              <w:ind w:left="610"/>
              <w:spacing w:after="0"/>
              <w:rPr>
                <w:sz w:val="20"/>
                <w:szCs w:val="20"/>
                <w:color w:val="auto"/>
              </w:rPr>
            </w:pPr>
            <w:r>
              <w:rPr>
                <w:rFonts w:ascii="Arial" w:cs="Arial" w:eastAsia="Arial" w:hAnsi="Arial"/>
                <w:sz w:val="18"/>
                <w:szCs w:val="18"/>
                <w:color w:val="auto"/>
                <w:w w:val="90"/>
              </w:rPr>
              <w:t>8.25%</w:t>
            </w:r>
          </w:p>
        </w:tc>
        <w:tc>
          <w:tcPr>
            <w:tcW w:w="1360" w:type="dxa"/>
            <w:vAlign w:val="bottom"/>
            <w:tcBorders>
              <w:bottom w:val="single" w:sz="8" w:color="CCEEFF"/>
            </w:tcBorders>
            <w:gridSpan w:val="2"/>
            <w:shd w:val="clear" w:color="auto" w:fill="CCEEFF"/>
          </w:tcPr>
          <w:p>
            <w:pPr>
              <w:jc w:val="center"/>
              <w:ind w:left="210"/>
              <w:spacing w:after="0"/>
              <w:rPr>
                <w:sz w:val="20"/>
                <w:szCs w:val="20"/>
                <w:color w:val="auto"/>
              </w:rPr>
            </w:pPr>
            <w:r>
              <w:rPr>
                <w:rFonts w:ascii="Arial" w:cs="Arial" w:eastAsia="Arial" w:hAnsi="Arial"/>
                <w:sz w:val="18"/>
                <w:szCs w:val="18"/>
                <w:color w:val="auto"/>
                <w:w w:val="92"/>
              </w:rPr>
              <w:t>8.5%</w:t>
            </w:r>
          </w:p>
        </w:tc>
        <w:tc>
          <w:tcPr>
            <w:tcW w:w="1520" w:type="dxa"/>
            <w:vAlign w:val="bottom"/>
            <w:tcBorders>
              <w:bottom w:val="single" w:sz="8" w:color="CCEEFF"/>
            </w:tcBorders>
            <w:shd w:val="clear" w:color="auto" w:fill="CCEEFF"/>
          </w:tcPr>
          <w:p>
            <w:pPr>
              <w:jc w:val="center"/>
              <w:ind w:left="70"/>
              <w:spacing w:after="0"/>
              <w:rPr>
                <w:sz w:val="20"/>
                <w:szCs w:val="20"/>
                <w:color w:val="auto"/>
              </w:rPr>
            </w:pPr>
            <w:r>
              <w:rPr>
                <w:rFonts w:ascii="Arial" w:cs="Arial" w:eastAsia="Arial" w:hAnsi="Arial"/>
                <w:sz w:val="18"/>
                <w:szCs w:val="18"/>
                <w:color w:val="auto"/>
                <w:w w:val="87"/>
              </w:rPr>
              <w:t>8.5%</w:t>
            </w:r>
          </w:p>
        </w:tc>
      </w:tr>
      <w:tr>
        <w:trPr>
          <w:trHeight w:val="243"/>
        </w:trPr>
        <w:tc>
          <w:tcPr>
            <w:tcW w:w="6780" w:type="dxa"/>
            <w:vAlign w:val="bottom"/>
          </w:tcPr>
          <w:p>
            <w:pPr>
              <w:ind w:left="180"/>
              <w:spacing w:after="0"/>
              <w:rPr>
                <w:sz w:val="20"/>
                <w:szCs w:val="20"/>
                <w:color w:val="auto"/>
              </w:rPr>
            </w:pPr>
            <w:r>
              <w:rPr>
                <w:rFonts w:ascii="Arial" w:cs="Arial" w:eastAsia="Arial" w:hAnsi="Arial"/>
                <w:sz w:val="18"/>
                <w:szCs w:val="18"/>
                <w:color w:val="auto"/>
              </w:rPr>
              <w:t>Postretirement Health and Life</w:t>
            </w:r>
          </w:p>
        </w:tc>
        <w:tc>
          <w:tcPr>
            <w:tcW w:w="1760" w:type="dxa"/>
            <w:vAlign w:val="bottom"/>
          </w:tcPr>
          <w:p>
            <w:pPr>
              <w:jc w:val="center"/>
              <w:ind w:left="590"/>
              <w:spacing w:after="0"/>
              <w:rPr>
                <w:sz w:val="20"/>
                <w:szCs w:val="20"/>
                <w:color w:val="auto"/>
              </w:rPr>
            </w:pPr>
            <w:r>
              <w:rPr>
                <w:rFonts w:ascii="Arial" w:cs="Arial" w:eastAsia="Arial" w:hAnsi="Arial"/>
                <w:sz w:val="18"/>
                <w:szCs w:val="18"/>
                <w:color w:val="auto"/>
                <w:w w:val="91"/>
              </w:rPr>
              <w:t>6.6 - 8.25%</w:t>
            </w:r>
          </w:p>
        </w:tc>
        <w:tc>
          <w:tcPr>
            <w:tcW w:w="700" w:type="dxa"/>
            <w:vAlign w:val="bottom"/>
          </w:tcPr>
          <w:p>
            <w:pPr>
              <w:jc w:val="right"/>
              <w:spacing w:after="0"/>
              <w:rPr>
                <w:sz w:val="20"/>
                <w:szCs w:val="20"/>
                <w:color w:val="auto"/>
              </w:rPr>
            </w:pPr>
            <w:r>
              <w:rPr>
                <w:rFonts w:ascii="Arial" w:cs="Arial" w:eastAsia="Arial" w:hAnsi="Arial"/>
                <w:sz w:val="18"/>
                <w:szCs w:val="18"/>
                <w:color w:val="auto"/>
              </w:rPr>
              <w:t>6.8</w:t>
            </w:r>
          </w:p>
        </w:tc>
        <w:tc>
          <w:tcPr>
            <w:tcW w:w="660" w:type="dxa"/>
            <w:vAlign w:val="bottom"/>
          </w:tcPr>
          <w:p>
            <w:pPr>
              <w:ind w:left="20"/>
              <w:spacing w:after="0"/>
              <w:rPr>
                <w:sz w:val="20"/>
                <w:szCs w:val="20"/>
                <w:color w:val="auto"/>
              </w:rPr>
            </w:pPr>
            <w:r>
              <w:rPr>
                <w:rFonts w:ascii="Arial" w:cs="Arial" w:eastAsia="Arial" w:hAnsi="Arial"/>
                <w:sz w:val="18"/>
                <w:szCs w:val="18"/>
                <w:color w:val="auto"/>
              </w:rPr>
              <w:t>- 8.5%</w:t>
            </w:r>
          </w:p>
        </w:tc>
        <w:tc>
          <w:tcPr>
            <w:tcW w:w="1520" w:type="dxa"/>
            <w:vAlign w:val="bottom"/>
          </w:tcPr>
          <w:p>
            <w:pPr>
              <w:jc w:val="center"/>
              <w:ind w:left="70"/>
              <w:spacing w:after="0"/>
              <w:rPr>
                <w:sz w:val="20"/>
                <w:szCs w:val="20"/>
                <w:color w:val="auto"/>
              </w:rPr>
            </w:pPr>
            <w:r>
              <w:rPr>
                <w:rFonts w:ascii="Arial" w:cs="Arial" w:eastAsia="Arial" w:hAnsi="Arial"/>
                <w:sz w:val="18"/>
                <w:szCs w:val="18"/>
                <w:color w:val="auto"/>
                <w:w w:val="92"/>
              </w:rPr>
              <w:t>6.8 - 8.5%</w:t>
            </w:r>
          </w:p>
        </w:tc>
      </w:tr>
      <w:tr>
        <w:trPr>
          <w:trHeight w:val="27"/>
        </w:trPr>
        <w:tc>
          <w:tcPr>
            <w:tcW w:w="67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6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Rate of Compensation Increase</w:t>
            </w:r>
          </w:p>
        </w:tc>
        <w:tc>
          <w:tcPr>
            <w:tcW w:w="1760" w:type="dxa"/>
            <w:vAlign w:val="bottom"/>
            <w:tcBorders>
              <w:bottom w:val="single" w:sz="8" w:color="CCEEFF"/>
            </w:tcBorders>
            <w:shd w:val="clear" w:color="auto" w:fill="CCEEFF"/>
          </w:tcPr>
          <w:p>
            <w:pPr>
              <w:jc w:val="center"/>
              <w:ind w:left="590"/>
              <w:spacing w:after="0"/>
              <w:rPr>
                <w:sz w:val="20"/>
                <w:szCs w:val="20"/>
                <w:color w:val="auto"/>
              </w:rPr>
            </w:pPr>
            <w:r>
              <w:rPr>
                <w:rFonts w:ascii="Arial" w:cs="Arial" w:eastAsia="Arial" w:hAnsi="Arial"/>
                <w:sz w:val="18"/>
                <w:szCs w:val="18"/>
                <w:color w:val="auto"/>
                <w:w w:val="92"/>
              </w:rPr>
              <w:t>4.3 - 4.6%</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- 4.6%</w:t>
            </w:r>
          </w:p>
        </w:tc>
        <w:tc>
          <w:tcPr>
            <w:tcW w:w="1520" w:type="dxa"/>
            <w:vAlign w:val="bottom"/>
            <w:tcBorders>
              <w:bottom w:val="single" w:sz="8" w:color="CCEEFF"/>
            </w:tcBorders>
            <w:shd w:val="clear" w:color="auto" w:fill="CCEEFF"/>
          </w:tcPr>
          <w:p>
            <w:pPr>
              <w:jc w:val="center"/>
              <w:ind w:left="70"/>
              <w:spacing w:after="0"/>
              <w:rPr>
                <w:sz w:val="20"/>
                <w:szCs w:val="20"/>
                <w:color w:val="auto"/>
              </w:rPr>
            </w:pPr>
            <w:r>
              <w:rPr>
                <w:rFonts w:ascii="Arial" w:cs="Arial" w:eastAsia="Arial" w:hAnsi="Arial"/>
                <w:sz w:val="18"/>
                <w:szCs w:val="18"/>
                <w:color w:val="auto"/>
                <w:w w:val="92"/>
              </w:rPr>
              <w:t>4.3 - 4.6%</w:t>
            </w:r>
          </w:p>
        </w:tc>
      </w:tr>
      <w:tr>
        <w:trPr>
          <w:trHeight w:val="20"/>
        </w:trPr>
        <w:tc>
          <w:tcPr>
            <w:tcW w:w="6780" w:type="dxa"/>
            <w:vAlign w:val="bottom"/>
            <w:shd w:val="clear" w:color="auto" w:fill="000000"/>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r>
    </w:tbl>
    <w:p>
      <w:pPr>
        <w:spacing w:after="0" w:line="17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In establishing the expected long-term rate of return on plan assets, we determine the long-term historical performance of each asset class, adjust these for current economic conditions, and utilizing the target allocation of our plan assets, forecast the expected long-term rate of return.</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discount rate is computed using a yield curve adjusted for ALLETE’s projected cash flows to match our plan characteristics. The yield curve is determined using high-quality long-term corporate bond rates at the valuation date. We believe the adjusted discount curve used in this comparison does not materially differ in duration and cash flows from our pension obligation.</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20" w:type="dxa"/>
            <w:vAlign w:val="bottom"/>
          </w:tcPr>
          <w:p>
            <w:pPr>
              <w:ind w:left="40"/>
              <w:spacing w:after="0"/>
              <w:rPr>
                <w:sz w:val="20"/>
                <w:szCs w:val="20"/>
                <w:color w:val="auto"/>
              </w:rPr>
            </w:pPr>
            <w:r>
              <w:rPr>
                <w:rFonts w:ascii="Arial" w:cs="Arial" w:eastAsia="Arial" w:hAnsi="Arial"/>
                <w:sz w:val="18"/>
                <w:szCs w:val="18"/>
                <w:b w:val="1"/>
                <w:bCs w:val="1"/>
                <w:color w:val="auto"/>
              </w:rPr>
              <w:t>Sensitivity of a One-Percentage-Point Change in Health Care Trend Rates</w:t>
            </w:r>
          </w:p>
        </w:tc>
        <w:tc>
          <w:tcPr>
            <w:tcW w:w="232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70"/>
        </w:trPr>
        <w:tc>
          <w:tcPr>
            <w:tcW w:w="7620" w:type="dxa"/>
            <w:vAlign w:val="bottom"/>
          </w:tcPr>
          <w:p>
            <w:pPr>
              <w:spacing w:after="0"/>
              <w:rPr>
                <w:sz w:val="23"/>
                <w:szCs w:val="23"/>
                <w:color w:val="auto"/>
              </w:rPr>
            </w:pPr>
          </w:p>
        </w:tc>
        <w:tc>
          <w:tcPr>
            <w:tcW w:w="2320" w:type="dxa"/>
            <w:vAlign w:val="bottom"/>
          </w:tcPr>
          <w:p>
            <w:pPr>
              <w:jc w:val="right"/>
              <w:ind w:right="350"/>
              <w:spacing w:after="0"/>
              <w:rPr>
                <w:sz w:val="20"/>
                <w:szCs w:val="20"/>
                <w:color w:val="auto"/>
              </w:rPr>
            </w:pPr>
            <w:r>
              <w:rPr>
                <w:rFonts w:ascii="Arial" w:cs="Arial" w:eastAsia="Arial" w:hAnsi="Arial"/>
                <w:sz w:val="18"/>
                <w:szCs w:val="18"/>
                <w:b w:val="1"/>
                <w:bCs w:val="1"/>
                <w:color w:val="auto"/>
              </w:rPr>
              <w:t>One Percent</w:t>
            </w:r>
          </w:p>
        </w:tc>
        <w:tc>
          <w:tcPr>
            <w:tcW w:w="1480" w:type="dxa"/>
            <w:vAlign w:val="bottom"/>
          </w:tcPr>
          <w:p>
            <w:pPr>
              <w:jc w:val="right"/>
              <w:ind w:right="230"/>
              <w:spacing w:after="0"/>
              <w:rPr>
                <w:sz w:val="20"/>
                <w:szCs w:val="20"/>
                <w:color w:val="auto"/>
              </w:rPr>
            </w:pPr>
            <w:r>
              <w:rPr>
                <w:rFonts w:ascii="Arial" w:cs="Arial" w:eastAsia="Arial" w:hAnsi="Arial"/>
                <w:sz w:val="18"/>
                <w:szCs w:val="18"/>
                <w:b w:val="1"/>
                <w:bCs w:val="1"/>
                <w:color w:val="auto"/>
              </w:rPr>
              <w:t>One Percent</w:t>
            </w:r>
          </w:p>
        </w:tc>
      </w:tr>
      <w:tr>
        <w:trPr>
          <w:trHeight w:val="270"/>
        </w:trPr>
        <w:tc>
          <w:tcPr>
            <w:tcW w:w="7620" w:type="dxa"/>
            <w:vAlign w:val="bottom"/>
          </w:tcPr>
          <w:p>
            <w:pPr>
              <w:spacing w:after="0"/>
              <w:rPr>
                <w:sz w:val="23"/>
                <w:szCs w:val="23"/>
                <w:color w:val="auto"/>
              </w:rPr>
            </w:pPr>
          </w:p>
        </w:tc>
        <w:tc>
          <w:tcPr>
            <w:tcW w:w="2320" w:type="dxa"/>
            <w:vAlign w:val="bottom"/>
          </w:tcPr>
          <w:p>
            <w:pPr>
              <w:jc w:val="right"/>
              <w:ind w:right="490"/>
              <w:spacing w:after="0"/>
              <w:rPr>
                <w:sz w:val="20"/>
                <w:szCs w:val="20"/>
                <w:color w:val="auto"/>
              </w:rPr>
            </w:pPr>
            <w:r>
              <w:rPr>
                <w:rFonts w:ascii="Arial" w:cs="Arial" w:eastAsia="Arial" w:hAnsi="Arial"/>
                <w:sz w:val="18"/>
                <w:szCs w:val="18"/>
                <w:b w:val="1"/>
                <w:bCs w:val="1"/>
                <w:color w:val="auto"/>
              </w:rPr>
              <w:t>Increase</w:t>
            </w:r>
          </w:p>
        </w:tc>
        <w:tc>
          <w:tcPr>
            <w:tcW w:w="1480" w:type="dxa"/>
            <w:vAlign w:val="bottom"/>
          </w:tcPr>
          <w:p>
            <w:pPr>
              <w:jc w:val="right"/>
              <w:ind w:right="370"/>
              <w:spacing w:after="0"/>
              <w:rPr>
                <w:sz w:val="20"/>
                <w:szCs w:val="20"/>
                <w:color w:val="auto"/>
              </w:rPr>
            </w:pPr>
            <w:r>
              <w:rPr>
                <w:rFonts w:ascii="Arial" w:cs="Arial" w:eastAsia="Arial" w:hAnsi="Arial"/>
                <w:sz w:val="18"/>
                <w:szCs w:val="18"/>
                <w:b w:val="1"/>
                <w:bCs w:val="1"/>
                <w:color w:val="auto"/>
              </w:rPr>
              <w:t>Decrease</w:t>
            </w:r>
          </w:p>
        </w:tc>
      </w:tr>
      <w:tr>
        <w:trPr>
          <w:trHeight w:val="27"/>
        </w:trPr>
        <w:tc>
          <w:tcPr>
            <w:tcW w:w="762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7"/>
        </w:trPr>
        <w:tc>
          <w:tcPr>
            <w:tcW w:w="762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32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7"/>
        </w:trPr>
        <w:tc>
          <w:tcPr>
            <w:tcW w:w="76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on Total of Postretirement Health and Life Service and Interest Cost</w:t>
            </w:r>
          </w:p>
        </w:tc>
        <w:tc>
          <w:tcPr>
            <w:tcW w:w="2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$2.0</w:t>
            </w:r>
          </w:p>
        </w:tc>
        <w:tc>
          <w:tcPr>
            <w:tcW w:w="14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$(1.6)</w:t>
            </w:r>
          </w:p>
        </w:tc>
      </w:tr>
      <w:tr>
        <w:trPr>
          <w:trHeight w:val="243"/>
        </w:trPr>
        <w:tc>
          <w:tcPr>
            <w:tcW w:w="7620" w:type="dxa"/>
            <w:vAlign w:val="bottom"/>
          </w:tcPr>
          <w:p>
            <w:pPr>
              <w:ind w:left="40"/>
              <w:spacing w:after="0"/>
              <w:rPr>
                <w:sz w:val="20"/>
                <w:szCs w:val="20"/>
                <w:color w:val="auto"/>
              </w:rPr>
            </w:pPr>
            <w:r>
              <w:rPr>
                <w:rFonts w:ascii="Arial" w:cs="Arial" w:eastAsia="Arial" w:hAnsi="Arial"/>
                <w:sz w:val="18"/>
                <w:szCs w:val="18"/>
                <w:color w:val="auto"/>
              </w:rPr>
              <w:t>Effect on Postretirement Health and Life Obligation</w:t>
            </w:r>
          </w:p>
        </w:tc>
        <w:tc>
          <w:tcPr>
            <w:tcW w:w="2320" w:type="dxa"/>
            <w:vAlign w:val="bottom"/>
          </w:tcPr>
          <w:p>
            <w:pPr>
              <w:jc w:val="right"/>
              <w:ind w:right="130"/>
              <w:spacing w:after="0"/>
              <w:rPr>
                <w:sz w:val="20"/>
                <w:szCs w:val="20"/>
                <w:color w:val="auto"/>
              </w:rPr>
            </w:pPr>
            <w:r>
              <w:rPr>
                <w:rFonts w:ascii="Arial" w:cs="Arial" w:eastAsia="Arial" w:hAnsi="Arial"/>
                <w:sz w:val="18"/>
                <w:szCs w:val="18"/>
                <w:color w:val="auto"/>
              </w:rPr>
              <w:t>$18.2</w:t>
            </w:r>
          </w:p>
        </w:tc>
        <w:tc>
          <w:tcPr>
            <w:tcW w:w="1480" w:type="dxa"/>
            <w:vAlign w:val="bottom"/>
          </w:tcPr>
          <w:p>
            <w:pPr>
              <w:jc w:val="right"/>
              <w:ind w:right="170"/>
              <w:spacing w:after="0"/>
              <w:rPr>
                <w:sz w:val="20"/>
                <w:szCs w:val="20"/>
                <w:color w:val="auto"/>
              </w:rPr>
            </w:pPr>
            <w:r>
              <w:rPr>
                <w:rFonts w:ascii="Arial" w:cs="Arial" w:eastAsia="Arial" w:hAnsi="Arial"/>
                <w:sz w:val="18"/>
                <w:szCs w:val="18"/>
                <w:color w:val="auto"/>
              </w:rPr>
              <w:t>$(15.1)</w:t>
            </w:r>
          </w:p>
        </w:tc>
      </w:tr>
      <w:tr>
        <w:trPr>
          <w:trHeight w:val="27"/>
        </w:trPr>
        <w:tc>
          <w:tcPr>
            <w:tcW w:w="762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438"/>
        </w:trPr>
        <w:tc>
          <w:tcPr>
            <w:tcW w:w="7620" w:type="dxa"/>
            <w:vAlign w:val="bottom"/>
          </w:tcPr>
          <w:p>
            <w:pPr>
              <w:ind w:left="4740"/>
              <w:spacing w:after="0"/>
              <w:rPr>
                <w:sz w:val="20"/>
                <w:szCs w:val="20"/>
                <w:color w:val="auto"/>
              </w:rPr>
            </w:pPr>
            <w:r>
              <w:rPr>
                <w:rFonts w:ascii="Arial" w:cs="Arial" w:eastAsia="Arial" w:hAnsi="Arial"/>
                <w:sz w:val="18"/>
                <w:szCs w:val="18"/>
                <w:color w:val="auto"/>
              </w:rPr>
              <w:t>ALLETE 2012 Form 10-K</w:t>
            </w:r>
          </w:p>
        </w:tc>
        <w:tc>
          <w:tcPr>
            <w:tcW w:w="232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30"/>
        </w:trPr>
        <w:tc>
          <w:tcPr>
            <w:tcW w:w="7620" w:type="dxa"/>
            <w:vAlign w:val="bottom"/>
          </w:tcPr>
          <w:p>
            <w:pPr>
              <w:ind w:left="5580"/>
              <w:spacing w:after="0"/>
              <w:rPr>
                <w:sz w:val="20"/>
                <w:szCs w:val="20"/>
                <w:color w:val="auto"/>
              </w:rPr>
            </w:pPr>
            <w:r>
              <w:rPr>
                <w:rFonts w:ascii="Arial" w:cs="Arial" w:eastAsia="Arial" w:hAnsi="Arial"/>
                <w:sz w:val="18"/>
                <w:szCs w:val="18"/>
                <w:color w:val="auto"/>
              </w:rPr>
              <w:t>104</w:t>
            </w:r>
          </w:p>
        </w:tc>
        <w:tc>
          <w:tcPr>
            <w:tcW w:w="2320" w:type="dxa"/>
            <w:vAlign w:val="bottom"/>
          </w:tcPr>
          <w:p>
            <w:pPr>
              <w:spacing w:after="0"/>
              <w:rPr>
                <w:sz w:val="20"/>
                <w:szCs w:val="20"/>
                <w:color w:val="auto"/>
              </w:rPr>
            </w:pPr>
          </w:p>
        </w:tc>
        <w:tc>
          <w:tcPr>
            <w:tcW w:w="1480" w:type="dxa"/>
            <w:vAlign w:val="bottom"/>
          </w:tcPr>
          <w:p>
            <w:pPr>
              <w:spacing w:after="0"/>
              <w:rPr>
                <w:sz w:val="20"/>
                <w:szCs w:val="20"/>
                <w:color w:val="auto"/>
              </w:rPr>
            </w:pPr>
          </w:p>
        </w:tc>
      </w:tr>
    </w:tbl>
    <w:p>
      <w:pPr>
        <w:sectPr>
          <w:pgSz w:w="11900" w:h="16838" w:orient="portrait"/>
          <w:cols w:equalWidth="0" w:num="1">
            <w:col w:w="11420"/>
          </w:cols>
          <w:pgMar w:left="240" w:top="364" w:right="239" w:bottom="1440" w:gutter="0" w:footer="0" w:header="0"/>
        </w:sectPr>
      </w:pPr>
    </w:p>
    <w:bookmarkStart w:id="104" w:name="page105"/>
    <w:bookmarkEnd w:id="10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20" w:type="dxa"/>
            <w:vAlign w:val="bottom"/>
            <w:gridSpan w:val="2"/>
          </w:tcPr>
          <w:p>
            <w:pPr>
              <w:spacing w:after="0"/>
              <w:rPr>
                <w:sz w:val="20"/>
                <w:szCs w:val="20"/>
                <w:color w:val="auto"/>
              </w:rPr>
            </w:pPr>
            <w:r>
              <w:rPr>
                <w:rFonts w:ascii="Arial" w:cs="Arial" w:eastAsia="Arial" w:hAnsi="Arial"/>
                <w:sz w:val="18"/>
                <w:szCs w:val="18"/>
                <w:b w:val="1"/>
                <w:bCs w:val="1"/>
                <w:color w:val="auto"/>
              </w:rPr>
              <w:t>NOTE 15. PENSION AND OTHER POSTRETIREMENT BENEFIT PLANS (Continued)</w:t>
            </w:r>
          </w:p>
        </w:tc>
        <w:tc>
          <w:tcPr>
            <w:tcW w:w="126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594"/>
        </w:trPr>
        <w:tc>
          <w:tcPr>
            <w:tcW w:w="4060" w:type="dxa"/>
            <w:vAlign w:val="bottom"/>
          </w:tcPr>
          <w:p>
            <w:pPr>
              <w:ind w:left="40"/>
              <w:spacing w:after="0"/>
              <w:rPr>
                <w:sz w:val="20"/>
                <w:szCs w:val="20"/>
                <w:color w:val="auto"/>
              </w:rPr>
            </w:pPr>
            <w:r>
              <w:rPr>
                <w:rFonts w:ascii="Arial" w:cs="Arial" w:eastAsia="Arial" w:hAnsi="Arial"/>
                <w:sz w:val="18"/>
                <w:szCs w:val="18"/>
                <w:b w:val="1"/>
                <w:bCs w:val="1"/>
                <w:color w:val="auto"/>
              </w:rPr>
              <w:t>Actual Plan Asset Allocations</w:t>
            </w:r>
          </w:p>
        </w:tc>
        <w:tc>
          <w:tcPr>
            <w:tcW w:w="3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52"/>
        </w:trPr>
        <w:tc>
          <w:tcPr>
            <w:tcW w:w="4060" w:type="dxa"/>
            <w:vAlign w:val="bottom"/>
          </w:tcPr>
          <w:p>
            <w:pPr>
              <w:spacing w:after="0"/>
              <w:rPr>
                <w:sz w:val="21"/>
                <w:szCs w:val="21"/>
                <w:color w:val="auto"/>
              </w:rPr>
            </w:pPr>
          </w:p>
        </w:tc>
        <w:tc>
          <w:tcPr>
            <w:tcW w:w="31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980" w:type="dxa"/>
            <w:vAlign w:val="bottom"/>
          </w:tcPr>
          <w:p>
            <w:pPr>
              <w:jc w:val="right"/>
              <w:spacing w:after="0"/>
              <w:rPr>
                <w:sz w:val="20"/>
                <w:szCs w:val="20"/>
                <w:color w:val="auto"/>
              </w:rPr>
            </w:pPr>
            <w:r>
              <w:rPr>
                <w:rFonts w:ascii="Arial" w:cs="Arial" w:eastAsia="Arial" w:hAnsi="Arial"/>
                <w:sz w:val="18"/>
                <w:szCs w:val="18"/>
                <w:b w:val="1"/>
                <w:bCs w:val="1"/>
                <w:color w:val="auto"/>
              </w:rPr>
              <w:t>Postretirement</w:t>
            </w:r>
          </w:p>
        </w:tc>
        <w:tc>
          <w:tcPr>
            <w:tcW w:w="960" w:type="dxa"/>
            <w:vAlign w:val="bottom"/>
          </w:tcPr>
          <w:p>
            <w:pPr>
              <w:spacing w:after="0"/>
              <w:rPr>
                <w:sz w:val="21"/>
                <w:szCs w:val="21"/>
                <w:color w:val="auto"/>
              </w:rPr>
            </w:pPr>
          </w:p>
        </w:tc>
      </w:tr>
      <w:tr>
        <w:trPr>
          <w:trHeight w:val="234"/>
        </w:trPr>
        <w:tc>
          <w:tcPr>
            <w:tcW w:w="4060" w:type="dxa"/>
            <w:vAlign w:val="bottom"/>
          </w:tcPr>
          <w:p>
            <w:pPr>
              <w:spacing w:after="0"/>
              <w:rPr>
                <w:sz w:val="20"/>
                <w:szCs w:val="20"/>
                <w:color w:val="auto"/>
              </w:rPr>
            </w:pPr>
          </w:p>
        </w:tc>
        <w:tc>
          <w:tcPr>
            <w:tcW w:w="3160" w:type="dxa"/>
            <w:vAlign w:val="bottom"/>
          </w:tcPr>
          <w:p>
            <w:pPr>
              <w:jc w:val="right"/>
              <w:ind w:right="50"/>
              <w:spacing w:after="0"/>
              <w:rPr>
                <w:sz w:val="20"/>
                <w:szCs w:val="20"/>
                <w:color w:val="auto"/>
              </w:rPr>
            </w:pPr>
            <w:r>
              <w:rPr>
                <w:rFonts w:ascii="Arial" w:cs="Arial" w:eastAsia="Arial" w:hAnsi="Arial"/>
                <w:sz w:val="18"/>
                <w:szCs w:val="18"/>
                <w:b w:val="1"/>
                <w:bCs w:val="1"/>
                <w:color w:val="auto"/>
              </w:rPr>
              <w:t>Pension</w:t>
            </w:r>
          </w:p>
        </w:tc>
        <w:tc>
          <w:tcPr>
            <w:tcW w:w="1260" w:type="dxa"/>
            <w:vAlign w:val="bottom"/>
          </w:tcPr>
          <w:p>
            <w:pPr>
              <w:spacing w:after="0"/>
              <w:rPr>
                <w:sz w:val="20"/>
                <w:szCs w:val="20"/>
                <w:color w:val="auto"/>
              </w:rPr>
            </w:pPr>
          </w:p>
        </w:tc>
        <w:tc>
          <w:tcPr>
            <w:tcW w:w="2940" w:type="dxa"/>
            <w:vAlign w:val="bottom"/>
            <w:gridSpan w:val="2"/>
          </w:tcPr>
          <w:p>
            <w:pPr>
              <w:jc w:val="right"/>
              <w:ind w:right="710"/>
              <w:spacing w:after="0"/>
              <w:rPr>
                <w:sz w:val="20"/>
                <w:szCs w:val="20"/>
                <w:color w:val="auto"/>
              </w:rPr>
            </w:pPr>
            <w:r>
              <w:rPr>
                <w:rFonts w:ascii="Arial" w:cs="Arial" w:eastAsia="Arial" w:hAnsi="Arial"/>
                <w:sz w:val="18"/>
                <w:szCs w:val="18"/>
                <w:b w:val="1"/>
                <w:bCs w:val="1"/>
                <w:color w:val="auto"/>
              </w:rPr>
              <w:t xml:space="preserve">Health and Life </w:t>
            </w:r>
            <w:r>
              <w:rPr>
                <w:rFonts w:ascii="Arial" w:cs="Arial" w:eastAsia="Arial" w:hAnsi="Arial"/>
                <w:sz w:val="18"/>
                <w:szCs w:val="18"/>
                <w:b w:val="1"/>
                <w:bCs w:val="1"/>
                <w:i w:val="1"/>
                <w:iCs w:val="1"/>
                <w:color w:val="auto"/>
              </w:rPr>
              <w:t>(a)</w:t>
            </w:r>
          </w:p>
        </w:tc>
      </w:tr>
      <w:tr>
        <w:trPr>
          <w:trHeight w:val="270"/>
        </w:trPr>
        <w:tc>
          <w:tcPr>
            <w:tcW w:w="4060" w:type="dxa"/>
            <w:vAlign w:val="bottom"/>
          </w:tcPr>
          <w:p>
            <w:pPr>
              <w:spacing w:after="0"/>
              <w:rPr>
                <w:sz w:val="23"/>
                <w:szCs w:val="23"/>
                <w:color w:val="auto"/>
              </w:rPr>
            </w:pPr>
          </w:p>
        </w:tc>
        <w:tc>
          <w:tcPr>
            <w:tcW w:w="3160" w:type="dxa"/>
            <w:vAlign w:val="bottom"/>
          </w:tcPr>
          <w:p>
            <w:pPr>
              <w:jc w:val="right"/>
              <w:ind w:right="970"/>
              <w:spacing w:after="0"/>
              <w:rPr>
                <w:sz w:val="20"/>
                <w:szCs w:val="20"/>
                <w:color w:val="auto"/>
              </w:rPr>
            </w:pPr>
            <w:r>
              <w:rPr>
                <w:rFonts w:ascii="Arial" w:cs="Arial" w:eastAsia="Arial" w:hAnsi="Arial"/>
                <w:sz w:val="18"/>
                <w:szCs w:val="18"/>
                <w:b w:val="1"/>
                <w:bCs w:val="1"/>
                <w:color w:val="auto"/>
              </w:rPr>
              <w:t>2012</w:t>
            </w:r>
          </w:p>
        </w:tc>
        <w:tc>
          <w:tcPr>
            <w:tcW w:w="1260" w:type="dxa"/>
            <w:vAlign w:val="bottom"/>
          </w:tcPr>
          <w:p>
            <w:pPr>
              <w:jc w:val="right"/>
              <w:ind w:right="670"/>
              <w:spacing w:after="0"/>
              <w:rPr>
                <w:sz w:val="20"/>
                <w:szCs w:val="20"/>
                <w:color w:val="auto"/>
              </w:rPr>
            </w:pPr>
            <w:r>
              <w:rPr>
                <w:rFonts w:ascii="Arial" w:cs="Arial" w:eastAsia="Arial" w:hAnsi="Arial"/>
                <w:sz w:val="18"/>
                <w:szCs w:val="18"/>
                <w:b w:val="1"/>
                <w:bCs w:val="1"/>
                <w:color w:val="auto"/>
              </w:rPr>
              <w:t>2011</w:t>
            </w:r>
          </w:p>
        </w:tc>
        <w:tc>
          <w:tcPr>
            <w:tcW w:w="1980" w:type="dxa"/>
            <w:vAlign w:val="bottom"/>
          </w:tcPr>
          <w:p>
            <w:pPr>
              <w:jc w:val="right"/>
              <w:ind w:right="1090"/>
              <w:spacing w:after="0"/>
              <w:rPr>
                <w:sz w:val="20"/>
                <w:szCs w:val="20"/>
                <w:color w:val="auto"/>
              </w:rPr>
            </w:pPr>
            <w:r>
              <w:rPr>
                <w:rFonts w:ascii="Arial" w:cs="Arial" w:eastAsia="Arial" w:hAnsi="Arial"/>
                <w:sz w:val="18"/>
                <w:szCs w:val="18"/>
                <w:b w:val="1"/>
                <w:bCs w:val="1"/>
                <w:color w:val="auto"/>
              </w:rPr>
              <w:t>2012</w:t>
            </w:r>
          </w:p>
        </w:tc>
        <w:tc>
          <w:tcPr>
            <w:tcW w:w="960" w:type="dxa"/>
            <w:vAlign w:val="bottom"/>
          </w:tcPr>
          <w:p>
            <w:pPr>
              <w:jc w:val="right"/>
              <w:ind w:right="510"/>
              <w:spacing w:after="0"/>
              <w:rPr>
                <w:sz w:val="20"/>
                <w:szCs w:val="20"/>
                <w:color w:val="auto"/>
              </w:rPr>
            </w:pPr>
            <w:r>
              <w:rPr>
                <w:rFonts w:ascii="Arial" w:cs="Arial" w:eastAsia="Arial" w:hAnsi="Arial"/>
                <w:sz w:val="18"/>
                <w:szCs w:val="18"/>
                <w:b w:val="1"/>
                <w:bCs w:val="1"/>
                <w:color w:val="auto"/>
                <w:w w:val="84"/>
              </w:rPr>
              <w:t>2011</w:t>
            </w:r>
          </w:p>
        </w:tc>
      </w:tr>
      <w:tr>
        <w:trPr>
          <w:trHeight w:val="27"/>
        </w:trPr>
        <w:tc>
          <w:tcPr>
            <w:tcW w:w="4060" w:type="dxa"/>
            <w:vAlign w:val="bottom"/>
            <w:tcBorders>
              <w:bottom w:val="single" w:sz="8" w:color="auto"/>
            </w:tcBorders>
          </w:tcPr>
          <w:p>
            <w:pPr>
              <w:spacing w:after="0"/>
              <w:rPr>
                <w:sz w:val="2"/>
                <w:szCs w:val="2"/>
                <w:color w:val="auto"/>
              </w:rPr>
            </w:pPr>
          </w:p>
        </w:tc>
        <w:tc>
          <w:tcPr>
            <w:tcW w:w="3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Securities</w:t>
            </w:r>
          </w:p>
        </w:tc>
        <w:tc>
          <w:tcPr>
            <w:tcW w:w="3160" w:type="dxa"/>
            <w:vAlign w:val="bottom"/>
            <w:tcBorders>
              <w:bottom w:val="single" w:sz="8" w:color="CCEEFF"/>
            </w:tcBorders>
            <w:shd w:val="clear" w:color="auto" w:fill="CCEEFF"/>
          </w:tcPr>
          <w:p>
            <w:pPr>
              <w:jc w:val="right"/>
              <w:ind w:right="650"/>
              <w:spacing w:after="0"/>
              <w:rPr>
                <w:sz w:val="20"/>
                <w:szCs w:val="20"/>
                <w:color w:val="auto"/>
              </w:rPr>
            </w:pPr>
            <w:r>
              <w:rPr>
                <w:rFonts w:ascii="Arial" w:cs="Arial" w:eastAsia="Arial" w:hAnsi="Arial"/>
                <w:sz w:val="18"/>
                <w:szCs w:val="18"/>
                <w:color w:val="auto"/>
              </w:rPr>
              <w:t>54%</w:t>
            </w:r>
          </w:p>
        </w:tc>
        <w:tc>
          <w:tcPr>
            <w:tcW w:w="12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52%</w:t>
            </w:r>
          </w:p>
        </w:tc>
        <w:tc>
          <w:tcPr>
            <w:tcW w:w="1980" w:type="dxa"/>
            <w:vAlign w:val="bottom"/>
            <w:tcBorders>
              <w:bottom w:val="single" w:sz="8" w:color="CCEEFF"/>
            </w:tcBorders>
            <w:shd w:val="clear" w:color="auto" w:fill="CCEEFF"/>
          </w:tcPr>
          <w:p>
            <w:pPr>
              <w:jc w:val="right"/>
              <w:ind w:right="790"/>
              <w:spacing w:after="0"/>
              <w:rPr>
                <w:sz w:val="20"/>
                <w:szCs w:val="20"/>
                <w:color w:val="auto"/>
              </w:rPr>
            </w:pPr>
            <w:r>
              <w:rPr>
                <w:rFonts w:ascii="Arial" w:cs="Arial" w:eastAsia="Arial" w:hAnsi="Arial"/>
                <w:sz w:val="18"/>
                <w:szCs w:val="18"/>
                <w:color w:val="auto"/>
              </w:rPr>
              <w:t>56%</w:t>
            </w:r>
          </w:p>
        </w:tc>
        <w:tc>
          <w:tcPr>
            <w:tcW w:w="9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51%</w:t>
            </w:r>
          </w:p>
        </w:tc>
      </w:tr>
      <w:tr>
        <w:trPr>
          <w:trHeight w:val="243"/>
        </w:trPr>
        <w:tc>
          <w:tcPr>
            <w:tcW w:w="4060" w:type="dxa"/>
            <w:vAlign w:val="bottom"/>
          </w:tcPr>
          <w:p>
            <w:pPr>
              <w:ind w:left="40"/>
              <w:spacing w:after="0"/>
              <w:rPr>
                <w:sz w:val="20"/>
                <w:szCs w:val="20"/>
                <w:color w:val="auto"/>
              </w:rPr>
            </w:pPr>
            <w:r>
              <w:rPr>
                <w:rFonts w:ascii="Arial" w:cs="Arial" w:eastAsia="Arial" w:hAnsi="Arial"/>
                <w:sz w:val="18"/>
                <w:szCs w:val="18"/>
                <w:color w:val="auto"/>
              </w:rPr>
              <w:t>Debt Securities</w:t>
            </w:r>
          </w:p>
        </w:tc>
        <w:tc>
          <w:tcPr>
            <w:tcW w:w="3160" w:type="dxa"/>
            <w:vAlign w:val="bottom"/>
          </w:tcPr>
          <w:p>
            <w:pPr>
              <w:jc w:val="right"/>
              <w:ind w:right="650"/>
              <w:spacing w:after="0"/>
              <w:rPr>
                <w:sz w:val="20"/>
                <w:szCs w:val="20"/>
                <w:color w:val="auto"/>
              </w:rPr>
            </w:pPr>
            <w:r>
              <w:rPr>
                <w:rFonts w:ascii="Arial" w:cs="Arial" w:eastAsia="Arial" w:hAnsi="Arial"/>
                <w:sz w:val="18"/>
                <w:szCs w:val="18"/>
                <w:color w:val="auto"/>
              </w:rPr>
              <w:t>28%</w:t>
            </w:r>
          </w:p>
        </w:tc>
        <w:tc>
          <w:tcPr>
            <w:tcW w:w="1260" w:type="dxa"/>
            <w:vAlign w:val="bottom"/>
          </w:tcPr>
          <w:p>
            <w:pPr>
              <w:jc w:val="right"/>
              <w:ind w:right="350"/>
              <w:spacing w:after="0"/>
              <w:rPr>
                <w:sz w:val="20"/>
                <w:szCs w:val="20"/>
                <w:color w:val="auto"/>
              </w:rPr>
            </w:pPr>
            <w:r>
              <w:rPr>
                <w:rFonts w:ascii="Arial" w:cs="Arial" w:eastAsia="Arial" w:hAnsi="Arial"/>
                <w:sz w:val="18"/>
                <w:szCs w:val="18"/>
                <w:color w:val="auto"/>
              </w:rPr>
              <w:t>27%</w:t>
            </w:r>
          </w:p>
        </w:tc>
        <w:tc>
          <w:tcPr>
            <w:tcW w:w="1980" w:type="dxa"/>
            <w:vAlign w:val="bottom"/>
          </w:tcPr>
          <w:p>
            <w:pPr>
              <w:jc w:val="right"/>
              <w:ind w:right="790"/>
              <w:spacing w:after="0"/>
              <w:rPr>
                <w:sz w:val="20"/>
                <w:szCs w:val="20"/>
                <w:color w:val="auto"/>
              </w:rPr>
            </w:pPr>
            <w:r>
              <w:rPr>
                <w:rFonts w:ascii="Arial" w:cs="Arial" w:eastAsia="Arial" w:hAnsi="Arial"/>
                <w:sz w:val="18"/>
                <w:szCs w:val="18"/>
                <w:color w:val="auto"/>
              </w:rPr>
              <w:t>35%</w:t>
            </w:r>
          </w:p>
        </w:tc>
        <w:tc>
          <w:tcPr>
            <w:tcW w:w="960" w:type="dxa"/>
            <w:vAlign w:val="bottom"/>
          </w:tcPr>
          <w:p>
            <w:pPr>
              <w:jc w:val="right"/>
              <w:ind w:right="190"/>
              <w:spacing w:after="0"/>
              <w:rPr>
                <w:sz w:val="20"/>
                <w:szCs w:val="20"/>
                <w:color w:val="auto"/>
              </w:rPr>
            </w:pPr>
            <w:r>
              <w:rPr>
                <w:rFonts w:ascii="Arial" w:cs="Arial" w:eastAsia="Arial" w:hAnsi="Arial"/>
                <w:sz w:val="18"/>
                <w:szCs w:val="18"/>
                <w:color w:val="auto"/>
              </w:rPr>
              <w:t>39%</w:t>
            </w:r>
          </w:p>
        </w:tc>
      </w:tr>
      <w:tr>
        <w:trPr>
          <w:trHeight w:val="27"/>
        </w:trPr>
        <w:tc>
          <w:tcPr>
            <w:tcW w:w="406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9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Private Equity</w:t>
            </w:r>
          </w:p>
        </w:tc>
        <w:tc>
          <w:tcPr>
            <w:tcW w:w="3160" w:type="dxa"/>
            <w:vAlign w:val="bottom"/>
            <w:tcBorders>
              <w:bottom w:val="single" w:sz="8" w:color="CCEEFF"/>
            </w:tcBorders>
            <w:shd w:val="clear" w:color="auto" w:fill="CCEEFF"/>
          </w:tcPr>
          <w:p>
            <w:pPr>
              <w:jc w:val="right"/>
              <w:ind w:right="650"/>
              <w:spacing w:after="0"/>
              <w:rPr>
                <w:sz w:val="20"/>
                <w:szCs w:val="20"/>
                <w:color w:val="auto"/>
              </w:rPr>
            </w:pPr>
            <w:r>
              <w:rPr>
                <w:rFonts w:ascii="Arial" w:cs="Arial" w:eastAsia="Arial" w:hAnsi="Arial"/>
                <w:sz w:val="18"/>
                <w:szCs w:val="18"/>
                <w:color w:val="auto"/>
              </w:rPr>
              <w:t>13%</w:t>
            </w:r>
          </w:p>
        </w:tc>
        <w:tc>
          <w:tcPr>
            <w:tcW w:w="12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16%</w:t>
            </w:r>
          </w:p>
        </w:tc>
        <w:tc>
          <w:tcPr>
            <w:tcW w:w="1980" w:type="dxa"/>
            <w:vAlign w:val="bottom"/>
            <w:tcBorders>
              <w:bottom w:val="single" w:sz="8" w:color="CCEEFF"/>
            </w:tcBorders>
            <w:shd w:val="clear" w:color="auto" w:fill="CCEEFF"/>
          </w:tcPr>
          <w:p>
            <w:pPr>
              <w:jc w:val="right"/>
              <w:ind w:right="790"/>
              <w:spacing w:after="0"/>
              <w:rPr>
                <w:sz w:val="20"/>
                <w:szCs w:val="20"/>
                <w:color w:val="auto"/>
              </w:rPr>
            </w:pPr>
            <w:r>
              <w:rPr>
                <w:rFonts w:ascii="Arial" w:cs="Arial" w:eastAsia="Arial" w:hAnsi="Arial"/>
                <w:sz w:val="18"/>
                <w:szCs w:val="18"/>
                <w:color w:val="auto"/>
              </w:rPr>
              <w:t>9%</w:t>
            </w:r>
          </w:p>
        </w:tc>
        <w:tc>
          <w:tcPr>
            <w:tcW w:w="9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10%</w:t>
            </w:r>
          </w:p>
        </w:tc>
      </w:tr>
      <w:tr>
        <w:trPr>
          <w:trHeight w:val="243"/>
        </w:trPr>
        <w:tc>
          <w:tcPr>
            <w:tcW w:w="4060" w:type="dxa"/>
            <w:vAlign w:val="bottom"/>
          </w:tcPr>
          <w:p>
            <w:pPr>
              <w:ind w:left="40"/>
              <w:spacing w:after="0"/>
              <w:rPr>
                <w:sz w:val="20"/>
                <w:szCs w:val="20"/>
                <w:color w:val="auto"/>
              </w:rPr>
            </w:pPr>
            <w:r>
              <w:rPr>
                <w:rFonts w:ascii="Arial" w:cs="Arial" w:eastAsia="Arial" w:hAnsi="Arial"/>
                <w:sz w:val="18"/>
                <w:szCs w:val="18"/>
                <w:color w:val="auto"/>
              </w:rPr>
              <w:t>Real Estate</w:t>
            </w:r>
          </w:p>
        </w:tc>
        <w:tc>
          <w:tcPr>
            <w:tcW w:w="3160" w:type="dxa"/>
            <w:vAlign w:val="bottom"/>
          </w:tcPr>
          <w:p>
            <w:pPr>
              <w:jc w:val="right"/>
              <w:ind w:right="650"/>
              <w:spacing w:after="0"/>
              <w:rPr>
                <w:sz w:val="20"/>
                <w:szCs w:val="20"/>
                <w:color w:val="auto"/>
              </w:rPr>
            </w:pPr>
            <w:r>
              <w:rPr>
                <w:rFonts w:ascii="Arial" w:cs="Arial" w:eastAsia="Arial" w:hAnsi="Arial"/>
                <w:sz w:val="18"/>
                <w:szCs w:val="18"/>
                <w:color w:val="auto"/>
              </w:rPr>
              <w:t>5%</w:t>
            </w:r>
          </w:p>
        </w:tc>
        <w:tc>
          <w:tcPr>
            <w:tcW w:w="1260" w:type="dxa"/>
            <w:vAlign w:val="bottom"/>
          </w:tcPr>
          <w:p>
            <w:pPr>
              <w:jc w:val="right"/>
              <w:ind w:right="350"/>
              <w:spacing w:after="0"/>
              <w:rPr>
                <w:sz w:val="20"/>
                <w:szCs w:val="20"/>
                <w:color w:val="auto"/>
              </w:rPr>
            </w:pPr>
            <w:r>
              <w:rPr>
                <w:rFonts w:ascii="Arial" w:cs="Arial" w:eastAsia="Arial" w:hAnsi="Arial"/>
                <w:sz w:val="18"/>
                <w:szCs w:val="18"/>
                <w:color w:val="auto"/>
              </w:rPr>
              <w:t>5%</w:t>
            </w:r>
          </w:p>
        </w:tc>
        <w:tc>
          <w:tcPr>
            <w:tcW w:w="1980" w:type="dxa"/>
            <w:vAlign w:val="bottom"/>
          </w:tcPr>
          <w:p>
            <w:pPr>
              <w:jc w:val="right"/>
              <w:ind w:right="93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50"/>
              <w:spacing w:after="0"/>
              <w:rPr>
                <w:sz w:val="20"/>
                <w:szCs w:val="20"/>
                <w:color w:val="auto"/>
              </w:rPr>
            </w:pPr>
            <w:r>
              <w:rPr>
                <w:rFonts w:ascii="Arial" w:cs="Arial" w:eastAsia="Arial" w:hAnsi="Arial"/>
                <w:sz w:val="18"/>
                <w:szCs w:val="18"/>
                <w:color w:val="auto"/>
              </w:rPr>
              <w:t>—</w:t>
            </w:r>
          </w:p>
        </w:tc>
      </w:tr>
      <w:tr>
        <w:trPr>
          <w:trHeight w:val="27"/>
        </w:trPr>
        <w:tc>
          <w:tcPr>
            <w:tcW w:w="4060" w:type="dxa"/>
            <w:vAlign w:val="bottom"/>
            <w:tcBorders>
              <w:bottom w:val="single" w:sz="8" w:color="auto"/>
            </w:tcBorders>
          </w:tcPr>
          <w:p>
            <w:pPr>
              <w:spacing w:after="0"/>
              <w:rPr>
                <w:sz w:val="2"/>
                <w:szCs w:val="2"/>
                <w:color w:val="auto"/>
              </w:rPr>
            </w:pPr>
          </w:p>
        </w:tc>
        <w:tc>
          <w:tcPr>
            <w:tcW w:w="3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4060" w:type="dxa"/>
            <w:vAlign w:val="bottom"/>
            <w:tcBorders>
              <w:bottom w:val="single" w:sz="8" w:color="CCEEFF"/>
            </w:tcBorders>
            <w:shd w:val="clear" w:color="auto" w:fill="CCEEFF"/>
          </w:tcPr>
          <w:p>
            <w:pPr>
              <w:spacing w:after="0"/>
              <w:rPr>
                <w:sz w:val="21"/>
                <w:szCs w:val="21"/>
                <w:color w:val="auto"/>
              </w:rPr>
            </w:pPr>
          </w:p>
        </w:tc>
        <w:tc>
          <w:tcPr>
            <w:tcW w:w="3160" w:type="dxa"/>
            <w:vAlign w:val="bottom"/>
            <w:tcBorders>
              <w:bottom w:val="single" w:sz="8" w:color="CCEEFF"/>
            </w:tcBorders>
            <w:shd w:val="clear" w:color="auto" w:fill="CCEEFF"/>
          </w:tcPr>
          <w:p>
            <w:pPr>
              <w:jc w:val="right"/>
              <w:ind w:right="650"/>
              <w:spacing w:after="0"/>
              <w:rPr>
                <w:sz w:val="20"/>
                <w:szCs w:val="20"/>
                <w:color w:val="auto"/>
              </w:rPr>
            </w:pPr>
            <w:r>
              <w:rPr>
                <w:rFonts w:ascii="Arial" w:cs="Arial" w:eastAsia="Arial" w:hAnsi="Arial"/>
                <w:sz w:val="18"/>
                <w:szCs w:val="18"/>
                <w:color w:val="auto"/>
              </w:rPr>
              <w:t>100%</w:t>
            </w:r>
          </w:p>
        </w:tc>
        <w:tc>
          <w:tcPr>
            <w:tcW w:w="12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100%</w:t>
            </w:r>
          </w:p>
        </w:tc>
        <w:tc>
          <w:tcPr>
            <w:tcW w:w="1980" w:type="dxa"/>
            <w:vAlign w:val="bottom"/>
            <w:tcBorders>
              <w:bottom w:val="single" w:sz="8" w:color="CCEEFF"/>
            </w:tcBorders>
            <w:shd w:val="clear" w:color="auto" w:fill="CCEEFF"/>
          </w:tcPr>
          <w:p>
            <w:pPr>
              <w:jc w:val="right"/>
              <w:ind w:right="790"/>
              <w:spacing w:after="0"/>
              <w:rPr>
                <w:sz w:val="20"/>
                <w:szCs w:val="20"/>
                <w:color w:val="auto"/>
              </w:rPr>
            </w:pPr>
            <w:r>
              <w:rPr>
                <w:rFonts w:ascii="Arial" w:cs="Arial" w:eastAsia="Arial" w:hAnsi="Arial"/>
                <w:sz w:val="18"/>
                <w:szCs w:val="18"/>
                <w:color w:val="auto"/>
              </w:rPr>
              <w:t>100%</w:t>
            </w:r>
          </w:p>
        </w:tc>
        <w:tc>
          <w:tcPr>
            <w:tcW w:w="9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100%</w:t>
            </w:r>
          </w:p>
        </w:tc>
      </w:tr>
      <w:tr>
        <w:trPr>
          <w:trHeight w:val="20"/>
        </w:trPr>
        <w:tc>
          <w:tcPr>
            <w:tcW w:w="4060" w:type="dxa"/>
            <w:vAlign w:val="bottom"/>
            <w:shd w:val="clear" w:color="auto" w:fill="000000"/>
          </w:tcPr>
          <w:p>
            <w:pPr>
              <w:spacing w:after="0" w:line="20" w:lineRule="exact"/>
              <w:rPr>
                <w:sz w:val="1"/>
                <w:szCs w:val="1"/>
                <w:color w:val="auto"/>
              </w:rPr>
            </w:pPr>
          </w:p>
        </w:tc>
        <w:tc>
          <w:tcPr>
            <w:tcW w:w="31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r>
    </w:tbl>
    <w:p>
      <w:pPr>
        <w:spacing w:after="0"/>
        <w:tabs>
          <w:tab w:leader="none" w:pos="320" w:val="left"/>
        </w:tabs>
        <w:rPr>
          <w:sz w:val="20"/>
          <w:szCs w:val="20"/>
          <w:color w:val="auto"/>
        </w:rPr>
      </w:pPr>
      <w:r>
        <w:rPr>
          <w:rFonts w:ascii="Arial" w:cs="Arial" w:eastAsia="Arial" w:hAnsi="Arial"/>
          <w:sz w:val="16"/>
          <w:szCs w:val="16"/>
          <w:i w:val="1"/>
          <w:iCs w:val="1"/>
          <w:color w:val="auto"/>
        </w:rPr>
        <w:t>(a)</w:t>
      </w:r>
      <w:r>
        <w:rPr>
          <w:sz w:val="20"/>
          <w:szCs w:val="20"/>
          <w:color w:val="auto"/>
        </w:rPr>
        <w:tab/>
      </w:r>
      <w:r>
        <w:rPr>
          <w:rFonts w:ascii="Arial" w:cs="Arial" w:eastAsia="Arial" w:hAnsi="Arial"/>
          <w:sz w:val="14"/>
          <w:szCs w:val="14"/>
          <w:i w:val="1"/>
          <w:iCs w:val="1"/>
          <w:color w:val="auto"/>
        </w:rPr>
        <w:t>Includes VEBAs and irrevocable grantor trusts.</w:t>
      </w:r>
    </w:p>
    <w:p>
      <w:pPr>
        <w:spacing w:after="0" w:line="20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were no shares of ALLETE common stock included in pension plan equity securities at December 31, 2012 ($20.0 million, approximately 0.5 million shares, in 2011).</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To achieve strong returns within managed risk, we diversify our asset portfolio to approximate the target allocations in the table below. Equity securities are diversified among domestic companies with large, mid and small market capitalizations, as well as investments in international companies. The majority of debt securities are made up of investment grade bonds.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00" w:type="dxa"/>
            <w:vAlign w:val="bottom"/>
          </w:tcPr>
          <w:p>
            <w:pPr>
              <w:ind w:left="40"/>
              <w:spacing w:after="0"/>
              <w:rPr>
                <w:sz w:val="20"/>
                <w:szCs w:val="20"/>
                <w:color w:val="auto"/>
              </w:rPr>
            </w:pPr>
            <w:r>
              <w:rPr>
                <w:rFonts w:ascii="Arial" w:cs="Arial" w:eastAsia="Arial" w:hAnsi="Arial"/>
                <w:sz w:val="18"/>
                <w:szCs w:val="18"/>
                <w:b w:val="1"/>
                <w:bCs w:val="1"/>
                <w:color w:val="auto"/>
              </w:rPr>
              <w:t>Plan Asset Target Allocations</w:t>
            </w:r>
          </w:p>
        </w:tc>
        <w:tc>
          <w:tcPr>
            <w:tcW w:w="4200" w:type="dxa"/>
            <w:vAlign w:val="bottom"/>
          </w:tcPr>
          <w:p>
            <w:pPr>
              <w:spacing w:after="0"/>
              <w:rPr>
                <w:sz w:val="20"/>
                <w:szCs w:val="20"/>
                <w:color w:val="auto"/>
              </w:rPr>
            </w:pPr>
          </w:p>
        </w:tc>
        <w:tc>
          <w:tcPr>
            <w:tcW w:w="1920" w:type="dxa"/>
            <w:vAlign w:val="bottom"/>
          </w:tcPr>
          <w:p>
            <w:pPr>
              <w:spacing w:after="0"/>
              <w:rPr>
                <w:sz w:val="20"/>
                <w:szCs w:val="20"/>
                <w:color w:val="auto"/>
              </w:rPr>
            </w:pPr>
          </w:p>
        </w:tc>
      </w:tr>
      <w:tr>
        <w:trPr>
          <w:trHeight w:val="270"/>
        </w:trPr>
        <w:tc>
          <w:tcPr>
            <w:tcW w:w="5300" w:type="dxa"/>
            <w:vAlign w:val="bottom"/>
          </w:tcPr>
          <w:p>
            <w:pPr>
              <w:spacing w:after="0"/>
              <w:rPr>
                <w:sz w:val="23"/>
                <w:szCs w:val="23"/>
                <w:color w:val="auto"/>
              </w:rPr>
            </w:pPr>
          </w:p>
        </w:tc>
        <w:tc>
          <w:tcPr>
            <w:tcW w:w="4200" w:type="dxa"/>
            <w:vAlign w:val="bottom"/>
          </w:tcPr>
          <w:p>
            <w:pPr>
              <w:spacing w:after="0"/>
              <w:rPr>
                <w:sz w:val="23"/>
                <w:szCs w:val="23"/>
                <w:color w:val="auto"/>
              </w:rPr>
            </w:pPr>
          </w:p>
        </w:tc>
        <w:tc>
          <w:tcPr>
            <w:tcW w:w="1920" w:type="dxa"/>
            <w:vAlign w:val="bottom"/>
          </w:tcPr>
          <w:p>
            <w:pPr>
              <w:jc w:val="right"/>
              <w:ind w:right="290"/>
              <w:spacing w:after="0"/>
              <w:rPr>
                <w:sz w:val="20"/>
                <w:szCs w:val="20"/>
                <w:color w:val="auto"/>
              </w:rPr>
            </w:pPr>
            <w:r>
              <w:rPr>
                <w:rFonts w:ascii="Arial" w:cs="Arial" w:eastAsia="Arial" w:hAnsi="Arial"/>
                <w:sz w:val="18"/>
                <w:szCs w:val="18"/>
                <w:b w:val="1"/>
                <w:bCs w:val="1"/>
                <w:color w:val="auto"/>
              </w:rPr>
              <w:t>Postretirement</w:t>
            </w:r>
          </w:p>
        </w:tc>
      </w:tr>
      <w:tr>
        <w:trPr>
          <w:trHeight w:val="270"/>
        </w:trPr>
        <w:tc>
          <w:tcPr>
            <w:tcW w:w="5300" w:type="dxa"/>
            <w:vAlign w:val="bottom"/>
          </w:tcPr>
          <w:p>
            <w:pPr>
              <w:spacing w:after="0"/>
              <w:rPr>
                <w:sz w:val="23"/>
                <w:szCs w:val="23"/>
                <w:color w:val="auto"/>
              </w:rPr>
            </w:pPr>
          </w:p>
        </w:tc>
        <w:tc>
          <w:tcPr>
            <w:tcW w:w="4200" w:type="dxa"/>
            <w:vAlign w:val="bottom"/>
          </w:tcPr>
          <w:p>
            <w:pPr>
              <w:jc w:val="right"/>
              <w:ind w:right="490"/>
              <w:spacing w:after="0"/>
              <w:rPr>
                <w:sz w:val="20"/>
                <w:szCs w:val="20"/>
                <w:color w:val="auto"/>
              </w:rPr>
            </w:pPr>
            <w:r>
              <w:rPr>
                <w:rFonts w:ascii="Arial" w:cs="Arial" w:eastAsia="Arial" w:hAnsi="Arial"/>
                <w:sz w:val="18"/>
                <w:szCs w:val="18"/>
                <w:b w:val="1"/>
                <w:bCs w:val="1"/>
                <w:color w:val="auto"/>
              </w:rPr>
              <w:t>Pension</w:t>
            </w:r>
          </w:p>
        </w:tc>
        <w:tc>
          <w:tcPr>
            <w:tcW w:w="1920" w:type="dxa"/>
            <w:vAlign w:val="bottom"/>
          </w:tcPr>
          <w:p>
            <w:pPr>
              <w:jc w:val="right"/>
              <w:ind w:right="130"/>
              <w:spacing w:after="0"/>
              <w:rPr>
                <w:sz w:val="20"/>
                <w:szCs w:val="20"/>
                <w:color w:val="auto"/>
              </w:rPr>
            </w:pPr>
            <w:r>
              <w:rPr>
                <w:rFonts w:ascii="Arial" w:cs="Arial" w:eastAsia="Arial" w:hAnsi="Arial"/>
                <w:sz w:val="18"/>
                <w:szCs w:val="18"/>
                <w:b w:val="1"/>
                <w:bCs w:val="1"/>
                <w:color w:val="auto"/>
              </w:rPr>
              <w:t xml:space="preserve">Health and Life </w:t>
            </w:r>
            <w:r>
              <w:rPr>
                <w:rFonts w:ascii="Arial" w:cs="Arial" w:eastAsia="Arial" w:hAnsi="Arial"/>
                <w:sz w:val="18"/>
                <w:szCs w:val="18"/>
                <w:b w:val="1"/>
                <w:bCs w:val="1"/>
                <w:i w:val="1"/>
                <w:iCs w:val="1"/>
                <w:color w:val="auto"/>
              </w:rPr>
              <w:t>(a)</w:t>
            </w:r>
          </w:p>
        </w:tc>
      </w:tr>
      <w:tr>
        <w:trPr>
          <w:trHeight w:val="27"/>
        </w:trPr>
        <w:tc>
          <w:tcPr>
            <w:tcW w:w="5300" w:type="dxa"/>
            <w:vAlign w:val="bottom"/>
            <w:tcBorders>
              <w:bottom w:val="single" w:sz="8" w:color="auto"/>
            </w:tcBorders>
          </w:tcPr>
          <w:p>
            <w:pPr>
              <w:spacing w:after="0"/>
              <w:rPr>
                <w:sz w:val="2"/>
                <w:szCs w:val="2"/>
                <w:color w:val="auto"/>
              </w:rPr>
            </w:pPr>
          </w:p>
        </w:tc>
        <w:tc>
          <w:tcPr>
            <w:tcW w:w="42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44"/>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Securities</w:t>
            </w:r>
          </w:p>
        </w:tc>
        <w:tc>
          <w:tcPr>
            <w:tcW w:w="42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52%</w:t>
            </w:r>
          </w:p>
        </w:tc>
        <w:tc>
          <w:tcPr>
            <w:tcW w:w="19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48%</w:t>
            </w:r>
          </w:p>
        </w:tc>
      </w:tr>
      <w:tr>
        <w:trPr>
          <w:trHeight w:val="243"/>
        </w:trPr>
        <w:tc>
          <w:tcPr>
            <w:tcW w:w="5300" w:type="dxa"/>
            <w:vAlign w:val="bottom"/>
          </w:tcPr>
          <w:p>
            <w:pPr>
              <w:ind w:left="40"/>
              <w:spacing w:after="0"/>
              <w:rPr>
                <w:sz w:val="20"/>
                <w:szCs w:val="20"/>
                <w:color w:val="auto"/>
              </w:rPr>
            </w:pPr>
            <w:r>
              <w:rPr>
                <w:rFonts w:ascii="Arial" w:cs="Arial" w:eastAsia="Arial" w:hAnsi="Arial"/>
                <w:sz w:val="18"/>
                <w:szCs w:val="18"/>
                <w:color w:val="auto"/>
              </w:rPr>
              <w:t>Debt Securities</w:t>
            </w:r>
          </w:p>
        </w:tc>
        <w:tc>
          <w:tcPr>
            <w:tcW w:w="4200" w:type="dxa"/>
            <w:vAlign w:val="bottom"/>
          </w:tcPr>
          <w:p>
            <w:pPr>
              <w:jc w:val="right"/>
              <w:ind w:right="170"/>
              <w:spacing w:after="0"/>
              <w:rPr>
                <w:sz w:val="20"/>
                <w:szCs w:val="20"/>
                <w:color w:val="auto"/>
              </w:rPr>
            </w:pPr>
            <w:r>
              <w:rPr>
                <w:rFonts w:ascii="Arial" w:cs="Arial" w:eastAsia="Arial" w:hAnsi="Arial"/>
                <w:sz w:val="18"/>
                <w:szCs w:val="18"/>
                <w:color w:val="auto"/>
              </w:rPr>
              <w:t>30%</w:t>
            </w:r>
          </w:p>
        </w:tc>
        <w:tc>
          <w:tcPr>
            <w:tcW w:w="1920" w:type="dxa"/>
            <w:vAlign w:val="bottom"/>
          </w:tcPr>
          <w:p>
            <w:pPr>
              <w:jc w:val="right"/>
              <w:ind w:right="190"/>
              <w:spacing w:after="0"/>
              <w:rPr>
                <w:sz w:val="20"/>
                <w:szCs w:val="20"/>
                <w:color w:val="auto"/>
              </w:rPr>
            </w:pPr>
            <w:r>
              <w:rPr>
                <w:rFonts w:ascii="Arial" w:cs="Arial" w:eastAsia="Arial" w:hAnsi="Arial"/>
                <w:sz w:val="18"/>
                <w:szCs w:val="18"/>
                <w:color w:val="auto"/>
              </w:rPr>
              <w:t>34%</w:t>
            </w:r>
          </w:p>
        </w:tc>
      </w:tr>
      <w:tr>
        <w:trPr>
          <w:trHeight w:val="27"/>
        </w:trPr>
        <w:tc>
          <w:tcPr>
            <w:tcW w:w="5300" w:type="dxa"/>
            <w:vAlign w:val="bottom"/>
          </w:tcPr>
          <w:p>
            <w:pPr>
              <w:spacing w:after="0"/>
              <w:rPr>
                <w:sz w:val="2"/>
                <w:szCs w:val="2"/>
                <w:color w:val="auto"/>
              </w:rPr>
            </w:pPr>
          </w:p>
        </w:tc>
        <w:tc>
          <w:tcPr>
            <w:tcW w:w="420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 Estate</w:t>
            </w:r>
          </w:p>
        </w:tc>
        <w:tc>
          <w:tcPr>
            <w:tcW w:w="42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9%</w:t>
            </w:r>
          </w:p>
        </w:tc>
        <w:tc>
          <w:tcPr>
            <w:tcW w:w="19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9%</w:t>
            </w:r>
          </w:p>
        </w:tc>
      </w:tr>
      <w:tr>
        <w:trPr>
          <w:trHeight w:val="243"/>
        </w:trPr>
        <w:tc>
          <w:tcPr>
            <w:tcW w:w="5300" w:type="dxa"/>
            <w:vAlign w:val="bottom"/>
          </w:tcPr>
          <w:p>
            <w:pPr>
              <w:ind w:left="40"/>
              <w:spacing w:after="0"/>
              <w:rPr>
                <w:sz w:val="20"/>
                <w:szCs w:val="20"/>
                <w:color w:val="auto"/>
              </w:rPr>
            </w:pPr>
            <w:r>
              <w:rPr>
                <w:rFonts w:ascii="Arial" w:cs="Arial" w:eastAsia="Arial" w:hAnsi="Arial"/>
                <w:sz w:val="18"/>
                <w:szCs w:val="18"/>
                <w:color w:val="auto"/>
              </w:rPr>
              <w:t>Private Equity</w:t>
            </w:r>
          </w:p>
        </w:tc>
        <w:tc>
          <w:tcPr>
            <w:tcW w:w="4200" w:type="dxa"/>
            <w:vAlign w:val="bottom"/>
          </w:tcPr>
          <w:p>
            <w:pPr>
              <w:jc w:val="right"/>
              <w:ind w:right="170"/>
              <w:spacing w:after="0"/>
              <w:rPr>
                <w:sz w:val="20"/>
                <w:szCs w:val="20"/>
                <w:color w:val="auto"/>
              </w:rPr>
            </w:pPr>
            <w:r>
              <w:rPr>
                <w:rFonts w:ascii="Arial" w:cs="Arial" w:eastAsia="Arial" w:hAnsi="Arial"/>
                <w:sz w:val="18"/>
                <w:szCs w:val="18"/>
                <w:color w:val="auto"/>
              </w:rPr>
              <w:t>9%</w:t>
            </w:r>
          </w:p>
        </w:tc>
        <w:tc>
          <w:tcPr>
            <w:tcW w:w="1920" w:type="dxa"/>
            <w:vAlign w:val="bottom"/>
          </w:tcPr>
          <w:p>
            <w:pPr>
              <w:jc w:val="right"/>
              <w:ind w:right="190"/>
              <w:spacing w:after="0"/>
              <w:rPr>
                <w:sz w:val="20"/>
                <w:szCs w:val="20"/>
                <w:color w:val="auto"/>
              </w:rPr>
            </w:pPr>
            <w:r>
              <w:rPr>
                <w:rFonts w:ascii="Arial" w:cs="Arial" w:eastAsia="Arial" w:hAnsi="Arial"/>
                <w:sz w:val="18"/>
                <w:szCs w:val="18"/>
                <w:color w:val="auto"/>
              </w:rPr>
              <w:t>9%</w:t>
            </w:r>
          </w:p>
        </w:tc>
      </w:tr>
      <w:tr>
        <w:trPr>
          <w:trHeight w:val="27"/>
        </w:trPr>
        <w:tc>
          <w:tcPr>
            <w:tcW w:w="5300" w:type="dxa"/>
            <w:vAlign w:val="bottom"/>
            <w:tcBorders>
              <w:bottom w:val="single" w:sz="8" w:color="auto"/>
            </w:tcBorders>
          </w:tcPr>
          <w:p>
            <w:pPr>
              <w:spacing w:after="0"/>
              <w:rPr>
                <w:sz w:val="2"/>
                <w:szCs w:val="2"/>
                <w:color w:val="auto"/>
              </w:rPr>
            </w:pPr>
          </w:p>
        </w:tc>
        <w:tc>
          <w:tcPr>
            <w:tcW w:w="42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44"/>
        </w:trPr>
        <w:tc>
          <w:tcPr>
            <w:tcW w:w="5300" w:type="dxa"/>
            <w:vAlign w:val="bottom"/>
            <w:tcBorders>
              <w:bottom w:val="single" w:sz="8" w:color="CCEEFF"/>
            </w:tcBorders>
            <w:shd w:val="clear" w:color="auto" w:fill="CCEEFF"/>
          </w:tcPr>
          <w:p>
            <w:pPr>
              <w:spacing w:after="0"/>
              <w:rPr>
                <w:sz w:val="21"/>
                <w:szCs w:val="21"/>
                <w:color w:val="auto"/>
              </w:rPr>
            </w:pPr>
          </w:p>
        </w:tc>
        <w:tc>
          <w:tcPr>
            <w:tcW w:w="42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100%</w:t>
            </w:r>
          </w:p>
        </w:tc>
      </w:tr>
      <w:tr>
        <w:trPr>
          <w:trHeight w:val="20"/>
        </w:trPr>
        <w:tc>
          <w:tcPr>
            <w:tcW w:w="5300" w:type="dxa"/>
            <w:vAlign w:val="bottom"/>
            <w:shd w:val="clear" w:color="auto" w:fill="000000"/>
          </w:tcPr>
          <w:p>
            <w:pPr>
              <w:spacing w:after="0" w:line="20" w:lineRule="exact"/>
              <w:rPr>
                <w:sz w:val="1"/>
                <w:szCs w:val="1"/>
                <w:color w:val="auto"/>
              </w:rPr>
            </w:pPr>
          </w:p>
        </w:tc>
        <w:tc>
          <w:tcPr>
            <w:tcW w:w="4200" w:type="dxa"/>
            <w:vAlign w:val="bottom"/>
            <w:shd w:val="clear" w:color="auto" w:fill="000000"/>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r>
    </w:tbl>
    <w:p>
      <w:pPr>
        <w:spacing w:after="0"/>
        <w:tabs>
          <w:tab w:leader="none" w:pos="320" w:val="left"/>
        </w:tabs>
        <w:rPr>
          <w:sz w:val="20"/>
          <w:szCs w:val="20"/>
          <w:color w:val="auto"/>
        </w:rPr>
      </w:pPr>
      <w:r>
        <w:rPr>
          <w:rFonts w:ascii="Arial" w:cs="Arial" w:eastAsia="Arial" w:hAnsi="Arial"/>
          <w:sz w:val="16"/>
          <w:szCs w:val="16"/>
          <w:i w:val="1"/>
          <w:iCs w:val="1"/>
          <w:color w:val="auto"/>
        </w:rPr>
        <w:t>(a)</w:t>
      </w:r>
      <w:r>
        <w:rPr>
          <w:sz w:val="20"/>
          <w:szCs w:val="20"/>
          <w:color w:val="auto"/>
        </w:rPr>
        <w:tab/>
      </w:r>
      <w:r>
        <w:rPr>
          <w:rFonts w:ascii="Arial" w:cs="Arial" w:eastAsia="Arial" w:hAnsi="Arial"/>
          <w:sz w:val="14"/>
          <w:szCs w:val="14"/>
          <w:i w:val="1"/>
          <w:iCs w:val="1"/>
          <w:color w:val="auto"/>
        </w:rPr>
        <w:t>Includes VEBAs and irrevocable grantor trusts.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Fair value is the price that would be received to sell an asset or paid to transfer a liability in an orderly transaction between market participants at the measurement date (exit price). We utilize market data or assumptions that market participants would use in pricing the asset or liability, including assumptions about risk and the risks inherent in the inputs to the valuation technique. These inputs can be readily observable, market corroborated, or generally unobservable. We primarily apply the market approach for recurring fair value measurements and endeavor to utilize the best available information. Accordingly, we utilize valuation techniques that maximize the use of observable inputs and minimize the use of unobservable inputs. These inputs, which are used to measure fair value, are prioritized through the fair value hierarchy. The hierarchy gives the highest priority to unadjusted quoted prices in active markets for identical assets or liabilities (Level 1 measurement) and the lowest priority to unobservable inputs (Level 3 measurement). The three levels of the fair value hierarchy are as follows:</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Level 1 — Quoted prices are available in active markets for identical assets or liabilities as of the reported date. Active markets are those in which transactions for the asset or liability occur in sufficient frequency and volume to provide pricing information on an ongoing basis. This category includes various U.S. equity securities, public mutual funds, and futures. These instruments are valued using the closing price from the applicable exchange or whose value is quoted and readily traded daily.</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Level 2 — Pricing inputs are other than quoted prices in active markets, but are either directly or indirectly observable as of the reported date. The types of assets and liabilities included in Level 2 are typically either comparable to actively traded securities or contracts, such as treasury securities with pricing interpolated from recent trades of similar securities, or priced with models using highly observable inputs. This category includes various bonds and non-public funds whose underlying investments may be level 1 or level 2 securities.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2012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20"/>
          </w:cols>
          <w:pgMar w:left="240" w:top="364" w:right="23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b w:val="1"/>
          <w:bCs w:val="1"/>
          <w:color w:val="auto"/>
        </w:rPr>
        <w:t>NOTE 15. PENSION AND OTHER POSTRETIREMENT BENEFIT PLANS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(Continued)</w:t>
      </w:r>
    </w:p>
    <w:p>
      <w:pPr>
        <w:spacing w:after="0" w:line="21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Level 3 — Significant inputs that are generally less observable from objective sources. The types of assets and liabilities included in Level 3 are those with inputs requiring significant management judgment or estimation, such as the complex and subjective models and forecasts used to determine the fair value. This category includes private equity funds and real estate valued through external appraisal processes. Valuation methodologies incorporate pricing models, discounted cash flow models, and similar techniques which utilize capitalization rates, discount rates, cash flows and other factors.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Fair Value</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02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w w:val="91"/>
              </w:rPr>
              <w:t>Fair Value as of December 31, 2012</w:t>
            </w:r>
          </w:p>
        </w:tc>
        <w:tc>
          <w:tcPr>
            <w:tcW w:w="1120" w:type="dxa"/>
            <w:vAlign w:val="bottom"/>
          </w:tcPr>
          <w:p>
            <w:pPr>
              <w:spacing w:after="0"/>
              <w:rPr>
                <w:sz w:val="20"/>
                <w:szCs w:val="20"/>
                <w:color w:val="auto"/>
              </w:rPr>
            </w:pPr>
          </w:p>
        </w:tc>
      </w:tr>
      <w:tr>
        <w:trPr>
          <w:trHeight w:val="27"/>
        </w:trPr>
        <w:tc>
          <w:tcPr>
            <w:tcW w:w="596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5960" w:type="dxa"/>
            <w:vAlign w:val="bottom"/>
          </w:tcPr>
          <w:p>
            <w:pPr>
              <w:ind w:left="40"/>
              <w:spacing w:after="0"/>
              <w:rPr>
                <w:sz w:val="20"/>
                <w:szCs w:val="20"/>
                <w:color w:val="auto"/>
              </w:rPr>
            </w:pPr>
            <w:r>
              <w:rPr>
                <w:rFonts w:ascii="Arial" w:cs="Arial" w:eastAsia="Arial" w:hAnsi="Arial"/>
                <w:sz w:val="18"/>
                <w:szCs w:val="18"/>
                <w:b w:val="1"/>
                <w:bCs w:val="1"/>
                <w:color w:val="auto"/>
              </w:rPr>
              <w:t>Recurring Fair Value Measures</w:t>
            </w:r>
          </w:p>
        </w:tc>
        <w:tc>
          <w:tcPr>
            <w:tcW w:w="1320" w:type="dxa"/>
            <w:vAlign w:val="bottom"/>
          </w:tcPr>
          <w:p>
            <w:pPr>
              <w:jc w:val="right"/>
              <w:ind w:right="270"/>
              <w:spacing w:after="0"/>
              <w:rPr>
                <w:sz w:val="20"/>
                <w:szCs w:val="20"/>
                <w:color w:val="auto"/>
              </w:rPr>
            </w:pPr>
            <w:r>
              <w:rPr>
                <w:rFonts w:ascii="Arial" w:cs="Arial" w:eastAsia="Arial" w:hAnsi="Arial"/>
                <w:sz w:val="18"/>
                <w:szCs w:val="18"/>
                <w:b w:val="1"/>
                <w:bCs w:val="1"/>
                <w:color w:val="auto"/>
              </w:rPr>
              <w:t>Level 1</w:t>
            </w:r>
          </w:p>
        </w:tc>
        <w:tc>
          <w:tcPr>
            <w:tcW w:w="1580" w:type="dxa"/>
            <w:vAlign w:val="bottom"/>
          </w:tcPr>
          <w:p>
            <w:pPr>
              <w:jc w:val="right"/>
              <w:ind w:right="470"/>
              <w:spacing w:after="0"/>
              <w:rPr>
                <w:sz w:val="20"/>
                <w:szCs w:val="20"/>
                <w:color w:val="auto"/>
              </w:rPr>
            </w:pPr>
            <w:r>
              <w:rPr>
                <w:rFonts w:ascii="Arial" w:cs="Arial" w:eastAsia="Arial" w:hAnsi="Arial"/>
                <w:sz w:val="18"/>
                <w:szCs w:val="18"/>
                <w:b w:val="1"/>
                <w:bCs w:val="1"/>
                <w:color w:val="auto"/>
              </w:rPr>
              <w:t>Level 2</w:t>
            </w:r>
          </w:p>
        </w:tc>
        <w:tc>
          <w:tcPr>
            <w:tcW w:w="1440" w:type="dxa"/>
            <w:vAlign w:val="bottom"/>
          </w:tcPr>
          <w:p>
            <w:pPr>
              <w:jc w:val="right"/>
              <w:ind w:right="530"/>
              <w:spacing w:after="0"/>
              <w:rPr>
                <w:sz w:val="20"/>
                <w:szCs w:val="20"/>
                <w:color w:val="auto"/>
              </w:rPr>
            </w:pPr>
            <w:r>
              <w:rPr>
                <w:rFonts w:ascii="Arial" w:cs="Arial" w:eastAsia="Arial" w:hAnsi="Arial"/>
                <w:sz w:val="18"/>
                <w:szCs w:val="18"/>
                <w:b w:val="1"/>
                <w:bCs w:val="1"/>
                <w:color w:val="auto"/>
              </w:rPr>
              <w:t>Level 3</w:t>
            </w:r>
          </w:p>
        </w:tc>
        <w:tc>
          <w:tcPr>
            <w:tcW w:w="112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7"/>
        </w:trPr>
        <w:tc>
          <w:tcPr>
            <w:tcW w:w="59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596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13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7"/>
        </w:trPr>
        <w:tc>
          <w:tcPr>
            <w:tcW w:w="59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3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Equity Securities:</w:t>
            </w:r>
          </w:p>
        </w:tc>
        <w:tc>
          <w:tcPr>
            <w:tcW w:w="13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59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 xml:space="preserve">U.S. Large-cap </w:t>
            </w:r>
            <w:r>
              <w:rPr>
                <w:rFonts w:ascii="Arial" w:cs="Arial" w:eastAsia="Arial" w:hAnsi="Arial"/>
                <w:sz w:val="18"/>
                <w:szCs w:val="18"/>
                <w:i w:val="1"/>
                <w:iCs w:val="1"/>
                <w:color w:val="auto"/>
              </w:rPr>
              <w:t>(a)</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15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$36.0</w:t>
            </w:r>
          </w:p>
        </w:tc>
        <w:tc>
          <w:tcPr>
            <w:tcW w:w="1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$79.0</w:t>
            </w:r>
          </w:p>
        </w:tc>
      </w:tr>
      <w:tr>
        <w:trPr>
          <w:trHeight w:val="243"/>
        </w:trPr>
        <w:tc>
          <w:tcPr>
            <w:tcW w:w="5960" w:type="dxa"/>
            <w:vAlign w:val="bottom"/>
          </w:tcPr>
          <w:p>
            <w:pPr>
              <w:ind w:left="280"/>
              <w:spacing w:after="0"/>
              <w:rPr>
                <w:sz w:val="20"/>
                <w:szCs w:val="20"/>
                <w:color w:val="auto"/>
              </w:rPr>
            </w:pPr>
            <w:r>
              <w:rPr>
                <w:rFonts w:ascii="Arial" w:cs="Arial" w:eastAsia="Arial" w:hAnsi="Arial"/>
                <w:sz w:val="18"/>
                <w:szCs w:val="18"/>
                <w:color w:val="auto"/>
              </w:rPr>
              <w:t xml:space="preserve">U.S. Mid-cap Growth </w:t>
            </w:r>
            <w:r>
              <w:rPr>
                <w:rFonts w:ascii="Arial" w:cs="Arial" w:eastAsia="Arial" w:hAnsi="Arial"/>
                <w:sz w:val="18"/>
                <w:szCs w:val="18"/>
                <w:i w:val="1"/>
                <w:iCs w:val="1"/>
                <w:color w:val="auto"/>
              </w:rPr>
              <w:t>(a)</w:t>
            </w:r>
          </w:p>
        </w:tc>
        <w:tc>
          <w:tcPr>
            <w:tcW w:w="1320" w:type="dxa"/>
            <w:vAlign w:val="bottom"/>
          </w:tcPr>
          <w:p>
            <w:pPr>
              <w:jc w:val="right"/>
              <w:spacing w:after="0"/>
              <w:rPr>
                <w:sz w:val="20"/>
                <w:szCs w:val="20"/>
                <w:color w:val="auto"/>
              </w:rPr>
            </w:pPr>
            <w:r>
              <w:rPr>
                <w:rFonts w:ascii="Arial" w:cs="Arial" w:eastAsia="Arial" w:hAnsi="Arial"/>
                <w:sz w:val="18"/>
                <w:szCs w:val="18"/>
                <w:color w:val="auto"/>
              </w:rPr>
              <w:t>18.3</w:t>
            </w:r>
          </w:p>
        </w:tc>
        <w:tc>
          <w:tcPr>
            <w:tcW w:w="1580" w:type="dxa"/>
            <w:vAlign w:val="bottom"/>
          </w:tcPr>
          <w:p>
            <w:pPr>
              <w:jc w:val="right"/>
              <w:ind w:right="150"/>
              <w:spacing w:after="0"/>
              <w:rPr>
                <w:sz w:val="20"/>
                <w:szCs w:val="20"/>
                <w:color w:val="auto"/>
              </w:rPr>
            </w:pPr>
            <w:r>
              <w:rPr>
                <w:rFonts w:ascii="Arial" w:cs="Arial" w:eastAsia="Arial" w:hAnsi="Arial"/>
                <w:sz w:val="18"/>
                <w:szCs w:val="18"/>
                <w:color w:val="auto"/>
              </w:rPr>
              <w:t>15.3</w:t>
            </w:r>
          </w:p>
        </w:tc>
        <w:tc>
          <w:tcPr>
            <w:tcW w:w="14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33.6</w:t>
            </w:r>
          </w:p>
        </w:tc>
      </w:tr>
      <w:tr>
        <w:trPr>
          <w:trHeight w:val="27"/>
        </w:trPr>
        <w:tc>
          <w:tcPr>
            <w:tcW w:w="59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 xml:space="preserve">U.S. Small-cap </w:t>
            </w:r>
            <w:r>
              <w:rPr>
                <w:rFonts w:ascii="Arial" w:cs="Arial" w:eastAsia="Arial" w:hAnsi="Arial"/>
                <w:sz w:val="18"/>
                <w:szCs w:val="18"/>
                <w:i w:val="1"/>
                <w:iCs w:val="1"/>
                <w:color w:val="auto"/>
              </w:rPr>
              <w:t>(a)</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5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15.3</w:t>
            </w:r>
          </w:p>
        </w:tc>
        <w:tc>
          <w:tcPr>
            <w:tcW w:w="1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33.6</w:t>
            </w:r>
          </w:p>
        </w:tc>
      </w:tr>
      <w:tr>
        <w:trPr>
          <w:trHeight w:val="243"/>
        </w:trPr>
        <w:tc>
          <w:tcPr>
            <w:tcW w:w="5960" w:type="dxa"/>
            <w:vAlign w:val="bottom"/>
          </w:tcPr>
          <w:p>
            <w:pPr>
              <w:ind w:left="280"/>
              <w:spacing w:after="0"/>
              <w:rPr>
                <w:sz w:val="20"/>
                <w:szCs w:val="20"/>
                <w:color w:val="auto"/>
              </w:rPr>
            </w:pPr>
            <w:r>
              <w:rPr>
                <w:rFonts w:ascii="Arial" w:cs="Arial" w:eastAsia="Arial" w:hAnsi="Arial"/>
                <w:sz w:val="18"/>
                <w:szCs w:val="18"/>
                <w:color w:val="auto"/>
              </w:rPr>
              <w:t>International</w:t>
            </w:r>
          </w:p>
        </w:tc>
        <w:tc>
          <w:tcPr>
            <w:tcW w:w="1320" w:type="dxa"/>
            <w:vAlign w:val="bottom"/>
          </w:tcPr>
          <w:p>
            <w:pPr>
              <w:jc w:val="right"/>
              <w:spacing w:after="0"/>
              <w:rPr>
                <w:sz w:val="20"/>
                <w:szCs w:val="20"/>
                <w:color w:val="auto"/>
              </w:rPr>
            </w:pPr>
            <w:r>
              <w:rPr>
                <w:rFonts w:ascii="Arial" w:cs="Arial" w:eastAsia="Arial" w:hAnsi="Arial"/>
                <w:sz w:val="18"/>
                <w:szCs w:val="18"/>
                <w:color w:val="auto"/>
              </w:rPr>
              <w:t>50.5</w:t>
            </w:r>
          </w:p>
        </w:tc>
        <w:tc>
          <w:tcPr>
            <w:tcW w:w="1580" w:type="dxa"/>
            <w:vAlign w:val="bottom"/>
          </w:tcPr>
          <w:p>
            <w:pPr>
              <w:jc w:val="right"/>
              <w:ind w:right="150"/>
              <w:spacing w:after="0"/>
              <w:rPr>
                <w:sz w:val="20"/>
                <w:szCs w:val="20"/>
                <w:color w:val="auto"/>
              </w:rPr>
            </w:pPr>
            <w:r>
              <w:rPr>
                <w:rFonts w:ascii="Arial" w:cs="Arial" w:eastAsia="Arial" w:hAnsi="Arial"/>
                <w:sz w:val="18"/>
                <w:szCs w:val="18"/>
                <w:color w:val="auto"/>
              </w:rPr>
              <w:t>45.9</w:t>
            </w:r>
          </w:p>
        </w:tc>
        <w:tc>
          <w:tcPr>
            <w:tcW w:w="14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96.4</w:t>
            </w:r>
          </w:p>
        </w:tc>
      </w:tr>
      <w:tr>
        <w:trPr>
          <w:trHeight w:val="27"/>
        </w:trPr>
        <w:tc>
          <w:tcPr>
            <w:tcW w:w="59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Debt Securities:</w:t>
            </w:r>
          </w:p>
        </w:tc>
        <w:tc>
          <w:tcPr>
            <w:tcW w:w="13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960" w:type="dxa"/>
            <w:vAlign w:val="bottom"/>
          </w:tcPr>
          <w:p>
            <w:pPr>
              <w:ind w:left="280"/>
              <w:spacing w:after="0"/>
              <w:rPr>
                <w:sz w:val="20"/>
                <w:szCs w:val="20"/>
                <w:color w:val="auto"/>
              </w:rPr>
            </w:pPr>
            <w:r>
              <w:rPr>
                <w:rFonts w:ascii="Arial" w:cs="Arial" w:eastAsia="Arial" w:hAnsi="Arial"/>
                <w:sz w:val="18"/>
                <w:szCs w:val="18"/>
                <w:color w:val="auto"/>
              </w:rPr>
              <w:t>Mutual Funds</w:t>
            </w:r>
          </w:p>
        </w:tc>
        <w:tc>
          <w:tcPr>
            <w:tcW w:w="1320" w:type="dxa"/>
            <w:vAlign w:val="bottom"/>
          </w:tcPr>
          <w:p>
            <w:pPr>
              <w:jc w:val="right"/>
              <w:spacing w:after="0"/>
              <w:rPr>
                <w:sz w:val="20"/>
                <w:szCs w:val="20"/>
                <w:color w:val="auto"/>
              </w:rPr>
            </w:pPr>
            <w:r>
              <w:rPr>
                <w:rFonts w:ascii="Arial" w:cs="Arial" w:eastAsia="Arial" w:hAnsi="Arial"/>
                <w:sz w:val="18"/>
                <w:szCs w:val="18"/>
                <w:color w:val="auto"/>
              </w:rPr>
              <w:t>72.5</w:t>
            </w:r>
          </w:p>
        </w:tc>
        <w:tc>
          <w:tcPr>
            <w:tcW w:w="15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72.5</w:t>
            </w:r>
          </w:p>
        </w:tc>
      </w:tr>
      <w:tr>
        <w:trPr>
          <w:trHeight w:val="27"/>
        </w:trPr>
        <w:tc>
          <w:tcPr>
            <w:tcW w:w="59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Fixed Income</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5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50.8</w:t>
            </w:r>
          </w:p>
        </w:tc>
        <w:tc>
          <w:tcPr>
            <w:tcW w:w="1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61.2</w:t>
            </w: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Other Types of Investments:</w:t>
            </w:r>
          </w:p>
        </w:tc>
        <w:tc>
          <w:tcPr>
            <w:tcW w:w="13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59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Private Equity Funds</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$58.9</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58.9</w:t>
            </w: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Real Estate</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250"/>
              <w:spacing w:after="0"/>
              <w:rPr>
                <w:sz w:val="20"/>
                <w:szCs w:val="20"/>
                <w:color w:val="auto"/>
              </w:rPr>
            </w:pPr>
            <w:r>
              <w:rPr>
                <w:rFonts w:ascii="Arial" w:cs="Arial" w:eastAsia="Arial" w:hAnsi="Arial"/>
                <w:sz w:val="18"/>
                <w:szCs w:val="18"/>
                <w:color w:val="auto"/>
              </w:rPr>
              <w:t>24.9</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24.9</w:t>
            </w:r>
          </w:p>
        </w:tc>
      </w:tr>
      <w:tr>
        <w:trPr>
          <w:trHeight w:val="27"/>
        </w:trPr>
        <w:tc>
          <w:tcPr>
            <w:tcW w:w="59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Fair Value of Assets</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$213.0</w:t>
            </w:r>
          </w:p>
        </w:tc>
        <w:tc>
          <w:tcPr>
            <w:tcW w:w="15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$163.3</w:t>
            </w:r>
          </w:p>
        </w:tc>
        <w:tc>
          <w:tcPr>
            <w:tcW w:w="1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$83.8</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$460.1</w:t>
            </w:r>
          </w:p>
        </w:tc>
      </w:tr>
      <w:tr>
        <w:trPr>
          <w:trHeight w:val="20"/>
        </w:trPr>
        <w:tc>
          <w:tcPr>
            <w:tcW w:w="59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r>
    </w:tbl>
    <w:p>
      <w:pPr>
        <w:jc w:val="both"/>
        <w:ind w:left="340" w:hanging="332"/>
        <w:spacing w:after="0" w:line="254" w:lineRule="auto"/>
        <w:tabs>
          <w:tab w:leader="none" w:pos="340" w:val="left"/>
        </w:tabs>
        <w:numPr>
          <w:ilvl w:val="0"/>
          <w:numId w:val="33"/>
        </w:numPr>
        <w:rPr>
          <w:rFonts w:ascii="Arial" w:cs="Arial" w:eastAsia="Arial" w:hAnsi="Arial"/>
          <w:sz w:val="16"/>
          <w:szCs w:val="16"/>
          <w:i w:val="1"/>
          <w:iCs w:val="1"/>
          <w:color w:val="auto"/>
        </w:rPr>
      </w:pPr>
      <w:r>
        <w:rPr>
          <w:rFonts w:ascii="Arial" w:cs="Arial" w:eastAsia="Arial" w:hAnsi="Arial"/>
          <w:sz w:val="16"/>
          <w:szCs w:val="16"/>
          <w:i w:val="1"/>
          <w:iCs w:val="1"/>
          <w:color w:val="auto"/>
        </w:rPr>
        <w:t>The underlying investments classified under U.S. Equity Securities consist of money market funds (Level 1) and actively-managed funds (Level 2), which are combined with futures, and settle daily, in a portable alpha program to achieve the returns of the U.S. Equity Securities Large-cap, Mid-cap Growth, and Small-cap funds. Our exposure with respect to these investments includes both the futures and the underlying investments.</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40" w:type="dxa"/>
            <w:vAlign w:val="bottom"/>
          </w:tcPr>
          <w:p>
            <w:pPr>
              <w:ind w:left="80"/>
              <w:spacing w:after="0"/>
              <w:rPr>
                <w:sz w:val="20"/>
                <w:szCs w:val="20"/>
                <w:color w:val="auto"/>
              </w:rPr>
            </w:pPr>
            <w:r>
              <w:rPr>
                <w:rFonts w:ascii="Arial" w:cs="Arial" w:eastAsia="Arial" w:hAnsi="Arial"/>
                <w:sz w:val="18"/>
                <w:szCs w:val="18"/>
                <w:b w:val="1"/>
                <w:bCs w:val="1"/>
                <w:color w:val="auto"/>
              </w:rPr>
              <w:t>Recurring Fair Value Measures</w:t>
            </w:r>
          </w:p>
        </w:tc>
        <w:tc>
          <w:tcPr>
            <w:tcW w:w="450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270"/>
        </w:trPr>
        <w:tc>
          <w:tcPr>
            <w:tcW w:w="5240" w:type="dxa"/>
            <w:vAlign w:val="bottom"/>
          </w:tcPr>
          <w:p>
            <w:pPr>
              <w:ind w:left="40"/>
              <w:spacing w:after="0"/>
              <w:rPr>
                <w:sz w:val="20"/>
                <w:szCs w:val="20"/>
                <w:color w:val="auto"/>
              </w:rPr>
            </w:pPr>
            <w:r>
              <w:rPr>
                <w:rFonts w:ascii="Arial" w:cs="Arial" w:eastAsia="Arial" w:hAnsi="Arial"/>
                <w:sz w:val="18"/>
                <w:szCs w:val="18"/>
                <w:b w:val="1"/>
                <w:bCs w:val="1"/>
                <w:color w:val="auto"/>
              </w:rPr>
              <w:t>Activity in Level 3</w:t>
            </w:r>
          </w:p>
        </w:tc>
        <w:tc>
          <w:tcPr>
            <w:tcW w:w="4500" w:type="dxa"/>
            <w:vAlign w:val="bottom"/>
          </w:tcPr>
          <w:p>
            <w:pPr>
              <w:jc w:val="right"/>
              <w:ind w:right="230"/>
              <w:spacing w:after="0"/>
              <w:rPr>
                <w:sz w:val="20"/>
                <w:szCs w:val="20"/>
                <w:color w:val="auto"/>
              </w:rPr>
            </w:pPr>
            <w:r>
              <w:rPr>
                <w:rFonts w:ascii="Arial" w:cs="Arial" w:eastAsia="Arial" w:hAnsi="Arial"/>
                <w:sz w:val="18"/>
                <w:szCs w:val="18"/>
                <w:b w:val="1"/>
                <w:bCs w:val="1"/>
                <w:color w:val="auto"/>
              </w:rPr>
              <w:t>Private Equity Funds</w:t>
            </w:r>
          </w:p>
        </w:tc>
        <w:tc>
          <w:tcPr>
            <w:tcW w:w="1680" w:type="dxa"/>
            <w:vAlign w:val="bottom"/>
          </w:tcPr>
          <w:p>
            <w:pPr>
              <w:jc w:val="right"/>
              <w:ind w:right="410"/>
              <w:spacing w:after="0"/>
              <w:rPr>
                <w:sz w:val="20"/>
                <w:szCs w:val="20"/>
                <w:color w:val="auto"/>
              </w:rPr>
            </w:pPr>
            <w:r>
              <w:rPr>
                <w:rFonts w:ascii="Arial" w:cs="Arial" w:eastAsia="Arial" w:hAnsi="Arial"/>
                <w:sz w:val="18"/>
                <w:szCs w:val="18"/>
                <w:b w:val="1"/>
                <w:bCs w:val="1"/>
                <w:color w:val="auto"/>
              </w:rPr>
              <w:t>Real Estate</w:t>
            </w:r>
          </w:p>
        </w:tc>
      </w:tr>
      <w:tr>
        <w:trPr>
          <w:trHeight w:val="27"/>
        </w:trPr>
        <w:tc>
          <w:tcPr>
            <w:tcW w:w="5240" w:type="dxa"/>
            <w:vAlign w:val="bottom"/>
            <w:tcBorders>
              <w:bottom w:val="single" w:sz="8" w:color="auto"/>
            </w:tcBorders>
          </w:tcPr>
          <w:p>
            <w:pPr>
              <w:spacing w:after="0"/>
              <w:rPr>
                <w:sz w:val="2"/>
                <w:szCs w:val="2"/>
                <w:color w:val="auto"/>
              </w:rPr>
            </w:pPr>
          </w:p>
        </w:tc>
        <w:tc>
          <w:tcPr>
            <w:tcW w:w="45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37"/>
        </w:trPr>
        <w:tc>
          <w:tcPr>
            <w:tcW w:w="524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450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27"/>
        </w:trPr>
        <w:tc>
          <w:tcPr>
            <w:tcW w:w="5240" w:type="dxa"/>
            <w:vAlign w:val="bottom"/>
          </w:tcPr>
          <w:p>
            <w:pPr>
              <w:spacing w:after="0"/>
              <w:rPr>
                <w:sz w:val="2"/>
                <w:szCs w:val="2"/>
                <w:color w:val="auto"/>
              </w:rPr>
            </w:pPr>
          </w:p>
        </w:tc>
        <w:tc>
          <w:tcPr>
            <w:tcW w:w="45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2011</w:t>
            </w:r>
          </w:p>
        </w:tc>
        <w:tc>
          <w:tcPr>
            <w:tcW w:w="450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$69.0</w:t>
            </w:r>
          </w:p>
        </w:tc>
        <w:tc>
          <w:tcPr>
            <w:tcW w:w="16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$21.7</w:t>
            </w:r>
          </w:p>
        </w:tc>
      </w:tr>
      <w:tr>
        <w:trPr>
          <w:trHeight w:val="243"/>
        </w:trPr>
        <w:tc>
          <w:tcPr>
            <w:tcW w:w="5240" w:type="dxa"/>
            <w:vAlign w:val="bottom"/>
          </w:tcPr>
          <w:p>
            <w:pPr>
              <w:ind w:left="40"/>
              <w:spacing w:after="0"/>
              <w:rPr>
                <w:sz w:val="20"/>
                <w:szCs w:val="20"/>
                <w:color w:val="auto"/>
              </w:rPr>
            </w:pPr>
            <w:r>
              <w:rPr>
                <w:rFonts w:ascii="Arial" w:cs="Arial" w:eastAsia="Arial" w:hAnsi="Arial"/>
                <w:sz w:val="18"/>
                <w:szCs w:val="18"/>
                <w:color w:val="auto"/>
              </w:rPr>
              <w:t>Actual Return on Plan Assets</w:t>
            </w:r>
          </w:p>
        </w:tc>
        <w:tc>
          <w:tcPr>
            <w:tcW w:w="4500" w:type="dxa"/>
            <w:vAlign w:val="bottom"/>
          </w:tcPr>
          <w:p>
            <w:pPr>
              <w:jc w:val="right"/>
              <w:ind w:right="390"/>
              <w:spacing w:after="0"/>
              <w:rPr>
                <w:sz w:val="20"/>
                <w:szCs w:val="20"/>
                <w:color w:val="auto"/>
              </w:rPr>
            </w:pPr>
            <w:r>
              <w:rPr>
                <w:rFonts w:ascii="Arial" w:cs="Arial" w:eastAsia="Arial" w:hAnsi="Arial"/>
                <w:sz w:val="18"/>
                <w:szCs w:val="18"/>
                <w:color w:val="auto"/>
              </w:rPr>
              <w:t>(9.7)</w:t>
            </w:r>
          </w:p>
        </w:tc>
        <w:tc>
          <w:tcPr>
            <w:tcW w:w="1680" w:type="dxa"/>
            <w:vAlign w:val="bottom"/>
          </w:tcPr>
          <w:p>
            <w:pPr>
              <w:jc w:val="right"/>
              <w:ind w:right="250"/>
              <w:spacing w:after="0"/>
              <w:rPr>
                <w:sz w:val="20"/>
                <w:szCs w:val="20"/>
                <w:color w:val="auto"/>
              </w:rPr>
            </w:pPr>
            <w:r>
              <w:rPr>
                <w:rFonts w:ascii="Arial" w:cs="Arial" w:eastAsia="Arial" w:hAnsi="Arial"/>
                <w:sz w:val="18"/>
                <w:szCs w:val="18"/>
                <w:color w:val="auto"/>
              </w:rPr>
              <w:t>3.4</w:t>
            </w:r>
          </w:p>
        </w:tc>
      </w:tr>
      <w:tr>
        <w:trPr>
          <w:trHeight w:val="27"/>
        </w:trPr>
        <w:tc>
          <w:tcPr>
            <w:tcW w:w="5240" w:type="dxa"/>
            <w:vAlign w:val="bottom"/>
          </w:tcPr>
          <w:p>
            <w:pPr>
              <w:spacing w:after="0"/>
              <w:rPr>
                <w:sz w:val="2"/>
                <w:szCs w:val="2"/>
                <w:color w:val="auto"/>
              </w:rPr>
            </w:pPr>
          </w:p>
        </w:tc>
        <w:tc>
          <w:tcPr>
            <w:tcW w:w="45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75"/>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Purchases, sales, and settlements, net</w:t>
            </w:r>
          </w:p>
        </w:tc>
        <w:tc>
          <w:tcPr>
            <w:tcW w:w="45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(0.4)</w:t>
            </w:r>
          </w:p>
        </w:tc>
        <w:tc>
          <w:tcPr>
            <w:tcW w:w="16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(0.2)</w:t>
            </w:r>
          </w:p>
        </w:tc>
      </w:tr>
      <w:tr>
        <w:trPr>
          <w:trHeight w:val="237"/>
        </w:trPr>
        <w:tc>
          <w:tcPr>
            <w:tcW w:w="52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Balance as of December 31, 2012</w:t>
            </w:r>
          </w:p>
        </w:tc>
        <w:tc>
          <w:tcPr>
            <w:tcW w:w="450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color w:val="auto"/>
              </w:rPr>
              <w:t>$58.9</w:t>
            </w:r>
          </w:p>
        </w:tc>
        <w:tc>
          <w:tcPr>
            <w:tcW w:w="168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rPr>
              <w:t>$24.9</w:t>
            </w:r>
          </w:p>
        </w:tc>
      </w:tr>
      <w:tr>
        <w:trPr>
          <w:trHeight w:val="27"/>
        </w:trPr>
        <w:tc>
          <w:tcPr>
            <w:tcW w:w="5240" w:type="dxa"/>
            <w:vAlign w:val="bottom"/>
            <w:tcBorders>
              <w:bottom w:val="single" w:sz="8" w:color="auto"/>
            </w:tcBorders>
          </w:tcPr>
          <w:p>
            <w:pPr>
              <w:spacing w:after="0"/>
              <w:rPr>
                <w:sz w:val="2"/>
                <w:szCs w:val="2"/>
                <w:color w:val="auto"/>
              </w:rPr>
            </w:pPr>
          </w:p>
        </w:tc>
        <w:tc>
          <w:tcPr>
            <w:tcW w:w="45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2012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20"/>
          </w:cols>
          <w:pgMar w:left="240" w:top="364" w:right="23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b w:val="1"/>
          <w:bCs w:val="1"/>
          <w:color w:val="auto"/>
        </w:rPr>
        <w:t>NOTE 15. PENSION AND OTHER POSTRETIREMENT BENEFIT PLANS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(Continued)</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020" w:type="dxa"/>
            <w:vAlign w:val="bottom"/>
            <w:gridSpan w:val="2"/>
          </w:tcPr>
          <w:p>
            <w:pPr>
              <w:jc w:val="right"/>
              <w:ind w:right="170"/>
              <w:spacing w:after="0"/>
              <w:rPr>
                <w:sz w:val="20"/>
                <w:szCs w:val="20"/>
                <w:color w:val="auto"/>
              </w:rPr>
            </w:pPr>
            <w:r>
              <w:rPr>
                <w:rFonts w:ascii="Arial" w:cs="Arial" w:eastAsia="Arial" w:hAnsi="Arial"/>
                <w:sz w:val="18"/>
                <w:szCs w:val="18"/>
                <w:b w:val="1"/>
                <w:bCs w:val="1"/>
                <w:color w:val="auto"/>
                <w:w w:val="91"/>
              </w:rPr>
              <w:t>Fair Value as of December 31, 2011</w:t>
            </w:r>
          </w:p>
        </w:tc>
        <w:tc>
          <w:tcPr>
            <w:tcW w:w="1120" w:type="dxa"/>
            <w:vAlign w:val="bottom"/>
          </w:tcPr>
          <w:p>
            <w:pPr>
              <w:spacing w:after="0"/>
              <w:rPr>
                <w:sz w:val="20"/>
                <w:szCs w:val="20"/>
                <w:color w:val="auto"/>
              </w:rPr>
            </w:pPr>
          </w:p>
        </w:tc>
      </w:tr>
      <w:tr>
        <w:trPr>
          <w:trHeight w:val="27"/>
        </w:trPr>
        <w:tc>
          <w:tcPr>
            <w:tcW w:w="596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5960" w:type="dxa"/>
            <w:vAlign w:val="bottom"/>
          </w:tcPr>
          <w:p>
            <w:pPr>
              <w:ind w:left="40"/>
              <w:spacing w:after="0"/>
              <w:rPr>
                <w:sz w:val="20"/>
                <w:szCs w:val="20"/>
                <w:color w:val="auto"/>
              </w:rPr>
            </w:pPr>
            <w:r>
              <w:rPr>
                <w:rFonts w:ascii="Arial" w:cs="Arial" w:eastAsia="Arial" w:hAnsi="Arial"/>
                <w:sz w:val="18"/>
                <w:szCs w:val="18"/>
                <w:b w:val="1"/>
                <w:bCs w:val="1"/>
                <w:color w:val="auto"/>
              </w:rPr>
              <w:t>Recurring Fair Value Measures</w:t>
            </w:r>
          </w:p>
        </w:tc>
        <w:tc>
          <w:tcPr>
            <w:tcW w:w="1320" w:type="dxa"/>
            <w:vAlign w:val="bottom"/>
          </w:tcPr>
          <w:p>
            <w:pPr>
              <w:jc w:val="right"/>
              <w:ind w:right="270"/>
              <w:spacing w:after="0"/>
              <w:rPr>
                <w:sz w:val="20"/>
                <w:szCs w:val="20"/>
                <w:color w:val="auto"/>
              </w:rPr>
            </w:pPr>
            <w:r>
              <w:rPr>
                <w:rFonts w:ascii="Arial" w:cs="Arial" w:eastAsia="Arial" w:hAnsi="Arial"/>
                <w:sz w:val="18"/>
                <w:szCs w:val="18"/>
                <w:b w:val="1"/>
                <w:bCs w:val="1"/>
                <w:color w:val="auto"/>
              </w:rPr>
              <w:t>Level 1</w:t>
            </w:r>
          </w:p>
        </w:tc>
        <w:tc>
          <w:tcPr>
            <w:tcW w:w="1580" w:type="dxa"/>
            <w:vAlign w:val="bottom"/>
          </w:tcPr>
          <w:p>
            <w:pPr>
              <w:jc w:val="right"/>
              <w:ind w:right="470"/>
              <w:spacing w:after="0"/>
              <w:rPr>
                <w:sz w:val="20"/>
                <w:szCs w:val="20"/>
                <w:color w:val="auto"/>
              </w:rPr>
            </w:pPr>
            <w:r>
              <w:rPr>
                <w:rFonts w:ascii="Arial" w:cs="Arial" w:eastAsia="Arial" w:hAnsi="Arial"/>
                <w:sz w:val="18"/>
                <w:szCs w:val="18"/>
                <w:b w:val="1"/>
                <w:bCs w:val="1"/>
                <w:color w:val="auto"/>
              </w:rPr>
              <w:t>Level 2</w:t>
            </w:r>
          </w:p>
        </w:tc>
        <w:tc>
          <w:tcPr>
            <w:tcW w:w="1440" w:type="dxa"/>
            <w:vAlign w:val="bottom"/>
          </w:tcPr>
          <w:p>
            <w:pPr>
              <w:jc w:val="right"/>
              <w:ind w:right="530"/>
              <w:spacing w:after="0"/>
              <w:rPr>
                <w:sz w:val="20"/>
                <w:szCs w:val="20"/>
                <w:color w:val="auto"/>
              </w:rPr>
            </w:pPr>
            <w:r>
              <w:rPr>
                <w:rFonts w:ascii="Arial" w:cs="Arial" w:eastAsia="Arial" w:hAnsi="Arial"/>
                <w:sz w:val="18"/>
                <w:szCs w:val="18"/>
                <w:b w:val="1"/>
                <w:bCs w:val="1"/>
                <w:color w:val="auto"/>
              </w:rPr>
              <w:t>Level 3</w:t>
            </w:r>
          </w:p>
        </w:tc>
        <w:tc>
          <w:tcPr>
            <w:tcW w:w="112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7"/>
        </w:trPr>
        <w:tc>
          <w:tcPr>
            <w:tcW w:w="59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596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13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7"/>
        </w:trPr>
        <w:tc>
          <w:tcPr>
            <w:tcW w:w="59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3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Equity Securities:</w:t>
            </w:r>
          </w:p>
        </w:tc>
        <w:tc>
          <w:tcPr>
            <w:tcW w:w="13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59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 xml:space="preserve">U.S. Large-cap </w:t>
            </w:r>
            <w:r>
              <w:rPr>
                <w:rFonts w:ascii="Arial" w:cs="Arial" w:eastAsia="Arial" w:hAnsi="Arial"/>
                <w:sz w:val="18"/>
                <w:szCs w:val="18"/>
                <w:i w:val="1"/>
                <w:iCs w:val="1"/>
                <w:color w:val="auto"/>
              </w:rPr>
              <w:t>(a)</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15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$37.3</w:t>
            </w:r>
          </w:p>
        </w:tc>
        <w:tc>
          <w:tcPr>
            <w:tcW w:w="1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$69.4</w:t>
            </w:r>
          </w:p>
        </w:tc>
      </w:tr>
      <w:tr>
        <w:trPr>
          <w:trHeight w:val="243"/>
        </w:trPr>
        <w:tc>
          <w:tcPr>
            <w:tcW w:w="5960" w:type="dxa"/>
            <w:vAlign w:val="bottom"/>
          </w:tcPr>
          <w:p>
            <w:pPr>
              <w:ind w:left="280"/>
              <w:spacing w:after="0"/>
              <w:rPr>
                <w:sz w:val="20"/>
                <w:szCs w:val="20"/>
                <w:color w:val="auto"/>
              </w:rPr>
            </w:pPr>
            <w:r>
              <w:rPr>
                <w:rFonts w:ascii="Arial" w:cs="Arial" w:eastAsia="Arial" w:hAnsi="Arial"/>
                <w:sz w:val="18"/>
                <w:szCs w:val="18"/>
                <w:color w:val="auto"/>
              </w:rPr>
              <w:t xml:space="preserve">U.S. Mid-cap Growth </w:t>
            </w:r>
            <w:r>
              <w:rPr>
                <w:rFonts w:ascii="Arial" w:cs="Arial" w:eastAsia="Arial" w:hAnsi="Arial"/>
                <w:sz w:val="18"/>
                <w:szCs w:val="18"/>
                <w:i w:val="1"/>
                <w:iCs w:val="1"/>
                <w:color w:val="auto"/>
              </w:rPr>
              <w:t>(a)</w:t>
            </w:r>
          </w:p>
        </w:tc>
        <w:tc>
          <w:tcPr>
            <w:tcW w:w="1320" w:type="dxa"/>
            <w:vAlign w:val="bottom"/>
          </w:tcPr>
          <w:p>
            <w:pPr>
              <w:jc w:val="right"/>
              <w:spacing w:after="0"/>
              <w:rPr>
                <w:sz w:val="20"/>
                <w:szCs w:val="20"/>
                <w:color w:val="auto"/>
              </w:rPr>
            </w:pPr>
            <w:r>
              <w:rPr>
                <w:rFonts w:ascii="Arial" w:cs="Arial" w:eastAsia="Arial" w:hAnsi="Arial"/>
                <w:sz w:val="18"/>
                <w:szCs w:val="18"/>
                <w:color w:val="auto"/>
              </w:rPr>
              <w:t>13.5</w:t>
            </w:r>
          </w:p>
        </w:tc>
        <w:tc>
          <w:tcPr>
            <w:tcW w:w="1580" w:type="dxa"/>
            <w:vAlign w:val="bottom"/>
          </w:tcPr>
          <w:p>
            <w:pPr>
              <w:jc w:val="right"/>
              <w:ind w:right="150"/>
              <w:spacing w:after="0"/>
              <w:rPr>
                <w:sz w:val="20"/>
                <w:szCs w:val="20"/>
                <w:color w:val="auto"/>
              </w:rPr>
            </w:pPr>
            <w:r>
              <w:rPr>
                <w:rFonts w:ascii="Arial" w:cs="Arial" w:eastAsia="Arial" w:hAnsi="Arial"/>
                <w:sz w:val="18"/>
                <w:szCs w:val="18"/>
                <w:color w:val="auto"/>
              </w:rPr>
              <w:t>15.8</w:t>
            </w:r>
          </w:p>
        </w:tc>
        <w:tc>
          <w:tcPr>
            <w:tcW w:w="14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29.3</w:t>
            </w:r>
          </w:p>
        </w:tc>
      </w:tr>
      <w:tr>
        <w:trPr>
          <w:trHeight w:val="27"/>
        </w:trPr>
        <w:tc>
          <w:tcPr>
            <w:tcW w:w="59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 xml:space="preserve">U.S. Small-cap </w:t>
            </w:r>
            <w:r>
              <w:rPr>
                <w:rFonts w:ascii="Arial" w:cs="Arial" w:eastAsia="Arial" w:hAnsi="Arial"/>
                <w:sz w:val="18"/>
                <w:szCs w:val="18"/>
                <w:i w:val="1"/>
                <w:iCs w:val="1"/>
                <w:color w:val="auto"/>
              </w:rPr>
              <w:t>(a)</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5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15.2</w:t>
            </w:r>
          </w:p>
        </w:tc>
        <w:tc>
          <w:tcPr>
            <w:tcW w:w="1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28.3</w:t>
            </w:r>
          </w:p>
        </w:tc>
      </w:tr>
      <w:tr>
        <w:trPr>
          <w:trHeight w:val="243"/>
        </w:trPr>
        <w:tc>
          <w:tcPr>
            <w:tcW w:w="5960" w:type="dxa"/>
            <w:vAlign w:val="bottom"/>
          </w:tcPr>
          <w:p>
            <w:pPr>
              <w:ind w:left="280"/>
              <w:spacing w:after="0"/>
              <w:rPr>
                <w:sz w:val="20"/>
                <w:szCs w:val="20"/>
                <w:color w:val="auto"/>
              </w:rPr>
            </w:pPr>
            <w:r>
              <w:rPr>
                <w:rFonts w:ascii="Arial" w:cs="Arial" w:eastAsia="Arial" w:hAnsi="Arial"/>
                <w:sz w:val="18"/>
                <w:szCs w:val="18"/>
                <w:color w:val="auto"/>
              </w:rPr>
              <w:t>International</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150"/>
              <w:spacing w:after="0"/>
              <w:rPr>
                <w:sz w:val="20"/>
                <w:szCs w:val="20"/>
                <w:color w:val="auto"/>
              </w:rPr>
            </w:pPr>
            <w:r>
              <w:rPr>
                <w:rFonts w:ascii="Arial" w:cs="Arial" w:eastAsia="Arial" w:hAnsi="Arial"/>
                <w:sz w:val="18"/>
                <w:szCs w:val="18"/>
                <w:color w:val="auto"/>
              </w:rPr>
              <w:t>75.1</w:t>
            </w:r>
          </w:p>
        </w:tc>
        <w:tc>
          <w:tcPr>
            <w:tcW w:w="14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75.1</w:t>
            </w:r>
          </w:p>
        </w:tc>
      </w:tr>
      <w:tr>
        <w:trPr>
          <w:trHeight w:val="27"/>
        </w:trPr>
        <w:tc>
          <w:tcPr>
            <w:tcW w:w="59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ALLETE</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5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21.3</w:t>
            </w: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Debt Securities:</w:t>
            </w:r>
          </w:p>
        </w:tc>
        <w:tc>
          <w:tcPr>
            <w:tcW w:w="13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59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Mutual Funds</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72.8</w:t>
            </w:r>
          </w:p>
        </w:tc>
        <w:tc>
          <w:tcPr>
            <w:tcW w:w="15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72.8</w:t>
            </w:r>
          </w:p>
        </w:tc>
      </w:tr>
      <w:tr>
        <w:trPr>
          <w:trHeight w:val="243"/>
        </w:trPr>
        <w:tc>
          <w:tcPr>
            <w:tcW w:w="5960" w:type="dxa"/>
            <w:vAlign w:val="bottom"/>
          </w:tcPr>
          <w:p>
            <w:pPr>
              <w:ind w:left="280"/>
              <w:spacing w:after="0"/>
              <w:rPr>
                <w:sz w:val="20"/>
                <w:szCs w:val="20"/>
                <w:color w:val="auto"/>
              </w:rPr>
            </w:pPr>
            <w:r>
              <w:rPr>
                <w:rFonts w:ascii="Arial" w:cs="Arial" w:eastAsia="Arial" w:hAnsi="Arial"/>
                <w:sz w:val="18"/>
                <w:szCs w:val="18"/>
                <w:color w:val="auto"/>
              </w:rPr>
              <w:t>Fixed Income</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150"/>
              <w:spacing w:after="0"/>
              <w:rPr>
                <w:sz w:val="20"/>
                <w:szCs w:val="20"/>
                <w:color w:val="auto"/>
              </w:rPr>
            </w:pPr>
            <w:r>
              <w:rPr>
                <w:rFonts w:ascii="Arial" w:cs="Arial" w:eastAsia="Arial" w:hAnsi="Arial"/>
                <w:sz w:val="18"/>
                <w:szCs w:val="18"/>
                <w:color w:val="auto"/>
              </w:rPr>
              <w:t>45.5</w:t>
            </w:r>
          </w:p>
        </w:tc>
        <w:tc>
          <w:tcPr>
            <w:tcW w:w="14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45.5</w:t>
            </w:r>
          </w:p>
        </w:tc>
      </w:tr>
      <w:tr>
        <w:trPr>
          <w:trHeight w:val="27"/>
        </w:trPr>
        <w:tc>
          <w:tcPr>
            <w:tcW w:w="59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Types of Investments:</w:t>
            </w:r>
          </w:p>
        </w:tc>
        <w:tc>
          <w:tcPr>
            <w:tcW w:w="13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960" w:type="dxa"/>
            <w:vAlign w:val="bottom"/>
          </w:tcPr>
          <w:p>
            <w:pPr>
              <w:ind w:left="280"/>
              <w:spacing w:after="0"/>
              <w:rPr>
                <w:sz w:val="20"/>
                <w:szCs w:val="20"/>
                <w:color w:val="auto"/>
              </w:rPr>
            </w:pPr>
            <w:r>
              <w:rPr>
                <w:rFonts w:ascii="Arial" w:cs="Arial" w:eastAsia="Arial" w:hAnsi="Arial"/>
                <w:sz w:val="18"/>
                <w:szCs w:val="18"/>
                <w:color w:val="auto"/>
              </w:rPr>
              <w:t>Private Equity Funds</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250"/>
              <w:spacing w:after="0"/>
              <w:rPr>
                <w:sz w:val="20"/>
                <w:szCs w:val="20"/>
                <w:color w:val="auto"/>
              </w:rPr>
            </w:pPr>
            <w:r>
              <w:rPr>
                <w:rFonts w:ascii="Arial" w:cs="Arial" w:eastAsia="Arial" w:hAnsi="Arial"/>
                <w:sz w:val="18"/>
                <w:szCs w:val="18"/>
                <w:color w:val="auto"/>
              </w:rPr>
              <w:t>$69.0</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69.0</w:t>
            </w:r>
          </w:p>
        </w:tc>
      </w:tr>
      <w:tr>
        <w:trPr>
          <w:trHeight w:val="27"/>
        </w:trPr>
        <w:tc>
          <w:tcPr>
            <w:tcW w:w="59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5"/>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 Estate</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21.7</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21.7</w:t>
            </w:r>
          </w:p>
        </w:tc>
      </w:tr>
      <w:tr>
        <w:trPr>
          <w:trHeight w:val="237"/>
        </w:trPr>
        <w:tc>
          <w:tcPr>
            <w:tcW w:w="596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Fair Value of Assets</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$152.8</w:t>
            </w:r>
          </w:p>
        </w:tc>
        <w:tc>
          <w:tcPr>
            <w:tcW w:w="158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$188.9</w:t>
            </w:r>
          </w:p>
        </w:tc>
        <w:tc>
          <w:tcPr>
            <w:tcW w:w="144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rPr>
              <w:t>$90.7</w:t>
            </w: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$432.4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0"/>
          <w:szCs w:val="20"/>
          <w:color w:val="auto"/>
        </w:rPr>
      </w:pPr>
    </w:p>
    <w:p>
      <w:pPr>
        <w:jc w:val="both"/>
        <w:ind w:left="340" w:hanging="332"/>
        <w:spacing w:after="0" w:line="261" w:lineRule="auto"/>
        <w:tabs>
          <w:tab w:leader="none" w:pos="340" w:val="left"/>
        </w:tabs>
        <w:numPr>
          <w:ilvl w:val="0"/>
          <w:numId w:val="34"/>
        </w:numPr>
        <w:rPr>
          <w:rFonts w:ascii="Arial" w:cs="Arial" w:eastAsia="Arial" w:hAnsi="Arial"/>
          <w:sz w:val="16"/>
          <w:szCs w:val="16"/>
          <w:i w:val="1"/>
          <w:iCs w:val="1"/>
          <w:color w:val="auto"/>
        </w:rPr>
      </w:pPr>
      <w:r>
        <w:rPr>
          <w:rFonts w:ascii="Arial" w:cs="Arial" w:eastAsia="Arial" w:hAnsi="Arial"/>
          <w:sz w:val="16"/>
          <w:szCs w:val="16"/>
          <w:i w:val="1"/>
          <w:iCs w:val="1"/>
          <w:color w:val="auto"/>
        </w:rPr>
        <w:t>The underlying investments classified under U.S. Equity Securities consist of money market funds (Level 1) and actively-managed funds (Level 2), which are combined with futures, and settle daily, in a portable alpha program to achieve the returns of the U.S. Equity Securities Large-cap, Mid-cap Growth, and Small-cap funds. Our exposure with respect to these investments includes both the futures and the underlying investments.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60" w:type="dxa"/>
            <w:vAlign w:val="bottom"/>
          </w:tcPr>
          <w:p>
            <w:pPr>
              <w:ind w:left="40"/>
              <w:spacing w:after="0"/>
              <w:rPr>
                <w:sz w:val="20"/>
                <w:szCs w:val="20"/>
                <w:color w:val="auto"/>
              </w:rPr>
            </w:pPr>
            <w:r>
              <w:rPr>
                <w:rFonts w:ascii="Arial" w:cs="Arial" w:eastAsia="Arial" w:hAnsi="Arial"/>
                <w:sz w:val="18"/>
                <w:szCs w:val="18"/>
                <w:b w:val="1"/>
                <w:bCs w:val="1"/>
                <w:color w:val="auto"/>
              </w:rPr>
              <w:t>Recurring Fair Value Measures</w:t>
            </w:r>
          </w:p>
        </w:tc>
        <w:tc>
          <w:tcPr>
            <w:tcW w:w="328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252"/>
        </w:trPr>
        <w:tc>
          <w:tcPr>
            <w:tcW w:w="4560" w:type="dxa"/>
            <w:vAlign w:val="bottom"/>
          </w:tcPr>
          <w:p>
            <w:pPr>
              <w:spacing w:after="0"/>
              <w:rPr>
                <w:sz w:val="21"/>
                <w:szCs w:val="21"/>
                <w:color w:val="auto"/>
              </w:rPr>
            </w:pPr>
          </w:p>
        </w:tc>
        <w:tc>
          <w:tcPr>
            <w:tcW w:w="3280" w:type="dxa"/>
            <w:vAlign w:val="bottom"/>
          </w:tcPr>
          <w:p>
            <w:pPr>
              <w:jc w:val="right"/>
              <w:ind w:right="50"/>
              <w:spacing w:after="0"/>
              <w:rPr>
                <w:sz w:val="20"/>
                <w:szCs w:val="20"/>
                <w:color w:val="auto"/>
              </w:rPr>
            </w:pPr>
            <w:r>
              <w:rPr>
                <w:rFonts w:ascii="Arial" w:cs="Arial" w:eastAsia="Arial" w:hAnsi="Arial"/>
                <w:sz w:val="18"/>
                <w:szCs w:val="18"/>
                <w:b w:val="1"/>
                <w:bCs w:val="1"/>
                <w:color w:val="auto"/>
              </w:rPr>
              <w:t>Equity Securities</w:t>
            </w:r>
          </w:p>
        </w:tc>
        <w:tc>
          <w:tcPr>
            <w:tcW w:w="2040" w:type="dxa"/>
            <w:vAlign w:val="bottom"/>
          </w:tcPr>
          <w:p>
            <w:pPr>
              <w:spacing w:after="0"/>
              <w:rPr>
                <w:sz w:val="21"/>
                <w:szCs w:val="21"/>
                <w:color w:val="auto"/>
              </w:rPr>
            </w:pPr>
          </w:p>
        </w:tc>
        <w:tc>
          <w:tcPr>
            <w:tcW w:w="1540" w:type="dxa"/>
            <w:vAlign w:val="bottom"/>
          </w:tcPr>
          <w:p>
            <w:pPr>
              <w:spacing w:after="0"/>
              <w:rPr>
                <w:sz w:val="21"/>
                <w:szCs w:val="21"/>
                <w:color w:val="auto"/>
              </w:rPr>
            </w:pPr>
          </w:p>
        </w:tc>
      </w:tr>
      <w:tr>
        <w:trPr>
          <w:trHeight w:val="234"/>
        </w:trPr>
        <w:tc>
          <w:tcPr>
            <w:tcW w:w="4560" w:type="dxa"/>
            <w:vAlign w:val="bottom"/>
          </w:tcPr>
          <w:p>
            <w:pPr>
              <w:ind w:left="40"/>
              <w:spacing w:after="0"/>
              <w:rPr>
                <w:sz w:val="20"/>
                <w:szCs w:val="20"/>
                <w:color w:val="auto"/>
              </w:rPr>
            </w:pPr>
            <w:r>
              <w:rPr>
                <w:rFonts w:ascii="Arial" w:cs="Arial" w:eastAsia="Arial" w:hAnsi="Arial"/>
                <w:sz w:val="18"/>
                <w:szCs w:val="18"/>
                <w:b w:val="1"/>
                <w:bCs w:val="1"/>
                <w:color w:val="auto"/>
              </w:rPr>
              <w:t>Activity in Level 3</w:t>
            </w:r>
          </w:p>
        </w:tc>
        <w:tc>
          <w:tcPr>
            <w:tcW w:w="3280" w:type="dxa"/>
            <w:vAlign w:val="bottom"/>
          </w:tcPr>
          <w:p>
            <w:pPr>
              <w:jc w:val="right"/>
              <w:ind w:right="450"/>
              <w:spacing w:after="0"/>
              <w:rPr>
                <w:sz w:val="20"/>
                <w:szCs w:val="20"/>
                <w:color w:val="auto"/>
              </w:rPr>
            </w:pPr>
            <w:r>
              <w:rPr>
                <w:rFonts w:ascii="Arial" w:cs="Arial" w:eastAsia="Arial" w:hAnsi="Arial"/>
                <w:sz w:val="18"/>
                <w:szCs w:val="18"/>
                <w:b w:val="1"/>
                <w:bCs w:val="1"/>
                <w:color w:val="auto"/>
              </w:rPr>
              <w:t>(ARS)</w:t>
            </w:r>
          </w:p>
        </w:tc>
        <w:tc>
          <w:tcPr>
            <w:tcW w:w="204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Private Equity Funds</w:t>
            </w:r>
          </w:p>
        </w:tc>
        <w:tc>
          <w:tcPr>
            <w:tcW w:w="1540" w:type="dxa"/>
            <w:vAlign w:val="bottom"/>
          </w:tcPr>
          <w:p>
            <w:pPr>
              <w:jc w:val="right"/>
              <w:ind w:right="350"/>
              <w:spacing w:after="0"/>
              <w:rPr>
                <w:sz w:val="20"/>
                <w:szCs w:val="20"/>
                <w:color w:val="auto"/>
              </w:rPr>
            </w:pPr>
            <w:r>
              <w:rPr>
                <w:rFonts w:ascii="Arial" w:cs="Arial" w:eastAsia="Arial" w:hAnsi="Arial"/>
                <w:sz w:val="18"/>
                <w:szCs w:val="18"/>
                <w:b w:val="1"/>
                <w:bCs w:val="1"/>
                <w:color w:val="auto"/>
              </w:rPr>
              <w:t>Real Estate</w:t>
            </w:r>
          </w:p>
        </w:tc>
      </w:tr>
      <w:tr>
        <w:trPr>
          <w:trHeight w:val="27"/>
        </w:trPr>
        <w:tc>
          <w:tcPr>
            <w:tcW w:w="4560" w:type="dxa"/>
            <w:vAlign w:val="bottom"/>
            <w:tcBorders>
              <w:bottom w:val="single" w:sz="8" w:color="auto"/>
            </w:tcBorders>
          </w:tcPr>
          <w:p>
            <w:pPr>
              <w:spacing w:after="0"/>
              <w:rPr>
                <w:sz w:val="2"/>
                <w:szCs w:val="2"/>
                <w:color w:val="auto"/>
              </w:rPr>
            </w:pPr>
          </w:p>
        </w:tc>
        <w:tc>
          <w:tcPr>
            <w:tcW w:w="328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37"/>
        </w:trPr>
        <w:tc>
          <w:tcPr>
            <w:tcW w:w="456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328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27"/>
        </w:trPr>
        <w:tc>
          <w:tcPr>
            <w:tcW w:w="4560" w:type="dxa"/>
            <w:vAlign w:val="bottom"/>
          </w:tcPr>
          <w:p>
            <w:pPr>
              <w:spacing w:after="0"/>
              <w:rPr>
                <w:sz w:val="2"/>
                <w:szCs w:val="2"/>
                <w:color w:val="auto"/>
              </w:rPr>
            </w:pPr>
          </w:p>
        </w:tc>
        <w:tc>
          <w:tcPr>
            <w:tcW w:w="32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2010</w:t>
            </w:r>
          </w:p>
        </w:tc>
        <w:tc>
          <w:tcPr>
            <w:tcW w:w="32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$6.7</w:t>
            </w:r>
          </w:p>
        </w:tc>
        <w:tc>
          <w:tcPr>
            <w:tcW w:w="204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$50.7</w:t>
            </w:r>
          </w:p>
        </w:tc>
        <w:tc>
          <w:tcPr>
            <w:tcW w:w="15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$20.1</w:t>
            </w:r>
          </w:p>
        </w:tc>
      </w:tr>
      <w:tr>
        <w:trPr>
          <w:trHeight w:val="243"/>
        </w:trPr>
        <w:tc>
          <w:tcPr>
            <w:tcW w:w="4560" w:type="dxa"/>
            <w:vAlign w:val="bottom"/>
          </w:tcPr>
          <w:p>
            <w:pPr>
              <w:ind w:left="40"/>
              <w:spacing w:after="0"/>
              <w:rPr>
                <w:sz w:val="20"/>
                <w:szCs w:val="20"/>
                <w:color w:val="auto"/>
              </w:rPr>
            </w:pPr>
            <w:r>
              <w:rPr>
                <w:rFonts w:ascii="Arial" w:cs="Arial" w:eastAsia="Arial" w:hAnsi="Arial"/>
                <w:sz w:val="18"/>
                <w:szCs w:val="18"/>
                <w:color w:val="auto"/>
              </w:rPr>
              <w:t>Actual Return on Plan Assets</w:t>
            </w:r>
          </w:p>
        </w:tc>
        <w:tc>
          <w:tcPr>
            <w:tcW w:w="32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2040" w:type="dxa"/>
            <w:vAlign w:val="bottom"/>
          </w:tcPr>
          <w:p>
            <w:pPr>
              <w:jc w:val="right"/>
              <w:ind w:right="450"/>
              <w:spacing w:after="0"/>
              <w:rPr>
                <w:sz w:val="20"/>
                <w:szCs w:val="20"/>
                <w:color w:val="auto"/>
              </w:rPr>
            </w:pPr>
            <w:r>
              <w:rPr>
                <w:rFonts w:ascii="Arial" w:cs="Arial" w:eastAsia="Arial" w:hAnsi="Arial"/>
                <w:sz w:val="18"/>
                <w:szCs w:val="18"/>
                <w:color w:val="auto"/>
              </w:rPr>
              <w:t>30.9</w:t>
            </w:r>
          </w:p>
        </w:tc>
        <w:tc>
          <w:tcPr>
            <w:tcW w:w="1540" w:type="dxa"/>
            <w:vAlign w:val="bottom"/>
          </w:tcPr>
          <w:p>
            <w:pPr>
              <w:jc w:val="right"/>
              <w:ind w:right="250"/>
              <w:spacing w:after="0"/>
              <w:rPr>
                <w:sz w:val="20"/>
                <w:szCs w:val="20"/>
                <w:color w:val="auto"/>
              </w:rPr>
            </w:pPr>
            <w:r>
              <w:rPr>
                <w:rFonts w:ascii="Arial" w:cs="Arial" w:eastAsia="Arial" w:hAnsi="Arial"/>
                <w:sz w:val="18"/>
                <w:szCs w:val="18"/>
                <w:color w:val="auto"/>
              </w:rPr>
              <w:t>3.5</w:t>
            </w:r>
          </w:p>
        </w:tc>
      </w:tr>
      <w:tr>
        <w:trPr>
          <w:trHeight w:val="27"/>
        </w:trPr>
        <w:tc>
          <w:tcPr>
            <w:tcW w:w="4560" w:type="dxa"/>
            <w:vAlign w:val="bottom"/>
          </w:tcPr>
          <w:p>
            <w:pPr>
              <w:spacing w:after="0"/>
              <w:rPr>
                <w:sz w:val="2"/>
                <w:szCs w:val="2"/>
                <w:color w:val="auto"/>
              </w:rPr>
            </w:pPr>
          </w:p>
        </w:tc>
        <w:tc>
          <w:tcPr>
            <w:tcW w:w="32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5"/>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Purchases, sales, and settlements, net</w:t>
            </w:r>
          </w:p>
        </w:tc>
        <w:tc>
          <w:tcPr>
            <w:tcW w:w="3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(6.7)</w:t>
            </w:r>
          </w:p>
        </w:tc>
        <w:tc>
          <w:tcPr>
            <w:tcW w:w="204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(12.6)</w:t>
            </w:r>
          </w:p>
        </w:tc>
        <w:tc>
          <w:tcPr>
            <w:tcW w:w="154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(1.9)</w:t>
            </w:r>
          </w:p>
        </w:tc>
      </w:tr>
      <w:tr>
        <w:trPr>
          <w:trHeight w:val="237"/>
        </w:trPr>
        <w:tc>
          <w:tcPr>
            <w:tcW w:w="45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Balance as of December 31, 2011</w:t>
            </w:r>
          </w:p>
        </w:tc>
        <w:tc>
          <w:tcPr>
            <w:tcW w:w="328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204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color w:val="auto"/>
              </w:rPr>
              <w:t>$69.0</w:t>
            </w:r>
          </w:p>
        </w:tc>
        <w:tc>
          <w:tcPr>
            <w:tcW w:w="154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rPr>
              <w:t>$21.7</w:t>
            </w:r>
          </w:p>
        </w:tc>
      </w:tr>
      <w:tr>
        <w:trPr>
          <w:trHeight w:val="27"/>
        </w:trPr>
        <w:tc>
          <w:tcPr>
            <w:tcW w:w="4560" w:type="dxa"/>
            <w:vAlign w:val="bottom"/>
            <w:tcBorders>
              <w:bottom w:val="single" w:sz="8" w:color="auto"/>
            </w:tcBorders>
          </w:tcPr>
          <w:p>
            <w:pPr>
              <w:spacing w:after="0"/>
              <w:rPr>
                <w:sz w:val="2"/>
                <w:szCs w:val="2"/>
                <w:color w:val="auto"/>
              </w:rPr>
            </w:pPr>
          </w:p>
        </w:tc>
        <w:tc>
          <w:tcPr>
            <w:tcW w:w="328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2012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20"/>
          </w:cols>
          <w:pgMar w:left="240" w:top="364" w:right="23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b w:val="1"/>
          <w:bCs w:val="1"/>
          <w:color w:val="auto"/>
        </w:rPr>
        <w:t>NOTE 15. PENSION AND OTHER POSTRETIREMENT BENEFIT PLANS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Postretirement Health and Life Fair Value</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02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w w:val="91"/>
              </w:rPr>
              <w:t>Fair Value as of December 31, 2012</w:t>
            </w:r>
          </w:p>
        </w:tc>
        <w:tc>
          <w:tcPr>
            <w:tcW w:w="1120" w:type="dxa"/>
            <w:vAlign w:val="bottom"/>
          </w:tcPr>
          <w:p>
            <w:pPr>
              <w:spacing w:after="0"/>
              <w:rPr>
                <w:sz w:val="20"/>
                <w:szCs w:val="20"/>
                <w:color w:val="auto"/>
              </w:rPr>
            </w:pPr>
          </w:p>
        </w:tc>
      </w:tr>
      <w:tr>
        <w:trPr>
          <w:trHeight w:val="27"/>
        </w:trPr>
        <w:tc>
          <w:tcPr>
            <w:tcW w:w="596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5960" w:type="dxa"/>
            <w:vAlign w:val="bottom"/>
          </w:tcPr>
          <w:p>
            <w:pPr>
              <w:ind w:left="40"/>
              <w:spacing w:after="0"/>
              <w:rPr>
                <w:sz w:val="20"/>
                <w:szCs w:val="20"/>
                <w:color w:val="auto"/>
              </w:rPr>
            </w:pPr>
            <w:r>
              <w:rPr>
                <w:rFonts w:ascii="Arial" w:cs="Arial" w:eastAsia="Arial" w:hAnsi="Arial"/>
                <w:sz w:val="18"/>
                <w:szCs w:val="18"/>
                <w:b w:val="1"/>
                <w:bCs w:val="1"/>
                <w:color w:val="auto"/>
              </w:rPr>
              <w:t>Recurring Fair Value Measures</w:t>
            </w:r>
          </w:p>
        </w:tc>
        <w:tc>
          <w:tcPr>
            <w:tcW w:w="1320" w:type="dxa"/>
            <w:vAlign w:val="bottom"/>
          </w:tcPr>
          <w:p>
            <w:pPr>
              <w:jc w:val="right"/>
              <w:ind w:right="270"/>
              <w:spacing w:after="0"/>
              <w:rPr>
                <w:sz w:val="20"/>
                <w:szCs w:val="20"/>
                <w:color w:val="auto"/>
              </w:rPr>
            </w:pPr>
            <w:r>
              <w:rPr>
                <w:rFonts w:ascii="Arial" w:cs="Arial" w:eastAsia="Arial" w:hAnsi="Arial"/>
                <w:sz w:val="18"/>
                <w:szCs w:val="18"/>
                <w:b w:val="1"/>
                <w:bCs w:val="1"/>
                <w:color w:val="auto"/>
              </w:rPr>
              <w:t>Level 1</w:t>
            </w:r>
          </w:p>
        </w:tc>
        <w:tc>
          <w:tcPr>
            <w:tcW w:w="1580" w:type="dxa"/>
            <w:vAlign w:val="bottom"/>
          </w:tcPr>
          <w:p>
            <w:pPr>
              <w:jc w:val="right"/>
              <w:ind w:right="470"/>
              <w:spacing w:after="0"/>
              <w:rPr>
                <w:sz w:val="20"/>
                <w:szCs w:val="20"/>
                <w:color w:val="auto"/>
              </w:rPr>
            </w:pPr>
            <w:r>
              <w:rPr>
                <w:rFonts w:ascii="Arial" w:cs="Arial" w:eastAsia="Arial" w:hAnsi="Arial"/>
                <w:sz w:val="18"/>
                <w:szCs w:val="18"/>
                <w:b w:val="1"/>
                <w:bCs w:val="1"/>
                <w:color w:val="auto"/>
              </w:rPr>
              <w:t>Level 2</w:t>
            </w:r>
          </w:p>
        </w:tc>
        <w:tc>
          <w:tcPr>
            <w:tcW w:w="1440" w:type="dxa"/>
            <w:vAlign w:val="bottom"/>
          </w:tcPr>
          <w:p>
            <w:pPr>
              <w:jc w:val="right"/>
              <w:ind w:right="530"/>
              <w:spacing w:after="0"/>
              <w:rPr>
                <w:sz w:val="20"/>
                <w:szCs w:val="20"/>
                <w:color w:val="auto"/>
              </w:rPr>
            </w:pPr>
            <w:r>
              <w:rPr>
                <w:rFonts w:ascii="Arial" w:cs="Arial" w:eastAsia="Arial" w:hAnsi="Arial"/>
                <w:sz w:val="18"/>
                <w:szCs w:val="18"/>
                <w:b w:val="1"/>
                <w:bCs w:val="1"/>
                <w:color w:val="auto"/>
              </w:rPr>
              <w:t>Level 3</w:t>
            </w:r>
          </w:p>
        </w:tc>
        <w:tc>
          <w:tcPr>
            <w:tcW w:w="112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7"/>
        </w:trPr>
        <w:tc>
          <w:tcPr>
            <w:tcW w:w="59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596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13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7"/>
        </w:trPr>
        <w:tc>
          <w:tcPr>
            <w:tcW w:w="59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3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Equity Securities:</w:t>
            </w:r>
          </w:p>
        </w:tc>
        <w:tc>
          <w:tcPr>
            <w:tcW w:w="13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59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 xml:space="preserve">U.S. Large-cap </w:t>
            </w:r>
            <w:r>
              <w:rPr>
                <w:rFonts w:ascii="Arial" w:cs="Arial" w:eastAsia="Arial" w:hAnsi="Arial"/>
                <w:sz w:val="18"/>
                <w:szCs w:val="18"/>
                <w:i w:val="1"/>
                <w:iCs w:val="1"/>
                <w:color w:val="auto"/>
              </w:rPr>
              <w:t>(a)</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5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$16.7</w:t>
            </w:r>
          </w:p>
        </w:tc>
      </w:tr>
      <w:tr>
        <w:trPr>
          <w:trHeight w:val="243"/>
        </w:trPr>
        <w:tc>
          <w:tcPr>
            <w:tcW w:w="5960" w:type="dxa"/>
            <w:vAlign w:val="bottom"/>
          </w:tcPr>
          <w:p>
            <w:pPr>
              <w:ind w:left="280"/>
              <w:spacing w:after="0"/>
              <w:rPr>
                <w:sz w:val="20"/>
                <w:szCs w:val="20"/>
                <w:color w:val="auto"/>
              </w:rPr>
            </w:pPr>
            <w:r>
              <w:rPr>
                <w:rFonts w:ascii="Arial" w:cs="Arial" w:eastAsia="Arial" w:hAnsi="Arial"/>
                <w:sz w:val="18"/>
                <w:szCs w:val="18"/>
                <w:color w:val="auto"/>
              </w:rPr>
              <w:t xml:space="preserve">U.S. Mid-cap Growth </w:t>
            </w:r>
            <w:r>
              <w:rPr>
                <w:rFonts w:ascii="Arial" w:cs="Arial" w:eastAsia="Arial" w:hAnsi="Arial"/>
                <w:sz w:val="18"/>
                <w:szCs w:val="18"/>
                <w:i w:val="1"/>
                <w:iCs w:val="1"/>
                <w:color w:val="auto"/>
              </w:rPr>
              <w:t>(a)</w:t>
            </w:r>
          </w:p>
        </w:tc>
        <w:tc>
          <w:tcPr>
            <w:tcW w:w="1320" w:type="dxa"/>
            <w:vAlign w:val="bottom"/>
          </w:tcPr>
          <w:p>
            <w:pPr>
              <w:jc w:val="right"/>
              <w:spacing w:after="0"/>
              <w:rPr>
                <w:sz w:val="20"/>
                <w:szCs w:val="20"/>
                <w:color w:val="auto"/>
              </w:rPr>
            </w:pPr>
            <w:r>
              <w:rPr>
                <w:rFonts w:ascii="Arial" w:cs="Arial" w:eastAsia="Arial" w:hAnsi="Arial"/>
                <w:sz w:val="18"/>
                <w:szCs w:val="18"/>
                <w:color w:val="auto"/>
              </w:rPr>
              <w:t>13.2</w:t>
            </w:r>
          </w:p>
        </w:tc>
        <w:tc>
          <w:tcPr>
            <w:tcW w:w="15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13.2</w:t>
            </w:r>
          </w:p>
        </w:tc>
      </w:tr>
      <w:tr>
        <w:trPr>
          <w:trHeight w:val="27"/>
        </w:trPr>
        <w:tc>
          <w:tcPr>
            <w:tcW w:w="59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 xml:space="preserve">U.S. Small-cap </w:t>
            </w:r>
            <w:r>
              <w:rPr>
                <w:rFonts w:ascii="Arial" w:cs="Arial" w:eastAsia="Arial" w:hAnsi="Arial"/>
                <w:sz w:val="18"/>
                <w:szCs w:val="18"/>
                <w:i w:val="1"/>
                <w:iCs w:val="1"/>
                <w:color w:val="auto"/>
              </w:rPr>
              <w:t>(a)</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5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w:t>
            </w:r>
          </w:p>
        </w:tc>
      </w:tr>
      <w:tr>
        <w:trPr>
          <w:trHeight w:val="243"/>
        </w:trPr>
        <w:tc>
          <w:tcPr>
            <w:tcW w:w="5960" w:type="dxa"/>
            <w:vAlign w:val="bottom"/>
          </w:tcPr>
          <w:p>
            <w:pPr>
              <w:ind w:left="280"/>
              <w:spacing w:after="0"/>
              <w:rPr>
                <w:sz w:val="20"/>
                <w:szCs w:val="20"/>
                <w:color w:val="auto"/>
              </w:rPr>
            </w:pPr>
            <w:r>
              <w:rPr>
                <w:rFonts w:ascii="Arial" w:cs="Arial" w:eastAsia="Arial" w:hAnsi="Arial"/>
                <w:sz w:val="18"/>
                <w:szCs w:val="18"/>
                <w:color w:val="auto"/>
              </w:rPr>
              <w:t>International</w:t>
            </w:r>
          </w:p>
        </w:tc>
        <w:tc>
          <w:tcPr>
            <w:tcW w:w="1320" w:type="dxa"/>
            <w:vAlign w:val="bottom"/>
          </w:tcPr>
          <w:p>
            <w:pPr>
              <w:jc w:val="right"/>
              <w:spacing w:after="0"/>
              <w:rPr>
                <w:sz w:val="20"/>
                <w:szCs w:val="20"/>
                <w:color w:val="auto"/>
              </w:rPr>
            </w:pPr>
            <w:r>
              <w:rPr>
                <w:rFonts w:ascii="Arial" w:cs="Arial" w:eastAsia="Arial" w:hAnsi="Arial"/>
                <w:sz w:val="18"/>
                <w:szCs w:val="18"/>
                <w:color w:val="auto"/>
              </w:rPr>
              <w:t>30.3</w:t>
            </w:r>
          </w:p>
        </w:tc>
        <w:tc>
          <w:tcPr>
            <w:tcW w:w="15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30.3</w:t>
            </w:r>
          </w:p>
        </w:tc>
      </w:tr>
      <w:tr>
        <w:trPr>
          <w:trHeight w:val="27"/>
        </w:trPr>
        <w:tc>
          <w:tcPr>
            <w:tcW w:w="59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Debt Securities:</w:t>
            </w:r>
          </w:p>
        </w:tc>
        <w:tc>
          <w:tcPr>
            <w:tcW w:w="13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960" w:type="dxa"/>
            <w:vAlign w:val="bottom"/>
          </w:tcPr>
          <w:p>
            <w:pPr>
              <w:ind w:left="280"/>
              <w:spacing w:after="0"/>
              <w:rPr>
                <w:sz w:val="20"/>
                <w:szCs w:val="20"/>
                <w:color w:val="auto"/>
              </w:rPr>
            </w:pPr>
            <w:r>
              <w:rPr>
                <w:rFonts w:ascii="Arial" w:cs="Arial" w:eastAsia="Arial" w:hAnsi="Arial"/>
                <w:sz w:val="18"/>
                <w:szCs w:val="18"/>
                <w:color w:val="auto"/>
              </w:rPr>
              <w:t>Mutual Funds</w:t>
            </w:r>
          </w:p>
        </w:tc>
        <w:tc>
          <w:tcPr>
            <w:tcW w:w="1320" w:type="dxa"/>
            <w:vAlign w:val="bottom"/>
          </w:tcPr>
          <w:p>
            <w:pPr>
              <w:jc w:val="right"/>
              <w:spacing w:after="0"/>
              <w:rPr>
                <w:sz w:val="20"/>
                <w:szCs w:val="20"/>
                <w:color w:val="auto"/>
              </w:rPr>
            </w:pPr>
            <w:r>
              <w:rPr>
                <w:rFonts w:ascii="Arial" w:cs="Arial" w:eastAsia="Arial" w:hAnsi="Arial"/>
                <w:sz w:val="18"/>
                <w:szCs w:val="18"/>
                <w:color w:val="auto"/>
              </w:rPr>
              <w:t>25.5</w:t>
            </w:r>
          </w:p>
        </w:tc>
        <w:tc>
          <w:tcPr>
            <w:tcW w:w="15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25.5</w:t>
            </w:r>
          </w:p>
        </w:tc>
      </w:tr>
      <w:tr>
        <w:trPr>
          <w:trHeight w:val="27"/>
        </w:trPr>
        <w:tc>
          <w:tcPr>
            <w:tcW w:w="59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Fixed Income</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5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$18.3</w:t>
            </w:r>
          </w:p>
        </w:tc>
        <w:tc>
          <w:tcPr>
            <w:tcW w:w="1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18.5</w:t>
            </w: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Other Types of Investments:</w:t>
            </w:r>
          </w:p>
        </w:tc>
        <w:tc>
          <w:tcPr>
            <w:tcW w:w="13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59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5"/>
        </w:trPr>
        <w:tc>
          <w:tcPr>
            <w:tcW w:w="5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Private Equity Funds</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$13.5</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w:t>
            </w:r>
          </w:p>
        </w:tc>
      </w:tr>
      <w:tr>
        <w:trPr>
          <w:trHeight w:val="237"/>
        </w:trPr>
        <w:tc>
          <w:tcPr>
            <w:tcW w:w="596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Fair Value of Assets</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$99.2</w:t>
            </w:r>
          </w:p>
        </w:tc>
        <w:tc>
          <w:tcPr>
            <w:tcW w:w="158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$18.3</w:t>
            </w:r>
          </w:p>
        </w:tc>
        <w:tc>
          <w:tcPr>
            <w:tcW w:w="144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rPr>
              <w:t>$13.5</w:t>
            </w: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i w:val="1"/>
          <w:iCs w:val="1"/>
          <w:color w:val="auto"/>
        </w:rPr>
        <w:t>(a)</w:t>
      </w:r>
      <w:r>
        <w:rPr>
          <w:sz w:val="20"/>
          <w:szCs w:val="20"/>
          <w:color w:val="auto"/>
        </w:rPr>
        <w:tab/>
      </w:r>
      <w:r>
        <w:rPr>
          <w:rFonts w:ascii="Arial" w:cs="Arial" w:eastAsia="Arial" w:hAnsi="Arial"/>
          <w:sz w:val="14"/>
          <w:szCs w:val="14"/>
          <w:i w:val="1"/>
          <w:iCs w:val="1"/>
          <w:color w:val="auto"/>
        </w:rPr>
        <w:t>The underlying investments classified under U.S. Equity Securities consist of mutual funds (Level 1).</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60" w:type="dxa"/>
            <w:vAlign w:val="bottom"/>
          </w:tcPr>
          <w:p>
            <w:pPr>
              <w:ind w:left="40"/>
              <w:spacing w:after="0"/>
              <w:rPr>
                <w:sz w:val="20"/>
                <w:szCs w:val="20"/>
                <w:color w:val="auto"/>
              </w:rPr>
            </w:pPr>
            <w:r>
              <w:rPr>
                <w:rFonts w:ascii="Arial" w:cs="Arial" w:eastAsia="Arial" w:hAnsi="Arial"/>
                <w:sz w:val="18"/>
                <w:szCs w:val="18"/>
                <w:b w:val="1"/>
                <w:bCs w:val="1"/>
                <w:color w:val="auto"/>
              </w:rPr>
              <w:t>Recurring Fair Value Measures</w:t>
            </w:r>
          </w:p>
        </w:tc>
        <w:tc>
          <w:tcPr>
            <w:tcW w:w="5660" w:type="dxa"/>
            <w:vAlign w:val="bottom"/>
          </w:tcPr>
          <w:p>
            <w:pPr>
              <w:spacing w:after="0"/>
              <w:rPr>
                <w:sz w:val="20"/>
                <w:szCs w:val="20"/>
                <w:color w:val="auto"/>
              </w:rPr>
            </w:pPr>
          </w:p>
        </w:tc>
      </w:tr>
      <w:tr>
        <w:trPr>
          <w:trHeight w:val="270"/>
        </w:trPr>
        <w:tc>
          <w:tcPr>
            <w:tcW w:w="5760" w:type="dxa"/>
            <w:vAlign w:val="bottom"/>
          </w:tcPr>
          <w:p>
            <w:pPr>
              <w:ind w:left="40"/>
              <w:spacing w:after="0"/>
              <w:rPr>
                <w:sz w:val="20"/>
                <w:szCs w:val="20"/>
                <w:color w:val="auto"/>
              </w:rPr>
            </w:pPr>
            <w:r>
              <w:rPr>
                <w:rFonts w:ascii="Arial" w:cs="Arial" w:eastAsia="Arial" w:hAnsi="Arial"/>
                <w:sz w:val="18"/>
                <w:szCs w:val="18"/>
                <w:b w:val="1"/>
                <w:bCs w:val="1"/>
                <w:color w:val="auto"/>
              </w:rPr>
              <w:t>Activity in Level 3</w:t>
            </w:r>
          </w:p>
        </w:tc>
        <w:tc>
          <w:tcPr>
            <w:tcW w:w="5660" w:type="dxa"/>
            <w:vAlign w:val="bottom"/>
          </w:tcPr>
          <w:p>
            <w:pPr>
              <w:jc w:val="right"/>
              <w:ind w:right="870"/>
              <w:spacing w:after="0"/>
              <w:rPr>
                <w:sz w:val="20"/>
                <w:szCs w:val="20"/>
                <w:color w:val="auto"/>
              </w:rPr>
            </w:pPr>
            <w:r>
              <w:rPr>
                <w:rFonts w:ascii="Arial" w:cs="Arial" w:eastAsia="Arial" w:hAnsi="Arial"/>
                <w:sz w:val="18"/>
                <w:szCs w:val="18"/>
                <w:b w:val="1"/>
                <w:bCs w:val="1"/>
                <w:color w:val="auto"/>
              </w:rPr>
              <w:t>Private Equity Funds</w:t>
            </w:r>
          </w:p>
        </w:tc>
      </w:tr>
      <w:tr>
        <w:trPr>
          <w:trHeight w:val="27"/>
        </w:trPr>
        <w:tc>
          <w:tcPr>
            <w:tcW w:w="5760" w:type="dxa"/>
            <w:vAlign w:val="bottom"/>
            <w:tcBorders>
              <w:bottom w:val="single" w:sz="8" w:color="auto"/>
            </w:tcBorders>
          </w:tcPr>
          <w:p>
            <w:pPr>
              <w:spacing w:after="0"/>
              <w:rPr>
                <w:sz w:val="2"/>
                <w:szCs w:val="2"/>
                <w:color w:val="auto"/>
              </w:rPr>
            </w:pPr>
          </w:p>
        </w:tc>
        <w:tc>
          <w:tcPr>
            <w:tcW w:w="5660" w:type="dxa"/>
            <w:vAlign w:val="bottom"/>
            <w:tcBorders>
              <w:bottom w:val="single" w:sz="8" w:color="auto"/>
            </w:tcBorders>
          </w:tcPr>
          <w:p>
            <w:pPr>
              <w:spacing w:after="0"/>
              <w:rPr>
                <w:sz w:val="2"/>
                <w:szCs w:val="2"/>
                <w:color w:val="auto"/>
              </w:rPr>
            </w:pPr>
          </w:p>
        </w:tc>
      </w:tr>
      <w:tr>
        <w:trPr>
          <w:trHeight w:val="237"/>
        </w:trPr>
        <w:tc>
          <w:tcPr>
            <w:tcW w:w="576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5660" w:type="dxa"/>
            <w:vAlign w:val="bottom"/>
          </w:tcPr>
          <w:p>
            <w:pPr>
              <w:spacing w:after="0"/>
              <w:rPr>
                <w:sz w:val="20"/>
                <w:szCs w:val="20"/>
                <w:color w:val="auto"/>
              </w:rPr>
            </w:pPr>
          </w:p>
        </w:tc>
      </w:tr>
      <w:tr>
        <w:trPr>
          <w:trHeight w:val="27"/>
        </w:trPr>
        <w:tc>
          <w:tcPr>
            <w:tcW w:w="5760" w:type="dxa"/>
            <w:vAlign w:val="bottom"/>
          </w:tcPr>
          <w:p>
            <w:pPr>
              <w:spacing w:after="0"/>
              <w:rPr>
                <w:sz w:val="2"/>
                <w:szCs w:val="2"/>
                <w:color w:val="auto"/>
              </w:rPr>
            </w:pPr>
          </w:p>
        </w:tc>
        <w:tc>
          <w:tcPr>
            <w:tcW w:w="5660" w:type="dxa"/>
            <w:vAlign w:val="bottom"/>
          </w:tcPr>
          <w:p>
            <w:pPr>
              <w:spacing w:after="0"/>
              <w:rPr>
                <w:sz w:val="2"/>
                <w:szCs w:val="2"/>
                <w:color w:val="auto"/>
              </w:rPr>
            </w:pPr>
          </w:p>
        </w:tc>
      </w:tr>
      <w:tr>
        <w:trPr>
          <w:trHeight w:val="250"/>
        </w:trPr>
        <w:tc>
          <w:tcPr>
            <w:tcW w:w="5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2011</w:t>
            </w:r>
          </w:p>
        </w:tc>
        <w:tc>
          <w:tcPr>
            <w:tcW w:w="5660" w:type="dxa"/>
            <w:vAlign w:val="bottom"/>
            <w:tcBorders>
              <w:bottom w:val="single" w:sz="8" w:color="CCEEFF"/>
            </w:tcBorders>
            <w:shd w:val="clear" w:color="auto" w:fill="CCEEFF"/>
          </w:tcPr>
          <w:p>
            <w:pPr>
              <w:jc w:val="right"/>
              <w:ind w:right="790"/>
              <w:spacing w:after="0"/>
              <w:rPr>
                <w:sz w:val="20"/>
                <w:szCs w:val="20"/>
                <w:color w:val="auto"/>
              </w:rPr>
            </w:pPr>
            <w:r>
              <w:rPr>
                <w:rFonts w:ascii="Arial" w:cs="Arial" w:eastAsia="Arial" w:hAnsi="Arial"/>
                <w:sz w:val="18"/>
                <w:szCs w:val="18"/>
                <w:color w:val="auto"/>
              </w:rPr>
              <w:t>$14.0</w:t>
            </w:r>
          </w:p>
        </w:tc>
      </w:tr>
      <w:tr>
        <w:trPr>
          <w:trHeight w:val="243"/>
        </w:trPr>
        <w:tc>
          <w:tcPr>
            <w:tcW w:w="5760" w:type="dxa"/>
            <w:vAlign w:val="bottom"/>
          </w:tcPr>
          <w:p>
            <w:pPr>
              <w:ind w:left="40"/>
              <w:spacing w:after="0"/>
              <w:rPr>
                <w:sz w:val="20"/>
                <w:szCs w:val="20"/>
                <w:color w:val="auto"/>
              </w:rPr>
            </w:pPr>
            <w:r>
              <w:rPr>
                <w:rFonts w:ascii="Arial" w:cs="Arial" w:eastAsia="Arial" w:hAnsi="Arial"/>
                <w:sz w:val="18"/>
                <w:szCs w:val="18"/>
                <w:color w:val="auto"/>
              </w:rPr>
              <w:t>Actual Return on Plan Assets</w:t>
            </w:r>
          </w:p>
        </w:tc>
        <w:tc>
          <w:tcPr>
            <w:tcW w:w="5660" w:type="dxa"/>
            <w:vAlign w:val="bottom"/>
          </w:tcPr>
          <w:p>
            <w:pPr>
              <w:jc w:val="right"/>
              <w:ind w:right="790"/>
              <w:spacing w:after="0"/>
              <w:rPr>
                <w:sz w:val="20"/>
                <w:szCs w:val="20"/>
                <w:color w:val="auto"/>
              </w:rPr>
            </w:pPr>
            <w:r>
              <w:rPr>
                <w:rFonts w:ascii="Arial" w:cs="Arial" w:eastAsia="Arial" w:hAnsi="Arial"/>
                <w:sz w:val="18"/>
                <w:szCs w:val="18"/>
                <w:color w:val="auto"/>
              </w:rPr>
              <w:t>0.2</w:t>
            </w:r>
          </w:p>
        </w:tc>
      </w:tr>
      <w:tr>
        <w:trPr>
          <w:trHeight w:val="27"/>
        </w:trPr>
        <w:tc>
          <w:tcPr>
            <w:tcW w:w="5760" w:type="dxa"/>
            <w:vAlign w:val="bottom"/>
          </w:tcPr>
          <w:p>
            <w:pPr>
              <w:spacing w:after="0"/>
              <w:rPr>
                <w:sz w:val="2"/>
                <w:szCs w:val="2"/>
                <w:color w:val="auto"/>
              </w:rPr>
            </w:pPr>
          </w:p>
        </w:tc>
        <w:tc>
          <w:tcPr>
            <w:tcW w:w="5660" w:type="dxa"/>
            <w:vAlign w:val="bottom"/>
          </w:tcPr>
          <w:p>
            <w:pPr>
              <w:spacing w:after="0"/>
              <w:rPr>
                <w:sz w:val="2"/>
                <w:szCs w:val="2"/>
                <w:color w:val="auto"/>
              </w:rPr>
            </w:pPr>
          </w:p>
        </w:tc>
      </w:tr>
      <w:tr>
        <w:trPr>
          <w:trHeight w:val="275"/>
        </w:trPr>
        <w:tc>
          <w:tcPr>
            <w:tcW w:w="5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Purchases, sales, and settlements, net</w:t>
            </w:r>
          </w:p>
        </w:tc>
        <w:tc>
          <w:tcPr>
            <w:tcW w:w="5660" w:type="dxa"/>
            <w:vAlign w:val="bottom"/>
            <w:tcBorders>
              <w:bottom w:val="single" w:sz="8" w:color="CCEEFF"/>
            </w:tcBorders>
            <w:shd w:val="clear" w:color="auto" w:fill="CCEEFF"/>
          </w:tcPr>
          <w:p>
            <w:pPr>
              <w:jc w:val="right"/>
              <w:ind w:right="730"/>
              <w:spacing w:after="0"/>
              <w:rPr>
                <w:sz w:val="20"/>
                <w:szCs w:val="20"/>
                <w:color w:val="auto"/>
              </w:rPr>
            </w:pPr>
            <w:r>
              <w:rPr>
                <w:rFonts w:ascii="Arial" w:cs="Arial" w:eastAsia="Arial" w:hAnsi="Arial"/>
                <w:sz w:val="18"/>
                <w:szCs w:val="18"/>
                <w:color w:val="auto"/>
              </w:rPr>
              <w:t>(0.7)</w:t>
            </w:r>
          </w:p>
        </w:tc>
      </w:tr>
      <w:tr>
        <w:trPr>
          <w:trHeight w:val="237"/>
        </w:trPr>
        <w:tc>
          <w:tcPr>
            <w:tcW w:w="57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Balance as of December 31, 2012</w:t>
            </w:r>
          </w:p>
        </w:tc>
        <w:tc>
          <w:tcPr>
            <w:tcW w:w="5660" w:type="dxa"/>
            <w:vAlign w:val="bottom"/>
            <w:tcBorders>
              <w:top w:val="single" w:sz="8" w:color="auto"/>
            </w:tcBorders>
          </w:tcPr>
          <w:p>
            <w:pPr>
              <w:jc w:val="right"/>
              <w:ind w:right="790"/>
              <w:spacing w:after="0"/>
              <w:rPr>
                <w:sz w:val="20"/>
                <w:szCs w:val="20"/>
                <w:color w:val="auto"/>
              </w:rPr>
            </w:pPr>
            <w:r>
              <w:rPr>
                <w:rFonts w:ascii="Arial" w:cs="Arial" w:eastAsia="Arial" w:hAnsi="Arial"/>
                <w:sz w:val="18"/>
                <w:szCs w:val="18"/>
                <w:color w:val="auto"/>
              </w:rPr>
              <w:t>$13.5</w:t>
            </w:r>
          </w:p>
        </w:tc>
      </w:tr>
      <w:tr>
        <w:trPr>
          <w:trHeight w:val="27"/>
        </w:trPr>
        <w:tc>
          <w:tcPr>
            <w:tcW w:w="5760" w:type="dxa"/>
            <w:vAlign w:val="bottom"/>
            <w:tcBorders>
              <w:bottom w:val="single" w:sz="8" w:color="auto"/>
            </w:tcBorders>
          </w:tcPr>
          <w:p>
            <w:pPr>
              <w:spacing w:after="0"/>
              <w:rPr>
                <w:sz w:val="2"/>
                <w:szCs w:val="2"/>
                <w:color w:val="auto"/>
              </w:rPr>
            </w:pPr>
          </w:p>
        </w:tc>
        <w:tc>
          <w:tcPr>
            <w:tcW w:w="5660" w:type="dxa"/>
            <w:vAlign w:val="bottom"/>
            <w:tcBorders>
              <w:bottom w:val="single" w:sz="8" w:color="auto"/>
            </w:tcBorders>
          </w:tcPr>
          <w:p>
            <w:pPr>
              <w:spacing w:after="0"/>
              <w:rPr>
                <w:sz w:val="2"/>
                <w:szCs w:val="2"/>
                <w:color w:val="auto"/>
              </w:rPr>
            </w:pPr>
          </w:p>
        </w:tc>
      </w:tr>
    </w:tbl>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020" w:type="dxa"/>
            <w:vAlign w:val="bottom"/>
            <w:gridSpan w:val="2"/>
          </w:tcPr>
          <w:p>
            <w:pPr>
              <w:jc w:val="right"/>
              <w:ind w:right="170"/>
              <w:spacing w:after="0"/>
              <w:rPr>
                <w:sz w:val="20"/>
                <w:szCs w:val="20"/>
                <w:color w:val="auto"/>
              </w:rPr>
            </w:pPr>
            <w:r>
              <w:rPr>
                <w:rFonts w:ascii="Arial" w:cs="Arial" w:eastAsia="Arial" w:hAnsi="Arial"/>
                <w:sz w:val="18"/>
                <w:szCs w:val="18"/>
                <w:b w:val="1"/>
                <w:bCs w:val="1"/>
                <w:color w:val="auto"/>
                <w:w w:val="91"/>
              </w:rPr>
              <w:t>Fair Value as of December 31, 2011</w:t>
            </w:r>
          </w:p>
        </w:tc>
        <w:tc>
          <w:tcPr>
            <w:tcW w:w="1120" w:type="dxa"/>
            <w:vAlign w:val="bottom"/>
          </w:tcPr>
          <w:p>
            <w:pPr>
              <w:spacing w:after="0"/>
              <w:rPr>
                <w:sz w:val="20"/>
                <w:szCs w:val="20"/>
                <w:color w:val="auto"/>
              </w:rPr>
            </w:pPr>
          </w:p>
        </w:tc>
      </w:tr>
      <w:tr>
        <w:trPr>
          <w:trHeight w:val="27"/>
        </w:trPr>
        <w:tc>
          <w:tcPr>
            <w:tcW w:w="596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5960" w:type="dxa"/>
            <w:vAlign w:val="bottom"/>
          </w:tcPr>
          <w:p>
            <w:pPr>
              <w:ind w:left="40"/>
              <w:spacing w:after="0"/>
              <w:rPr>
                <w:sz w:val="20"/>
                <w:szCs w:val="20"/>
                <w:color w:val="auto"/>
              </w:rPr>
            </w:pPr>
            <w:r>
              <w:rPr>
                <w:rFonts w:ascii="Arial" w:cs="Arial" w:eastAsia="Arial" w:hAnsi="Arial"/>
                <w:sz w:val="18"/>
                <w:szCs w:val="18"/>
                <w:b w:val="1"/>
                <w:bCs w:val="1"/>
                <w:color w:val="auto"/>
              </w:rPr>
              <w:t>Recurring Fair Value Measures</w:t>
            </w:r>
          </w:p>
        </w:tc>
        <w:tc>
          <w:tcPr>
            <w:tcW w:w="1320" w:type="dxa"/>
            <w:vAlign w:val="bottom"/>
          </w:tcPr>
          <w:p>
            <w:pPr>
              <w:jc w:val="right"/>
              <w:ind w:right="270"/>
              <w:spacing w:after="0"/>
              <w:rPr>
                <w:sz w:val="20"/>
                <w:szCs w:val="20"/>
                <w:color w:val="auto"/>
              </w:rPr>
            </w:pPr>
            <w:r>
              <w:rPr>
                <w:rFonts w:ascii="Arial" w:cs="Arial" w:eastAsia="Arial" w:hAnsi="Arial"/>
                <w:sz w:val="18"/>
                <w:szCs w:val="18"/>
                <w:b w:val="1"/>
                <w:bCs w:val="1"/>
                <w:color w:val="auto"/>
              </w:rPr>
              <w:t>Level 1</w:t>
            </w:r>
          </w:p>
        </w:tc>
        <w:tc>
          <w:tcPr>
            <w:tcW w:w="1580" w:type="dxa"/>
            <w:vAlign w:val="bottom"/>
          </w:tcPr>
          <w:p>
            <w:pPr>
              <w:jc w:val="right"/>
              <w:ind w:right="470"/>
              <w:spacing w:after="0"/>
              <w:rPr>
                <w:sz w:val="20"/>
                <w:szCs w:val="20"/>
                <w:color w:val="auto"/>
              </w:rPr>
            </w:pPr>
            <w:r>
              <w:rPr>
                <w:rFonts w:ascii="Arial" w:cs="Arial" w:eastAsia="Arial" w:hAnsi="Arial"/>
                <w:sz w:val="18"/>
                <w:szCs w:val="18"/>
                <w:b w:val="1"/>
                <w:bCs w:val="1"/>
                <w:color w:val="auto"/>
              </w:rPr>
              <w:t>Level 2</w:t>
            </w:r>
          </w:p>
        </w:tc>
        <w:tc>
          <w:tcPr>
            <w:tcW w:w="1440" w:type="dxa"/>
            <w:vAlign w:val="bottom"/>
          </w:tcPr>
          <w:p>
            <w:pPr>
              <w:jc w:val="right"/>
              <w:ind w:right="530"/>
              <w:spacing w:after="0"/>
              <w:rPr>
                <w:sz w:val="20"/>
                <w:szCs w:val="20"/>
                <w:color w:val="auto"/>
              </w:rPr>
            </w:pPr>
            <w:r>
              <w:rPr>
                <w:rFonts w:ascii="Arial" w:cs="Arial" w:eastAsia="Arial" w:hAnsi="Arial"/>
                <w:sz w:val="18"/>
                <w:szCs w:val="18"/>
                <w:b w:val="1"/>
                <w:bCs w:val="1"/>
                <w:color w:val="auto"/>
              </w:rPr>
              <w:t>Level 3</w:t>
            </w:r>
          </w:p>
        </w:tc>
        <w:tc>
          <w:tcPr>
            <w:tcW w:w="112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7"/>
        </w:trPr>
        <w:tc>
          <w:tcPr>
            <w:tcW w:w="59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596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13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7"/>
        </w:trPr>
        <w:tc>
          <w:tcPr>
            <w:tcW w:w="59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3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Equity Securities:</w:t>
            </w:r>
          </w:p>
        </w:tc>
        <w:tc>
          <w:tcPr>
            <w:tcW w:w="13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59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 xml:space="preserve">U.S. Large-cap </w:t>
            </w:r>
            <w:r>
              <w:rPr>
                <w:rFonts w:ascii="Arial" w:cs="Arial" w:eastAsia="Arial" w:hAnsi="Arial"/>
                <w:sz w:val="18"/>
                <w:szCs w:val="18"/>
                <w:i w:val="1"/>
                <w:iCs w:val="1"/>
                <w:color w:val="auto"/>
              </w:rPr>
              <w:t>(a)</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5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$15.9</w:t>
            </w:r>
          </w:p>
        </w:tc>
      </w:tr>
      <w:tr>
        <w:trPr>
          <w:trHeight w:val="243"/>
        </w:trPr>
        <w:tc>
          <w:tcPr>
            <w:tcW w:w="5960" w:type="dxa"/>
            <w:vAlign w:val="bottom"/>
          </w:tcPr>
          <w:p>
            <w:pPr>
              <w:ind w:left="280"/>
              <w:spacing w:after="0"/>
              <w:rPr>
                <w:sz w:val="20"/>
                <w:szCs w:val="20"/>
                <w:color w:val="auto"/>
              </w:rPr>
            </w:pPr>
            <w:r>
              <w:rPr>
                <w:rFonts w:ascii="Arial" w:cs="Arial" w:eastAsia="Arial" w:hAnsi="Arial"/>
                <w:sz w:val="18"/>
                <w:szCs w:val="18"/>
                <w:color w:val="auto"/>
              </w:rPr>
              <w:t xml:space="preserve">U.S. Mid-cap Growth </w:t>
            </w:r>
            <w:r>
              <w:rPr>
                <w:rFonts w:ascii="Arial" w:cs="Arial" w:eastAsia="Arial" w:hAnsi="Arial"/>
                <w:sz w:val="18"/>
                <w:szCs w:val="18"/>
                <w:i w:val="1"/>
                <w:iCs w:val="1"/>
                <w:color w:val="auto"/>
              </w:rPr>
              <w:t>(a)</w:t>
            </w:r>
          </w:p>
        </w:tc>
        <w:tc>
          <w:tcPr>
            <w:tcW w:w="1320" w:type="dxa"/>
            <w:vAlign w:val="bottom"/>
          </w:tcPr>
          <w:p>
            <w:pPr>
              <w:jc w:val="right"/>
              <w:spacing w:after="0"/>
              <w:rPr>
                <w:sz w:val="20"/>
                <w:szCs w:val="20"/>
                <w:color w:val="auto"/>
              </w:rPr>
            </w:pPr>
            <w:r>
              <w:rPr>
                <w:rFonts w:ascii="Arial" w:cs="Arial" w:eastAsia="Arial" w:hAnsi="Arial"/>
                <w:sz w:val="18"/>
                <w:szCs w:val="18"/>
                <w:color w:val="auto"/>
              </w:rPr>
              <w:t>11.5</w:t>
            </w:r>
          </w:p>
        </w:tc>
        <w:tc>
          <w:tcPr>
            <w:tcW w:w="15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11.5</w:t>
            </w:r>
          </w:p>
        </w:tc>
      </w:tr>
      <w:tr>
        <w:trPr>
          <w:trHeight w:val="27"/>
        </w:trPr>
        <w:tc>
          <w:tcPr>
            <w:tcW w:w="59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 xml:space="preserve">U.S. Small-cap </w:t>
            </w:r>
            <w:r>
              <w:rPr>
                <w:rFonts w:ascii="Arial" w:cs="Arial" w:eastAsia="Arial" w:hAnsi="Arial"/>
                <w:sz w:val="18"/>
                <w:szCs w:val="18"/>
                <w:i w:val="1"/>
                <w:iCs w:val="1"/>
                <w:color w:val="auto"/>
              </w:rPr>
              <w:t>(a)</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5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w:t>
            </w:r>
          </w:p>
        </w:tc>
      </w:tr>
      <w:tr>
        <w:trPr>
          <w:trHeight w:val="243"/>
        </w:trPr>
        <w:tc>
          <w:tcPr>
            <w:tcW w:w="5960" w:type="dxa"/>
            <w:vAlign w:val="bottom"/>
          </w:tcPr>
          <w:p>
            <w:pPr>
              <w:ind w:left="280"/>
              <w:spacing w:after="0"/>
              <w:rPr>
                <w:sz w:val="20"/>
                <w:szCs w:val="20"/>
                <w:color w:val="auto"/>
              </w:rPr>
            </w:pPr>
            <w:r>
              <w:rPr>
                <w:rFonts w:ascii="Arial" w:cs="Arial" w:eastAsia="Arial" w:hAnsi="Arial"/>
                <w:sz w:val="18"/>
                <w:szCs w:val="18"/>
                <w:color w:val="auto"/>
              </w:rPr>
              <w:t>International</w:t>
            </w:r>
          </w:p>
        </w:tc>
        <w:tc>
          <w:tcPr>
            <w:tcW w:w="1320" w:type="dxa"/>
            <w:vAlign w:val="bottom"/>
          </w:tcPr>
          <w:p>
            <w:pPr>
              <w:jc w:val="right"/>
              <w:spacing w:after="0"/>
              <w:rPr>
                <w:sz w:val="20"/>
                <w:szCs w:val="20"/>
                <w:color w:val="auto"/>
              </w:rPr>
            </w:pPr>
            <w:r>
              <w:rPr>
                <w:rFonts w:ascii="Arial" w:cs="Arial" w:eastAsia="Arial" w:hAnsi="Arial"/>
                <w:sz w:val="18"/>
                <w:szCs w:val="18"/>
                <w:color w:val="auto"/>
              </w:rPr>
              <w:t>25.1</w:t>
            </w:r>
          </w:p>
        </w:tc>
        <w:tc>
          <w:tcPr>
            <w:tcW w:w="15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25.1</w:t>
            </w:r>
          </w:p>
        </w:tc>
      </w:tr>
      <w:tr>
        <w:trPr>
          <w:trHeight w:val="27"/>
        </w:trPr>
        <w:tc>
          <w:tcPr>
            <w:tcW w:w="59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Debt Securities:</w:t>
            </w:r>
          </w:p>
        </w:tc>
        <w:tc>
          <w:tcPr>
            <w:tcW w:w="13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960" w:type="dxa"/>
            <w:vAlign w:val="bottom"/>
          </w:tcPr>
          <w:p>
            <w:pPr>
              <w:ind w:left="280"/>
              <w:spacing w:after="0"/>
              <w:rPr>
                <w:sz w:val="20"/>
                <w:szCs w:val="20"/>
                <w:color w:val="auto"/>
              </w:rPr>
            </w:pPr>
            <w:r>
              <w:rPr>
                <w:rFonts w:ascii="Arial" w:cs="Arial" w:eastAsia="Arial" w:hAnsi="Arial"/>
                <w:sz w:val="18"/>
                <w:szCs w:val="18"/>
                <w:color w:val="auto"/>
              </w:rPr>
              <w:t>Mutual Funds</w:t>
            </w:r>
          </w:p>
        </w:tc>
        <w:tc>
          <w:tcPr>
            <w:tcW w:w="1320" w:type="dxa"/>
            <w:vAlign w:val="bottom"/>
          </w:tcPr>
          <w:p>
            <w:pPr>
              <w:jc w:val="right"/>
              <w:spacing w:after="0"/>
              <w:rPr>
                <w:sz w:val="20"/>
                <w:szCs w:val="20"/>
                <w:color w:val="auto"/>
              </w:rPr>
            </w:pPr>
            <w:r>
              <w:rPr>
                <w:rFonts w:ascii="Arial" w:cs="Arial" w:eastAsia="Arial" w:hAnsi="Arial"/>
                <w:sz w:val="18"/>
                <w:szCs w:val="18"/>
                <w:color w:val="auto"/>
              </w:rPr>
              <w:t>24.1</w:t>
            </w:r>
          </w:p>
        </w:tc>
        <w:tc>
          <w:tcPr>
            <w:tcW w:w="15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24.1</w:t>
            </w:r>
          </w:p>
        </w:tc>
      </w:tr>
      <w:tr>
        <w:trPr>
          <w:trHeight w:val="27"/>
        </w:trPr>
        <w:tc>
          <w:tcPr>
            <w:tcW w:w="59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Fixed Income</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5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$18.9</w:t>
            </w:r>
          </w:p>
        </w:tc>
        <w:tc>
          <w:tcPr>
            <w:tcW w:w="1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19.2</w:t>
            </w: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Other Types of Investments:</w:t>
            </w:r>
          </w:p>
        </w:tc>
        <w:tc>
          <w:tcPr>
            <w:tcW w:w="13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59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5"/>
        </w:trPr>
        <w:tc>
          <w:tcPr>
            <w:tcW w:w="5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Private Equity Funds</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$14.0</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14.0</w:t>
            </w:r>
          </w:p>
        </w:tc>
      </w:tr>
      <w:tr>
        <w:trPr>
          <w:trHeight w:val="237"/>
        </w:trPr>
        <w:tc>
          <w:tcPr>
            <w:tcW w:w="596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Fair Value of Assets</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$88.1</w:t>
            </w:r>
          </w:p>
        </w:tc>
        <w:tc>
          <w:tcPr>
            <w:tcW w:w="158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$18.9</w:t>
            </w:r>
          </w:p>
        </w:tc>
        <w:tc>
          <w:tcPr>
            <w:tcW w:w="144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rPr>
              <w:t>$14.0</w:t>
            </w: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i w:val="1"/>
          <w:iCs w:val="1"/>
          <w:color w:val="auto"/>
        </w:rPr>
        <w:t>(a)</w:t>
      </w:r>
      <w:r>
        <w:rPr>
          <w:sz w:val="20"/>
          <w:szCs w:val="20"/>
          <w:color w:val="auto"/>
        </w:rPr>
        <w:tab/>
      </w:r>
      <w:r>
        <w:rPr>
          <w:rFonts w:ascii="Arial" w:cs="Arial" w:eastAsia="Arial" w:hAnsi="Arial"/>
          <w:sz w:val="14"/>
          <w:szCs w:val="14"/>
          <w:i w:val="1"/>
          <w:iCs w:val="1"/>
          <w:color w:val="auto"/>
        </w:rPr>
        <w:t>The underlying investments classified under U.S. Equity Securities consist of mutual funds (Level 1).</w:t>
      </w:r>
    </w:p>
    <w:p>
      <w:pPr>
        <w:sectPr>
          <w:pgSz w:w="11900" w:h="16838" w:orient="portrait"/>
          <w:cols w:equalWidth="0" w:num="1">
            <w:col w:w="11420"/>
          </w:cols>
          <w:pgMar w:left="240" w:top="36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ALLETE 2012 Form 10-K</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20"/>
          </w:cols>
          <w:pgMar w:left="240" w:top="364" w:right="239" w:bottom="1440" w:gutter="0" w:footer="0" w:header="0"/>
          <w:type w:val="continuous"/>
        </w:sectPr>
      </w:pPr>
    </w:p>
    <w:bookmarkStart w:id="108" w:name="page109"/>
    <w:bookmarkEnd w:id="108"/>
    <w:p>
      <w:pPr>
        <w:spacing w:after="0"/>
        <w:rPr>
          <w:sz w:val="20"/>
          <w:szCs w:val="20"/>
          <w:color w:val="auto"/>
        </w:rPr>
      </w:pPr>
      <w:r>
        <w:rPr>
          <w:rFonts w:ascii="Arial" w:cs="Arial" w:eastAsia="Arial" w:hAnsi="Arial"/>
          <w:sz w:val="18"/>
          <w:szCs w:val="18"/>
          <w:b w:val="1"/>
          <w:bCs w:val="1"/>
          <w:color w:val="auto"/>
        </w:rPr>
        <w:t>NOTE 15. PENSION AND OTHER POSTRETIREMENT BENEFIT PLANS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(Continued)</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20" w:type="dxa"/>
            <w:vAlign w:val="bottom"/>
          </w:tcPr>
          <w:p>
            <w:pPr>
              <w:ind w:left="40"/>
              <w:spacing w:after="0"/>
              <w:rPr>
                <w:sz w:val="20"/>
                <w:szCs w:val="20"/>
                <w:color w:val="auto"/>
              </w:rPr>
            </w:pPr>
            <w:r>
              <w:rPr>
                <w:rFonts w:ascii="Arial" w:cs="Arial" w:eastAsia="Arial" w:hAnsi="Arial"/>
                <w:sz w:val="18"/>
                <w:szCs w:val="18"/>
                <w:b w:val="1"/>
                <w:bCs w:val="1"/>
                <w:color w:val="auto"/>
              </w:rPr>
              <w:t>Recurring Fair Value Measures</w:t>
            </w:r>
          </w:p>
        </w:tc>
        <w:tc>
          <w:tcPr>
            <w:tcW w:w="5500" w:type="dxa"/>
            <w:vAlign w:val="bottom"/>
          </w:tcPr>
          <w:p>
            <w:pPr>
              <w:spacing w:after="0"/>
              <w:rPr>
                <w:sz w:val="20"/>
                <w:szCs w:val="20"/>
                <w:color w:val="auto"/>
              </w:rPr>
            </w:pPr>
          </w:p>
        </w:tc>
      </w:tr>
      <w:tr>
        <w:trPr>
          <w:trHeight w:val="270"/>
        </w:trPr>
        <w:tc>
          <w:tcPr>
            <w:tcW w:w="5920" w:type="dxa"/>
            <w:vAlign w:val="bottom"/>
          </w:tcPr>
          <w:p>
            <w:pPr>
              <w:ind w:left="40"/>
              <w:spacing w:after="0"/>
              <w:rPr>
                <w:sz w:val="20"/>
                <w:szCs w:val="20"/>
                <w:color w:val="auto"/>
              </w:rPr>
            </w:pPr>
            <w:r>
              <w:rPr>
                <w:rFonts w:ascii="Arial" w:cs="Arial" w:eastAsia="Arial" w:hAnsi="Arial"/>
                <w:sz w:val="18"/>
                <w:szCs w:val="18"/>
                <w:b w:val="1"/>
                <w:bCs w:val="1"/>
                <w:color w:val="auto"/>
              </w:rPr>
              <w:t>Activity in Level 3</w:t>
            </w:r>
          </w:p>
        </w:tc>
        <w:tc>
          <w:tcPr>
            <w:tcW w:w="5500" w:type="dxa"/>
            <w:vAlign w:val="bottom"/>
          </w:tcPr>
          <w:p>
            <w:pPr>
              <w:jc w:val="right"/>
              <w:ind w:right="570"/>
              <w:spacing w:after="0"/>
              <w:rPr>
                <w:sz w:val="20"/>
                <w:szCs w:val="20"/>
                <w:color w:val="auto"/>
              </w:rPr>
            </w:pPr>
            <w:r>
              <w:rPr>
                <w:rFonts w:ascii="Arial" w:cs="Arial" w:eastAsia="Arial" w:hAnsi="Arial"/>
                <w:sz w:val="18"/>
                <w:szCs w:val="18"/>
                <w:b w:val="1"/>
                <w:bCs w:val="1"/>
                <w:color w:val="auto"/>
              </w:rPr>
              <w:t>Private Equity Funds</w:t>
            </w:r>
          </w:p>
        </w:tc>
      </w:tr>
      <w:tr>
        <w:trPr>
          <w:trHeight w:val="27"/>
        </w:trPr>
        <w:tc>
          <w:tcPr>
            <w:tcW w:w="5920" w:type="dxa"/>
            <w:vAlign w:val="bottom"/>
            <w:tcBorders>
              <w:bottom w:val="single" w:sz="8" w:color="auto"/>
            </w:tcBorders>
          </w:tcPr>
          <w:p>
            <w:pPr>
              <w:spacing w:after="0"/>
              <w:rPr>
                <w:sz w:val="2"/>
                <w:szCs w:val="2"/>
                <w:color w:val="auto"/>
              </w:rPr>
            </w:pPr>
          </w:p>
        </w:tc>
        <w:tc>
          <w:tcPr>
            <w:tcW w:w="5500" w:type="dxa"/>
            <w:vAlign w:val="bottom"/>
            <w:tcBorders>
              <w:bottom w:val="single" w:sz="8" w:color="auto"/>
            </w:tcBorders>
          </w:tcPr>
          <w:p>
            <w:pPr>
              <w:spacing w:after="0"/>
              <w:rPr>
                <w:sz w:val="2"/>
                <w:szCs w:val="2"/>
                <w:color w:val="auto"/>
              </w:rPr>
            </w:pPr>
          </w:p>
        </w:tc>
      </w:tr>
      <w:tr>
        <w:trPr>
          <w:trHeight w:val="237"/>
        </w:trPr>
        <w:tc>
          <w:tcPr>
            <w:tcW w:w="592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5500" w:type="dxa"/>
            <w:vAlign w:val="bottom"/>
          </w:tcPr>
          <w:p>
            <w:pPr>
              <w:spacing w:after="0"/>
              <w:rPr>
                <w:sz w:val="20"/>
                <w:szCs w:val="20"/>
                <w:color w:val="auto"/>
              </w:rPr>
            </w:pPr>
          </w:p>
        </w:tc>
      </w:tr>
      <w:tr>
        <w:trPr>
          <w:trHeight w:val="27"/>
        </w:trPr>
        <w:tc>
          <w:tcPr>
            <w:tcW w:w="5920" w:type="dxa"/>
            <w:vAlign w:val="bottom"/>
          </w:tcPr>
          <w:p>
            <w:pPr>
              <w:spacing w:after="0"/>
              <w:rPr>
                <w:sz w:val="2"/>
                <w:szCs w:val="2"/>
                <w:color w:val="auto"/>
              </w:rPr>
            </w:pPr>
          </w:p>
        </w:tc>
        <w:tc>
          <w:tcPr>
            <w:tcW w:w="5500" w:type="dxa"/>
            <w:vAlign w:val="bottom"/>
          </w:tcPr>
          <w:p>
            <w:pPr>
              <w:spacing w:after="0"/>
              <w:rPr>
                <w:sz w:val="2"/>
                <w:szCs w:val="2"/>
                <w:color w:val="auto"/>
              </w:rPr>
            </w:pPr>
          </w:p>
        </w:tc>
      </w:tr>
      <w:tr>
        <w:trPr>
          <w:trHeight w:val="250"/>
        </w:trPr>
        <w:tc>
          <w:tcPr>
            <w:tcW w:w="5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2010</w:t>
            </w:r>
          </w:p>
        </w:tc>
        <w:tc>
          <w:tcPr>
            <w:tcW w:w="5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w:t>
            </w:r>
          </w:p>
        </w:tc>
      </w:tr>
      <w:tr>
        <w:trPr>
          <w:trHeight w:val="243"/>
        </w:trPr>
        <w:tc>
          <w:tcPr>
            <w:tcW w:w="5920" w:type="dxa"/>
            <w:vAlign w:val="bottom"/>
          </w:tcPr>
          <w:p>
            <w:pPr>
              <w:ind w:left="40"/>
              <w:spacing w:after="0"/>
              <w:rPr>
                <w:sz w:val="20"/>
                <w:szCs w:val="20"/>
                <w:color w:val="auto"/>
              </w:rPr>
            </w:pPr>
            <w:r>
              <w:rPr>
                <w:rFonts w:ascii="Arial" w:cs="Arial" w:eastAsia="Arial" w:hAnsi="Arial"/>
                <w:sz w:val="18"/>
                <w:szCs w:val="18"/>
                <w:color w:val="auto"/>
              </w:rPr>
              <w:t>Actual Return on Plan Assets</w:t>
            </w:r>
          </w:p>
        </w:tc>
        <w:tc>
          <w:tcPr>
            <w:tcW w:w="5500" w:type="dxa"/>
            <w:vAlign w:val="bottom"/>
          </w:tcPr>
          <w:p>
            <w:pPr>
              <w:jc w:val="right"/>
              <w:ind w:right="10"/>
              <w:spacing w:after="0"/>
              <w:rPr>
                <w:sz w:val="20"/>
                <w:szCs w:val="20"/>
                <w:color w:val="auto"/>
              </w:rPr>
            </w:pPr>
            <w:r>
              <w:rPr>
                <w:rFonts w:ascii="Arial" w:cs="Arial" w:eastAsia="Arial" w:hAnsi="Arial"/>
                <w:sz w:val="18"/>
                <w:szCs w:val="18"/>
                <w:color w:val="auto"/>
              </w:rPr>
              <w:t>1.1</w:t>
            </w:r>
          </w:p>
        </w:tc>
      </w:tr>
      <w:tr>
        <w:trPr>
          <w:trHeight w:val="27"/>
        </w:trPr>
        <w:tc>
          <w:tcPr>
            <w:tcW w:w="5920" w:type="dxa"/>
            <w:vAlign w:val="bottom"/>
          </w:tcPr>
          <w:p>
            <w:pPr>
              <w:spacing w:after="0"/>
              <w:rPr>
                <w:sz w:val="2"/>
                <w:szCs w:val="2"/>
                <w:color w:val="auto"/>
              </w:rPr>
            </w:pPr>
          </w:p>
        </w:tc>
        <w:tc>
          <w:tcPr>
            <w:tcW w:w="5500" w:type="dxa"/>
            <w:vAlign w:val="bottom"/>
          </w:tcPr>
          <w:p>
            <w:pPr>
              <w:spacing w:after="0"/>
              <w:rPr>
                <w:sz w:val="2"/>
                <w:szCs w:val="2"/>
                <w:color w:val="auto"/>
              </w:rPr>
            </w:pPr>
          </w:p>
        </w:tc>
      </w:tr>
      <w:tr>
        <w:trPr>
          <w:trHeight w:val="275"/>
        </w:trPr>
        <w:tc>
          <w:tcPr>
            <w:tcW w:w="5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Purchases, sales, and settlements, net</w:t>
            </w:r>
          </w:p>
        </w:tc>
        <w:tc>
          <w:tcPr>
            <w:tcW w:w="5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0.5</w:t>
            </w:r>
          </w:p>
        </w:tc>
      </w:tr>
      <w:tr>
        <w:trPr>
          <w:trHeight w:val="237"/>
        </w:trPr>
        <w:tc>
          <w:tcPr>
            <w:tcW w:w="59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Balance as of December 31, 2011</w:t>
            </w:r>
          </w:p>
        </w:tc>
        <w:tc>
          <w:tcPr>
            <w:tcW w:w="55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$14.0</w:t>
            </w:r>
          </w:p>
        </w:tc>
      </w:tr>
      <w:tr>
        <w:trPr>
          <w:trHeight w:val="27"/>
        </w:trPr>
        <w:tc>
          <w:tcPr>
            <w:tcW w:w="5920" w:type="dxa"/>
            <w:vAlign w:val="bottom"/>
            <w:tcBorders>
              <w:bottom w:val="single" w:sz="8" w:color="auto"/>
            </w:tcBorders>
          </w:tcPr>
          <w:p>
            <w:pPr>
              <w:spacing w:after="0"/>
              <w:rPr>
                <w:sz w:val="2"/>
                <w:szCs w:val="2"/>
                <w:color w:val="auto"/>
              </w:rPr>
            </w:pPr>
          </w:p>
        </w:tc>
        <w:tc>
          <w:tcPr>
            <w:tcW w:w="550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Accounting and disclosure requirements for the Medicare Prescription Drug, Improvement and Modernization Act of 2003 (Act) provide guidance for employers that sponsor postretirement health care plans that provide prescription drug benefits. We provide a fully insured postretirement health benefit, including a prescription drug benefit, which qualifies us for a federal subsidy under the Act. The federal subsidy is reflected in the premiums charged to us by the insurance company.</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EMPLOYEE STOCK AND INCENTIVE PLANS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b w:val="1"/>
          <w:bCs w:val="1"/>
          <w:color w:val="auto"/>
        </w:rPr>
        <w:t xml:space="preserve">Employee Stock Ownership Plan. </w:t>
      </w:r>
      <w:r>
        <w:rPr>
          <w:rFonts w:ascii="Arial" w:cs="Arial" w:eastAsia="Arial" w:hAnsi="Arial"/>
          <w:sz w:val="17"/>
          <w:szCs w:val="17"/>
          <w:color w:val="auto"/>
        </w:rPr>
        <w:t>We sponsor a leveraged ESOP within the RSOP. Eligible employees may contribute to the RSOP plan as of their date of</w:t>
      </w:r>
      <w:r>
        <w:rPr>
          <w:rFonts w:ascii="Arial" w:cs="Arial" w:eastAsia="Arial" w:hAnsi="Arial"/>
          <w:sz w:val="17"/>
          <w:szCs w:val="17"/>
          <w:b w:val="1"/>
          <w:bCs w:val="1"/>
          <w:color w:val="auto"/>
        </w:rPr>
        <w:t xml:space="preserve"> </w:t>
      </w:r>
      <w:r>
        <w:rPr>
          <w:rFonts w:ascii="Arial" w:cs="Arial" w:eastAsia="Arial" w:hAnsi="Arial"/>
          <w:sz w:val="17"/>
          <w:szCs w:val="17"/>
          <w:color w:val="auto"/>
        </w:rPr>
        <w:t>hire. In 1990, the ESOP issued a $75.0 million note (term not to exceed 25 years at 10.25 percent) to use as consideration for 2.8 million shares (1.9 million shares adjusted for stock splits) of our newly issued common stock. The note was refinanced in 2006 at 6 percent. We make annual contributions to the ESOP equal to the ESOP’s debt service less available dividends received by the ESOP. The majority of dividends received by the ESOP are used to pay debt service, with the balance distributed to participants. The ESOP shares were initially pledged as collateral for the debt. As the debt is repaid, shares are released from collateral and allocated to participants based on the proportion of debt service paid in the year. As shares are released from collateral, we report compensation expense equal to the current market price of the shares less dividends on allocated shares. Dividends on allocated ESOP shares are recorded as a reduction of retained earnings; available dividends on unallocated ESOP shares are recorded as a reduction of debt and accrued interest. ESOP compensation expense was $7.7 million in 2012 ($7.4 million in 2011; $7.1 million in 2010).</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According to the accounting standards for stock compensation, unallocated shares of ALLETE common stock currently held and purchased by the ESOP will be treated as unearned ESOP shares and not considered outstanding for earnings per share computations. ESOP shares are included in earnings per share computations after they are allocated to participants.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00" w:type="dxa"/>
            <w:vAlign w:val="bottom"/>
          </w:tcPr>
          <w:p>
            <w:pPr>
              <w:ind w:left="40"/>
              <w:spacing w:after="0"/>
              <w:rPr>
                <w:sz w:val="20"/>
                <w:szCs w:val="20"/>
                <w:color w:val="auto"/>
              </w:rPr>
            </w:pPr>
            <w:r>
              <w:rPr>
                <w:rFonts w:ascii="Arial" w:cs="Arial" w:eastAsia="Arial" w:hAnsi="Arial"/>
                <w:sz w:val="18"/>
                <w:szCs w:val="18"/>
                <w:b w:val="1"/>
                <w:bCs w:val="1"/>
                <w:color w:val="auto"/>
              </w:rPr>
              <w:t>Year Ended December 31</w:t>
            </w:r>
          </w:p>
        </w:tc>
        <w:tc>
          <w:tcPr>
            <w:tcW w:w="3780" w:type="dxa"/>
            <w:vAlign w:val="bottom"/>
          </w:tcPr>
          <w:p>
            <w:pPr>
              <w:jc w:val="right"/>
              <w:ind w:right="630"/>
              <w:spacing w:after="0"/>
              <w:rPr>
                <w:sz w:val="20"/>
                <w:szCs w:val="20"/>
                <w:color w:val="auto"/>
              </w:rPr>
            </w:pPr>
            <w:r>
              <w:rPr>
                <w:rFonts w:ascii="Arial" w:cs="Arial" w:eastAsia="Arial" w:hAnsi="Arial"/>
                <w:sz w:val="18"/>
                <w:szCs w:val="18"/>
                <w:b w:val="1"/>
                <w:bCs w:val="1"/>
                <w:color w:val="auto"/>
              </w:rPr>
              <w:t>2012</w:t>
            </w:r>
          </w:p>
        </w:tc>
        <w:tc>
          <w:tcPr>
            <w:tcW w:w="1380" w:type="dxa"/>
            <w:vAlign w:val="bottom"/>
          </w:tcPr>
          <w:p>
            <w:pPr>
              <w:jc w:val="right"/>
              <w:ind w:right="630"/>
              <w:spacing w:after="0"/>
              <w:rPr>
                <w:sz w:val="20"/>
                <w:szCs w:val="20"/>
                <w:color w:val="auto"/>
              </w:rPr>
            </w:pPr>
            <w:r>
              <w:rPr>
                <w:rFonts w:ascii="Arial" w:cs="Arial" w:eastAsia="Arial" w:hAnsi="Arial"/>
                <w:sz w:val="18"/>
                <w:szCs w:val="18"/>
                <w:b w:val="1"/>
                <w:bCs w:val="1"/>
                <w:color w:val="auto"/>
              </w:rPr>
              <w:t>2011</w:t>
            </w:r>
          </w:p>
        </w:tc>
        <w:tc>
          <w:tcPr>
            <w:tcW w:w="11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2010</w:t>
            </w:r>
          </w:p>
        </w:tc>
      </w:tr>
      <w:tr>
        <w:trPr>
          <w:trHeight w:val="27"/>
        </w:trPr>
        <w:tc>
          <w:tcPr>
            <w:tcW w:w="5100" w:type="dxa"/>
            <w:vAlign w:val="bottom"/>
            <w:tcBorders>
              <w:bottom w:val="single" w:sz="8" w:color="auto"/>
            </w:tcBorders>
          </w:tcPr>
          <w:p>
            <w:pPr>
              <w:spacing w:after="0"/>
              <w:rPr>
                <w:sz w:val="2"/>
                <w:szCs w:val="2"/>
                <w:color w:val="auto"/>
              </w:rPr>
            </w:pPr>
          </w:p>
        </w:tc>
        <w:tc>
          <w:tcPr>
            <w:tcW w:w="37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7"/>
        </w:trPr>
        <w:tc>
          <w:tcPr>
            <w:tcW w:w="510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37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7"/>
        </w:trPr>
        <w:tc>
          <w:tcPr>
            <w:tcW w:w="5100" w:type="dxa"/>
            <w:vAlign w:val="bottom"/>
          </w:tcPr>
          <w:p>
            <w:pPr>
              <w:spacing w:after="0"/>
              <w:rPr>
                <w:sz w:val="2"/>
                <w:szCs w:val="2"/>
                <w:color w:val="auto"/>
              </w:rPr>
            </w:pPr>
          </w:p>
        </w:tc>
        <w:tc>
          <w:tcPr>
            <w:tcW w:w="37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ESOP Shares</w:t>
            </w:r>
          </w:p>
        </w:tc>
        <w:tc>
          <w:tcPr>
            <w:tcW w:w="37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5100" w:type="dxa"/>
            <w:vAlign w:val="bottom"/>
          </w:tcPr>
          <w:p>
            <w:pPr>
              <w:ind w:left="180"/>
              <w:spacing w:after="0"/>
              <w:rPr>
                <w:sz w:val="20"/>
                <w:szCs w:val="20"/>
                <w:color w:val="auto"/>
              </w:rPr>
            </w:pPr>
            <w:r>
              <w:rPr>
                <w:rFonts w:ascii="Arial" w:cs="Arial" w:eastAsia="Arial" w:hAnsi="Arial"/>
                <w:sz w:val="18"/>
                <w:szCs w:val="18"/>
                <w:color w:val="auto"/>
              </w:rPr>
              <w:t>Allocated</w:t>
            </w:r>
          </w:p>
        </w:tc>
        <w:tc>
          <w:tcPr>
            <w:tcW w:w="3780" w:type="dxa"/>
            <w:vAlign w:val="bottom"/>
          </w:tcPr>
          <w:p>
            <w:pPr>
              <w:jc w:val="right"/>
              <w:ind w:right="210"/>
              <w:spacing w:after="0"/>
              <w:rPr>
                <w:sz w:val="20"/>
                <w:szCs w:val="20"/>
                <w:color w:val="auto"/>
              </w:rPr>
            </w:pPr>
            <w:r>
              <w:rPr>
                <w:rFonts w:ascii="Arial" w:cs="Arial" w:eastAsia="Arial" w:hAnsi="Arial"/>
                <w:sz w:val="18"/>
                <w:szCs w:val="18"/>
                <w:color w:val="auto"/>
              </w:rPr>
              <w:t>2.2</w:t>
            </w:r>
          </w:p>
        </w:tc>
        <w:tc>
          <w:tcPr>
            <w:tcW w:w="1380" w:type="dxa"/>
            <w:vAlign w:val="bottom"/>
          </w:tcPr>
          <w:p>
            <w:pPr>
              <w:jc w:val="right"/>
              <w:ind w:right="210"/>
              <w:spacing w:after="0"/>
              <w:rPr>
                <w:sz w:val="20"/>
                <w:szCs w:val="20"/>
                <w:color w:val="auto"/>
              </w:rPr>
            </w:pPr>
            <w:r>
              <w:rPr>
                <w:rFonts w:ascii="Arial" w:cs="Arial" w:eastAsia="Arial" w:hAnsi="Arial"/>
                <w:sz w:val="18"/>
                <w:szCs w:val="18"/>
                <w:color w:val="auto"/>
              </w:rPr>
              <w:t>2.2</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2.2</w:t>
            </w:r>
          </w:p>
        </w:tc>
      </w:tr>
      <w:tr>
        <w:trPr>
          <w:trHeight w:val="27"/>
        </w:trPr>
        <w:tc>
          <w:tcPr>
            <w:tcW w:w="5100" w:type="dxa"/>
            <w:vAlign w:val="bottom"/>
          </w:tcPr>
          <w:p>
            <w:pPr>
              <w:spacing w:after="0"/>
              <w:rPr>
                <w:sz w:val="2"/>
                <w:szCs w:val="2"/>
                <w:color w:val="auto"/>
              </w:rPr>
            </w:pPr>
          </w:p>
        </w:tc>
        <w:tc>
          <w:tcPr>
            <w:tcW w:w="37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5"/>
        </w:trPr>
        <w:tc>
          <w:tcPr>
            <w:tcW w:w="5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Unallocated</w:t>
            </w:r>
          </w:p>
        </w:tc>
        <w:tc>
          <w:tcPr>
            <w:tcW w:w="378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0.7</w:t>
            </w:r>
          </w:p>
        </w:tc>
        <w:tc>
          <w:tcPr>
            <w:tcW w:w="138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1.0</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r>
      <w:tr>
        <w:trPr>
          <w:trHeight w:val="237"/>
        </w:trPr>
        <w:tc>
          <w:tcPr>
            <w:tcW w:w="51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w:t>
            </w:r>
          </w:p>
        </w:tc>
        <w:tc>
          <w:tcPr>
            <w:tcW w:w="378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2.9</w:t>
            </w:r>
          </w:p>
        </w:tc>
        <w:tc>
          <w:tcPr>
            <w:tcW w:w="138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3.2</w:t>
            </w: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3.5</w:t>
            </w:r>
          </w:p>
        </w:tc>
      </w:tr>
      <w:tr>
        <w:trPr>
          <w:trHeight w:val="27"/>
        </w:trPr>
        <w:tc>
          <w:tcPr>
            <w:tcW w:w="5100" w:type="dxa"/>
            <w:vAlign w:val="bottom"/>
            <w:tcBorders>
              <w:bottom w:val="single" w:sz="8" w:color="auto"/>
            </w:tcBorders>
          </w:tcPr>
          <w:p>
            <w:pPr>
              <w:spacing w:after="0"/>
              <w:rPr>
                <w:sz w:val="2"/>
                <w:szCs w:val="2"/>
                <w:color w:val="auto"/>
              </w:rPr>
            </w:pPr>
          </w:p>
        </w:tc>
        <w:tc>
          <w:tcPr>
            <w:tcW w:w="37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5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of Unallocated Shares</w:t>
            </w:r>
          </w:p>
        </w:tc>
        <w:tc>
          <w:tcPr>
            <w:tcW w:w="378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$28.7</w:t>
            </w:r>
          </w:p>
        </w:tc>
        <w:tc>
          <w:tcPr>
            <w:tcW w:w="138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$42.0</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$48.4</w:t>
            </w:r>
          </w:p>
        </w:tc>
      </w:tr>
      <w:tr>
        <w:trPr>
          <w:trHeight w:val="20"/>
        </w:trPr>
        <w:tc>
          <w:tcPr>
            <w:tcW w:w="5100" w:type="dxa"/>
            <w:vAlign w:val="bottom"/>
            <w:shd w:val="clear" w:color="auto" w:fill="000000"/>
          </w:tcPr>
          <w:p>
            <w:pPr>
              <w:spacing w:after="0" w:line="20" w:lineRule="exact"/>
              <w:rPr>
                <w:sz w:val="1"/>
                <w:szCs w:val="1"/>
                <w:color w:val="auto"/>
              </w:rPr>
            </w:pPr>
          </w:p>
        </w:tc>
        <w:tc>
          <w:tcPr>
            <w:tcW w:w="378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Stock-Based Compensation. </w:t>
      </w:r>
      <w:r>
        <w:rPr>
          <w:rFonts w:ascii="Arial" w:cs="Arial" w:eastAsia="Arial" w:hAnsi="Arial"/>
          <w:sz w:val="18"/>
          <w:szCs w:val="18"/>
          <w:i w:val="1"/>
          <w:iCs w:val="1"/>
          <w:color w:val="auto"/>
        </w:rPr>
        <w:t>Stock Incentive Plan.</w:t>
      </w:r>
      <w:r>
        <w:rPr>
          <w:rFonts w:ascii="Arial" w:cs="Arial" w:eastAsia="Arial" w:hAnsi="Arial"/>
          <w:sz w:val="18"/>
          <w:szCs w:val="18"/>
          <w:b w:val="1"/>
          <w:bCs w:val="1"/>
          <w:color w:val="auto"/>
        </w:rPr>
        <w:t xml:space="preserve"> </w:t>
      </w:r>
      <w:r>
        <w:rPr>
          <w:rFonts w:ascii="Arial" w:cs="Arial" w:eastAsia="Arial" w:hAnsi="Arial"/>
          <w:sz w:val="18"/>
          <w:szCs w:val="18"/>
          <w:color w:val="auto"/>
        </w:rPr>
        <w:t>Under our Executive Long-Term Incentive Compensation Plan (Executive Plan), share-based awards may</w:t>
      </w:r>
      <w:r>
        <w:rPr>
          <w:rFonts w:ascii="Arial" w:cs="Arial" w:eastAsia="Arial" w:hAnsi="Arial"/>
          <w:sz w:val="18"/>
          <w:szCs w:val="18"/>
          <w:b w:val="1"/>
          <w:bCs w:val="1"/>
          <w:color w:val="auto"/>
        </w:rPr>
        <w:t xml:space="preserve"> </w:t>
      </w:r>
      <w:r>
        <w:rPr>
          <w:rFonts w:ascii="Arial" w:cs="Arial" w:eastAsia="Arial" w:hAnsi="Arial"/>
          <w:sz w:val="18"/>
          <w:szCs w:val="18"/>
          <w:color w:val="auto"/>
        </w:rPr>
        <w:t>be issued to key employees through a broad range of methods, including non-qualified and incentive stock options, performance shares, performance units, restricted stock, stock appreciation rights and other awards. There are 1.2 million shares of common stock reserved for issuance under the Executive Plan, with 0.6 million of these shares available for issuance as of December 31, 2012.</w:t>
      </w:r>
    </w:p>
    <w:p>
      <w:pPr>
        <w:spacing w:after="0" w:line="18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had a Director Long-Term Stock Incentive Plan (Director Plan) which expired on January 1, 2006. No grants have been made since 2003 under the Director Plan. The 1,293 remaining options outstanding at December 31, 2011, were exercised during 2012. There were no options outstanding under the Director Plan at December 31, 2012.</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2012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20"/>
          </w:cols>
          <w:pgMar w:left="240" w:top="364" w:right="239"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b w:val="1"/>
          <w:bCs w:val="1"/>
          <w:color w:val="auto"/>
        </w:rPr>
        <w:t>NOTE 16. EMPLOYEE STOCK AND INCENTIVE PLANS (Continued)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currently have the following types of share-based awards outstanding:</w:t>
      </w:r>
    </w:p>
    <w:p>
      <w:pPr>
        <w:spacing w:after="0" w:line="225" w:lineRule="exact"/>
        <w:rPr>
          <w:sz w:val="20"/>
          <w:szCs w:val="20"/>
          <w:color w:val="auto"/>
        </w:rPr>
      </w:pPr>
    </w:p>
    <w:p>
      <w:pPr>
        <w:jc w:val="both"/>
        <w:ind w:left="340"/>
        <w:spacing w:after="0" w:line="270" w:lineRule="auto"/>
        <w:rPr>
          <w:sz w:val="20"/>
          <w:szCs w:val="20"/>
          <w:color w:val="auto"/>
        </w:rPr>
      </w:pPr>
      <w:r>
        <w:rPr>
          <w:rFonts w:ascii="Arial" w:cs="Arial" w:eastAsia="Arial" w:hAnsi="Arial"/>
          <w:sz w:val="17"/>
          <w:szCs w:val="17"/>
          <w:i w:val="1"/>
          <w:iCs w:val="1"/>
          <w:color w:val="auto"/>
        </w:rPr>
        <w:t>Non-Qualified Stock Options</w:t>
      </w:r>
      <w:r>
        <w:rPr>
          <w:rFonts w:ascii="Arial" w:cs="Arial" w:eastAsia="Arial" w:hAnsi="Arial"/>
          <w:sz w:val="17"/>
          <w:szCs w:val="17"/>
          <w:color w:val="auto"/>
        </w:rPr>
        <w:t>. These options allow for the purchase of shares of common stock at a price equal to the market value of our common stock</w:t>
      </w:r>
      <w:r>
        <w:rPr>
          <w:rFonts w:ascii="Arial" w:cs="Arial" w:eastAsia="Arial" w:hAnsi="Arial"/>
          <w:sz w:val="17"/>
          <w:szCs w:val="17"/>
          <w:i w:val="1"/>
          <w:iCs w:val="1"/>
          <w:color w:val="auto"/>
        </w:rPr>
        <w:t xml:space="preserve"> </w:t>
      </w:r>
      <w:r>
        <w:rPr>
          <w:rFonts w:ascii="Arial" w:cs="Arial" w:eastAsia="Arial" w:hAnsi="Arial"/>
          <w:sz w:val="17"/>
          <w:szCs w:val="17"/>
          <w:color w:val="auto"/>
        </w:rPr>
        <w:t>at the date of grant. Options become exercisable beginning one year after the grant date, with one-third vesting each year over three years. Options may be exercised up to ten years following the date of grant. In the case of qualified retirement, death or disability, options vest immediately and the period over which the options can be exercised is three years. Employees have up to three months to exercise vested options upon voluntary termination or involuntary termination without cause. All options are canceled upon termination for cause. All options vest immediately upon retirement, death, disability or a change of control, as defined in the award agreement. We determine the fair value of options using the Black-Scholes option-pricing model. The estimated fair value of options, including the effect of estimated forfeitures, is recognized as expense on the straight-line basis over the options’ vesting periods, or the accelerated vesting period if the employee is retirement eligible. Stock options have not been granted under our Executive Plan since 2008.</w:t>
      </w:r>
    </w:p>
    <w:p>
      <w:pPr>
        <w:spacing w:after="0" w:line="182"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The risk-free interest rate for periods within the contractual life of the option is based on the U.S. Treasury yield curve in effect at the grant date. Expected volatility is estimated based on the historic volatility of our stock and the stock of our peer group companies. We utilize historical option exercise and employee pre-vesting termination data to estimate the option life. The dividend growth rate is based upon historical growth rates in our dividends.</w:t>
      </w:r>
    </w:p>
    <w:p>
      <w:pPr>
        <w:spacing w:after="0" w:line="187" w:lineRule="exact"/>
        <w:rPr>
          <w:sz w:val="20"/>
          <w:szCs w:val="20"/>
          <w:color w:val="auto"/>
        </w:rPr>
      </w:pPr>
    </w:p>
    <w:p>
      <w:pPr>
        <w:jc w:val="both"/>
        <w:ind w:left="340"/>
        <w:spacing w:after="0" w:line="254" w:lineRule="auto"/>
        <w:rPr>
          <w:sz w:val="20"/>
          <w:szCs w:val="20"/>
          <w:color w:val="auto"/>
        </w:rPr>
      </w:pPr>
      <w:r>
        <w:rPr>
          <w:rFonts w:ascii="Arial" w:cs="Arial" w:eastAsia="Arial" w:hAnsi="Arial"/>
          <w:sz w:val="18"/>
          <w:szCs w:val="18"/>
          <w:i w:val="1"/>
          <w:iCs w:val="1"/>
          <w:color w:val="auto"/>
        </w:rPr>
        <w:t xml:space="preserve">Performance Shares. </w:t>
      </w:r>
      <w:r>
        <w:rPr>
          <w:rFonts w:ascii="Arial" w:cs="Arial" w:eastAsia="Arial" w:hAnsi="Arial"/>
          <w:sz w:val="18"/>
          <w:szCs w:val="18"/>
          <w:color w:val="auto"/>
        </w:rPr>
        <w:t>Under the performance share awards plan, the number of shares earned is contingent upon attaining specific market goals over a</w:t>
      </w:r>
      <w:r>
        <w:rPr>
          <w:rFonts w:ascii="Arial" w:cs="Arial" w:eastAsia="Arial" w:hAnsi="Arial"/>
          <w:sz w:val="18"/>
          <w:szCs w:val="18"/>
          <w:i w:val="1"/>
          <w:iCs w:val="1"/>
          <w:color w:val="auto"/>
        </w:rPr>
        <w:t xml:space="preserve"> </w:t>
      </w:r>
      <w:r>
        <w:rPr>
          <w:rFonts w:ascii="Arial" w:cs="Arial" w:eastAsia="Arial" w:hAnsi="Arial"/>
          <w:sz w:val="18"/>
          <w:szCs w:val="18"/>
          <w:color w:val="auto"/>
        </w:rPr>
        <w:t>three-year performance period. Market goals are measured by total shareholder return relative to a group of peer companies. In the case of qualified retirement, death or disability during a performance period, a pro rata portion of the award will be earned at the conclusion of the performance period based on the market goals achieved. In the case of termination of employment for any reason other than qualified retirement, death or disability, no award will be earned. If there is a change in control, a pro rata portion of the award will be paid based on the greater of actual performance up to the date of the change in control or target performance. The fair value of these awards is determined by the probability of meeting the total shareholder return goals. Compensation cost is recognized over the three-year performance period based on our estimate of the number of shares which will be earned by the award recipients.</w:t>
      </w:r>
    </w:p>
    <w:p>
      <w:pPr>
        <w:spacing w:after="0" w:line="192"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i w:val="1"/>
          <w:iCs w:val="1"/>
          <w:color w:val="auto"/>
        </w:rPr>
        <w:t xml:space="preserve">Restricted Stock Units. </w:t>
      </w:r>
      <w:r>
        <w:rPr>
          <w:rFonts w:ascii="Arial" w:cs="Arial" w:eastAsia="Arial" w:hAnsi="Arial"/>
          <w:sz w:val="18"/>
          <w:szCs w:val="18"/>
          <w:color w:val="auto"/>
        </w:rPr>
        <w:t>Under the restricted stock units plan, shares for retirement eligible participants vest monthly over a three-year period. For non-retirement eligible participants, shares vest at the end of the three-year period. In the case of qualified retirement, death or disability, a pro rata portion of the award will be earned. In the case of termination of employment for any reason other than qualified retirement, death or disability, no award will be earned. If there is a change in control, a pro rata portion of the award will be earned. The fair value of these awards is equal to the grant date fair value. Compensation cost is recognized over the three-year vesting period based on our estimate of the number of shares which will be earned by the award recipients.</w:t>
      </w:r>
    </w:p>
    <w:p>
      <w:pPr>
        <w:spacing w:after="0" w:line="193" w:lineRule="exact"/>
        <w:rPr>
          <w:sz w:val="20"/>
          <w:szCs w:val="20"/>
          <w:color w:val="auto"/>
        </w:rPr>
      </w:pPr>
    </w:p>
    <w:p>
      <w:pPr>
        <w:jc w:val="both"/>
        <w:ind w:left="340" w:right="20"/>
        <w:spacing w:after="0" w:line="308" w:lineRule="auto"/>
        <w:rPr>
          <w:sz w:val="20"/>
          <w:szCs w:val="20"/>
          <w:color w:val="auto"/>
        </w:rPr>
      </w:pPr>
      <w:r>
        <w:rPr>
          <w:rFonts w:ascii="Arial" w:cs="Arial" w:eastAsia="Arial" w:hAnsi="Arial"/>
          <w:sz w:val="17"/>
          <w:szCs w:val="17"/>
          <w:i w:val="1"/>
          <w:iCs w:val="1"/>
          <w:color w:val="auto"/>
        </w:rPr>
        <w:t xml:space="preserve">Employee Stock Purchase Plan (ESPP). </w:t>
      </w:r>
      <w:r>
        <w:rPr>
          <w:rFonts w:ascii="Arial" w:cs="Arial" w:eastAsia="Arial" w:hAnsi="Arial"/>
          <w:sz w:val="17"/>
          <w:szCs w:val="17"/>
          <w:color w:val="auto"/>
        </w:rPr>
        <w:t>Under our ESPP, eligible employees may purchase ALLETE common stock at a 5 percent discount from the</w:t>
      </w:r>
      <w:r>
        <w:rPr>
          <w:rFonts w:ascii="Arial" w:cs="Arial" w:eastAsia="Arial" w:hAnsi="Arial"/>
          <w:sz w:val="17"/>
          <w:szCs w:val="17"/>
          <w:i w:val="1"/>
          <w:iCs w:val="1"/>
          <w:color w:val="auto"/>
        </w:rPr>
        <w:t xml:space="preserve"> </w:t>
      </w:r>
      <w:r>
        <w:rPr>
          <w:rFonts w:ascii="Arial" w:cs="Arial" w:eastAsia="Arial" w:hAnsi="Arial"/>
          <w:sz w:val="17"/>
          <w:szCs w:val="17"/>
          <w:color w:val="auto"/>
        </w:rPr>
        <w:t>market price. Because the discount is not greater than 5 percent, we are not required to apply fair value accounting to these awards.</w:t>
      </w:r>
    </w:p>
    <w:p>
      <w:pPr>
        <w:spacing w:after="0" w:line="147"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i w:val="1"/>
          <w:iCs w:val="1"/>
          <w:color w:val="auto"/>
        </w:rPr>
        <w:t>RSOP</w:t>
      </w:r>
      <w:r>
        <w:rPr>
          <w:rFonts w:ascii="Arial" w:cs="Arial" w:eastAsia="Arial" w:hAnsi="Arial"/>
          <w:sz w:val="18"/>
          <w:szCs w:val="18"/>
          <w:color w:val="auto"/>
        </w:rPr>
        <w:t>. The RSOP is a contributory defined contribution plan subject to the provisions of the Employee Retirement Income Security Act of 1974, as</w:t>
      </w:r>
      <w:r>
        <w:rPr>
          <w:rFonts w:ascii="Arial" w:cs="Arial" w:eastAsia="Arial" w:hAnsi="Arial"/>
          <w:sz w:val="18"/>
          <w:szCs w:val="18"/>
          <w:i w:val="1"/>
          <w:iCs w:val="1"/>
          <w:color w:val="auto"/>
        </w:rPr>
        <w:t xml:space="preserve"> </w:t>
      </w:r>
      <w:r>
        <w:rPr>
          <w:rFonts w:ascii="Arial" w:cs="Arial" w:eastAsia="Arial" w:hAnsi="Arial"/>
          <w:sz w:val="18"/>
          <w:szCs w:val="18"/>
          <w:color w:val="auto"/>
        </w:rPr>
        <w:t>amended, and qualifies as an employee stock ownership plan and profit sharing plan. The RSOP provides eligible employees an opportunity to save for retirement.</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share-based compensation expense amounts were recognized in our Consolidated Statement of Income for the periods presented.</w:t>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40" w:type="dxa"/>
            <w:vAlign w:val="bottom"/>
          </w:tcPr>
          <w:p>
            <w:pPr>
              <w:ind w:left="40"/>
              <w:spacing w:after="0"/>
              <w:rPr>
                <w:sz w:val="20"/>
                <w:szCs w:val="20"/>
                <w:color w:val="auto"/>
              </w:rPr>
            </w:pPr>
            <w:r>
              <w:rPr>
                <w:rFonts w:ascii="Arial" w:cs="Arial" w:eastAsia="Arial" w:hAnsi="Arial"/>
                <w:sz w:val="18"/>
                <w:szCs w:val="18"/>
                <w:b w:val="1"/>
                <w:bCs w:val="1"/>
                <w:color w:val="auto"/>
              </w:rPr>
              <w:t>Share-Based Compensation Expense</w:t>
            </w:r>
          </w:p>
        </w:tc>
        <w:tc>
          <w:tcPr>
            <w:tcW w:w="34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70"/>
        </w:trPr>
        <w:tc>
          <w:tcPr>
            <w:tcW w:w="5440" w:type="dxa"/>
            <w:vAlign w:val="bottom"/>
          </w:tcPr>
          <w:p>
            <w:pPr>
              <w:ind w:left="40"/>
              <w:spacing w:after="0"/>
              <w:rPr>
                <w:sz w:val="20"/>
                <w:szCs w:val="20"/>
                <w:color w:val="auto"/>
              </w:rPr>
            </w:pPr>
            <w:r>
              <w:rPr>
                <w:rFonts w:ascii="Arial" w:cs="Arial" w:eastAsia="Arial" w:hAnsi="Arial"/>
                <w:sz w:val="18"/>
                <w:szCs w:val="18"/>
                <w:b w:val="1"/>
                <w:bCs w:val="1"/>
                <w:color w:val="auto"/>
              </w:rPr>
              <w:t>Year Ended December 31</w:t>
            </w:r>
          </w:p>
        </w:tc>
        <w:tc>
          <w:tcPr>
            <w:tcW w:w="3440" w:type="dxa"/>
            <w:vAlign w:val="bottom"/>
          </w:tcPr>
          <w:p>
            <w:pPr>
              <w:jc w:val="right"/>
              <w:ind w:right="630"/>
              <w:spacing w:after="0"/>
              <w:rPr>
                <w:sz w:val="20"/>
                <w:szCs w:val="20"/>
                <w:color w:val="auto"/>
              </w:rPr>
            </w:pPr>
            <w:r>
              <w:rPr>
                <w:rFonts w:ascii="Arial" w:cs="Arial" w:eastAsia="Arial" w:hAnsi="Arial"/>
                <w:sz w:val="18"/>
                <w:szCs w:val="18"/>
                <w:b w:val="1"/>
                <w:bCs w:val="1"/>
                <w:color w:val="auto"/>
              </w:rPr>
              <w:t>2012</w:t>
            </w:r>
          </w:p>
        </w:tc>
        <w:tc>
          <w:tcPr>
            <w:tcW w:w="1380" w:type="dxa"/>
            <w:vAlign w:val="bottom"/>
          </w:tcPr>
          <w:p>
            <w:pPr>
              <w:jc w:val="right"/>
              <w:ind w:right="630"/>
              <w:spacing w:after="0"/>
              <w:rPr>
                <w:sz w:val="20"/>
                <w:szCs w:val="20"/>
                <w:color w:val="auto"/>
              </w:rPr>
            </w:pPr>
            <w:r>
              <w:rPr>
                <w:rFonts w:ascii="Arial" w:cs="Arial" w:eastAsia="Arial" w:hAnsi="Arial"/>
                <w:sz w:val="18"/>
                <w:szCs w:val="18"/>
                <w:b w:val="1"/>
                <w:bCs w:val="1"/>
                <w:color w:val="auto"/>
              </w:rPr>
              <w:t>2011</w:t>
            </w:r>
          </w:p>
        </w:tc>
        <w:tc>
          <w:tcPr>
            <w:tcW w:w="11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2010</w:t>
            </w:r>
          </w:p>
        </w:tc>
      </w:tr>
      <w:tr>
        <w:trPr>
          <w:trHeight w:val="27"/>
        </w:trPr>
        <w:tc>
          <w:tcPr>
            <w:tcW w:w="5440" w:type="dxa"/>
            <w:vAlign w:val="bottom"/>
            <w:tcBorders>
              <w:bottom w:val="single" w:sz="8" w:color="auto"/>
            </w:tcBorders>
          </w:tcPr>
          <w:p>
            <w:pPr>
              <w:spacing w:after="0"/>
              <w:rPr>
                <w:sz w:val="2"/>
                <w:szCs w:val="2"/>
                <w:color w:val="auto"/>
              </w:rPr>
            </w:pPr>
          </w:p>
        </w:tc>
        <w:tc>
          <w:tcPr>
            <w:tcW w:w="3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7"/>
        </w:trPr>
        <w:tc>
          <w:tcPr>
            <w:tcW w:w="544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34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7"/>
        </w:trPr>
        <w:tc>
          <w:tcPr>
            <w:tcW w:w="544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Options</w:t>
            </w:r>
          </w:p>
        </w:tc>
        <w:tc>
          <w:tcPr>
            <w:tcW w:w="34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r>
      <w:tr>
        <w:trPr>
          <w:trHeight w:val="243"/>
        </w:trPr>
        <w:tc>
          <w:tcPr>
            <w:tcW w:w="5440" w:type="dxa"/>
            <w:vAlign w:val="bottom"/>
          </w:tcPr>
          <w:p>
            <w:pPr>
              <w:ind w:left="40"/>
              <w:spacing w:after="0"/>
              <w:rPr>
                <w:sz w:val="20"/>
                <w:szCs w:val="20"/>
                <w:color w:val="auto"/>
              </w:rPr>
            </w:pPr>
            <w:r>
              <w:rPr>
                <w:rFonts w:ascii="Arial" w:cs="Arial" w:eastAsia="Arial" w:hAnsi="Arial"/>
                <w:sz w:val="18"/>
                <w:szCs w:val="18"/>
                <w:color w:val="auto"/>
              </w:rPr>
              <w:t>Performance Shares</w:t>
            </w:r>
          </w:p>
        </w:tc>
        <w:tc>
          <w:tcPr>
            <w:tcW w:w="3440" w:type="dxa"/>
            <w:vAlign w:val="bottom"/>
          </w:tcPr>
          <w:p>
            <w:pPr>
              <w:jc w:val="right"/>
              <w:ind w:right="210"/>
              <w:spacing w:after="0"/>
              <w:rPr>
                <w:sz w:val="20"/>
                <w:szCs w:val="20"/>
                <w:color w:val="auto"/>
              </w:rPr>
            </w:pPr>
            <w:r>
              <w:rPr>
                <w:rFonts w:ascii="Arial" w:cs="Arial" w:eastAsia="Arial" w:hAnsi="Arial"/>
                <w:sz w:val="18"/>
                <w:szCs w:val="18"/>
                <w:color w:val="auto"/>
              </w:rPr>
              <w:t>$1.4</w:t>
            </w:r>
          </w:p>
        </w:tc>
        <w:tc>
          <w:tcPr>
            <w:tcW w:w="1380" w:type="dxa"/>
            <w:vAlign w:val="bottom"/>
          </w:tcPr>
          <w:p>
            <w:pPr>
              <w:jc w:val="right"/>
              <w:ind w:right="210"/>
              <w:spacing w:after="0"/>
              <w:rPr>
                <w:sz w:val="20"/>
                <w:szCs w:val="20"/>
                <w:color w:val="auto"/>
              </w:rPr>
            </w:pPr>
            <w:r>
              <w:rPr>
                <w:rFonts w:ascii="Arial" w:cs="Arial" w:eastAsia="Arial" w:hAnsi="Arial"/>
                <w:sz w:val="18"/>
                <w:szCs w:val="18"/>
                <w:color w:val="auto"/>
              </w:rPr>
              <w:t>$1.1</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1.5</w:t>
            </w:r>
          </w:p>
        </w:tc>
      </w:tr>
      <w:tr>
        <w:trPr>
          <w:trHeight w:val="27"/>
        </w:trPr>
        <w:tc>
          <w:tcPr>
            <w:tcW w:w="544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5"/>
        </w:trPr>
        <w:tc>
          <w:tcPr>
            <w:tcW w:w="5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Stock Units</w:t>
            </w:r>
          </w:p>
        </w:tc>
        <w:tc>
          <w:tcPr>
            <w:tcW w:w="34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0.7</w:t>
            </w:r>
          </w:p>
        </w:tc>
        <w:tc>
          <w:tcPr>
            <w:tcW w:w="138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0.5</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0.6</w:t>
            </w:r>
          </w:p>
        </w:tc>
      </w:tr>
      <w:tr>
        <w:trPr>
          <w:trHeight w:val="237"/>
        </w:trPr>
        <w:tc>
          <w:tcPr>
            <w:tcW w:w="54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Share-Based Compensation Expense</w:t>
            </w:r>
          </w:p>
        </w:tc>
        <w:tc>
          <w:tcPr>
            <w:tcW w:w="344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$2.1</w:t>
            </w:r>
          </w:p>
        </w:tc>
        <w:tc>
          <w:tcPr>
            <w:tcW w:w="138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$1.6</w:t>
            </w: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w:t>
            </w:r>
          </w:p>
        </w:tc>
      </w:tr>
      <w:tr>
        <w:trPr>
          <w:trHeight w:val="27"/>
        </w:trPr>
        <w:tc>
          <w:tcPr>
            <w:tcW w:w="5440" w:type="dxa"/>
            <w:vAlign w:val="bottom"/>
            <w:tcBorders>
              <w:bottom w:val="single" w:sz="8" w:color="auto"/>
            </w:tcBorders>
          </w:tcPr>
          <w:p>
            <w:pPr>
              <w:spacing w:after="0"/>
              <w:rPr>
                <w:sz w:val="2"/>
                <w:szCs w:val="2"/>
                <w:color w:val="auto"/>
              </w:rPr>
            </w:pPr>
          </w:p>
        </w:tc>
        <w:tc>
          <w:tcPr>
            <w:tcW w:w="3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5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w:t>
            </w:r>
          </w:p>
        </w:tc>
        <w:tc>
          <w:tcPr>
            <w:tcW w:w="34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$0.9</w:t>
            </w:r>
          </w:p>
        </w:tc>
        <w:tc>
          <w:tcPr>
            <w:tcW w:w="138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$0.7</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$0.9</w:t>
            </w:r>
          </w:p>
        </w:tc>
      </w:tr>
      <w:tr>
        <w:trPr>
          <w:trHeight w:val="20"/>
        </w:trPr>
        <w:tc>
          <w:tcPr>
            <w:tcW w:w="5440" w:type="dxa"/>
            <w:vAlign w:val="bottom"/>
            <w:shd w:val="clear" w:color="auto" w:fill="000000"/>
          </w:tcPr>
          <w:p>
            <w:pPr>
              <w:spacing w:after="0" w:line="20" w:lineRule="exact"/>
              <w:rPr>
                <w:sz w:val="1"/>
                <w:szCs w:val="1"/>
                <w:color w:val="auto"/>
              </w:rPr>
            </w:pPr>
          </w:p>
        </w:tc>
        <w:tc>
          <w:tcPr>
            <w:tcW w:w="344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2012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20"/>
          </w:cols>
          <w:pgMar w:left="240" w:top="364" w:right="239"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b w:val="1"/>
          <w:bCs w:val="1"/>
          <w:color w:val="auto"/>
        </w:rPr>
        <w:t>NOTE 16. EMPLOYEE STOCK AND INCENTIVE PLANS (Continued)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There were no capitalized stock-based compensation costs at December 31, 2012, 2011, or 2010.</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December 31, 2012, the total unrecognized compensation cost for the performance share awards and restricted stock units not yet recognized in our Consolidated Statements of Income was $1.3 million and $0.6 million, respectively. These amounts are expected to be recognized over a weighted-average period of 1.7 years for performance share awards and 1.7 years for restricted stock units.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Non-Qualified Stock Options. </w:t>
      </w:r>
      <w:r>
        <w:rPr>
          <w:rFonts w:ascii="Arial" w:cs="Arial" w:eastAsia="Arial" w:hAnsi="Arial"/>
          <w:sz w:val="18"/>
          <w:szCs w:val="18"/>
          <w:color w:val="auto"/>
        </w:rPr>
        <w:t>The following table presents information regarding our outstanding stock options as of December 31, 2012.</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rPr>
              <w:t>2012</w:t>
            </w:r>
          </w:p>
        </w:tc>
        <w:tc>
          <w:tcPr>
            <w:tcW w:w="11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2011</w:t>
            </w:r>
          </w:p>
        </w:tc>
        <w:tc>
          <w:tcPr>
            <w:tcW w:w="10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2010</w:t>
            </w:r>
          </w:p>
        </w:tc>
        <w:tc>
          <w:tcPr>
            <w:tcW w:w="1040" w:type="dxa"/>
            <w:vAlign w:val="bottom"/>
          </w:tcPr>
          <w:p>
            <w:pPr>
              <w:spacing w:after="0"/>
              <w:rPr>
                <w:sz w:val="20"/>
                <w:szCs w:val="20"/>
                <w:color w:val="auto"/>
              </w:rPr>
            </w:pPr>
          </w:p>
        </w:tc>
      </w:tr>
      <w:tr>
        <w:trPr>
          <w:trHeight w:val="27"/>
        </w:trPr>
        <w:tc>
          <w:tcPr>
            <w:tcW w:w="390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8"/>
        </w:trPr>
        <w:tc>
          <w:tcPr>
            <w:tcW w:w="39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100" w:type="dxa"/>
            <w:vAlign w:val="bottom"/>
          </w:tcPr>
          <w:p>
            <w:pPr>
              <w:jc w:val="center"/>
              <w:ind w:right="190"/>
              <w:spacing w:after="0"/>
              <w:rPr>
                <w:sz w:val="20"/>
                <w:szCs w:val="20"/>
                <w:color w:val="auto"/>
              </w:rPr>
            </w:pPr>
            <w:r>
              <w:rPr>
                <w:rFonts w:ascii="Arial" w:cs="Arial" w:eastAsia="Arial" w:hAnsi="Arial"/>
                <w:sz w:val="18"/>
                <w:szCs w:val="18"/>
                <w:b w:val="1"/>
                <w:bCs w:val="1"/>
                <w:color w:val="auto"/>
                <w:w w:val="89"/>
              </w:rPr>
              <w:t>Weighted-</w:t>
            </w:r>
          </w:p>
        </w:tc>
        <w:tc>
          <w:tcPr>
            <w:tcW w:w="1400" w:type="dxa"/>
            <w:vAlign w:val="bottom"/>
          </w:tcPr>
          <w:p>
            <w:pPr>
              <w:spacing w:after="0"/>
              <w:rPr>
                <w:sz w:val="18"/>
                <w:szCs w:val="18"/>
                <w:color w:val="auto"/>
              </w:rPr>
            </w:pPr>
          </w:p>
        </w:tc>
        <w:tc>
          <w:tcPr>
            <w:tcW w:w="1080" w:type="dxa"/>
            <w:vAlign w:val="bottom"/>
          </w:tcPr>
          <w:p>
            <w:pPr>
              <w:jc w:val="center"/>
              <w:ind w:right="170"/>
              <w:spacing w:after="0"/>
              <w:rPr>
                <w:sz w:val="20"/>
                <w:szCs w:val="20"/>
                <w:color w:val="auto"/>
              </w:rPr>
            </w:pPr>
            <w:r>
              <w:rPr>
                <w:rFonts w:ascii="Arial" w:cs="Arial" w:eastAsia="Arial" w:hAnsi="Arial"/>
                <w:sz w:val="18"/>
                <w:szCs w:val="18"/>
                <w:b w:val="1"/>
                <w:bCs w:val="1"/>
                <w:color w:val="auto"/>
                <w:w w:val="89"/>
              </w:rPr>
              <w:t>Weighted-</w:t>
            </w:r>
          </w:p>
        </w:tc>
        <w:tc>
          <w:tcPr>
            <w:tcW w:w="1400" w:type="dxa"/>
            <w:vAlign w:val="bottom"/>
          </w:tcPr>
          <w:p>
            <w:pPr>
              <w:spacing w:after="0"/>
              <w:rPr>
                <w:sz w:val="18"/>
                <w:szCs w:val="18"/>
                <w:color w:val="auto"/>
              </w:rPr>
            </w:pPr>
          </w:p>
        </w:tc>
        <w:tc>
          <w:tcPr>
            <w:tcW w:w="1040" w:type="dxa"/>
            <w:vAlign w:val="bottom"/>
          </w:tcPr>
          <w:p>
            <w:pPr>
              <w:jc w:val="center"/>
              <w:ind w:right="110"/>
              <w:spacing w:after="0"/>
              <w:rPr>
                <w:sz w:val="20"/>
                <w:szCs w:val="20"/>
                <w:color w:val="auto"/>
              </w:rPr>
            </w:pPr>
            <w:r>
              <w:rPr>
                <w:rFonts w:ascii="Arial" w:cs="Arial" w:eastAsia="Arial" w:hAnsi="Arial"/>
                <w:sz w:val="18"/>
                <w:szCs w:val="18"/>
                <w:b w:val="1"/>
                <w:bCs w:val="1"/>
                <w:color w:val="auto"/>
                <w:w w:val="91"/>
              </w:rPr>
              <w:t>Weighted-</w:t>
            </w:r>
          </w:p>
        </w:tc>
      </w:tr>
      <w:tr>
        <w:trPr>
          <w:trHeight w:val="216"/>
        </w:trPr>
        <w:tc>
          <w:tcPr>
            <w:tcW w:w="39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100" w:type="dxa"/>
            <w:vAlign w:val="bottom"/>
          </w:tcPr>
          <w:p>
            <w:pPr>
              <w:jc w:val="center"/>
              <w:ind w:right="190"/>
              <w:spacing w:after="0"/>
              <w:rPr>
                <w:sz w:val="20"/>
                <w:szCs w:val="20"/>
                <w:color w:val="auto"/>
              </w:rPr>
            </w:pPr>
            <w:r>
              <w:rPr>
                <w:rFonts w:ascii="Arial" w:cs="Arial" w:eastAsia="Arial" w:hAnsi="Arial"/>
                <w:sz w:val="18"/>
                <w:szCs w:val="18"/>
                <w:b w:val="1"/>
                <w:bCs w:val="1"/>
                <w:color w:val="auto"/>
                <w:w w:val="87"/>
              </w:rPr>
              <w:t>Average</w:t>
            </w:r>
          </w:p>
        </w:tc>
        <w:tc>
          <w:tcPr>
            <w:tcW w:w="1400" w:type="dxa"/>
            <w:vAlign w:val="bottom"/>
          </w:tcPr>
          <w:p>
            <w:pPr>
              <w:spacing w:after="0"/>
              <w:rPr>
                <w:sz w:val="18"/>
                <w:szCs w:val="18"/>
                <w:color w:val="auto"/>
              </w:rPr>
            </w:pPr>
          </w:p>
        </w:tc>
        <w:tc>
          <w:tcPr>
            <w:tcW w:w="1080" w:type="dxa"/>
            <w:vAlign w:val="bottom"/>
          </w:tcPr>
          <w:p>
            <w:pPr>
              <w:jc w:val="center"/>
              <w:ind w:right="170"/>
              <w:spacing w:after="0"/>
              <w:rPr>
                <w:sz w:val="20"/>
                <w:szCs w:val="20"/>
                <w:color w:val="auto"/>
              </w:rPr>
            </w:pPr>
            <w:r>
              <w:rPr>
                <w:rFonts w:ascii="Arial" w:cs="Arial" w:eastAsia="Arial" w:hAnsi="Arial"/>
                <w:sz w:val="18"/>
                <w:szCs w:val="18"/>
                <w:b w:val="1"/>
                <w:bCs w:val="1"/>
                <w:color w:val="auto"/>
                <w:w w:val="87"/>
              </w:rPr>
              <w:t>Average</w:t>
            </w:r>
          </w:p>
        </w:tc>
        <w:tc>
          <w:tcPr>
            <w:tcW w:w="1400" w:type="dxa"/>
            <w:vAlign w:val="bottom"/>
          </w:tcPr>
          <w:p>
            <w:pPr>
              <w:spacing w:after="0"/>
              <w:rPr>
                <w:sz w:val="18"/>
                <w:szCs w:val="18"/>
                <w:color w:val="auto"/>
              </w:rPr>
            </w:pPr>
          </w:p>
        </w:tc>
        <w:tc>
          <w:tcPr>
            <w:tcW w:w="104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Average</w:t>
            </w:r>
          </w:p>
        </w:tc>
      </w:tr>
      <w:tr>
        <w:trPr>
          <w:trHeight w:val="216"/>
        </w:trPr>
        <w:tc>
          <w:tcPr>
            <w:tcW w:w="3900" w:type="dxa"/>
            <w:vAlign w:val="bottom"/>
          </w:tcPr>
          <w:p>
            <w:pPr>
              <w:spacing w:after="0"/>
              <w:rPr>
                <w:sz w:val="18"/>
                <w:szCs w:val="18"/>
                <w:color w:val="auto"/>
              </w:rPr>
            </w:pPr>
          </w:p>
        </w:tc>
        <w:tc>
          <w:tcPr>
            <w:tcW w:w="1500" w:type="dxa"/>
            <w:vAlign w:val="bottom"/>
          </w:tcPr>
          <w:p>
            <w:pPr>
              <w:jc w:val="right"/>
              <w:ind w:right="370"/>
              <w:spacing w:after="0"/>
              <w:rPr>
                <w:sz w:val="20"/>
                <w:szCs w:val="20"/>
                <w:color w:val="auto"/>
              </w:rPr>
            </w:pPr>
            <w:r>
              <w:rPr>
                <w:rFonts w:ascii="Arial" w:cs="Arial" w:eastAsia="Arial" w:hAnsi="Arial"/>
                <w:sz w:val="18"/>
                <w:szCs w:val="18"/>
                <w:b w:val="1"/>
                <w:bCs w:val="1"/>
                <w:color w:val="auto"/>
              </w:rPr>
              <w:t>Number of</w:t>
            </w:r>
          </w:p>
        </w:tc>
        <w:tc>
          <w:tcPr>
            <w:tcW w:w="1100" w:type="dxa"/>
            <w:vAlign w:val="bottom"/>
          </w:tcPr>
          <w:p>
            <w:pPr>
              <w:jc w:val="center"/>
              <w:ind w:right="190"/>
              <w:spacing w:after="0"/>
              <w:rPr>
                <w:sz w:val="20"/>
                <w:szCs w:val="20"/>
                <w:color w:val="auto"/>
              </w:rPr>
            </w:pPr>
            <w:r>
              <w:rPr>
                <w:rFonts w:ascii="Arial" w:cs="Arial" w:eastAsia="Arial" w:hAnsi="Arial"/>
                <w:sz w:val="18"/>
                <w:szCs w:val="18"/>
                <w:b w:val="1"/>
                <w:bCs w:val="1"/>
                <w:color w:val="auto"/>
                <w:w w:val="89"/>
              </w:rPr>
              <w:t>Exercise</w:t>
            </w:r>
          </w:p>
        </w:tc>
        <w:tc>
          <w:tcPr>
            <w:tcW w:w="1400" w:type="dxa"/>
            <w:vAlign w:val="bottom"/>
          </w:tcPr>
          <w:p>
            <w:pPr>
              <w:jc w:val="right"/>
              <w:ind w:right="330"/>
              <w:spacing w:after="0"/>
              <w:rPr>
                <w:sz w:val="20"/>
                <w:szCs w:val="20"/>
                <w:color w:val="auto"/>
              </w:rPr>
            </w:pPr>
            <w:r>
              <w:rPr>
                <w:rFonts w:ascii="Arial" w:cs="Arial" w:eastAsia="Arial" w:hAnsi="Arial"/>
                <w:sz w:val="18"/>
                <w:szCs w:val="18"/>
                <w:b w:val="1"/>
                <w:bCs w:val="1"/>
                <w:color w:val="auto"/>
              </w:rPr>
              <w:t>Number of</w:t>
            </w:r>
          </w:p>
        </w:tc>
        <w:tc>
          <w:tcPr>
            <w:tcW w:w="1080" w:type="dxa"/>
            <w:vAlign w:val="bottom"/>
          </w:tcPr>
          <w:p>
            <w:pPr>
              <w:jc w:val="center"/>
              <w:ind w:right="150"/>
              <w:spacing w:after="0"/>
              <w:rPr>
                <w:sz w:val="20"/>
                <w:szCs w:val="20"/>
                <w:color w:val="auto"/>
              </w:rPr>
            </w:pPr>
            <w:r>
              <w:rPr>
                <w:rFonts w:ascii="Arial" w:cs="Arial" w:eastAsia="Arial" w:hAnsi="Arial"/>
                <w:sz w:val="18"/>
                <w:szCs w:val="18"/>
                <w:b w:val="1"/>
                <w:bCs w:val="1"/>
                <w:color w:val="auto"/>
                <w:w w:val="86"/>
              </w:rPr>
              <w:t>Exercise</w:t>
            </w:r>
          </w:p>
        </w:tc>
        <w:tc>
          <w:tcPr>
            <w:tcW w:w="1400" w:type="dxa"/>
            <w:vAlign w:val="bottom"/>
          </w:tcPr>
          <w:p>
            <w:pPr>
              <w:jc w:val="right"/>
              <w:ind w:right="310"/>
              <w:spacing w:after="0"/>
              <w:rPr>
                <w:sz w:val="20"/>
                <w:szCs w:val="20"/>
                <w:color w:val="auto"/>
              </w:rPr>
            </w:pPr>
            <w:r>
              <w:rPr>
                <w:rFonts w:ascii="Arial" w:cs="Arial" w:eastAsia="Arial" w:hAnsi="Arial"/>
                <w:sz w:val="18"/>
                <w:szCs w:val="18"/>
                <w:b w:val="1"/>
                <w:bCs w:val="1"/>
                <w:color w:val="auto"/>
              </w:rPr>
              <w:t>Number of</w:t>
            </w:r>
          </w:p>
        </w:tc>
        <w:tc>
          <w:tcPr>
            <w:tcW w:w="1040" w:type="dxa"/>
            <w:vAlign w:val="bottom"/>
          </w:tcPr>
          <w:p>
            <w:pPr>
              <w:jc w:val="center"/>
              <w:ind w:right="110"/>
              <w:spacing w:after="0"/>
              <w:rPr>
                <w:sz w:val="20"/>
                <w:szCs w:val="20"/>
                <w:color w:val="auto"/>
              </w:rPr>
            </w:pPr>
            <w:r>
              <w:rPr>
                <w:rFonts w:ascii="Arial" w:cs="Arial" w:eastAsia="Arial" w:hAnsi="Arial"/>
                <w:sz w:val="18"/>
                <w:szCs w:val="18"/>
                <w:b w:val="1"/>
                <w:bCs w:val="1"/>
                <w:color w:val="auto"/>
                <w:w w:val="86"/>
              </w:rPr>
              <w:t>Exercise</w:t>
            </w:r>
          </w:p>
        </w:tc>
      </w:tr>
      <w:tr>
        <w:trPr>
          <w:trHeight w:val="234"/>
        </w:trPr>
        <w:tc>
          <w:tcPr>
            <w:tcW w:w="3900" w:type="dxa"/>
            <w:vAlign w:val="bottom"/>
          </w:tcPr>
          <w:p>
            <w:pPr>
              <w:spacing w:after="0"/>
              <w:rPr>
                <w:sz w:val="20"/>
                <w:szCs w:val="20"/>
                <w:color w:val="auto"/>
              </w:rPr>
            </w:pPr>
          </w:p>
        </w:tc>
        <w:tc>
          <w:tcPr>
            <w:tcW w:w="1500" w:type="dxa"/>
            <w:vAlign w:val="bottom"/>
          </w:tcPr>
          <w:p>
            <w:pPr>
              <w:jc w:val="right"/>
              <w:ind w:right="470"/>
              <w:spacing w:after="0"/>
              <w:rPr>
                <w:sz w:val="20"/>
                <w:szCs w:val="20"/>
                <w:color w:val="auto"/>
              </w:rPr>
            </w:pPr>
            <w:r>
              <w:rPr>
                <w:rFonts w:ascii="Arial" w:cs="Arial" w:eastAsia="Arial" w:hAnsi="Arial"/>
                <w:sz w:val="18"/>
                <w:szCs w:val="18"/>
                <w:b w:val="1"/>
                <w:bCs w:val="1"/>
                <w:color w:val="auto"/>
              </w:rPr>
              <w:t>Options</w:t>
            </w:r>
          </w:p>
        </w:tc>
        <w:tc>
          <w:tcPr>
            <w:tcW w:w="1100" w:type="dxa"/>
            <w:vAlign w:val="bottom"/>
          </w:tcPr>
          <w:p>
            <w:pPr>
              <w:jc w:val="center"/>
              <w:ind w:right="210"/>
              <w:spacing w:after="0"/>
              <w:rPr>
                <w:sz w:val="20"/>
                <w:szCs w:val="20"/>
                <w:color w:val="auto"/>
              </w:rPr>
            </w:pPr>
            <w:r>
              <w:rPr>
                <w:rFonts w:ascii="Arial" w:cs="Arial" w:eastAsia="Arial" w:hAnsi="Arial"/>
                <w:sz w:val="18"/>
                <w:szCs w:val="18"/>
                <w:b w:val="1"/>
                <w:bCs w:val="1"/>
                <w:color w:val="auto"/>
                <w:w w:val="90"/>
              </w:rPr>
              <w:t>Price</w:t>
            </w:r>
          </w:p>
        </w:tc>
        <w:tc>
          <w:tcPr>
            <w:tcW w:w="1400" w:type="dxa"/>
            <w:vAlign w:val="bottom"/>
          </w:tcPr>
          <w:p>
            <w:pPr>
              <w:jc w:val="right"/>
              <w:ind w:right="430"/>
              <w:spacing w:after="0"/>
              <w:rPr>
                <w:sz w:val="20"/>
                <w:szCs w:val="20"/>
                <w:color w:val="auto"/>
              </w:rPr>
            </w:pPr>
            <w:r>
              <w:rPr>
                <w:rFonts w:ascii="Arial" w:cs="Arial" w:eastAsia="Arial" w:hAnsi="Arial"/>
                <w:sz w:val="18"/>
                <w:szCs w:val="18"/>
                <w:b w:val="1"/>
                <w:bCs w:val="1"/>
                <w:color w:val="auto"/>
              </w:rPr>
              <w:t>Options</w:t>
            </w:r>
          </w:p>
        </w:tc>
        <w:tc>
          <w:tcPr>
            <w:tcW w:w="1080" w:type="dxa"/>
            <w:vAlign w:val="bottom"/>
          </w:tcPr>
          <w:p>
            <w:pPr>
              <w:jc w:val="center"/>
              <w:ind w:right="150"/>
              <w:spacing w:after="0"/>
              <w:rPr>
                <w:sz w:val="20"/>
                <w:szCs w:val="20"/>
                <w:color w:val="auto"/>
              </w:rPr>
            </w:pPr>
            <w:r>
              <w:rPr>
                <w:rFonts w:ascii="Arial" w:cs="Arial" w:eastAsia="Arial" w:hAnsi="Arial"/>
                <w:sz w:val="18"/>
                <w:szCs w:val="18"/>
                <w:b w:val="1"/>
                <w:bCs w:val="1"/>
                <w:color w:val="auto"/>
                <w:w w:val="90"/>
              </w:rPr>
              <w:t>Price</w:t>
            </w:r>
          </w:p>
        </w:tc>
        <w:tc>
          <w:tcPr>
            <w:tcW w:w="1400" w:type="dxa"/>
            <w:vAlign w:val="bottom"/>
          </w:tcPr>
          <w:p>
            <w:pPr>
              <w:jc w:val="right"/>
              <w:ind w:right="430"/>
              <w:spacing w:after="0"/>
              <w:rPr>
                <w:sz w:val="20"/>
                <w:szCs w:val="20"/>
                <w:color w:val="auto"/>
              </w:rPr>
            </w:pPr>
            <w:r>
              <w:rPr>
                <w:rFonts w:ascii="Arial" w:cs="Arial" w:eastAsia="Arial" w:hAnsi="Arial"/>
                <w:sz w:val="18"/>
                <w:szCs w:val="18"/>
                <w:b w:val="1"/>
                <w:bCs w:val="1"/>
                <w:color w:val="auto"/>
              </w:rPr>
              <w:t>Options</w:t>
            </w:r>
          </w:p>
        </w:tc>
        <w:tc>
          <w:tcPr>
            <w:tcW w:w="104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Price</w:t>
            </w:r>
          </w:p>
        </w:tc>
      </w:tr>
      <w:tr>
        <w:trPr>
          <w:trHeight w:val="27"/>
        </w:trPr>
        <w:tc>
          <w:tcPr>
            <w:tcW w:w="39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3900" w:type="dxa"/>
            <w:vAlign w:val="bottom"/>
          </w:tcPr>
          <w:p>
            <w:pPr>
              <w:ind w:left="40"/>
              <w:spacing w:after="0"/>
              <w:rPr>
                <w:sz w:val="20"/>
                <w:szCs w:val="20"/>
                <w:color w:val="auto"/>
              </w:rPr>
            </w:pPr>
            <w:r>
              <w:rPr>
                <w:rFonts w:ascii="Arial" w:cs="Arial" w:eastAsia="Arial" w:hAnsi="Arial"/>
                <w:sz w:val="18"/>
                <w:szCs w:val="18"/>
                <w:color w:val="auto"/>
              </w:rPr>
              <w:t>Outstanding as of January 1,</w:t>
            </w:r>
          </w:p>
        </w:tc>
        <w:tc>
          <w:tcPr>
            <w:tcW w:w="1500" w:type="dxa"/>
            <w:vAlign w:val="bottom"/>
          </w:tcPr>
          <w:p>
            <w:pPr>
              <w:jc w:val="right"/>
              <w:ind w:right="270"/>
              <w:spacing w:after="0"/>
              <w:rPr>
                <w:sz w:val="20"/>
                <w:szCs w:val="20"/>
                <w:color w:val="auto"/>
              </w:rPr>
            </w:pPr>
            <w:r>
              <w:rPr>
                <w:rFonts w:ascii="Arial" w:cs="Arial" w:eastAsia="Arial" w:hAnsi="Arial"/>
                <w:sz w:val="18"/>
                <w:szCs w:val="18"/>
                <w:color w:val="auto"/>
              </w:rPr>
              <w:t>460,234</w:t>
            </w: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$41.68</w:t>
            </w:r>
          </w:p>
        </w:tc>
        <w:tc>
          <w:tcPr>
            <w:tcW w:w="1400" w:type="dxa"/>
            <w:vAlign w:val="bottom"/>
          </w:tcPr>
          <w:p>
            <w:pPr>
              <w:jc w:val="right"/>
              <w:ind w:right="230"/>
              <w:spacing w:after="0"/>
              <w:rPr>
                <w:sz w:val="20"/>
                <w:szCs w:val="20"/>
                <w:color w:val="auto"/>
              </w:rPr>
            </w:pPr>
            <w:r>
              <w:rPr>
                <w:rFonts w:ascii="Arial" w:cs="Arial" w:eastAsia="Arial" w:hAnsi="Arial"/>
                <w:sz w:val="18"/>
                <w:szCs w:val="18"/>
                <w:color w:val="auto"/>
              </w:rPr>
              <w:t>560,887</w:t>
            </w: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$40.69</w:t>
            </w:r>
          </w:p>
        </w:tc>
        <w:tc>
          <w:tcPr>
            <w:tcW w:w="1400" w:type="dxa"/>
            <w:vAlign w:val="bottom"/>
          </w:tcPr>
          <w:p>
            <w:pPr>
              <w:jc w:val="right"/>
              <w:ind w:right="230"/>
              <w:spacing w:after="0"/>
              <w:rPr>
                <w:sz w:val="20"/>
                <w:szCs w:val="20"/>
                <w:color w:val="auto"/>
              </w:rPr>
            </w:pPr>
            <w:r>
              <w:rPr>
                <w:rFonts w:ascii="Arial" w:cs="Arial" w:eastAsia="Arial" w:hAnsi="Arial"/>
                <w:sz w:val="18"/>
                <w:szCs w:val="18"/>
                <w:color w:val="auto"/>
              </w:rPr>
              <w:t>646,235</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$40.05</w:t>
            </w:r>
          </w:p>
        </w:tc>
      </w:tr>
      <w:tr>
        <w:trPr>
          <w:trHeight w:val="27"/>
        </w:trPr>
        <w:tc>
          <w:tcPr>
            <w:tcW w:w="39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 xml:space="preserve">Granted </w:t>
            </w:r>
            <w:r>
              <w:rPr>
                <w:rFonts w:ascii="Arial" w:cs="Arial" w:eastAsia="Arial" w:hAnsi="Arial"/>
                <w:sz w:val="18"/>
                <w:szCs w:val="18"/>
                <w:i w:val="1"/>
                <w:iCs w:val="1"/>
                <w:color w:val="auto"/>
              </w:rPr>
              <w:t>(a)</w:t>
            </w:r>
          </w:p>
        </w:tc>
        <w:tc>
          <w:tcPr>
            <w:tcW w:w="150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3900" w:type="dxa"/>
            <w:vAlign w:val="bottom"/>
          </w:tcPr>
          <w:p>
            <w:pPr>
              <w:ind w:left="180"/>
              <w:spacing w:after="0"/>
              <w:rPr>
                <w:sz w:val="20"/>
                <w:szCs w:val="20"/>
                <w:color w:val="auto"/>
              </w:rPr>
            </w:pPr>
            <w:r>
              <w:rPr>
                <w:rFonts w:ascii="Arial" w:cs="Arial" w:eastAsia="Arial" w:hAnsi="Arial"/>
                <w:sz w:val="18"/>
                <w:szCs w:val="18"/>
                <w:color w:val="auto"/>
              </w:rPr>
              <w:t>Exercised</w:t>
            </w:r>
          </w:p>
        </w:tc>
        <w:tc>
          <w:tcPr>
            <w:tcW w:w="1500" w:type="dxa"/>
            <w:vAlign w:val="bottom"/>
          </w:tcPr>
          <w:p>
            <w:pPr>
              <w:jc w:val="right"/>
              <w:ind w:right="270"/>
              <w:spacing w:after="0"/>
              <w:rPr>
                <w:sz w:val="20"/>
                <w:szCs w:val="20"/>
                <w:color w:val="auto"/>
              </w:rPr>
            </w:pPr>
            <w:r>
              <w:rPr>
                <w:rFonts w:ascii="Arial" w:cs="Arial" w:eastAsia="Arial" w:hAnsi="Arial"/>
                <w:sz w:val="18"/>
                <w:szCs w:val="18"/>
                <w:color w:val="auto"/>
              </w:rPr>
              <w:t>49,075</w:t>
            </w: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$35.84</w:t>
            </w:r>
          </w:p>
        </w:tc>
        <w:tc>
          <w:tcPr>
            <w:tcW w:w="1400" w:type="dxa"/>
            <w:vAlign w:val="bottom"/>
          </w:tcPr>
          <w:p>
            <w:pPr>
              <w:jc w:val="right"/>
              <w:ind w:right="230"/>
              <w:spacing w:after="0"/>
              <w:rPr>
                <w:sz w:val="20"/>
                <w:szCs w:val="20"/>
                <w:color w:val="auto"/>
              </w:rPr>
            </w:pPr>
            <w:r>
              <w:rPr>
                <w:rFonts w:ascii="Arial" w:cs="Arial" w:eastAsia="Arial" w:hAnsi="Arial"/>
                <w:sz w:val="18"/>
                <w:szCs w:val="18"/>
                <w:color w:val="auto"/>
              </w:rPr>
              <w:t>80,798</w:t>
            </w: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$34.25</w:t>
            </w:r>
          </w:p>
        </w:tc>
        <w:tc>
          <w:tcPr>
            <w:tcW w:w="1400" w:type="dxa"/>
            <w:vAlign w:val="bottom"/>
          </w:tcPr>
          <w:p>
            <w:pPr>
              <w:jc w:val="right"/>
              <w:ind w:right="230"/>
              <w:spacing w:after="0"/>
              <w:rPr>
                <w:sz w:val="20"/>
                <w:szCs w:val="20"/>
                <w:color w:val="auto"/>
              </w:rPr>
            </w:pPr>
            <w:r>
              <w:rPr>
                <w:rFonts w:ascii="Arial" w:cs="Arial" w:eastAsia="Arial" w:hAnsi="Arial"/>
                <w:sz w:val="18"/>
                <w:szCs w:val="18"/>
                <w:color w:val="auto"/>
              </w:rPr>
              <w:t>40,769</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$27.76</w:t>
            </w:r>
          </w:p>
        </w:tc>
      </w:tr>
      <w:tr>
        <w:trPr>
          <w:trHeight w:val="27"/>
        </w:trPr>
        <w:tc>
          <w:tcPr>
            <w:tcW w:w="39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5"/>
        </w:trPr>
        <w:tc>
          <w:tcPr>
            <w:tcW w:w="3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Forfeited</w:t>
            </w:r>
          </w:p>
        </w:tc>
        <w:tc>
          <w:tcPr>
            <w:tcW w:w="150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15,481</w:t>
            </w: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$44.86</w:t>
            </w:r>
          </w:p>
        </w:tc>
        <w:tc>
          <w:tcPr>
            <w:tcW w:w="14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19,855</w:t>
            </w:r>
          </w:p>
        </w:tc>
        <w:tc>
          <w:tcPr>
            <w:tcW w:w="10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$43.96</w:t>
            </w:r>
          </w:p>
        </w:tc>
        <w:tc>
          <w:tcPr>
            <w:tcW w:w="14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44,579</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$43.16</w:t>
            </w:r>
          </w:p>
        </w:tc>
      </w:tr>
      <w:tr>
        <w:trPr>
          <w:trHeight w:val="237"/>
        </w:trPr>
        <w:tc>
          <w:tcPr>
            <w:tcW w:w="39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Outstanding as of December 31,</w:t>
            </w:r>
          </w:p>
        </w:tc>
        <w:tc>
          <w:tcPr>
            <w:tcW w:w="150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rPr>
              <w:t>395,678</w:t>
            </w:r>
          </w:p>
        </w:tc>
        <w:tc>
          <w:tcPr>
            <w:tcW w:w="11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$42.28</w:t>
            </w:r>
          </w:p>
        </w:tc>
        <w:tc>
          <w:tcPr>
            <w:tcW w:w="140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460,234</w:t>
            </w:r>
          </w:p>
        </w:tc>
        <w:tc>
          <w:tcPr>
            <w:tcW w:w="10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$41.68</w:t>
            </w:r>
          </w:p>
        </w:tc>
        <w:tc>
          <w:tcPr>
            <w:tcW w:w="140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560,887</w:t>
            </w: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$40.69</w:t>
            </w:r>
          </w:p>
        </w:tc>
      </w:tr>
      <w:tr>
        <w:trPr>
          <w:trHeight w:val="27"/>
        </w:trPr>
        <w:tc>
          <w:tcPr>
            <w:tcW w:w="39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Exercisable as of December 31,</w:t>
            </w:r>
          </w:p>
        </w:tc>
        <w:tc>
          <w:tcPr>
            <w:tcW w:w="150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395,678</w:t>
            </w: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$41.71</w:t>
            </w:r>
          </w:p>
        </w:tc>
        <w:tc>
          <w:tcPr>
            <w:tcW w:w="14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460,234</w:t>
            </w:r>
          </w:p>
        </w:tc>
        <w:tc>
          <w:tcPr>
            <w:tcW w:w="10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$41.59</w:t>
            </w:r>
          </w:p>
        </w:tc>
        <w:tc>
          <w:tcPr>
            <w:tcW w:w="14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523,491</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$39.76</w:t>
            </w:r>
          </w:p>
        </w:tc>
      </w:tr>
      <w:tr>
        <w:trPr>
          <w:trHeight w:val="20"/>
        </w:trPr>
        <w:tc>
          <w:tcPr>
            <w:tcW w:w="390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r>
    </w:tbl>
    <w:p>
      <w:pPr>
        <w:spacing w:after="0"/>
        <w:tabs>
          <w:tab w:leader="none" w:pos="320" w:val="left"/>
        </w:tabs>
        <w:rPr>
          <w:sz w:val="20"/>
          <w:szCs w:val="20"/>
          <w:color w:val="auto"/>
        </w:rPr>
      </w:pPr>
      <w:r>
        <w:rPr>
          <w:rFonts w:ascii="Arial" w:cs="Arial" w:eastAsia="Arial" w:hAnsi="Arial"/>
          <w:sz w:val="16"/>
          <w:szCs w:val="16"/>
          <w:i w:val="1"/>
          <w:iCs w:val="1"/>
          <w:color w:val="auto"/>
        </w:rPr>
        <w:t>(a)</w:t>
      </w:r>
      <w:r>
        <w:rPr>
          <w:sz w:val="20"/>
          <w:szCs w:val="20"/>
          <w:color w:val="auto"/>
        </w:rPr>
        <w:tab/>
      </w:r>
      <w:r>
        <w:rPr>
          <w:rFonts w:ascii="Arial" w:cs="Arial" w:eastAsia="Arial" w:hAnsi="Arial"/>
          <w:sz w:val="14"/>
          <w:szCs w:val="14"/>
          <w:i w:val="1"/>
          <w:iCs w:val="1"/>
          <w:color w:val="auto"/>
        </w:rPr>
        <w:t>Stock options have not been granted since 2008. The weighted-average grant-date intrinsic value of options granted in 2008 was $6.18.</w:t>
      </w:r>
    </w:p>
    <w:p>
      <w:pPr>
        <w:spacing w:after="0" w:line="20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Cash received from non-qualified stock options exercised was less than $0.1 million in 2012. The intrinsic value of a stock award is the amount by which the fair value of the underlying stock exceeds the exercise price of the award. The total intrinsic value of options exercised was $0.3 million during 2012 ($0.5 million in 2011; $0.3 million in 2010).</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80" w:type="dxa"/>
            <w:vAlign w:val="bottom"/>
          </w:tcPr>
          <w:p>
            <w:pPr>
              <w:spacing w:after="0"/>
              <w:rPr>
                <w:sz w:val="20"/>
                <w:szCs w:val="20"/>
                <w:color w:val="auto"/>
              </w:rPr>
            </w:pPr>
          </w:p>
        </w:tc>
        <w:tc>
          <w:tcPr>
            <w:tcW w:w="4340" w:type="dxa"/>
            <w:vAlign w:val="bottom"/>
            <w:gridSpan w:val="3"/>
          </w:tcPr>
          <w:p>
            <w:pPr>
              <w:jc w:val="right"/>
              <w:ind w:right="1150"/>
              <w:spacing w:after="0"/>
              <w:rPr>
                <w:sz w:val="20"/>
                <w:szCs w:val="20"/>
                <w:color w:val="auto"/>
              </w:rPr>
            </w:pPr>
            <w:r>
              <w:rPr>
                <w:rFonts w:ascii="Arial" w:cs="Arial" w:eastAsia="Arial" w:hAnsi="Arial"/>
                <w:sz w:val="18"/>
                <w:szCs w:val="18"/>
                <w:b w:val="1"/>
                <w:bCs w:val="1"/>
                <w:color w:val="auto"/>
              </w:rPr>
              <w:t>Range of Exercise Price</w:t>
            </w:r>
          </w:p>
        </w:tc>
      </w:tr>
      <w:tr>
        <w:trPr>
          <w:trHeight w:val="27"/>
        </w:trPr>
        <w:tc>
          <w:tcPr>
            <w:tcW w:w="708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7"/>
        </w:trPr>
        <w:tc>
          <w:tcPr>
            <w:tcW w:w="7080" w:type="dxa"/>
            <w:vAlign w:val="bottom"/>
          </w:tcPr>
          <w:p>
            <w:pPr>
              <w:ind w:left="40"/>
              <w:spacing w:after="0"/>
              <w:rPr>
                <w:sz w:val="20"/>
                <w:szCs w:val="20"/>
                <w:color w:val="auto"/>
              </w:rPr>
            </w:pPr>
            <w:r>
              <w:rPr>
                <w:rFonts w:ascii="Arial" w:cs="Arial" w:eastAsia="Arial" w:hAnsi="Arial"/>
                <w:sz w:val="18"/>
                <w:szCs w:val="18"/>
                <w:color w:val="auto"/>
              </w:rPr>
              <w:t>As of December 31, 2012</w:t>
            </w:r>
          </w:p>
        </w:tc>
        <w:tc>
          <w:tcPr>
            <w:tcW w:w="1420" w:type="dxa"/>
            <w:vAlign w:val="bottom"/>
          </w:tcPr>
          <w:p>
            <w:pPr>
              <w:jc w:val="right"/>
              <w:ind w:right="10"/>
              <w:spacing w:after="0"/>
              <w:rPr>
                <w:sz w:val="20"/>
                <w:szCs w:val="20"/>
                <w:color w:val="auto"/>
              </w:rPr>
            </w:pPr>
            <w:r>
              <w:rPr>
                <w:rFonts w:ascii="Arial" w:cs="Arial" w:eastAsia="Arial" w:hAnsi="Arial"/>
                <w:sz w:val="18"/>
                <w:szCs w:val="18"/>
                <w:b w:val="1"/>
                <w:bCs w:val="1"/>
                <w:color w:val="auto"/>
                <w:w w:val="94"/>
              </w:rPr>
              <w:t>$23.79 to $26.91</w:t>
            </w:r>
          </w:p>
        </w:tc>
        <w:tc>
          <w:tcPr>
            <w:tcW w:w="1460" w:type="dxa"/>
            <w:vAlign w:val="bottom"/>
          </w:tcPr>
          <w:p>
            <w:pPr>
              <w:jc w:val="right"/>
              <w:ind w:right="30"/>
              <w:spacing w:after="0"/>
              <w:rPr>
                <w:sz w:val="20"/>
                <w:szCs w:val="20"/>
                <w:color w:val="auto"/>
              </w:rPr>
            </w:pPr>
            <w:r>
              <w:rPr>
                <w:rFonts w:ascii="Arial" w:cs="Arial" w:eastAsia="Arial" w:hAnsi="Arial"/>
                <w:sz w:val="18"/>
                <w:szCs w:val="18"/>
                <w:b w:val="1"/>
                <w:bCs w:val="1"/>
                <w:color w:val="auto"/>
                <w:w w:val="96"/>
              </w:rPr>
              <w:t>$37.76 to $41.35</w:t>
            </w:r>
          </w:p>
        </w:tc>
        <w:tc>
          <w:tcPr>
            <w:tcW w:w="1460" w:type="dxa"/>
            <w:vAlign w:val="bottom"/>
          </w:tcPr>
          <w:p>
            <w:pPr>
              <w:jc w:val="right"/>
              <w:ind w:right="30"/>
              <w:spacing w:after="0"/>
              <w:rPr>
                <w:sz w:val="20"/>
                <w:szCs w:val="20"/>
                <w:color w:val="auto"/>
              </w:rPr>
            </w:pPr>
            <w:r>
              <w:rPr>
                <w:rFonts w:ascii="Arial" w:cs="Arial" w:eastAsia="Arial" w:hAnsi="Arial"/>
                <w:sz w:val="18"/>
                <w:szCs w:val="18"/>
                <w:b w:val="1"/>
                <w:bCs w:val="1"/>
                <w:color w:val="auto"/>
                <w:w w:val="96"/>
              </w:rPr>
              <w:t>$44.15 to $48.65</w:t>
            </w:r>
          </w:p>
        </w:tc>
      </w:tr>
      <w:tr>
        <w:trPr>
          <w:trHeight w:val="27"/>
        </w:trPr>
        <w:tc>
          <w:tcPr>
            <w:tcW w:w="70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Options Outstanding and Exercisable:</w:t>
            </w:r>
          </w:p>
        </w:tc>
        <w:tc>
          <w:tcPr>
            <w:tcW w:w="14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Number Outstanding and Exercisable</w:t>
            </w:r>
          </w:p>
        </w:tc>
        <w:tc>
          <w:tcPr>
            <w:tcW w:w="1420" w:type="dxa"/>
            <w:vAlign w:val="bottom"/>
          </w:tcPr>
          <w:p>
            <w:pPr>
              <w:jc w:val="right"/>
              <w:ind w:right="50"/>
              <w:spacing w:after="0"/>
              <w:rPr>
                <w:sz w:val="20"/>
                <w:szCs w:val="20"/>
                <w:color w:val="auto"/>
              </w:rPr>
            </w:pPr>
            <w:r>
              <w:rPr>
                <w:rFonts w:ascii="Arial" w:cs="Arial" w:eastAsia="Arial" w:hAnsi="Arial"/>
                <w:sz w:val="18"/>
                <w:szCs w:val="18"/>
                <w:color w:val="auto"/>
              </w:rPr>
              <w:t>1,340</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236,052</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158,286</w:t>
            </w:r>
          </w:p>
        </w:tc>
      </w:tr>
      <w:tr>
        <w:trPr>
          <w:trHeight w:val="27"/>
        </w:trPr>
        <w:tc>
          <w:tcPr>
            <w:tcW w:w="70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Weighted Average Remaining Contractual Life (Years)</w:t>
            </w:r>
          </w:p>
        </w:tc>
        <w:tc>
          <w:tcPr>
            <w:tcW w:w="14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0.1</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w:t>
            </w: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Weighted Average Exercise Price</w:t>
            </w:r>
          </w:p>
        </w:tc>
        <w:tc>
          <w:tcPr>
            <w:tcW w:w="1420" w:type="dxa"/>
            <w:vAlign w:val="bottom"/>
          </w:tcPr>
          <w:p>
            <w:pPr>
              <w:jc w:val="right"/>
              <w:ind w:right="50"/>
              <w:spacing w:after="0"/>
              <w:rPr>
                <w:sz w:val="20"/>
                <w:szCs w:val="20"/>
                <w:color w:val="auto"/>
              </w:rPr>
            </w:pPr>
            <w:r>
              <w:rPr>
                <w:rFonts w:ascii="Arial" w:cs="Arial" w:eastAsia="Arial" w:hAnsi="Arial"/>
                <w:sz w:val="18"/>
                <w:szCs w:val="18"/>
                <w:color w:val="auto"/>
              </w:rPr>
              <w:t>$23.79</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$39.64</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$46.38</w:t>
            </w:r>
          </w:p>
        </w:tc>
      </w:tr>
      <w:tr>
        <w:trPr>
          <w:trHeight w:val="27"/>
        </w:trPr>
        <w:tc>
          <w:tcPr>
            <w:tcW w:w="70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Performance Shares. </w:t>
      </w:r>
      <w:r>
        <w:rPr>
          <w:rFonts w:ascii="Arial" w:cs="Arial" w:eastAsia="Arial" w:hAnsi="Arial"/>
          <w:sz w:val="18"/>
          <w:szCs w:val="18"/>
          <w:color w:val="auto"/>
        </w:rPr>
        <w:t>The following table presents information regarding our non-vested performance shares as of December 31, 2012.</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2012</w:t>
            </w:r>
          </w:p>
        </w:tc>
        <w:tc>
          <w:tcPr>
            <w:tcW w:w="120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2011</w:t>
            </w:r>
          </w:p>
        </w:tc>
        <w:tc>
          <w:tcPr>
            <w:tcW w:w="12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rPr>
              <w:t>2010</w:t>
            </w:r>
          </w:p>
        </w:tc>
        <w:tc>
          <w:tcPr>
            <w:tcW w:w="112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33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8"/>
        </w:trPr>
        <w:tc>
          <w:tcPr>
            <w:tcW w:w="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0" w:type="dxa"/>
            <w:vAlign w:val="bottom"/>
          </w:tcPr>
          <w:p>
            <w:pPr>
              <w:jc w:val="center"/>
              <w:ind w:right="210"/>
              <w:spacing w:after="0"/>
              <w:rPr>
                <w:sz w:val="20"/>
                <w:szCs w:val="20"/>
                <w:color w:val="auto"/>
              </w:rPr>
            </w:pPr>
            <w:r>
              <w:rPr>
                <w:rFonts w:ascii="Arial" w:cs="Arial" w:eastAsia="Arial" w:hAnsi="Arial"/>
                <w:sz w:val="18"/>
                <w:szCs w:val="18"/>
                <w:b w:val="1"/>
                <w:bCs w:val="1"/>
                <w:color w:val="auto"/>
                <w:w w:val="89"/>
              </w:rPr>
              <w:t>Weighted-</w:t>
            </w:r>
          </w:p>
        </w:tc>
        <w:tc>
          <w:tcPr>
            <w:tcW w:w="1460" w:type="dxa"/>
            <w:vAlign w:val="bottom"/>
          </w:tcPr>
          <w:p>
            <w:pPr>
              <w:spacing w:after="0"/>
              <w:rPr>
                <w:sz w:val="18"/>
                <w:szCs w:val="18"/>
                <w:color w:val="auto"/>
              </w:rPr>
            </w:pPr>
          </w:p>
        </w:tc>
        <w:tc>
          <w:tcPr>
            <w:tcW w:w="1200" w:type="dxa"/>
            <w:vAlign w:val="bottom"/>
          </w:tcPr>
          <w:p>
            <w:pPr>
              <w:jc w:val="center"/>
              <w:ind w:right="190"/>
              <w:spacing w:after="0"/>
              <w:rPr>
                <w:sz w:val="20"/>
                <w:szCs w:val="20"/>
                <w:color w:val="auto"/>
              </w:rPr>
            </w:pPr>
            <w:r>
              <w:rPr>
                <w:rFonts w:ascii="Arial" w:cs="Arial" w:eastAsia="Arial" w:hAnsi="Arial"/>
                <w:sz w:val="18"/>
                <w:szCs w:val="18"/>
                <w:b w:val="1"/>
                <w:bCs w:val="1"/>
                <w:color w:val="auto"/>
                <w:w w:val="91"/>
              </w:rPr>
              <w:t>Weighted-</w:t>
            </w:r>
          </w:p>
        </w:tc>
        <w:tc>
          <w:tcPr>
            <w:tcW w:w="1500" w:type="dxa"/>
            <w:vAlign w:val="bottom"/>
          </w:tcPr>
          <w:p>
            <w:pPr>
              <w:spacing w:after="0"/>
              <w:rPr>
                <w:sz w:val="18"/>
                <w:szCs w:val="18"/>
                <w:color w:val="auto"/>
              </w:rPr>
            </w:pPr>
          </w:p>
        </w:tc>
        <w:tc>
          <w:tcPr>
            <w:tcW w:w="112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Weighted-</w:t>
            </w: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0" w:type="dxa"/>
            <w:vAlign w:val="bottom"/>
          </w:tcPr>
          <w:p>
            <w:pPr>
              <w:jc w:val="center"/>
              <w:ind w:right="210"/>
              <w:spacing w:after="0"/>
              <w:rPr>
                <w:sz w:val="20"/>
                <w:szCs w:val="20"/>
                <w:color w:val="auto"/>
              </w:rPr>
            </w:pPr>
            <w:r>
              <w:rPr>
                <w:rFonts w:ascii="Arial" w:cs="Arial" w:eastAsia="Arial" w:hAnsi="Arial"/>
                <w:sz w:val="18"/>
                <w:szCs w:val="18"/>
                <w:b w:val="1"/>
                <w:bCs w:val="1"/>
                <w:color w:val="auto"/>
                <w:w w:val="87"/>
              </w:rPr>
              <w:t>Average</w:t>
            </w:r>
          </w:p>
        </w:tc>
        <w:tc>
          <w:tcPr>
            <w:tcW w:w="1460" w:type="dxa"/>
            <w:vAlign w:val="bottom"/>
          </w:tcPr>
          <w:p>
            <w:pPr>
              <w:spacing w:after="0"/>
              <w:rPr>
                <w:sz w:val="18"/>
                <w:szCs w:val="18"/>
                <w:color w:val="auto"/>
              </w:rPr>
            </w:pPr>
          </w:p>
        </w:tc>
        <w:tc>
          <w:tcPr>
            <w:tcW w:w="1200" w:type="dxa"/>
            <w:vAlign w:val="bottom"/>
          </w:tcPr>
          <w:p>
            <w:pPr>
              <w:jc w:val="center"/>
              <w:ind w:right="170"/>
              <w:spacing w:after="0"/>
              <w:rPr>
                <w:sz w:val="20"/>
                <w:szCs w:val="20"/>
                <w:color w:val="auto"/>
              </w:rPr>
            </w:pPr>
            <w:r>
              <w:rPr>
                <w:rFonts w:ascii="Arial" w:cs="Arial" w:eastAsia="Arial" w:hAnsi="Arial"/>
                <w:sz w:val="18"/>
                <w:szCs w:val="18"/>
                <w:b w:val="1"/>
                <w:bCs w:val="1"/>
                <w:color w:val="auto"/>
                <w:w w:val="87"/>
              </w:rPr>
              <w:t>Average</w:t>
            </w:r>
          </w:p>
        </w:tc>
        <w:tc>
          <w:tcPr>
            <w:tcW w:w="1500" w:type="dxa"/>
            <w:vAlign w:val="bottom"/>
          </w:tcPr>
          <w:p>
            <w:pPr>
              <w:spacing w:after="0"/>
              <w:rPr>
                <w:sz w:val="18"/>
                <w:szCs w:val="18"/>
                <w:color w:val="auto"/>
              </w:rPr>
            </w:pPr>
          </w:p>
        </w:tc>
        <w:tc>
          <w:tcPr>
            <w:tcW w:w="1120" w:type="dxa"/>
            <w:vAlign w:val="bottom"/>
          </w:tcPr>
          <w:p>
            <w:pPr>
              <w:jc w:val="center"/>
              <w:ind w:right="130"/>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ind w:right="370"/>
              <w:spacing w:after="0"/>
              <w:rPr>
                <w:sz w:val="20"/>
                <w:szCs w:val="20"/>
                <w:color w:val="auto"/>
              </w:rPr>
            </w:pPr>
            <w:r>
              <w:rPr>
                <w:rFonts w:ascii="Arial" w:cs="Arial" w:eastAsia="Arial" w:hAnsi="Arial"/>
                <w:sz w:val="18"/>
                <w:szCs w:val="18"/>
                <w:b w:val="1"/>
                <w:bCs w:val="1"/>
                <w:color w:val="auto"/>
                <w:w w:val="97"/>
              </w:rPr>
              <w:t>Number of</w:t>
            </w:r>
          </w:p>
        </w:tc>
        <w:tc>
          <w:tcPr>
            <w:tcW w:w="1200" w:type="dxa"/>
            <w:vAlign w:val="bottom"/>
          </w:tcPr>
          <w:p>
            <w:pPr>
              <w:jc w:val="center"/>
              <w:ind w:right="210"/>
              <w:spacing w:after="0"/>
              <w:rPr>
                <w:sz w:val="20"/>
                <w:szCs w:val="20"/>
                <w:color w:val="auto"/>
              </w:rPr>
            </w:pPr>
            <w:r>
              <w:rPr>
                <w:rFonts w:ascii="Arial" w:cs="Arial" w:eastAsia="Arial" w:hAnsi="Arial"/>
                <w:sz w:val="18"/>
                <w:szCs w:val="18"/>
                <w:b w:val="1"/>
                <w:bCs w:val="1"/>
                <w:color w:val="auto"/>
                <w:w w:val="93"/>
              </w:rPr>
              <w:t>Grant Date</w:t>
            </w:r>
          </w:p>
        </w:tc>
        <w:tc>
          <w:tcPr>
            <w:tcW w:w="1460" w:type="dxa"/>
            <w:vAlign w:val="bottom"/>
          </w:tcPr>
          <w:p>
            <w:pPr>
              <w:jc w:val="right"/>
              <w:ind w:right="370"/>
              <w:spacing w:after="0"/>
              <w:rPr>
                <w:sz w:val="20"/>
                <w:szCs w:val="20"/>
                <w:color w:val="auto"/>
              </w:rPr>
            </w:pPr>
            <w:r>
              <w:rPr>
                <w:rFonts w:ascii="Arial" w:cs="Arial" w:eastAsia="Arial" w:hAnsi="Arial"/>
                <w:sz w:val="18"/>
                <w:szCs w:val="18"/>
                <w:b w:val="1"/>
                <w:bCs w:val="1"/>
                <w:color w:val="auto"/>
              </w:rPr>
              <w:t>Number of</w:t>
            </w:r>
          </w:p>
        </w:tc>
        <w:tc>
          <w:tcPr>
            <w:tcW w:w="1200" w:type="dxa"/>
            <w:vAlign w:val="bottom"/>
          </w:tcPr>
          <w:p>
            <w:pPr>
              <w:jc w:val="center"/>
              <w:ind w:right="190"/>
              <w:spacing w:after="0"/>
              <w:rPr>
                <w:sz w:val="20"/>
                <w:szCs w:val="20"/>
                <w:color w:val="auto"/>
              </w:rPr>
            </w:pPr>
            <w:r>
              <w:rPr>
                <w:rFonts w:ascii="Arial" w:cs="Arial" w:eastAsia="Arial" w:hAnsi="Arial"/>
                <w:sz w:val="18"/>
                <w:szCs w:val="18"/>
                <w:b w:val="1"/>
                <w:bCs w:val="1"/>
                <w:color w:val="auto"/>
                <w:w w:val="95"/>
              </w:rPr>
              <w:t>Grant Date</w:t>
            </w:r>
          </w:p>
        </w:tc>
        <w:tc>
          <w:tcPr>
            <w:tcW w:w="1500" w:type="dxa"/>
            <w:vAlign w:val="bottom"/>
          </w:tcPr>
          <w:p>
            <w:pPr>
              <w:jc w:val="right"/>
              <w:ind w:right="390"/>
              <w:spacing w:after="0"/>
              <w:rPr>
                <w:sz w:val="20"/>
                <w:szCs w:val="20"/>
                <w:color w:val="auto"/>
              </w:rPr>
            </w:pPr>
            <w:r>
              <w:rPr>
                <w:rFonts w:ascii="Arial" w:cs="Arial" w:eastAsia="Arial" w:hAnsi="Arial"/>
                <w:sz w:val="18"/>
                <w:szCs w:val="18"/>
                <w:b w:val="1"/>
                <w:bCs w:val="1"/>
                <w:color w:val="auto"/>
              </w:rPr>
              <w:t>Number of</w:t>
            </w:r>
          </w:p>
        </w:tc>
        <w:tc>
          <w:tcPr>
            <w:tcW w:w="1120" w:type="dxa"/>
            <w:vAlign w:val="bottom"/>
          </w:tcPr>
          <w:p>
            <w:pPr>
              <w:jc w:val="center"/>
              <w:ind w:right="130"/>
              <w:spacing w:after="0"/>
              <w:rPr>
                <w:sz w:val="20"/>
                <w:szCs w:val="20"/>
                <w:color w:val="auto"/>
              </w:rPr>
            </w:pPr>
            <w:r>
              <w:rPr>
                <w:rFonts w:ascii="Arial" w:cs="Arial" w:eastAsia="Arial" w:hAnsi="Arial"/>
                <w:sz w:val="18"/>
                <w:szCs w:val="18"/>
                <w:b w:val="1"/>
                <w:bCs w:val="1"/>
                <w:color w:val="auto"/>
                <w:w w:val="93"/>
              </w:rPr>
              <w:t>Grant Date</w:t>
            </w:r>
          </w:p>
        </w:tc>
      </w:tr>
      <w:tr>
        <w:trPr>
          <w:trHeight w:val="234"/>
        </w:trPr>
        <w:tc>
          <w:tcPr>
            <w:tcW w:w="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ind w:right="530"/>
              <w:spacing w:after="0"/>
              <w:rPr>
                <w:sz w:val="20"/>
                <w:szCs w:val="20"/>
                <w:color w:val="auto"/>
              </w:rPr>
            </w:pPr>
            <w:r>
              <w:rPr>
                <w:rFonts w:ascii="Arial" w:cs="Arial" w:eastAsia="Arial" w:hAnsi="Arial"/>
                <w:sz w:val="18"/>
                <w:szCs w:val="18"/>
                <w:b w:val="1"/>
                <w:bCs w:val="1"/>
                <w:color w:val="auto"/>
              </w:rPr>
              <w:t>Shares</w:t>
            </w:r>
          </w:p>
        </w:tc>
        <w:tc>
          <w:tcPr>
            <w:tcW w:w="1200" w:type="dxa"/>
            <w:vAlign w:val="bottom"/>
          </w:tcPr>
          <w:p>
            <w:pPr>
              <w:jc w:val="center"/>
              <w:ind w:right="210"/>
              <w:spacing w:after="0"/>
              <w:rPr>
                <w:sz w:val="20"/>
                <w:szCs w:val="20"/>
                <w:color w:val="auto"/>
              </w:rPr>
            </w:pPr>
            <w:r>
              <w:rPr>
                <w:rFonts w:ascii="Arial" w:cs="Arial" w:eastAsia="Arial" w:hAnsi="Arial"/>
                <w:sz w:val="18"/>
                <w:szCs w:val="18"/>
                <w:b w:val="1"/>
                <w:bCs w:val="1"/>
                <w:color w:val="auto"/>
                <w:w w:val="95"/>
              </w:rPr>
              <w:t>Fair Value</w:t>
            </w:r>
          </w:p>
        </w:tc>
        <w:tc>
          <w:tcPr>
            <w:tcW w:w="1460" w:type="dxa"/>
            <w:vAlign w:val="bottom"/>
          </w:tcPr>
          <w:p>
            <w:pPr>
              <w:jc w:val="right"/>
              <w:ind w:right="530"/>
              <w:spacing w:after="0"/>
              <w:rPr>
                <w:sz w:val="20"/>
                <w:szCs w:val="20"/>
                <w:color w:val="auto"/>
              </w:rPr>
            </w:pPr>
            <w:r>
              <w:rPr>
                <w:rFonts w:ascii="Arial" w:cs="Arial" w:eastAsia="Arial" w:hAnsi="Arial"/>
                <w:sz w:val="18"/>
                <w:szCs w:val="18"/>
                <w:b w:val="1"/>
                <w:bCs w:val="1"/>
                <w:color w:val="auto"/>
              </w:rPr>
              <w:t>Shares</w:t>
            </w:r>
          </w:p>
        </w:tc>
        <w:tc>
          <w:tcPr>
            <w:tcW w:w="1200" w:type="dxa"/>
            <w:vAlign w:val="bottom"/>
          </w:tcPr>
          <w:p>
            <w:pPr>
              <w:jc w:val="center"/>
              <w:ind w:right="190"/>
              <w:spacing w:after="0"/>
              <w:rPr>
                <w:sz w:val="20"/>
                <w:szCs w:val="20"/>
                <w:color w:val="auto"/>
              </w:rPr>
            </w:pPr>
            <w:r>
              <w:rPr>
                <w:rFonts w:ascii="Arial" w:cs="Arial" w:eastAsia="Arial" w:hAnsi="Arial"/>
                <w:sz w:val="18"/>
                <w:szCs w:val="18"/>
                <w:b w:val="1"/>
                <w:bCs w:val="1"/>
                <w:color w:val="auto"/>
                <w:w w:val="92"/>
              </w:rPr>
              <w:t>Fair Value</w:t>
            </w:r>
          </w:p>
        </w:tc>
        <w:tc>
          <w:tcPr>
            <w:tcW w:w="1500" w:type="dxa"/>
            <w:vAlign w:val="bottom"/>
          </w:tcPr>
          <w:p>
            <w:pPr>
              <w:jc w:val="right"/>
              <w:ind w:right="550"/>
              <w:spacing w:after="0"/>
              <w:rPr>
                <w:sz w:val="20"/>
                <w:szCs w:val="20"/>
                <w:color w:val="auto"/>
              </w:rPr>
            </w:pPr>
            <w:r>
              <w:rPr>
                <w:rFonts w:ascii="Arial" w:cs="Arial" w:eastAsia="Arial" w:hAnsi="Arial"/>
                <w:sz w:val="18"/>
                <w:szCs w:val="18"/>
                <w:b w:val="1"/>
                <w:bCs w:val="1"/>
                <w:color w:val="auto"/>
              </w:rPr>
              <w:t>Shares</w:t>
            </w:r>
          </w:p>
        </w:tc>
        <w:tc>
          <w:tcPr>
            <w:tcW w:w="1120" w:type="dxa"/>
            <w:vAlign w:val="bottom"/>
          </w:tcPr>
          <w:p>
            <w:pPr>
              <w:jc w:val="center"/>
              <w:ind w:right="130"/>
              <w:spacing w:after="0"/>
              <w:rPr>
                <w:sz w:val="20"/>
                <w:szCs w:val="20"/>
                <w:color w:val="auto"/>
              </w:rPr>
            </w:pPr>
            <w:r>
              <w:rPr>
                <w:rFonts w:ascii="Arial" w:cs="Arial" w:eastAsia="Arial" w:hAnsi="Arial"/>
                <w:sz w:val="18"/>
                <w:szCs w:val="18"/>
                <w:b w:val="1"/>
                <w:bCs w:val="1"/>
                <w:color w:val="auto"/>
                <w:w w:val="95"/>
              </w:rPr>
              <w:t>Fair Value</w:t>
            </w:r>
          </w:p>
        </w:tc>
      </w:tr>
      <w:tr>
        <w:trPr>
          <w:trHeight w:val="27"/>
        </w:trPr>
        <w:tc>
          <w:tcPr>
            <w:tcW w:w="20" w:type="dxa"/>
            <w:vAlign w:val="bottom"/>
          </w:tcPr>
          <w:p>
            <w:pPr>
              <w:spacing w:after="0"/>
              <w:rPr>
                <w:sz w:val="2"/>
                <w:szCs w:val="2"/>
                <w:color w:val="auto"/>
              </w:rPr>
            </w:pPr>
          </w:p>
        </w:tc>
        <w:tc>
          <w:tcPr>
            <w:tcW w:w="33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3560" w:type="dxa"/>
            <w:vAlign w:val="bottom"/>
            <w:gridSpan w:val="2"/>
          </w:tcPr>
          <w:p>
            <w:pPr>
              <w:ind w:left="20"/>
              <w:spacing w:after="0"/>
              <w:rPr>
                <w:sz w:val="20"/>
                <w:szCs w:val="20"/>
                <w:color w:val="auto"/>
              </w:rPr>
            </w:pPr>
            <w:r>
              <w:rPr>
                <w:rFonts w:ascii="Arial" w:cs="Arial" w:eastAsia="Arial" w:hAnsi="Arial"/>
                <w:sz w:val="18"/>
                <w:szCs w:val="18"/>
                <w:color w:val="auto"/>
              </w:rPr>
              <w:t>Non-vested as of January 1,</w:t>
            </w:r>
          </w:p>
        </w:tc>
        <w:tc>
          <w:tcPr>
            <w:tcW w:w="1360" w:type="dxa"/>
            <w:vAlign w:val="bottom"/>
          </w:tcPr>
          <w:p>
            <w:pPr>
              <w:jc w:val="right"/>
              <w:ind w:right="350"/>
              <w:spacing w:after="0"/>
              <w:rPr>
                <w:sz w:val="20"/>
                <w:szCs w:val="20"/>
                <w:color w:val="auto"/>
              </w:rPr>
            </w:pPr>
            <w:r>
              <w:rPr>
                <w:rFonts w:ascii="Arial" w:cs="Arial" w:eastAsia="Arial" w:hAnsi="Arial"/>
                <w:sz w:val="18"/>
                <w:szCs w:val="18"/>
                <w:color w:val="auto"/>
              </w:rPr>
              <w:t>128,333</w:t>
            </w: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$36.54</w:t>
            </w:r>
          </w:p>
        </w:tc>
        <w:tc>
          <w:tcPr>
            <w:tcW w:w="1460" w:type="dxa"/>
            <w:vAlign w:val="bottom"/>
          </w:tcPr>
          <w:p>
            <w:pPr>
              <w:jc w:val="right"/>
              <w:ind w:right="350"/>
              <w:spacing w:after="0"/>
              <w:rPr>
                <w:sz w:val="20"/>
                <w:szCs w:val="20"/>
                <w:color w:val="auto"/>
              </w:rPr>
            </w:pPr>
            <w:r>
              <w:rPr>
                <w:rFonts w:ascii="Arial" w:cs="Arial" w:eastAsia="Arial" w:hAnsi="Arial"/>
                <w:sz w:val="18"/>
                <w:szCs w:val="18"/>
                <w:color w:val="auto"/>
              </w:rPr>
              <w:t>122,489</w:t>
            </w: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$38.15</w:t>
            </w:r>
          </w:p>
        </w:tc>
        <w:tc>
          <w:tcPr>
            <w:tcW w:w="1500" w:type="dxa"/>
            <w:vAlign w:val="bottom"/>
          </w:tcPr>
          <w:p>
            <w:pPr>
              <w:jc w:val="right"/>
              <w:ind w:right="350"/>
              <w:spacing w:after="0"/>
              <w:rPr>
                <w:sz w:val="20"/>
                <w:szCs w:val="20"/>
                <w:color w:val="auto"/>
              </w:rPr>
            </w:pPr>
            <w:r>
              <w:rPr>
                <w:rFonts w:ascii="Arial" w:cs="Arial" w:eastAsia="Arial" w:hAnsi="Arial"/>
                <w:sz w:val="18"/>
                <w:szCs w:val="18"/>
                <w:color w:val="auto"/>
              </w:rPr>
              <w:t>121,825</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$41.96</w:t>
            </w:r>
          </w:p>
        </w:tc>
      </w:tr>
      <w:tr>
        <w:trPr>
          <w:trHeight w:val="27"/>
        </w:trPr>
        <w:tc>
          <w:tcPr>
            <w:tcW w:w="20" w:type="dxa"/>
            <w:vAlign w:val="bottom"/>
          </w:tcPr>
          <w:p>
            <w:pPr>
              <w:spacing w:after="0"/>
              <w:rPr>
                <w:sz w:val="2"/>
                <w:szCs w:val="2"/>
                <w:color w:val="auto"/>
              </w:rPr>
            </w:pPr>
          </w:p>
        </w:tc>
        <w:tc>
          <w:tcPr>
            <w:tcW w:w="3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35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 xml:space="preserve">Granted </w:t>
            </w:r>
            <w:r>
              <w:rPr>
                <w:rFonts w:ascii="Arial" w:cs="Arial" w:eastAsia="Arial" w:hAnsi="Arial"/>
                <w:sz w:val="18"/>
                <w:szCs w:val="18"/>
                <w:i w:val="1"/>
                <w:iCs w:val="1"/>
                <w:color w:val="auto"/>
              </w:rPr>
              <w:t>(a)</w:t>
            </w:r>
          </w:p>
        </w:tc>
        <w:tc>
          <w:tcPr>
            <w:tcW w:w="13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38,764</w:t>
            </w:r>
          </w:p>
        </w:tc>
        <w:tc>
          <w:tcPr>
            <w:tcW w:w="12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$44.70</w:t>
            </w:r>
          </w:p>
        </w:tc>
        <w:tc>
          <w:tcPr>
            <w:tcW w:w="14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39,312</w:t>
            </w:r>
          </w:p>
        </w:tc>
        <w:tc>
          <w:tcPr>
            <w:tcW w:w="12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$41.00</w:t>
            </w:r>
          </w:p>
        </w:tc>
        <w:tc>
          <w:tcPr>
            <w:tcW w:w="150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49,302</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$35.44</w:t>
            </w:r>
          </w:p>
        </w:tc>
      </w:tr>
      <w:tr>
        <w:trPr>
          <w:trHeight w:val="243"/>
        </w:trPr>
        <w:tc>
          <w:tcPr>
            <w:tcW w:w="20" w:type="dxa"/>
            <w:vAlign w:val="bottom"/>
          </w:tcPr>
          <w:p>
            <w:pPr>
              <w:spacing w:after="0"/>
              <w:rPr>
                <w:sz w:val="21"/>
                <w:szCs w:val="21"/>
                <w:color w:val="auto"/>
              </w:rPr>
            </w:pPr>
          </w:p>
        </w:tc>
        <w:tc>
          <w:tcPr>
            <w:tcW w:w="3560" w:type="dxa"/>
            <w:vAlign w:val="bottom"/>
            <w:gridSpan w:val="2"/>
          </w:tcPr>
          <w:p>
            <w:pPr>
              <w:ind w:left="160"/>
              <w:spacing w:after="0"/>
              <w:rPr>
                <w:sz w:val="20"/>
                <w:szCs w:val="20"/>
                <w:color w:val="auto"/>
              </w:rPr>
            </w:pPr>
            <w:r>
              <w:rPr>
                <w:rFonts w:ascii="Arial" w:cs="Arial" w:eastAsia="Arial" w:hAnsi="Arial"/>
                <w:sz w:val="18"/>
                <w:szCs w:val="18"/>
                <w:color w:val="auto"/>
              </w:rPr>
              <w:t>Awarded</w:t>
            </w:r>
          </w:p>
        </w:tc>
        <w:tc>
          <w:tcPr>
            <w:tcW w:w="1360" w:type="dxa"/>
            <w:vAlign w:val="bottom"/>
          </w:tcPr>
          <w:p>
            <w:pPr>
              <w:jc w:val="right"/>
              <w:ind w:right="290"/>
              <w:spacing w:after="0"/>
              <w:rPr>
                <w:sz w:val="20"/>
                <w:szCs w:val="20"/>
                <w:color w:val="auto"/>
              </w:rPr>
            </w:pPr>
            <w:r>
              <w:rPr>
                <w:rFonts w:ascii="Arial" w:cs="Arial" w:eastAsia="Arial" w:hAnsi="Arial"/>
                <w:sz w:val="18"/>
                <w:szCs w:val="18"/>
                <w:color w:val="auto"/>
              </w:rPr>
              <w:t>(41,009)</w:t>
            </w: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$34.25</w:t>
            </w:r>
          </w:p>
        </w:tc>
        <w:tc>
          <w:tcPr>
            <w:tcW w:w="1460" w:type="dxa"/>
            <w:vAlign w:val="bottom"/>
          </w:tcPr>
          <w:p>
            <w:pPr>
              <w:jc w:val="right"/>
              <w:ind w:right="290"/>
              <w:spacing w:after="0"/>
              <w:rPr>
                <w:sz w:val="20"/>
                <w:szCs w:val="20"/>
                <w:color w:val="auto"/>
              </w:rPr>
            </w:pPr>
            <w:r>
              <w:rPr>
                <w:rFonts w:ascii="Arial" w:cs="Arial" w:eastAsia="Arial" w:hAnsi="Arial"/>
                <w:sz w:val="18"/>
                <w:szCs w:val="18"/>
                <w:color w:val="auto"/>
              </w:rPr>
              <w:t>(32,368)</w:t>
            </w: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$48.10</w:t>
            </w:r>
          </w:p>
        </w:tc>
        <w:tc>
          <w:tcPr>
            <w:tcW w:w="150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3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35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Unearned Grant Award</w:t>
            </w:r>
          </w:p>
        </w:tc>
        <w:tc>
          <w:tcPr>
            <w:tcW w:w="13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(17,575)</w:t>
            </w:r>
          </w:p>
        </w:tc>
        <w:tc>
          <w:tcPr>
            <w:tcW w:w="12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$34.25</w:t>
            </w:r>
          </w:p>
        </w:tc>
        <w:tc>
          <w:tcPr>
            <w:tcW w:w="14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(22,909)</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$54.50</w:t>
            </w:r>
          </w:p>
        </w:tc>
      </w:tr>
      <w:tr>
        <w:trPr>
          <w:trHeight w:val="243"/>
        </w:trPr>
        <w:tc>
          <w:tcPr>
            <w:tcW w:w="20" w:type="dxa"/>
            <w:vAlign w:val="bottom"/>
          </w:tcPr>
          <w:p>
            <w:pPr>
              <w:spacing w:after="0"/>
              <w:rPr>
                <w:sz w:val="21"/>
                <w:szCs w:val="21"/>
                <w:color w:val="auto"/>
              </w:rPr>
            </w:pPr>
          </w:p>
        </w:tc>
        <w:tc>
          <w:tcPr>
            <w:tcW w:w="3560" w:type="dxa"/>
            <w:vAlign w:val="bottom"/>
            <w:gridSpan w:val="2"/>
          </w:tcPr>
          <w:p>
            <w:pPr>
              <w:ind w:left="160"/>
              <w:spacing w:after="0"/>
              <w:rPr>
                <w:sz w:val="20"/>
                <w:szCs w:val="20"/>
                <w:color w:val="auto"/>
              </w:rPr>
            </w:pPr>
            <w:r>
              <w:rPr>
                <w:rFonts w:ascii="Arial" w:cs="Arial" w:eastAsia="Arial" w:hAnsi="Arial"/>
                <w:sz w:val="18"/>
                <w:szCs w:val="18"/>
                <w:color w:val="auto"/>
              </w:rPr>
              <w:t>Forfeited</w:t>
            </w:r>
          </w:p>
        </w:tc>
        <w:tc>
          <w:tcPr>
            <w:tcW w:w="1360" w:type="dxa"/>
            <w:vAlign w:val="bottom"/>
          </w:tcPr>
          <w:p>
            <w:pPr>
              <w:jc w:val="right"/>
              <w:ind w:right="290"/>
              <w:spacing w:after="0"/>
              <w:rPr>
                <w:sz w:val="20"/>
                <w:szCs w:val="20"/>
                <w:color w:val="auto"/>
              </w:rPr>
            </w:pPr>
            <w:r>
              <w:rPr>
                <w:rFonts w:ascii="Arial" w:cs="Arial" w:eastAsia="Arial" w:hAnsi="Arial"/>
                <w:sz w:val="18"/>
                <w:szCs w:val="18"/>
                <w:color w:val="auto"/>
              </w:rPr>
              <w:t>(614)</w:t>
            </w: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$34.49</w:t>
            </w:r>
          </w:p>
        </w:tc>
        <w:tc>
          <w:tcPr>
            <w:tcW w:w="1460" w:type="dxa"/>
            <w:vAlign w:val="bottom"/>
          </w:tcPr>
          <w:p>
            <w:pPr>
              <w:jc w:val="right"/>
              <w:ind w:right="290"/>
              <w:spacing w:after="0"/>
              <w:rPr>
                <w:sz w:val="20"/>
                <w:szCs w:val="20"/>
                <w:color w:val="auto"/>
              </w:rPr>
            </w:pPr>
            <w:r>
              <w:rPr>
                <w:rFonts w:ascii="Arial" w:cs="Arial" w:eastAsia="Arial" w:hAnsi="Arial"/>
                <w:sz w:val="18"/>
                <w:szCs w:val="18"/>
                <w:color w:val="auto"/>
              </w:rPr>
              <w:t>(1,100)</w:t>
            </w: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$34.35</w:t>
            </w:r>
          </w:p>
        </w:tc>
        <w:tc>
          <w:tcPr>
            <w:tcW w:w="1500" w:type="dxa"/>
            <w:vAlign w:val="bottom"/>
          </w:tcPr>
          <w:p>
            <w:pPr>
              <w:jc w:val="right"/>
              <w:ind w:right="290"/>
              <w:spacing w:after="0"/>
              <w:rPr>
                <w:sz w:val="20"/>
                <w:szCs w:val="20"/>
                <w:color w:val="auto"/>
              </w:rPr>
            </w:pPr>
            <w:r>
              <w:rPr>
                <w:rFonts w:ascii="Arial" w:cs="Arial" w:eastAsia="Arial" w:hAnsi="Arial"/>
                <w:sz w:val="18"/>
                <w:szCs w:val="18"/>
                <w:color w:val="auto"/>
              </w:rPr>
              <w:t>(25,729)</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$36.45</w:t>
            </w:r>
          </w:p>
        </w:tc>
      </w:tr>
      <w:tr>
        <w:trPr>
          <w:trHeight w:val="27"/>
        </w:trPr>
        <w:tc>
          <w:tcPr>
            <w:tcW w:w="20" w:type="dxa"/>
            <w:vAlign w:val="bottom"/>
          </w:tcPr>
          <w:p>
            <w:pPr>
              <w:spacing w:after="0"/>
              <w:rPr>
                <w:sz w:val="2"/>
                <w:szCs w:val="2"/>
                <w:color w:val="auto"/>
              </w:rPr>
            </w:pPr>
          </w:p>
        </w:tc>
        <w:tc>
          <w:tcPr>
            <w:tcW w:w="33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20" w:type="dxa"/>
            <w:vAlign w:val="bottom"/>
          </w:tcPr>
          <w:p>
            <w:pPr>
              <w:spacing w:after="0"/>
              <w:rPr>
                <w:sz w:val="22"/>
                <w:szCs w:val="22"/>
                <w:color w:val="auto"/>
              </w:rPr>
            </w:pPr>
          </w:p>
        </w:tc>
        <w:tc>
          <w:tcPr>
            <w:tcW w:w="3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Non-vested as of December 31,</w:t>
            </w:r>
          </w:p>
        </w:tc>
        <w:tc>
          <w:tcPr>
            <w:tcW w:w="13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107,899</w:t>
            </w:r>
          </w:p>
        </w:tc>
        <w:tc>
          <w:tcPr>
            <w:tcW w:w="12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$40.73</w:t>
            </w:r>
          </w:p>
        </w:tc>
        <w:tc>
          <w:tcPr>
            <w:tcW w:w="14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128,333</w:t>
            </w:r>
          </w:p>
        </w:tc>
        <w:tc>
          <w:tcPr>
            <w:tcW w:w="12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$36.54</w:t>
            </w:r>
          </w:p>
        </w:tc>
        <w:tc>
          <w:tcPr>
            <w:tcW w:w="150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122,489</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$38.15</w:t>
            </w:r>
          </w:p>
        </w:tc>
      </w:tr>
      <w:tr>
        <w:trPr>
          <w:trHeight w:val="224"/>
        </w:trPr>
        <w:tc>
          <w:tcPr>
            <w:tcW w:w="20" w:type="dxa"/>
            <w:vAlign w:val="bottom"/>
          </w:tcPr>
          <w:p>
            <w:pPr>
              <w:spacing w:after="0"/>
              <w:rPr>
                <w:sz w:val="19"/>
                <w:szCs w:val="19"/>
                <w:color w:val="auto"/>
              </w:rPr>
            </w:pPr>
          </w:p>
        </w:tc>
        <w:tc>
          <w:tcPr>
            <w:tcW w:w="3560" w:type="dxa"/>
            <w:vAlign w:val="bottom"/>
            <w:tcBorders>
              <w:top w:val="single" w:sz="8" w:color="auto"/>
            </w:tcBorders>
            <w:gridSpan w:val="2"/>
          </w:tcPr>
          <w:p>
            <w:pPr>
              <w:spacing w:after="0"/>
              <w:rPr>
                <w:sz w:val="20"/>
                <w:szCs w:val="20"/>
                <w:color w:val="auto"/>
              </w:rPr>
            </w:pPr>
            <w:r>
              <w:rPr>
                <w:rFonts w:ascii="Arial" w:cs="Arial" w:eastAsia="Arial" w:hAnsi="Arial"/>
                <w:sz w:val="18"/>
                <w:szCs w:val="18"/>
                <w:i w:val="1"/>
                <w:iCs w:val="1"/>
                <w:color w:val="auto"/>
                <w:w w:val="92"/>
              </w:rPr>
              <w:t>(a)  Shares granted includes accrued dividends.</w:t>
            </w:r>
          </w:p>
        </w:tc>
        <w:tc>
          <w:tcPr>
            <w:tcW w:w="13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r>
    </w:tbl>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2012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20"/>
          </w:cols>
          <w:pgMar w:left="240" w:top="364" w:right="239" w:bottom="1440" w:gutter="0" w:footer="0" w:header="0"/>
        </w:sectPr>
      </w:pPr>
    </w:p>
    <w:bookmarkStart w:id="111" w:name="page112"/>
    <w:bookmarkEnd w:id="111"/>
    <w:p>
      <w:pPr>
        <w:spacing w:after="0"/>
        <w:rPr>
          <w:sz w:val="20"/>
          <w:szCs w:val="20"/>
          <w:color w:val="auto"/>
        </w:rPr>
      </w:pPr>
      <w:r>
        <w:rPr>
          <w:rFonts w:ascii="Arial" w:cs="Arial" w:eastAsia="Arial" w:hAnsi="Arial"/>
          <w:sz w:val="18"/>
          <w:szCs w:val="18"/>
          <w:b w:val="1"/>
          <w:bCs w:val="1"/>
          <w:color w:val="auto"/>
        </w:rPr>
        <w:t>NOTE 16. EMPLOYEE STOCK AND INCENTIVE PLANS (Continued)</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There were 33,525 and 41,332 performance shares granted in January 2012 and 2013, for the three-year performance periods ending in 2014 and 2015, respectively. The ultimate issuance is contingent upon the attainment of certain future market goals of ALLETE during the performance periods. The grant date fair value of the performance shares granted was $1.5 million and $2.2 million, respectively.</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were 41,009 and 18,605 performance shares awarded in February 2012 and 2013, for the three-year performance periods ending in 2011 and 2012, respectively. The grant date fair value of the shares awarded was $1.4 million and $0.7 million,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Restricted Stock Units. </w:t>
      </w:r>
      <w:r>
        <w:rPr>
          <w:rFonts w:ascii="Arial" w:cs="Arial" w:eastAsia="Arial" w:hAnsi="Arial"/>
          <w:sz w:val="18"/>
          <w:szCs w:val="18"/>
          <w:color w:val="auto"/>
        </w:rPr>
        <w:t>The following table presents information regarding our available restricted stock units as of December 31, 2012.</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520" w:type="dxa"/>
            <w:vAlign w:val="bottom"/>
          </w:tcPr>
          <w:p>
            <w:pPr>
              <w:jc w:val="right"/>
              <w:ind w:right="1030"/>
              <w:spacing w:after="0"/>
              <w:rPr>
                <w:sz w:val="20"/>
                <w:szCs w:val="20"/>
                <w:color w:val="auto"/>
              </w:rPr>
            </w:pPr>
            <w:r>
              <w:rPr>
                <w:rFonts w:ascii="Arial" w:cs="Arial" w:eastAsia="Arial" w:hAnsi="Arial"/>
                <w:sz w:val="18"/>
                <w:szCs w:val="18"/>
                <w:b w:val="1"/>
                <w:bCs w:val="1"/>
                <w:color w:val="auto"/>
                <w:w w:val="94"/>
              </w:rPr>
              <w:t>2012</w:t>
            </w:r>
          </w:p>
        </w:tc>
        <w:tc>
          <w:tcPr>
            <w:tcW w:w="1060" w:type="dxa"/>
            <w:vAlign w:val="bottom"/>
          </w:tcPr>
          <w:p>
            <w:pPr>
              <w:spacing w:after="0"/>
              <w:rPr>
                <w:sz w:val="20"/>
                <w:szCs w:val="20"/>
                <w:color w:val="auto"/>
              </w:rPr>
            </w:pPr>
          </w:p>
        </w:tc>
        <w:tc>
          <w:tcPr>
            <w:tcW w:w="1520" w:type="dxa"/>
            <w:vAlign w:val="bottom"/>
          </w:tcPr>
          <w:p>
            <w:pPr>
              <w:jc w:val="right"/>
              <w:ind w:right="1050"/>
              <w:spacing w:after="0"/>
              <w:rPr>
                <w:sz w:val="20"/>
                <w:szCs w:val="20"/>
                <w:color w:val="auto"/>
              </w:rPr>
            </w:pPr>
            <w:r>
              <w:rPr>
                <w:rFonts w:ascii="Arial" w:cs="Arial" w:eastAsia="Arial" w:hAnsi="Arial"/>
                <w:sz w:val="18"/>
                <w:szCs w:val="18"/>
                <w:b w:val="1"/>
                <w:bCs w:val="1"/>
                <w:color w:val="auto"/>
                <w:w w:val="89"/>
              </w:rPr>
              <w:t>2011</w:t>
            </w:r>
          </w:p>
        </w:tc>
        <w:tc>
          <w:tcPr>
            <w:tcW w:w="1040" w:type="dxa"/>
            <w:vAlign w:val="bottom"/>
          </w:tcPr>
          <w:p>
            <w:pPr>
              <w:spacing w:after="0"/>
              <w:rPr>
                <w:sz w:val="20"/>
                <w:szCs w:val="20"/>
                <w:color w:val="auto"/>
              </w:rPr>
            </w:pPr>
          </w:p>
        </w:tc>
        <w:tc>
          <w:tcPr>
            <w:tcW w:w="1480" w:type="dxa"/>
            <w:vAlign w:val="bottom"/>
          </w:tcPr>
          <w:p>
            <w:pPr>
              <w:jc w:val="right"/>
              <w:ind w:right="1010"/>
              <w:spacing w:after="0"/>
              <w:rPr>
                <w:sz w:val="20"/>
                <w:szCs w:val="20"/>
                <w:color w:val="auto"/>
              </w:rPr>
            </w:pPr>
            <w:r>
              <w:rPr>
                <w:rFonts w:ascii="Arial" w:cs="Arial" w:eastAsia="Arial" w:hAnsi="Arial"/>
                <w:sz w:val="18"/>
                <w:szCs w:val="18"/>
                <w:b w:val="1"/>
                <w:bCs w:val="1"/>
                <w:color w:val="auto"/>
                <w:w w:val="89"/>
              </w:rPr>
              <w:t>2010</w:t>
            </w:r>
          </w:p>
        </w:tc>
      </w:tr>
      <w:tr>
        <w:trPr>
          <w:trHeight w:val="27"/>
        </w:trPr>
        <w:tc>
          <w:tcPr>
            <w:tcW w:w="20" w:type="dxa"/>
            <w:vAlign w:val="bottom"/>
          </w:tcPr>
          <w:p>
            <w:pPr>
              <w:spacing w:after="0"/>
              <w:rPr>
                <w:sz w:val="2"/>
                <w:szCs w:val="2"/>
                <w:color w:val="auto"/>
              </w:rPr>
            </w:pPr>
          </w:p>
        </w:tc>
        <w:tc>
          <w:tcPr>
            <w:tcW w:w="368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18"/>
        </w:trPr>
        <w:tc>
          <w:tcPr>
            <w:tcW w:w="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20" w:type="dxa"/>
            <w:vAlign w:val="bottom"/>
          </w:tcPr>
          <w:p>
            <w:pPr>
              <w:jc w:val="center"/>
              <w:ind w:left="10"/>
              <w:spacing w:after="0"/>
              <w:rPr>
                <w:sz w:val="20"/>
                <w:szCs w:val="20"/>
                <w:color w:val="auto"/>
              </w:rPr>
            </w:pPr>
            <w:r>
              <w:rPr>
                <w:rFonts w:ascii="Arial" w:cs="Arial" w:eastAsia="Arial" w:hAnsi="Arial"/>
                <w:sz w:val="18"/>
                <w:szCs w:val="18"/>
                <w:b w:val="1"/>
                <w:bCs w:val="1"/>
                <w:color w:val="auto"/>
                <w:w w:val="89"/>
              </w:rPr>
              <w:t>Weighted-</w:t>
            </w:r>
          </w:p>
        </w:tc>
        <w:tc>
          <w:tcPr>
            <w:tcW w:w="106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8"/>
                <w:szCs w:val="18"/>
                <w:b w:val="1"/>
                <w:bCs w:val="1"/>
                <w:color w:val="auto"/>
                <w:w w:val="91"/>
              </w:rPr>
              <w:t>Weighted-</w:t>
            </w:r>
          </w:p>
        </w:tc>
        <w:tc>
          <w:tcPr>
            <w:tcW w:w="1040" w:type="dxa"/>
            <w:vAlign w:val="bottom"/>
          </w:tcPr>
          <w:p>
            <w:pPr>
              <w:spacing w:after="0"/>
              <w:rPr>
                <w:sz w:val="18"/>
                <w:szCs w:val="18"/>
                <w:color w:val="auto"/>
              </w:rPr>
            </w:pPr>
          </w:p>
        </w:tc>
        <w:tc>
          <w:tcPr>
            <w:tcW w:w="1480" w:type="dxa"/>
            <w:vAlign w:val="bottom"/>
          </w:tcPr>
          <w:p>
            <w:pPr>
              <w:jc w:val="center"/>
              <w:ind w:left="30"/>
              <w:spacing w:after="0"/>
              <w:rPr>
                <w:sz w:val="20"/>
                <w:szCs w:val="20"/>
                <w:color w:val="auto"/>
              </w:rPr>
            </w:pPr>
            <w:r>
              <w:rPr>
                <w:rFonts w:ascii="Arial" w:cs="Arial" w:eastAsia="Arial" w:hAnsi="Arial"/>
                <w:sz w:val="18"/>
                <w:szCs w:val="18"/>
                <w:b w:val="1"/>
                <w:bCs w:val="1"/>
                <w:color w:val="auto"/>
                <w:w w:val="91"/>
              </w:rPr>
              <w:t>Weighted-</w:t>
            </w: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20" w:type="dxa"/>
            <w:vAlign w:val="bottom"/>
          </w:tcPr>
          <w:p>
            <w:pPr>
              <w:jc w:val="center"/>
              <w:ind w:left="10"/>
              <w:spacing w:after="0"/>
              <w:rPr>
                <w:sz w:val="20"/>
                <w:szCs w:val="20"/>
                <w:color w:val="auto"/>
              </w:rPr>
            </w:pPr>
            <w:r>
              <w:rPr>
                <w:rFonts w:ascii="Arial" w:cs="Arial" w:eastAsia="Arial" w:hAnsi="Arial"/>
                <w:sz w:val="18"/>
                <w:szCs w:val="18"/>
                <w:b w:val="1"/>
                <w:bCs w:val="1"/>
                <w:color w:val="auto"/>
                <w:w w:val="87"/>
              </w:rPr>
              <w:t>Average</w:t>
            </w:r>
          </w:p>
        </w:tc>
        <w:tc>
          <w:tcPr>
            <w:tcW w:w="106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8"/>
                <w:szCs w:val="18"/>
                <w:b w:val="1"/>
                <w:bCs w:val="1"/>
                <w:color w:val="auto"/>
                <w:w w:val="90"/>
              </w:rPr>
              <w:t>Average</w:t>
            </w:r>
          </w:p>
        </w:tc>
        <w:tc>
          <w:tcPr>
            <w:tcW w:w="1040" w:type="dxa"/>
            <w:vAlign w:val="bottom"/>
          </w:tcPr>
          <w:p>
            <w:pPr>
              <w:spacing w:after="0"/>
              <w:rPr>
                <w:sz w:val="18"/>
                <w:szCs w:val="18"/>
                <w:color w:val="auto"/>
              </w:rPr>
            </w:pPr>
          </w:p>
        </w:tc>
        <w:tc>
          <w:tcPr>
            <w:tcW w:w="1480" w:type="dxa"/>
            <w:vAlign w:val="bottom"/>
          </w:tcPr>
          <w:p>
            <w:pPr>
              <w:jc w:val="center"/>
              <w:ind w:left="50"/>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Number of</w:t>
            </w:r>
          </w:p>
        </w:tc>
        <w:tc>
          <w:tcPr>
            <w:tcW w:w="1520" w:type="dxa"/>
            <w:vAlign w:val="bottom"/>
          </w:tcPr>
          <w:p>
            <w:pPr>
              <w:jc w:val="center"/>
              <w:ind w:left="10"/>
              <w:spacing w:after="0"/>
              <w:rPr>
                <w:sz w:val="20"/>
                <w:szCs w:val="20"/>
                <w:color w:val="auto"/>
              </w:rPr>
            </w:pPr>
            <w:r>
              <w:rPr>
                <w:rFonts w:ascii="Arial" w:cs="Arial" w:eastAsia="Arial" w:hAnsi="Arial"/>
                <w:sz w:val="18"/>
                <w:szCs w:val="18"/>
                <w:b w:val="1"/>
                <w:bCs w:val="1"/>
                <w:color w:val="auto"/>
                <w:w w:val="93"/>
              </w:rPr>
              <w:t>Grant Date</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Number of</w:t>
            </w:r>
          </w:p>
        </w:tc>
        <w:tc>
          <w:tcPr>
            <w:tcW w:w="1520" w:type="dxa"/>
            <w:vAlign w:val="bottom"/>
          </w:tcPr>
          <w:p>
            <w:pPr>
              <w:jc w:val="center"/>
              <w:spacing w:after="0"/>
              <w:rPr>
                <w:sz w:val="20"/>
                <w:szCs w:val="20"/>
                <w:color w:val="auto"/>
              </w:rPr>
            </w:pPr>
            <w:r>
              <w:rPr>
                <w:rFonts w:ascii="Arial" w:cs="Arial" w:eastAsia="Arial" w:hAnsi="Arial"/>
                <w:sz w:val="18"/>
                <w:szCs w:val="18"/>
                <w:b w:val="1"/>
                <w:bCs w:val="1"/>
                <w:color w:val="auto"/>
                <w:w w:val="95"/>
              </w:rPr>
              <w:t>Grant Date</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Number of</w:t>
            </w:r>
          </w:p>
        </w:tc>
        <w:tc>
          <w:tcPr>
            <w:tcW w:w="1480" w:type="dxa"/>
            <w:vAlign w:val="bottom"/>
          </w:tcPr>
          <w:p>
            <w:pPr>
              <w:jc w:val="center"/>
              <w:ind w:left="30"/>
              <w:spacing w:after="0"/>
              <w:rPr>
                <w:sz w:val="20"/>
                <w:szCs w:val="20"/>
                <w:color w:val="auto"/>
              </w:rPr>
            </w:pPr>
            <w:r>
              <w:rPr>
                <w:rFonts w:ascii="Arial" w:cs="Arial" w:eastAsia="Arial" w:hAnsi="Arial"/>
                <w:sz w:val="18"/>
                <w:szCs w:val="18"/>
                <w:b w:val="1"/>
                <w:bCs w:val="1"/>
                <w:color w:val="auto"/>
                <w:w w:val="95"/>
              </w:rPr>
              <w:t>Grant Date</w:t>
            </w:r>
          </w:p>
        </w:tc>
      </w:tr>
      <w:tr>
        <w:trPr>
          <w:trHeight w:val="234"/>
        </w:trPr>
        <w:tc>
          <w:tcPr>
            <w:tcW w:w="2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b w:val="1"/>
                <w:bCs w:val="1"/>
                <w:color w:val="auto"/>
              </w:rPr>
              <w:t>Shares</w:t>
            </w:r>
          </w:p>
        </w:tc>
        <w:tc>
          <w:tcPr>
            <w:tcW w:w="1520" w:type="dxa"/>
            <w:vAlign w:val="bottom"/>
          </w:tcPr>
          <w:p>
            <w:pPr>
              <w:jc w:val="center"/>
              <w:ind w:left="10"/>
              <w:spacing w:after="0"/>
              <w:rPr>
                <w:sz w:val="20"/>
                <w:szCs w:val="20"/>
                <w:color w:val="auto"/>
              </w:rPr>
            </w:pPr>
            <w:r>
              <w:rPr>
                <w:rFonts w:ascii="Arial" w:cs="Arial" w:eastAsia="Arial" w:hAnsi="Arial"/>
                <w:sz w:val="18"/>
                <w:szCs w:val="18"/>
                <w:b w:val="1"/>
                <w:bCs w:val="1"/>
                <w:color w:val="auto"/>
                <w:w w:val="95"/>
              </w:rPr>
              <w:t>Fair Value</w:t>
            </w:r>
          </w:p>
        </w:tc>
        <w:tc>
          <w:tcPr>
            <w:tcW w:w="1060" w:type="dxa"/>
            <w:vAlign w:val="bottom"/>
          </w:tcPr>
          <w:p>
            <w:pPr>
              <w:jc w:val="right"/>
              <w:ind w:right="130"/>
              <w:spacing w:after="0"/>
              <w:rPr>
                <w:sz w:val="20"/>
                <w:szCs w:val="20"/>
                <w:color w:val="auto"/>
              </w:rPr>
            </w:pPr>
            <w:r>
              <w:rPr>
                <w:rFonts w:ascii="Arial" w:cs="Arial" w:eastAsia="Arial" w:hAnsi="Arial"/>
                <w:sz w:val="18"/>
                <w:szCs w:val="18"/>
                <w:b w:val="1"/>
                <w:bCs w:val="1"/>
                <w:color w:val="auto"/>
              </w:rPr>
              <w:t>Shares</w:t>
            </w:r>
          </w:p>
        </w:tc>
        <w:tc>
          <w:tcPr>
            <w:tcW w:w="1520" w:type="dxa"/>
            <w:vAlign w:val="bottom"/>
          </w:tcPr>
          <w:p>
            <w:pPr>
              <w:jc w:val="center"/>
              <w:spacing w:after="0"/>
              <w:rPr>
                <w:sz w:val="20"/>
                <w:szCs w:val="20"/>
                <w:color w:val="auto"/>
              </w:rPr>
            </w:pPr>
            <w:r>
              <w:rPr>
                <w:rFonts w:ascii="Arial" w:cs="Arial" w:eastAsia="Arial" w:hAnsi="Arial"/>
                <w:sz w:val="18"/>
                <w:szCs w:val="18"/>
                <w:b w:val="1"/>
                <w:bCs w:val="1"/>
                <w:color w:val="auto"/>
                <w:w w:val="92"/>
              </w:rPr>
              <w:t>Fair Value</w:t>
            </w:r>
          </w:p>
        </w:tc>
        <w:tc>
          <w:tcPr>
            <w:tcW w:w="1040" w:type="dxa"/>
            <w:vAlign w:val="bottom"/>
          </w:tcPr>
          <w:p>
            <w:pPr>
              <w:jc w:val="right"/>
              <w:ind w:right="130"/>
              <w:spacing w:after="0"/>
              <w:rPr>
                <w:sz w:val="20"/>
                <w:szCs w:val="20"/>
                <w:color w:val="auto"/>
              </w:rPr>
            </w:pPr>
            <w:r>
              <w:rPr>
                <w:rFonts w:ascii="Arial" w:cs="Arial" w:eastAsia="Arial" w:hAnsi="Arial"/>
                <w:sz w:val="18"/>
                <w:szCs w:val="18"/>
                <w:b w:val="1"/>
                <w:bCs w:val="1"/>
                <w:color w:val="auto"/>
              </w:rPr>
              <w:t>Shares</w:t>
            </w:r>
          </w:p>
        </w:tc>
        <w:tc>
          <w:tcPr>
            <w:tcW w:w="1480" w:type="dxa"/>
            <w:vAlign w:val="bottom"/>
          </w:tcPr>
          <w:p>
            <w:pPr>
              <w:jc w:val="center"/>
              <w:ind w:left="30"/>
              <w:spacing w:after="0"/>
              <w:rPr>
                <w:sz w:val="20"/>
                <w:szCs w:val="20"/>
                <w:color w:val="auto"/>
              </w:rPr>
            </w:pPr>
            <w:r>
              <w:rPr>
                <w:rFonts w:ascii="Arial" w:cs="Arial" w:eastAsia="Arial" w:hAnsi="Arial"/>
                <w:sz w:val="18"/>
                <w:szCs w:val="18"/>
                <w:b w:val="1"/>
                <w:bCs w:val="1"/>
                <w:color w:val="auto"/>
                <w:w w:val="92"/>
              </w:rPr>
              <w:t>Fair Value</w:t>
            </w:r>
          </w:p>
        </w:tc>
      </w:tr>
      <w:tr>
        <w:trPr>
          <w:trHeight w:val="27"/>
        </w:trPr>
        <w:tc>
          <w:tcPr>
            <w:tcW w:w="20" w:type="dxa"/>
            <w:vAlign w:val="bottom"/>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3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Available as of January 1,</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63,464</w:t>
            </w:r>
          </w:p>
        </w:tc>
        <w:tc>
          <w:tcPr>
            <w:tcW w:w="15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$32.57</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43,803</w:t>
            </w:r>
          </w:p>
        </w:tc>
        <w:tc>
          <w:tcPr>
            <w:tcW w:w="15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$30.61</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28,983</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$29.41</w:t>
            </w:r>
          </w:p>
        </w:tc>
      </w:tr>
      <w:tr>
        <w:trPr>
          <w:trHeight w:val="243"/>
        </w:trPr>
        <w:tc>
          <w:tcPr>
            <w:tcW w:w="20" w:type="dxa"/>
            <w:vAlign w:val="bottom"/>
          </w:tcPr>
          <w:p>
            <w:pPr>
              <w:spacing w:after="0"/>
              <w:rPr>
                <w:sz w:val="21"/>
                <w:szCs w:val="21"/>
                <w:color w:val="auto"/>
              </w:rPr>
            </w:pPr>
          </w:p>
        </w:tc>
        <w:tc>
          <w:tcPr>
            <w:tcW w:w="3680" w:type="dxa"/>
            <w:vAlign w:val="bottom"/>
          </w:tcPr>
          <w:p>
            <w:pPr>
              <w:ind w:left="160"/>
              <w:spacing w:after="0"/>
              <w:rPr>
                <w:sz w:val="20"/>
                <w:szCs w:val="20"/>
                <w:color w:val="auto"/>
              </w:rPr>
            </w:pPr>
            <w:r>
              <w:rPr>
                <w:rFonts w:ascii="Arial" w:cs="Arial" w:eastAsia="Arial" w:hAnsi="Arial"/>
                <w:sz w:val="18"/>
                <w:szCs w:val="18"/>
                <w:color w:val="auto"/>
              </w:rPr>
              <w:t xml:space="preserve">Granted </w:t>
            </w:r>
            <w:r>
              <w:rPr>
                <w:rFonts w:ascii="Arial" w:cs="Arial" w:eastAsia="Arial" w:hAnsi="Arial"/>
                <w:sz w:val="18"/>
                <w:szCs w:val="18"/>
                <w:i w:val="1"/>
                <w:iCs w:val="1"/>
                <w:color w:val="auto"/>
              </w:rPr>
              <w:t>(a)</w:t>
            </w:r>
          </w:p>
        </w:tc>
        <w:tc>
          <w:tcPr>
            <w:tcW w:w="1080" w:type="dxa"/>
            <w:vAlign w:val="bottom"/>
          </w:tcPr>
          <w:p>
            <w:pPr>
              <w:jc w:val="right"/>
              <w:spacing w:after="0"/>
              <w:rPr>
                <w:sz w:val="20"/>
                <w:szCs w:val="20"/>
                <w:color w:val="auto"/>
              </w:rPr>
            </w:pPr>
            <w:r>
              <w:rPr>
                <w:rFonts w:ascii="Arial" w:cs="Arial" w:eastAsia="Arial" w:hAnsi="Arial"/>
                <w:sz w:val="18"/>
                <w:szCs w:val="18"/>
                <w:color w:val="auto"/>
              </w:rPr>
              <w:t>18,162</w:t>
            </w:r>
          </w:p>
        </w:tc>
        <w:tc>
          <w:tcPr>
            <w:tcW w:w="1520" w:type="dxa"/>
            <w:vAlign w:val="bottom"/>
          </w:tcPr>
          <w:p>
            <w:pPr>
              <w:jc w:val="right"/>
              <w:ind w:right="50"/>
              <w:spacing w:after="0"/>
              <w:rPr>
                <w:sz w:val="20"/>
                <w:szCs w:val="20"/>
                <w:color w:val="auto"/>
              </w:rPr>
            </w:pPr>
            <w:r>
              <w:rPr>
                <w:rFonts w:ascii="Arial" w:cs="Arial" w:eastAsia="Arial" w:hAnsi="Arial"/>
                <w:sz w:val="18"/>
                <w:szCs w:val="18"/>
                <w:color w:val="auto"/>
              </w:rPr>
              <w:t>$40.83</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20,136</w:t>
            </w:r>
          </w:p>
        </w:tc>
        <w:tc>
          <w:tcPr>
            <w:tcW w:w="1520" w:type="dxa"/>
            <w:vAlign w:val="bottom"/>
          </w:tcPr>
          <w:p>
            <w:pPr>
              <w:jc w:val="right"/>
              <w:ind w:right="70"/>
              <w:spacing w:after="0"/>
              <w:rPr>
                <w:sz w:val="20"/>
                <w:szCs w:val="20"/>
                <w:color w:val="auto"/>
              </w:rPr>
            </w:pPr>
            <w:r>
              <w:rPr>
                <w:rFonts w:ascii="Arial" w:cs="Arial" w:eastAsia="Arial" w:hAnsi="Arial"/>
                <w:sz w:val="18"/>
                <w:szCs w:val="18"/>
                <w:color w:val="auto"/>
              </w:rPr>
              <w:t>$36.74</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26,589</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$31.83</w:t>
            </w:r>
          </w:p>
        </w:tc>
      </w:tr>
      <w:tr>
        <w:trPr>
          <w:trHeight w:val="27"/>
        </w:trPr>
        <w:tc>
          <w:tcPr>
            <w:tcW w:w="20" w:type="dxa"/>
            <w:vAlign w:val="bottom"/>
          </w:tcPr>
          <w:p>
            <w:pPr>
              <w:spacing w:after="0"/>
              <w:rPr>
                <w:sz w:val="2"/>
                <w:szCs w:val="2"/>
                <w:color w:val="auto"/>
              </w:rPr>
            </w:pPr>
          </w:p>
        </w:tc>
        <w:tc>
          <w:tcPr>
            <w:tcW w:w="36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36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Awarded</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(24,707)</w:t>
            </w:r>
          </w:p>
        </w:tc>
        <w:tc>
          <w:tcPr>
            <w:tcW w:w="15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$29.43</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5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$30.30</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(3,091)</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$29.75</w:t>
            </w:r>
          </w:p>
        </w:tc>
      </w:tr>
      <w:tr>
        <w:trPr>
          <w:trHeight w:val="243"/>
        </w:trPr>
        <w:tc>
          <w:tcPr>
            <w:tcW w:w="20" w:type="dxa"/>
            <w:vAlign w:val="bottom"/>
          </w:tcPr>
          <w:p>
            <w:pPr>
              <w:spacing w:after="0"/>
              <w:rPr>
                <w:sz w:val="21"/>
                <w:szCs w:val="21"/>
                <w:color w:val="auto"/>
              </w:rPr>
            </w:pPr>
          </w:p>
        </w:tc>
        <w:tc>
          <w:tcPr>
            <w:tcW w:w="3680" w:type="dxa"/>
            <w:vAlign w:val="bottom"/>
          </w:tcPr>
          <w:p>
            <w:pPr>
              <w:ind w:left="160"/>
              <w:spacing w:after="0"/>
              <w:rPr>
                <w:sz w:val="20"/>
                <w:szCs w:val="20"/>
                <w:color w:val="auto"/>
              </w:rPr>
            </w:pPr>
            <w:r>
              <w:rPr>
                <w:rFonts w:ascii="Arial" w:cs="Arial" w:eastAsia="Arial" w:hAnsi="Arial"/>
                <w:sz w:val="18"/>
                <w:szCs w:val="18"/>
                <w:color w:val="auto"/>
              </w:rPr>
              <w:t>Forfeited</w:t>
            </w:r>
          </w:p>
        </w:tc>
        <w:tc>
          <w:tcPr>
            <w:tcW w:w="1080" w:type="dxa"/>
            <w:vAlign w:val="bottom"/>
          </w:tcPr>
          <w:p>
            <w:pPr>
              <w:jc w:val="right"/>
              <w:spacing w:after="0"/>
              <w:rPr>
                <w:sz w:val="20"/>
                <w:szCs w:val="20"/>
                <w:color w:val="auto"/>
              </w:rPr>
            </w:pPr>
            <w:r>
              <w:rPr>
                <w:rFonts w:ascii="Arial" w:cs="Arial" w:eastAsia="Arial" w:hAnsi="Arial"/>
                <w:sz w:val="18"/>
                <w:szCs w:val="18"/>
                <w:color w:val="auto"/>
              </w:rPr>
              <w:t>(504)</w:t>
            </w:r>
          </w:p>
        </w:tc>
        <w:tc>
          <w:tcPr>
            <w:tcW w:w="1520" w:type="dxa"/>
            <w:vAlign w:val="bottom"/>
          </w:tcPr>
          <w:p>
            <w:pPr>
              <w:jc w:val="right"/>
              <w:ind w:right="50"/>
              <w:spacing w:after="0"/>
              <w:rPr>
                <w:sz w:val="20"/>
                <w:szCs w:val="20"/>
                <w:color w:val="auto"/>
              </w:rPr>
            </w:pPr>
            <w:r>
              <w:rPr>
                <w:rFonts w:ascii="Arial" w:cs="Arial" w:eastAsia="Arial" w:hAnsi="Arial"/>
                <w:sz w:val="18"/>
                <w:szCs w:val="18"/>
                <w:color w:val="auto"/>
              </w:rPr>
              <w:t>$31.80</w:t>
            </w:r>
          </w:p>
        </w:tc>
        <w:tc>
          <w:tcPr>
            <w:tcW w:w="1060" w:type="dxa"/>
            <w:vAlign w:val="bottom"/>
          </w:tcPr>
          <w:p>
            <w:pPr>
              <w:jc w:val="right"/>
              <w:spacing w:after="0"/>
              <w:rPr>
                <w:sz w:val="20"/>
                <w:szCs w:val="20"/>
                <w:color w:val="auto"/>
              </w:rPr>
            </w:pPr>
            <w:r>
              <w:rPr>
                <w:rFonts w:ascii="Arial" w:cs="Arial" w:eastAsia="Arial" w:hAnsi="Arial"/>
                <w:sz w:val="18"/>
                <w:szCs w:val="18"/>
                <w:color w:val="auto"/>
              </w:rPr>
              <w:t>(260)</w:t>
            </w:r>
          </w:p>
        </w:tc>
        <w:tc>
          <w:tcPr>
            <w:tcW w:w="1520" w:type="dxa"/>
            <w:vAlign w:val="bottom"/>
          </w:tcPr>
          <w:p>
            <w:pPr>
              <w:jc w:val="right"/>
              <w:ind w:right="70"/>
              <w:spacing w:after="0"/>
              <w:rPr>
                <w:sz w:val="20"/>
                <w:szCs w:val="20"/>
                <w:color w:val="auto"/>
              </w:rPr>
            </w:pPr>
            <w:r>
              <w:rPr>
                <w:rFonts w:ascii="Arial" w:cs="Arial" w:eastAsia="Arial" w:hAnsi="Arial"/>
                <w:sz w:val="18"/>
                <w:szCs w:val="18"/>
                <w:color w:val="auto"/>
              </w:rPr>
              <w:t>$29.41</w:t>
            </w:r>
          </w:p>
        </w:tc>
        <w:tc>
          <w:tcPr>
            <w:tcW w:w="1040" w:type="dxa"/>
            <w:vAlign w:val="bottom"/>
          </w:tcPr>
          <w:p>
            <w:pPr>
              <w:jc w:val="right"/>
              <w:spacing w:after="0"/>
              <w:rPr>
                <w:sz w:val="20"/>
                <w:szCs w:val="20"/>
                <w:color w:val="auto"/>
              </w:rPr>
            </w:pPr>
            <w:r>
              <w:rPr>
                <w:rFonts w:ascii="Arial" w:cs="Arial" w:eastAsia="Arial" w:hAnsi="Arial"/>
                <w:sz w:val="18"/>
                <w:szCs w:val="18"/>
                <w:color w:val="auto"/>
              </w:rPr>
              <w:t>(8,678)</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$30.62</w:t>
            </w:r>
          </w:p>
        </w:tc>
      </w:tr>
      <w:tr>
        <w:trPr>
          <w:trHeight w:val="27"/>
        </w:trPr>
        <w:tc>
          <w:tcPr>
            <w:tcW w:w="20" w:type="dxa"/>
            <w:vAlign w:val="bottom"/>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69"/>
        </w:trPr>
        <w:tc>
          <w:tcPr>
            <w:tcW w:w="20" w:type="dxa"/>
            <w:vAlign w:val="bottom"/>
          </w:tcPr>
          <w:p>
            <w:pPr>
              <w:spacing w:after="0"/>
              <w:rPr>
                <w:sz w:val="22"/>
                <w:szCs w:val="22"/>
                <w:color w:val="auto"/>
              </w:rPr>
            </w:pPr>
          </w:p>
        </w:tc>
        <w:tc>
          <w:tcPr>
            <w:tcW w:w="3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Available as of December 31,</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56,415</w:t>
            </w:r>
          </w:p>
        </w:tc>
        <w:tc>
          <w:tcPr>
            <w:tcW w:w="15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$36.61</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63,464</w:t>
            </w:r>
          </w:p>
        </w:tc>
        <w:tc>
          <w:tcPr>
            <w:tcW w:w="15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$32.57</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43,803</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$30.61</w:t>
            </w:r>
          </w:p>
        </w:tc>
      </w:tr>
      <w:tr>
        <w:trPr>
          <w:trHeight w:val="224"/>
        </w:trPr>
        <w:tc>
          <w:tcPr>
            <w:tcW w:w="20" w:type="dxa"/>
            <w:vAlign w:val="bottom"/>
          </w:tcPr>
          <w:p>
            <w:pPr>
              <w:spacing w:after="0"/>
              <w:rPr>
                <w:sz w:val="19"/>
                <w:szCs w:val="19"/>
                <w:color w:val="auto"/>
              </w:rPr>
            </w:pPr>
          </w:p>
        </w:tc>
        <w:tc>
          <w:tcPr>
            <w:tcW w:w="3680" w:type="dxa"/>
            <w:vAlign w:val="bottom"/>
            <w:tcBorders>
              <w:top w:val="single" w:sz="8" w:color="auto"/>
            </w:tcBorders>
          </w:tcPr>
          <w:p>
            <w:pPr>
              <w:spacing w:after="0"/>
              <w:rPr>
                <w:sz w:val="20"/>
                <w:szCs w:val="20"/>
                <w:color w:val="auto"/>
              </w:rPr>
            </w:pPr>
            <w:r>
              <w:rPr>
                <w:rFonts w:ascii="Arial" w:cs="Arial" w:eastAsia="Arial" w:hAnsi="Arial"/>
                <w:sz w:val="18"/>
                <w:szCs w:val="18"/>
                <w:i w:val="1"/>
                <w:iCs w:val="1"/>
                <w:color w:val="auto"/>
                <w:w w:val="96"/>
              </w:rPr>
              <w:t>(a)  Shares granted includes accrued dividends.</w:t>
            </w:r>
          </w:p>
        </w:tc>
        <w:tc>
          <w:tcPr>
            <w:tcW w:w="1080" w:type="dxa"/>
            <w:vAlign w:val="bottom"/>
            <w:tcBorders>
              <w:top w:val="single" w:sz="8" w:color="auto"/>
            </w:tcBorders>
          </w:tcPr>
          <w:p>
            <w:pPr>
              <w:spacing w:after="0"/>
              <w:rPr>
                <w:sz w:val="19"/>
                <w:szCs w:val="19"/>
                <w:color w:val="auto"/>
              </w:rPr>
            </w:pPr>
          </w:p>
        </w:tc>
        <w:tc>
          <w:tcPr>
            <w:tcW w:w="15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5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spacing w:after="0"/>
              <w:rPr>
                <w:sz w:val="19"/>
                <w:szCs w:val="19"/>
                <w:color w:val="auto"/>
              </w:rPr>
            </w:pPr>
          </w:p>
        </w:tc>
      </w:tr>
    </w:tbl>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were 16,355 and 19,193 restricted stock units granted in January 2012 and 2013, for the vesting periods ending in 2014 and 2015, respectively. The grant date fair value of the restricted stock units granted was $0.7 million and $0.8 million,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There were 24,707 restricted stock units awarded in 2012. The grant date fair value of the shares awarded was $0.7 million.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There were 20,939 restricted stock units awarded in February 2013. The grant date fair value of the shares awarded was $0.7 million.</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QUARTERLY FINANCIAL DATA (UNAUDITED)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Information for any one quarterly period is not necessarily indicative of the results which may be expected for the year.</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60" w:type="dxa"/>
            <w:vAlign w:val="bottom"/>
          </w:tcPr>
          <w:p>
            <w:pPr>
              <w:ind w:left="40"/>
              <w:spacing w:after="0"/>
              <w:rPr>
                <w:sz w:val="20"/>
                <w:szCs w:val="20"/>
                <w:color w:val="auto"/>
              </w:rPr>
            </w:pPr>
            <w:r>
              <w:rPr>
                <w:rFonts w:ascii="Arial" w:cs="Arial" w:eastAsia="Arial" w:hAnsi="Arial"/>
                <w:sz w:val="18"/>
                <w:szCs w:val="18"/>
                <w:b w:val="1"/>
                <w:bCs w:val="1"/>
                <w:color w:val="auto"/>
              </w:rPr>
              <w:t>Quarter Ended</w:t>
            </w:r>
          </w:p>
        </w:tc>
        <w:tc>
          <w:tcPr>
            <w:tcW w:w="2900" w:type="dxa"/>
            <w:vAlign w:val="bottom"/>
          </w:tcPr>
          <w:p>
            <w:pPr>
              <w:jc w:val="right"/>
              <w:ind w:right="450"/>
              <w:spacing w:after="0"/>
              <w:rPr>
                <w:sz w:val="20"/>
                <w:szCs w:val="20"/>
                <w:color w:val="auto"/>
              </w:rPr>
            </w:pPr>
            <w:r>
              <w:rPr>
                <w:rFonts w:ascii="Arial" w:cs="Arial" w:eastAsia="Arial" w:hAnsi="Arial"/>
                <w:sz w:val="18"/>
                <w:szCs w:val="18"/>
                <w:b w:val="1"/>
                <w:bCs w:val="1"/>
                <w:color w:val="auto"/>
              </w:rPr>
              <w:t>Mar. 31</w:t>
            </w:r>
          </w:p>
        </w:tc>
        <w:tc>
          <w:tcPr>
            <w:tcW w:w="1400" w:type="dxa"/>
            <w:vAlign w:val="bottom"/>
          </w:tcPr>
          <w:p>
            <w:pPr>
              <w:jc w:val="right"/>
              <w:ind w:right="490"/>
              <w:spacing w:after="0"/>
              <w:rPr>
                <w:sz w:val="20"/>
                <w:szCs w:val="20"/>
                <w:color w:val="auto"/>
              </w:rPr>
            </w:pPr>
            <w:r>
              <w:rPr>
                <w:rFonts w:ascii="Arial" w:cs="Arial" w:eastAsia="Arial" w:hAnsi="Arial"/>
                <w:sz w:val="18"/>
                <w:szCs w:val="18"/>
                <w:b w:val="1"/>
                <w:bCs w:val="1"/>
                <w:color w:val="auto"/>
              </w:rPr>
              <w:t>Jun. 30</w:t>
            </w:r>
          </w:p>
        </w:tc>
        <w:tc>
          <w:tcPr>
            <w:tcW w:w="1340" w:type="dxa"/>
            <w:vAlign w:val="bottom"/>
          </w:tcPr>
          <w:p>
            <w:pPr>
              <w:jc w:val="right"/>
              <w:ind w:right="410"/>
              <w:spacing w:after="0"/>
              <w:rPr>
                <w:sz w:val="20"/>
                <w:szCs w:val="20"/>
                <w:color w:val="auto"/>
              </w:rPr>
            </w:pPr>
            <w:r>
              <w:rPr>
                <w:rFonts w:ascii="Arial" w:cs="Arial" w:eastAsia="Arial" w:hAnsi="Arial"/>
                <w:sz w:val="18"/>
                <w:szCs w:val="18"/>
                <w:b w:val="1"/>
                <w:bCs w:val="1"/>
                <w:color w:val="auto"/>
              </w:rPr>
              <w:t>Sept. 30</w:t>
            </w:r>
          </w:p>
        </w:tc>
        <w:tc>
          <w:tcPr>
            <w:tcW w:w="1220" w:type="dxa"/>
            <w:vAlign w:val="bottom"/>
          </w:tcPr>
          <w:p>
            <w:pPr>
              <w:jc w:val="right"/>
              <w:ind w:right="330"/>
              <w:spacing w:after="0"/>
              <w:rPr>
                <w:sz w:val="20"/>
                <w:szCs w:val="20"/>
                <w:color w:val="auto"/>
              </w:rPr>
            </w:pPr>
            <w:r>
              <w:rPr>
                <w:rFonts w:ascii="Arial" w:cs="Arial" w:eastAsia="Arial" w:hAnsi="Arial"/>
                <w:sz w:val="18"/>
                <w:szCs w:val="18"/>
                <w:b w:val="1"/>
                <w:bCs w:val="1"/>
                <w:color w:val="auto"/>
              </w:rPr>
              <w:t>Dec. 31</w:t>
            </w:r>
          </w:p>
        </w:tc>
      </w:tr>
      <w:tr>
        <w:trPr>
          <w:trHeight w:val="27"/>
        </w:trPr>
        <w:tc>
          <w:tcPr>
            <w:tcW w:w="456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4560" w:type="dxa"/>
            <w:vAlign w:val="bottom"/>
          </w:tcPr>
          <w:p>
            <w:pPr>
              <w:ind w:left="40"/>
              <w:spacing w:after="0"/>
              <w:rPr>
                <w:sz w:val="20"/>
                <w:szCs w:val="20"/>
                <w:color w:val="auto"/>
              </w:rPr>
            </w:pPr>
            <w:r>
              <w:rPr>
                <w:rFonts w:ascii="Arial" w:cs="Arial" w:eastAsia="Arial" w:hAnsi="Arial"/>
                <w:sz w:val="18"/>
                <w:szCs w:val="18"/>
                <w:b w:val="1"/>
                <w:bCs w:val="1"/>
                <w:color w:val="auto"/>
              </w:rPr>
              <w:t>Millions Except Earnings Per Share</w:t>
            </w:r>
          </w:p>
        </w:tc>
        <w:tc>
          <w:tcPr>
            <w:tcW w:w="29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7"/>
        </w:trPr>
        <w:tc>
          <w:tcPr>
            <w:tcW w:w="4560" w:type="dxa"/>
            <w:vAlign w:val="bottom"/>
          </w:tcPr>
          <w:p>
            <w:pPr>
              <w:spacing w:after="0"/>
              <w:rPr>
                <w:sz w:val="2"/>
                <w:szCs w:val="2"/>
                <w:color w:val="auto"/>
              </w:rPr>
            </w:pPr>
          </w:p>
        </w:tc>
        <w:tc>
          <w:tcPr>
            <w:tcW w:w="29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2012</w:t>
            </w:r>
          </w:p>
        </w:tc>
        <w:tc>
          <w:tcPr>
            <w:tcW w:w="29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4560" w:type="dxa"/>
            <w:vAlign w:val="bottom"/>
          </w:tcPr>
          <w:p>
            <w:pPr>
              <w:ind w:left="40"/>
              <w:spacing w:after="0"/>
              <w:rPr>
                <w:sz w:val="20"/>
                <w:szCs w:val="20"/>
                <w:color w:val="auto"/>
              </w:rPr>
            </w:pPr>
            <w:r>
              <w:rPr>
                <w:rFonts w:ascii="Arial" w:cs="Arial" w:eastAsia="Arial" w:hAnsi="Arial"/>
                <w:sz w:val="18"/>
                <w:szCs w:val="18"/>
                <w:color w:val="auto"/>
              </w:rPr>
              <w:t>Operating Revenue</w:t>
            </w:r>
          </w:p>
        </w:tc>
        <w:tc>
          <w:tcPr>
            <w:tcW w:w="2900" w:type="dxa"/>
            <w:vAlign w:val="bottom"/>
          </w:tcPr>
          <w:p>
            <w:pPr>
              <w:jc w:val="right"/>
              <w:ind w:right="150"/>
              <w:spacing w:after="0"/>
              <w:rPr>
                <w:sz w:val="20"/>
                <w:szCs w:val="20"/>
                <w:color w:val="auto"/>
              </w:rPr>
            </w:pPr>
            <w:r>
              <w:rPr>
                <w:rFonts w:ascii="Arial" w:cs="Arial" w:eastAsia="Arial" w:hAnsi="Arial"/>
                <w:sz w:val="18"/>
                <w:szCs w:val="18"/>
                <w:color w:val="auto"/>
              </w:rPr>
              <w:t>$240.0</w:t>
            </w:r>
          </w:p>
        </w:tc>
        <w:tc>
          <w:tcPr>
            <w:tcW w:w="1400" w:type="dxa"/>
            <w:vAlign w:val="bottom"/>
          </w:tcPr>
          <w:p>
            <w:pPr>
              <w:jc w:val="right"/>
              <w:ind w:right="150"/>
              <w:spacing w:after="0"/>
              <w:rPr>
                <w:sz w:val="20"/>
                <w:szCs w:val="20"/>
                <w:color w:val="auto"/>
              </w:rPr>
            </w:pPr>
            <w:r>
              <w:rPr>
                <w:rFonts w:ascii="Arial" w:cs="Arial" w:eastAsia="Arial" w:hAnsi="Arial"/>
                <w:sz w:val="18"/>
                <w:szCs w:val="18"/>
                <w:color w:val="auto"/>
              </w:rPr>
              <w:t>$216.4</w:t>
            </w:r>
          </w:p>
        </w:tc>
        <w:tc>
          <w:tcPr>
            <w:tcW w:w="1340" w:type="dxa"/>
            <w:vAlign w:val="bottom"/>
          </w:tcPr>
          <w:p>
            <w:pPr>
              <w:jc w:val="right"/>
              <w:ind w:right="150"/>
              <w:spacing w:after="0"/>
              <w:rPr>
                <w:sz w:val="20"/>
                <w:szCs w:val="20"/>
                <w:color w:val="auto"/>
              </w:rPr>
            </w:pPr>
            <w:r>
              <w:rPr>
                <w:rFonts w:ascii="Arial" w:cs="Arial" w:eastAsia="Arial" w:hAnsi="Arial"/>
                <w:sz w:val="18"/>
                <w:szCs w:val="18"/>
                <w:color w:val="auto"/>
              </w:rPr>
              <w:t>$248.8</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$256.0</w:t>
            </w:r>
          </w:p>
        </w:tc>
      </w:tr>
      <w:tr>
        <w:trPr>
          <w:trHeight w:val="27"/>
        </w:trPr>
        <w:tc>
          <w:tcPr>
            <w:tcW w:w="456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9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$38.4</w:t>
            </w:r>
          </w:p>
        </w:tc>
        <w:tc>
          <w:tcPr>
            <w:tcW w:w="14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$23.3</w:t>
            </w:r>
          </w:p>
        </w:tc>
        <w:tc>
          <w:tcPr>
            <w:tcW w:w="1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$45.6</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$47.9</w:t>
            </w:r>
          </w:p>
        </w:tc>
      </w:tr>
      <w:tr>
        <w:trPr>
          <w:trHeight w:val="237"/>
        </w:trPr>
        <w:tc>
          <w:tcPr>
            <w:tcW w:w="45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Net Income Attributable to ALLETE</w:t>
            </w:r>
          </w:p>
        </w:tc>
        <w:tc>
          <w:tcPr>
            <w:tcW w:w="290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$24.4</w:t>
            </w:r>
          </w:p>
        </w:tc>
        <w:tc>
          <w:tcPr>
            <w:tcW w:w="140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$14.4</w:t>
            </w:r>
          </w:p>
        </w:tc>
        <w:tc>
          <w:tcPr>
            <w:tcW w:w="1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$29.4</w:t>
            </w: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$28.9</w:t>
            </w:r>
          </w:p>
        </w:tc>
      </w:tr>
      <w:tr>
        <w:trPr>
          <w:trHeight w:val="27"/>
        </w:trPr>
        <w:tc>
          <w:tcPr>
            <w:tcW w:w="456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Per Share of Common Stock</w:t>
            </w:r>
          </w:p>
        </w:tc>
        <w:tc>
          <w:tcPr>
            <w:tcW w:w="29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4560" w:type="dxa"/>
            <w:vAlign w:val="bottom"/>
          </w:tcPr>
          <w:p>
            <w:pPr>
              <w:ind w:left="180"/>
              <w:spacing w:after="0"/>
              <w:rPr>
                <w:sz w:val="20"/>
                <w:szCs w:val="20"/>
                <w:color w:val="auto"/>
              </w:rPr>
            </w:pPr>
            <w:r>
              <w:rPr>
                <w:rFonts w:ascii="Arial" w:cs="Arial" w:eastAsia="Arial" w:hAnsi="Arial"/>
                <w:sz w:val="18"/>
                <w:szCs w:val="18"/>
                <w:color w:val="auto"/>
              </w:rPr>
              <w:t>Basic</w:t>
            </w:r>
          </w:p>
        </w:tc>
        <w:tc>
          <w:tcPr>
            <w:tcW w:w="2900" w:type="dxa"/>
            <w:vAlign w:val="bottom"/>
          </w:tcPr>
          <w:p>
            <w:pPr>
              <w:jc w:val="right"/>
              <w:ind w:right="150"/>
              <w:spacing w:after="0"/>
              <w:rPr>
                <w:sz w:val="20"/>
                <w:szCs w:val="20"/>
                <w:color w:val="auto"/>
              </w:rPr>
            </w:pPr>
            <w:r>
              <w:rPr>
                <w:rFonts w:ascii="Arial" w:cs="Arial" w:eastAsia="Arial" w:hAnsi="Arial"/>
                <w:sz w:val="18"/>
                <w:szCs w:val="18"/>
                <w:color w:val="auto"/>
              </w:rPr>
              <w:t>$0.66</w:t>
            </w:r>
          </w:p>
        </w:tc>
        <w:tc>
          <w:tcPr>
            <w:tcW w:w="1400" w:type="dxa"/>
            <w:vAlign w:val="bottom"/>
          </w:tcPr>
          <w:p>
            <w:pPr>
              <w:jc w:val="right"/>
              <w:ind w:right="150"/>
              <w:spacing w:after="0"/>
              <w:rPr>
                <w:sz w:val="20"/>
                <w:szCs w:val="20"/>
                <w:color w:val="auto"/>
              </w:rPr>
            </w:pPr>
            <w:r>
              <w:rPr>
                <w:rFonts w:ascii="Arial" w:cs="Arial" w:eastAsia="Arial" w:hAnsi="Arial"/>
                <w:sz w:val="18"/>
                <w:szCs w:val="18"/>
                <w:color w:val="auto"/>
              </w:rPr>
              <w:t>$0.39</w:t>
            </w:r>
          </w:p>
        </w:tc>
        <w:tc>
          <w:tcPr>
            <w:tcW w:w="1340" w:type="dxa"/>
            <w:vAlign w:val="bottom"/>
          </w:tcPr>
          <w:p>
            <w:pPr>
              <w:jc w:val="right"/>
              <w:ind w:right="150"/>
              <w:spacing w:after="0"/>
              <w:rPr>
                <w:sz w:val="20"/>
                <w:szCs w:val="20"/>
                <w:color w:val="auto"/>
              </w:rPr>
            </w:pPr>
            <w:r>
              <w:rPr>
                <w:rFonts w:ascii="Arial" w:cs="Arial" w:eastAsia="Arial" w:hAnsi="Arial"/>
                <w:sz w:val="18"/>
                <w:szCs w:val="18"/>
                <w:color w:val="auto"/>
              </w:rPr>
              <w:t>$0.78</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$0.76</w:t>
            </w:r>
          </w:p>
        </w:tc>
      </w:tr>
      <w:tr>
        <w:trPr>
          <w:trHeight w:val="27"/>
        </w:trPr>
        <w:tc>
          <w:tcPr>
            <w:tcW w:w="456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4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29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$0.66</w:t>
            </w:r>
          </w:p>
        </w:tc>
        <w:tc>
          <w:tcPr>
            <w:tcW w:w="14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$0.39</w:t>
            </w:r>
          </w:p>
        </w:tc>
        <w:tc>
          <w:tcPr>
            <w:tcW w:w="1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$0.78</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$0.75</w:t>
            </w:r>
          </w:p>
        </w:tc>
      </w:tr>
      <w:tr>
        <w:trPr>
          <w:trHeight w:val="237"/>
        </w:trPr>
        <w:tc>
          <w:tcPr>
            <w:tcW w:w="456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2011</w:t>
            </w:r>
          </w:p>
        </w:tc>
        <w:tc>
          <w:tcPr>
            <w:tcW w:w="29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r>
      <w:tr>
        <w:trPr>
          <w:trHeight w:val="27"/>
        </w:trPr>
        <w:tc>
          <w:tcPr>
            <w:tcW w:w="4560" w:type="dxa"/>
            <w:vAlign w:val="bottom"/>
          </w:tcPr>
          <w:p>
            <w:pPr>
              <w:spacing w:after="0"/>
              <w:rPr>
                <w:sz w:val="2"/>
                <w:szCs w:val="2"/>
                <w:color w:val="auto"/>
              </w:rPr>
            </w:pPr>
          </w:p>
        </w:tc>
        <w:tc>
          <w:tcPr>
            <w:tcW w:w="29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5"/>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Revenue</w:t>
            </w:r>
          </w:p>
        </w:tc>
        <w:tc>
          <w:tcPr>
            <w:tcW w:w="29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$242.2</w:t>
            </w:r>
          </w:p>
        </w:tc>
        <w:tc>
          <w:tcPr>
            <w:tcW w:w="14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$219.9</w:t>
            </w:r>
          </w:p>
        </w:tc>
        <w:tc>
          <w:tcPr>
            <w:tcW w:w="1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$226.9</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$239.2</w:t>
            </w:r>
          </w:p>
        </w:tc>
      </w:tr>
      <w:tr>
        <w:trPr>
          <w:trHeight w:val="237"/>
        </w:trPr>
        <w:tc>
          <w:tcPr>
            <w:tcW w:w="45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Operating Income</w:t>
            </w:r>
          </w:p>
        </w:tc>
        <w:tc>
          <w:tcPr>
            <w:tcW w:w="290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$50.8</w:t>
            </w:r>
          </w:p>
        </w:tc>
        <w:tc>
          <w:tcPr>
            <w:tcW w:w="140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$26.1</w:t>
            </w:r>
          </w:p>
        </w:tc>
        <w:tc>
          <w:tcPr>
            <w:tcW w:w="1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$38.9</w:t>
            </w: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$34.2</w:t>
            </w:r>
          </w:p>
        </w:tc>
      </w:tr>
      <w:tr>
        <w:trPr>
          <w:trHeight w:val="27"/>
        </w:trPr>
        <w:tc>
          <w:tcPr>
            <w:tcW w:w="456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ALLETE</w:t>
            </w:r>
          </w:p>
        </w:tc>
        <w:tc>
          <w:tcPr>
            <w:tcW w:w="29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$37.2</w:t>
            </w:r>
          </w:p>
        </w:tc>
        <w:tc>
          <w:tcPr>
            <w:tcW w:w="14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$17.0</w:t>
            </w:r>
          </w:p>
        </w:tc>
        <w:tc>
          <w:tcPr>
            <w:tcW w:w="1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$20.5</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$19.1</w:t>
            </w:r>
          </w:p>
        </w:tc>
      </w:tr>
      <w:tr>
        <w:trPr>
          <w:trHeight w:val="237"/>
        </w:trPr>
        <w:tc>
          <w:tcPr>
            <w:tcW w:w="45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Earnings Per Share of Common Stock</w:t>
            </w:r>
          </w:p>
        </w:tc>
        <w:tc>
          <w:tcPr>
            <w:tcW w:w="29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r>
      <w:tr>
        <w:trPr>
          <w:trHeight w:val="27"/>
        </w:trPr>
        <w:tc>
          <w:tcPr>
            <w:tcW w:w="4560" w:type="dxa"/>
            <w:vAlign w:val="bottom"/>
          </w:tcPr>
          <w:p>
            <w:pPr>
              <w:spacing w:after="0"/>
              <w:rPr>
                <w:sz w:val="2"/>
                <w:szCs w:val="2"/>
                <w:color w:val="auto"/>
              </w:rPr>
            </w:pPr>
          </w:p>
        </w:tc>
        <w:tc>
          <w:tcPr>
            <w:tcW w:w="29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5"/>
        </w:trPr>
        <w:tc>
          <w:tcPr>
            <w:tcW w:w="4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29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$1.07</w:t>
            </w:r>
          </w:p>
        </w:tc>
        <w:tc>
          <w:tcPr>
            <w:tcW w:w="14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$0.49</w:t>
            </w:r>
          </w:p>
        </w:tc>
        <w:tc>
          <w:tcPr>
            <w:tcW w:w="1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$0.57</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$0.53</w:t>
            </w:r>
          </w:p>
        </w:tc>
      </w:tr>
      <w:tr>
        <w:trPr>
          <w:trHeight w:val="237"/>
        </w:trPr>
        <w:tc>
          <w:tcPr>
            <w:tcW w:w="456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Diluted</w:t>
            </w:r>
          </w:p>
        </w:tc>
        <w:tc>
          <w:tcPr>
            <w:tcW w:w="290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$1.07</w:t>
            </w:r>
          </w:p>
        </w:tc>
        <w:tc>
          <w:tcPr>
            <w:tcW w:w="140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$0.48</w:t>
            </w:r>
          </w:p>
        </w:tc>
        <w:tc>
          <w:tcPr>
            <w:tcW w:w="1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$0.57</w:t>
            </w: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$0.53</w:t>
            </w:r>
          </w:p>
        </w:tc>
      </w:tr>
      <w:tr>
        <w:trPr>
          <w:trHeight w:val="27"/>
        </w:trPr>
        <w:tc>
          <w:tcPr>
            <w:tcW w:w="456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2012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20"/>
          </w:cols>
          <w:pgMar w:left="240" w:top="364" w:right="239" w:bottom="1440" w:gutter="0" w:footer="0" w:header="0"/>
        </w:sectPr>
      </w:pPr>
    </w:p>
    <w:bookmarkStart w:id="112" w:name="page113"/>
    <w:bookmarkEnd w:id="112"/>
    <w:tbl>
      <w:tblPr>
        <w:tblLayout w:type="fixed"/>
        <w:tblInd w:w="0" w:type="dxa"/>
        <w:tblCellMar>
          <w:top w:w="0" w:type="dxa"/>
          <w:left w:w="0" w:type="dxa"/>
          <w:bottom w:w="0" w:type="dxa"/>
          <w:right w:w="0" w:type="dxa"/>
        </w:tblCellMar>
      </w:tblPr>
      <w:tr>
        <w:trPr>
          <w:trHeight w:val="234"/>
        </w:trPr>
        <w:tc>
          <w:tcPr>
            <w:tcW w:w="4280" w:type="dxa"/>
            <w:vAlign w:val="bottom"/>
          </w:tcPr>
          <w:p>
            <w:pPr>
              <w:spacing w:after="0"/>
              <w:rPr>
                <w:sz w:val="20"/>
                <w:szCs w:val="20"/>
                <w:color w:val="auto"/>
              </w:rPr>
            </w:pPr>
            <w:r>
              <w:rPr>
                <w:rFonts w:ascii="Arial" w:cs="Arial" w:eastAsia="Arial" w:hAnsi="Arial"/>
                <w:sz w:val="18"/>
                <w:szCs w:val="18"/>
                <w:b w:val="1"/>
                <w:bCs w:val="1"/>
                <w:color w:val="auto"/>
              </w:rPr>
              <w:t>Schedule II</w:t>
            </w:r>
          </w:p>
        </w:tc>
        <w:tc>
          <w:tcPr>
            <w:tcW w:w="17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432"/>
        </w:trPr>
        <w:tc>
          <w:tcPr>
            <w:tcW w:w="4280" w:type="dxa"/>
            <w:vAlign w:val="bottom"/>
          </w:tcPr>
          <w:p>
            <w:pPr>
              <w:spacing w:after="0"/>
              <w:rPr>
                <w:sz w:val="20"/>
                <w:szCs w:val="20"/>
                <w:color w:val="auto"/>
              </w:rPr>
            </w:pPr>
            <w:r>
              <w:rPr>
                <w:rFonts w:ascii="Arial" w:cs="Arial" w:eastAsia="Arial" w:hAnsi="Arial"/>
                <w:sz w:val="18"/>
                <w:szCs w:val="18"/>
                <w:b w:val="1"/>
                <w:bCs w:val="1"/>
                <w:color w:val="auto"/>
              </w:rPr>
              <w:t>ALLETE</w:t>
            </w:r>
          </w:p>
        </w:tc>
        <w:tc>
          <w:tcPr>
            <w:tcW w:w="17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432"/>
        </w:trPr>
        <w:tc>
          <w:tcPr>
            <w:tcW w:w="4280" w:type="dxa"/>
            <w:vAlign w:val="bottom"/>
          </w:tcPr>
          <w:p>
            <w:pPr>
              <w:spacing w:after="0"/>
              <w:rPr>
                <w:sz w:val="20"/>
                <w:szCs w:val="20"/>
                <w:color w:val="auto"/>
              </w:rPr>
            </w:pPr>
            <w:r>
              <w:rPr>
                <w:rFonts w:ascii="Arial" w:cs="Arial" w:eastAsia="Arial" w:hAnsi="Arial"/>
                <w:sz w:val="18"/>
                <w:szCs w:val="18"/>
                <w:b w:val="1"/>
                <w:bCs w:val="1"/>
                <w:color w:val="auto"/>
              </w:rPr>
              <w:t>Valuation and Qualifying Accounts and Reserves</w:t>
            </w:r>
          </w:p>
        </w:tc>
        <w:tc>
          <w:tcPr>
            <w:tcW w:w="17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414"/>
        </w:trPr>
        <w:tc>
          <w:tcPr>
            <w:tcW w:w="4280" w:type="dxa"/>
            <w:vAlign w:val="bottom"/>
          </w:tcPr>
          <w:p>
            <w:pPr>
              <w:spacing w:after="0"/>
              <w:rPr>
                <w:sz w:val="24"/>
                <w:szCs w:val="24"/>
                <w:color w:val="auto"/>
              </w:rPr>
            </w:pPr>
          </w:p>
        </w:tc>
        <w:tc>
          <w:tcPr>
            <w:tcW w:w="1760" w:type="dxa"/>
            <w:vAlign w:val="bottom"/>
          </w:tcPr>
          <w:p>
            <w:pPr>
              <w:jc w:val="center"/>
              <w:ind w:left="150"/>
              <w:spacing w:after="0"/>
              <w:rPr>
                <w:sz w:val="20"/>
                <w:szCs w:val="20"/>
                <w:color w:val="auto"/>
              </w:rPr>
            </w:pPr>
            <w:r>
              <w:rPr>
                <w:rFonts w:ascii="Arial" w:cs="Arial" w:eastAsia="Arial" w:hAnsi="Arial"/>
                <w:sz w:val="18"/>
                <w:szCs w:val="18"/>
                <w:b w:val="1"/>
                <w:bCs w:val="1"/>
                <w:color w:val="auto"/>
                <w:w w:val="88"/>
              </w:rPr>
              <w:t>Balance at</w:t>
            </w:r>
          </w:p>
        </w:tc>
        <w:tc>
          <w:tcPr>
            <w:tcW w:w="2640" w:type="dxa"/>
            <w:vAlign w:val="bottom"/>
            <w:gridSpan w:val="2"/>
          </w:tcPr>
          <w:p>
            <w:pPr>
              <w:jc w:val="right"/>
              <w:ind w:right="850"/>
              <w:spacing w:after="0"/>
              <w:rPr>
                <w:sz w:val="20"/>
                <w:szCs w:val="20"/>
                <w:color w:val="auto"/>
              </w:rPr>
            </w:pPr>
            <w:r>
              <w:rPr>
                <w:rFonts w:ascii="Arial" w:cs="Arial" w:eastAsia="Arial" w:hAnsi="Arial"/>
                <w:sz w:val="18"/>
                <w:szCs w:val="18"/>
                <w:b w:val="1"/>
                <w:bCs w:val="1"/>
                <w:color w:val="auto"/>
              </w:rPr>
              <w:t>Additions</w:t>
            </w:r>
          </w:p>
        </w:tc>
        <w:tc>
          <w:tcPr>
            <w:tcW w:w="142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89"/>
              </w:rPr>
              <w:t>Balance at End</w:t>
            </w:r>
          </w:p>
        </w:tc>
      </w:tr>
      <w:tr>
        <w:trPr>
          <w:trHeight w:val="216"/>
        </w:trPr>
        <w:tc>
          <w:tcPr>
            <w:tcW w:w="4280" w:type="dxa"/>
            <w:vAlign w:val="bottom"/>
          </w:tcPr>
          <w:p>
            <w:pPr>
              <w:spacing w:after="0"/>
              <w:rPr>
                <w:sz w:val="18"/>
                <w:szCs w:val="18"/>
                <w:color w:val="auto"/>
              </w:rPr>
            </w:pPr>
          </w:p>
        </w:tc>
        <w:tc>
          <w:tcPr>
            <w:tcW w:w="1760" w:type="dxa"/>
            <w:vAlign w:val="bottom"/>
          </w:tcPr>
          <w:p>
            <w:pPr>
              <w:jc w:val="center"/>
              <w:ind w:left="150"/>
              <w:spacing w:after="0"/>
              <w:rPr>
                <w:sz w:val="20"/>
                <w:szCs w:val="20"/>
                <w:color w:val="auto"/>
              </w:rPr>
            </w:pPr>
            <w:r>
              <w:rPr>
                <w:rFonts w:ascii="Arial" w:cs="Arial" w:eastAsia="Arial" w:hAnsi="Arial"/>
                <w:sz w:val="18"/>
                <w:szCs w:val="18"/>
                <w:b w:val="1"/>
                <w:bCs w:val="1"/>
                <w:color w:val="auto"/>
                <w:w w:val="87"/>
              </w:rPr>
              <w:t>Beginning of</w:t>
            </w:r>
          </w:p>
        </w:tc>
        <w:tc>
          <w:tcPr>
            <w:tcW w:w="1320" w:type="dxa"/>
            <w:vAlign w:val="bottom"/>
          </w:tcPr>
          <w:p>
            <w:pPr>
              <w:jc w:val="right"/>
              <w:ind w:right="170"/>
              <w:spacing w:after="0"/>
              <w:rPr>
                <w:sz w:val="20"/>
                <w:szCs w:val="20"/>
                <w:color w:val="auto"/>
              </w:rPr>
            </w:pPr>
            <w:r>
              <w:rPr>
                <w:rFonts w:ascii="Arial" w:cs="Arial" w:eastAsia="Arial" w:hAnsi="Arial"/>
                <w:sz w:val="18"/>
                <w:szCs w:val="18"/>
                <w:b w:val="1"/>
                <w:bCs w:val="1"/>
                <w:color w:val="auto"/>
              </w:rPr>
              <w:t>Charged to</w:t>
            </w:r>
          </w:p>
        </w:tc>
        <w:tc>
          <w:tcPr>
            <w:tcW w:w="13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w w:val="93"/>
              </w:rPr>
              <w:t>Deductions from</w:t>
            </w: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93"/>
              </w:rPr>
              <w:t>of</w:t>
            </w:r>
          </w:p>
        </w:tc>
      </w:tr>
      <w:tr>
        <w:trPr>
          <w:trHeight w:val="234"/>
        </w:trPr>
        <w:tc>
          <w:tcPr>
            <w:tcW w:w="4280" w:type="dxa"/>
            <w:vAlign w:val="bottom"/>
          </w:tcPr>
          <w:p>
            <w:pPr>
              <w:spacing w:after="0"/>
              <w:rPr>
                <w:sz w:val="20"/>
                <w:szCs w:val="20"/>
                <w:color w:val="auto"/>
              </w:rPr>
            </w:pPr>
          </w:p>
        </w:tc>
        <w:tc>
          <w:tcPr>
            <w:tcW w:w="1760" w:type="dxa"/>
            <w:vAlign w:val="bottom"/>
          </w:tcPr>
          <w:p>
            <w:pPr>
              <w:jc w:val="center"/>
              <w:ind w:left="150"/>
              <w:spacing w:after="0"/>
              <w:rPr>
                <w:sz w:val="20"/>
                <w:szCs w:val="20"/>
                <w:color w:val="auto"/>
              </w:rPr>
            </w:pPr>
            <w:r>
              <w:rPr>
                <w:rFonts w:ascii="Arial" w:cs="Arial" w:eastAsia="Arial" w:hAnsi="Arial"/>
                <w:sz w:val="18"/>
                <w:szCs w:val="18"/>
                <w:b w:val="1"/>
                <w:bCs w:val="1"/>
                <w:color w:val="auto"/>
                <w:w w:val="92"/>
              </w:rPr>
              <w:t>Period</w:t>
            </w:r>
          </w:p>
        </w:tc>
        <w:tc>
          <w:tcPr>
            <w:tcW w:w="1320" w:type="dxa"/>
            <w:vAlign w:val="bottom"/>
          </w:tcPr>
          <w:p>
            <w:pPr>
              <w:jc w:val="right"/>
              <w:ind w:right="310"/>
              <w:spacing w:after="0"/>
              <w:rPr>
                <w:sz w:val="20"/>
                <w:szCs w:val="20"/>
                <w:color w:val="auto"/>
              </w:rPr>
            </w:pPr>
            <w:r>
              <w:rPr>
                <w:rFonts w:ascii="Arial" w:cs="Arial" w:eastAsia="Arial" w:hAnsi="Arial"/>
                <w:sz w:val="18"/>
                <w:szCs w:val="18"/>
                <w:b w:val="1"/>
                <w:bCs w:val="1"/>
                <w:color w:val="auto"/>
              </w:rPr>
              <w:t>Income</w:t>
            </w: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w w:val="99"/>
              </w:rPr>
              <w:t>Other Charges</w:t>
            </w:r>
          </w:p>
        </w:tc>
        <w:tc>
          <w:tcPr>
            <w:tcW w:w="1420" w:type="dxa"/>
            <w:vAlign w:val="bottom"/>
          </w:tcPr>
          <w:p>
            <w:pPr>
              <w:jc w:val="right"/>
              <w:ind w:right="150"/>
              <w:spacing w:after="0"/>
              <w:rPr>
                <w:sz w:val="20"/>
                <w:szCs w:val="20"/>
                <w:color w:val="auto"/>
              </w:rPr>
            </w:pPr>
            <w:r>
              <w:rPr>
                <w:rFonts w:ascii="Arial" w:cs="Arial" w:eastAsia="Arial" w:hAnsi="Arial"/>
                <w:sz w:val="18"/>
                <w:szCs w:val="18"/>
                <w:b w:val="1"/>
                <w:bCs w:val="1"/>
                <w:color w:val="auto"/>
              </w:rPr>
              <w:t xml:space="preserve">Reserves </w:t>
            </w:r>
            <w:r>
              <w:rPr>
                <w:rFonts w:ascii="Arial" w:cs="Arial" w:eastAsia="Arial" w:hAnsi="Arial"/>
                <w:sz w:val="18"/>
                <w:szCs w:val="18"/>
                <w:b w:val="1"/>
                <w:bCs w:val="1"/>
                <w:i w:val="1"/>
                <w:iCs w:val="1"/>
                <w:color w:val="auto"/>
              </w:rPr>
              <w:t>(a)</w:t>
            </w: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92"/>
              </w:rPr>
              <w:t>Period</w:t>
            </w:r>
          </w:p>
        </w:tc>
      </w:tr>
      <w:tr>
        <w:trPr>
          <w:trHeight w:val="27"/>
        </w:trPr>
        <w:tc>
          <w:tcPr>
            <w:tcW w:w="42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7"/>
        </w:trPr>
        <w:tc>
          <w:tcPr>
            <w:tcW w:w="428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17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7"/>
        </w:trPr>
        <w:tc>
          <w:tcPr>
            <w:tcW w:w="42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4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Reserve Deducted from Related Assets</w:t>
            </w:r>
          </w:p>
        </w:tc>
        <w:tc>
          <w:tcPr>
            <w:tcW w:w="17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4280" w:type="dxa"/>
            <w:vAlign w:val="bottom"/>
          </w:tcPr>
          <w:p>
            <w:pPr>
              <w:ind w:left="180"/>
              <w:spacing w:after="0"/>
              <w:rPr>
                <w:sz w:val="20"/>
                <w:szCs w:val="20"/>
                <w:color w:val="auto"/>
              </w:rPr>
            </w:pPr>
            <w:r>
              <w:rPr>
                <w:rFonts w:ascii="Arial" w:cs="Arial" w:eastAsia="Arial" w:hAnsi="Arial"/>
                <w:sz w:val="18"/>
                <w:szCs w:val="18"/>
                <w:color w:val="auto"/>
              </w:rPr>
              <w:t>Reserve For Uncollectible Accounts</w:t>
            </w:r>
          </w:p>
        </w:tc>
        <w:tc>
          <w:tcPr>
            <w:tcW w:w="17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42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4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2010 Trade Accounts Receivable</w:t>
            </w:r>
          </w:p>
        </w:tc>
        <w:tc>
          <w:tcPr>
            <w:tcW w:w="17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$0.9</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$1.1</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$0.9</w:t>
            </w:r>
          </w:p>
        </w:tc>
      </w:tr>
      <w:tr>
        <w:trPr>
          <w:trHeight w:val="243"/>
        </w:trPr>
        <w:tc>
          <w:tcPr>
            <w:tcW w:w="4280" w:type="dxa"/>
            <w:vAlign w:val="bottom"/>
          </w:tcPr>
          <w:p>
            <w:pPr>
              <w:ind w:left="720"/>
              <w:spacing w:after="0"/>
              <w:rPr>
                <w:sz w:val="20"/>
                <w:szCs w:val="20"/>
                <w:color w:val="auto"/>
              </w:rPr>
            </w:pPr>
            <w:r>
              <w:rPr>
                <w:rFonts w:ascii="Arial" w:cs="Arial" w:eastAsia="Arial" w:hAnsi="Arial"/>
                <w:sz w:val="18"/>
                <w:szCs w:val="18"/>
                <w:color w:val="auto"/>
              </w:rPr>
              <w:t>Finance Receivables – Long-Term</w:t>
            </w:r>
          </w:p>
        </w:tc>
        <w:tc>
          <w:tcPr>
            <w:tcW w:w="1760" w:type="dxa"/>
            <w:vAlign w:val="bottom"/>
          </w:tcPr>
          <w:p>
            <w:pPr>
              <w:jc w:val="right"/>
              <w:ind w:right="90"/>
              <w:spacing w:after="0"/>
              <w:rPr>
                <w:sz w:val="20"/>
                <w:szCs w:val="20"/>
                <w:color w:val="auto"/>
              </w:rPr>
            </w:pPr>
            <w:r>
              <w:rPr>
                <w:rFonts w:ascii="Arial" w:cs="Arial" w:eastAsia="Arial" w:hAnsi="Arial"/>
                <w:sz w:val="18"/>
                <w:szCs w:val="18"/>
                <w:color w:val="auto"/>
              </w:rPr>
              <w:t>$0.4</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$0.8</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50"/>
              <w:spacing w:after="0"/>
              <w:rPr>
                <w:sz w:val="20"/>
                <w:szCs w:val="20"/>
                <w:color w:val="auto"/>
              </w:rPr>
            </w:pPr>
            <w:r>
              <w:rPr>
                <w:rFonts w:ascii="Arial" w:cs="Arial" w:eastAsia="Arial" w:hAnsi="Arial"/>
                <w:sz w:val="18"/>
                <w:szCs w:val="18"/>
                <w:color w:val="auto"/>
              </w:rPr>
              <w:t>$0.4</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$0.8</w:t>
            </w:r>
          </w:p>
        </w:tc>
      </w:tr>
      <w:tr>
        <w:trPr>
          <w:trHeight w:val="27"/>
        </w:trPr>
        <w:tc>
          <w:tcPr>
            <w:tcW w:w="42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4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2011 Trade Accounts Receivable</w:t>
            </w:r>
          </w:p>
        </w:tc>
        <w:tc>
          <w:tcPr>
            <w:tcW w:w="17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$0.9</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$1.3</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$0.9</w:t>
            </w:r>
          </w:p>
        </w:tc>
      </w:tr>
      <w:tr>
        <w:trPr>
          <w:trHeight w:val="243"/>
        </w:trPr>
        <w:tc>
          <w:tcPr>
            <w:tcW w:w="4280" w:type="dxa"/>
            <w:vAlign w:val="bottom"/>
          </w:tcPr>
          <w:p>
            <w:pPr>
              <w:ind w:left="720"/>
              <w:spacing w:after="0"/>
              <w:rPr>
                <w:sz w:val="20"/>
                <w:szCs w:val="20"/>
                <w:color w:val="auto"/>
              </w:rPr>
            </w:pPr>
            <w:r>
              <w:rPr>
                <w:rFonts w:ascii="Arial" w:cs="Arial" w:eastAsia="Arial" w:hAnsi="Arial"/>
                <w:sz w:val="18"/>
                <w:szCs w:val="18"/>
                <w:color w:val="auto"/>
              </w:rPr>
              <w:t>Finance Receivables – Long-Term</w:t>
            </w:r>
          </w:p>
        </w:tc>
        <w:tc>
          <w:tcPr>
            <w:tcW w:w="1760" w:type="dxa"/>
            <w:vAlign w:val="bottom"/>
          </w:tcPr>
          <w:p>
            <w:pPr>
              <w:jc w:val="right"/>
              <w:ind w:right="90"/>
              <w:spacing w:after="0"/>
              <w:rPr>
                <w:sz w:val="20"/>
                <w:szCs w:val="20"/>
                <w:color w:val="auto"/>
              </w:rPr>
            </w:pPr>
            <w:r>
              <w:rPr>
                <w:rFonts w:ascii="Arial" w:cs="Arial" w:eastAsia="Arial" w:hAnsi="Arial"/>
                <w:sz w:val="18"/>
                <w:szCs w:val="18"/>
                <w:color w:val="auto"/>
              </w:rPr>
              <w:t>$0.8</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$0.1</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50"/>
              <w:spacing w:after="0"/>
              <w:rPr>
                <w:sz w:val="20"/>
                <w:szCs w:val="20"/>
                <w:color w:val="auto"/>
              </w:rPr>
            </w:pPr>
            <w:r>
              <w:rPr>
                <w:rFonts w:ascii="Arial" w:cs="Arial" w:eastAsia="Arial" w:hAnsi="Arial"/>
                <w:sz w:val="18"/>
                <w:szCs w:val="18"/>
                <w:color w:val="auto"/>
              </w:rPr>
              <w:t>$0.3</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$0.6</w:t>
            </w:r>
          </w:p>
        </w:tc>
      </w:tr>
      <w:tr>
        <w:trPr>
          <w:trHeight w:val="27"/>
        </w:trPr>
        <w:tc>
          <w:tcPr>
            <w:tcW w:w="42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4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2012 Trade Accounts Receivable</w:t>
            </w:r>
          </w:p>
        </w:tc>
        <w:tc>
          <w:tcPr>
            <w:tcW w:w="17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$0.9</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$0.9</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r>
      <w:tr>
        <w:trPr>
          <w:trHeight w:val="243"/>
        </w:trPr>
        <w:tc>
          <w:tcPr>
            <w:tcW w:w="4280" w:type="dxa"/>
            <w:vAlign w:val="bottom"/>
          </w:tcPr>
          <w:p>
            <w:pPr>
              <w:ind w:left="720"/>
              <w:spacing w:after="0"/>
              <w:rPr>
                <w:sz w:val="20"/>
                <w:szCs w:val="20"/>
                <w:color w:val="auto"/>
              </w:rPr>
            </w:pPr>
            <w:r>
              <w:rPr>
                <w:rFonts w:ascii="Arial" w:cs="Arial" w:eastAsia="Arial" w:hAnsi="Arial"/>
                <w:sz w:val="18"/>
                <w:szCs w:val="18"/>
                <w:color w:val="auto"/>
              </w:rPr>
              <w:t>Finance Receivables – Long-Term</w:t>
            </w:r>
          </w:p>
        </w:tc>
        <w:tc>
          <w:tcPr>
            <w:tcW w:w="1760" w:type="dxa"/>
            <w:vAlign w:val="bottom"/>
          </w:tcPr>
          <w:p>
            <w:pPr>
              <w:jc w:val="right"/>
              <w:ind w:right="90"/>
              <w:spacing w:after="0"/>
              <w:rPr>
                <w:sz w:val="20"/>
                <w:szCs w:val="20"/>
                <w:color w:val="auto"/>
              </w:rPr>
            </w:pPr>
            <w:r>
              <w:rPr>
                <w:rFonts w:ascii="Arial" w:cs="Arial" w:eastAsia="Arial" w:hAnsi="Arial"/>
                <w:sz w:val="18"/>
                <w:szCs w:val="18"/>
                <w:color w:val="auto"/>
              </w:rPr>
              <w:t>$0.6</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$0.6</w:t>
            </w:r>
          </w:p>
        </w:tc>
      </w:tr>
      <w:tr>
        <w:trPr>
          <w:trHeight w:val="27"/>
        </w:trPr>
        <w:tc>
          <w:tcPr>
            <w:tcW w:w="42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4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Asset Valuation Allowance</w:t>
            </w:r>
          </w:p>
        </w:tc>
        <w:tc>
          <w:tcPr>
            <w:tcW w:w="17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4280" w:type="dxa"/>
            <w:vAlign w:val="bottom"/>
          </w:tcPr>
          <w:p>
            <w:pPr>
              <w:ind w:left="380"/>
              <w:spacing w:after="0"/>
              <w:rPr>
                <w:sz w:val="20"/>
                <w:szCs w:val="20"/>
                <w:color w:val="auto"/>
              </w:rPr>
            </w:pPr>
            <w:r>
              <w:rPr>
                <w:rFonts w:ascii="Arial" w:cs="Arial" w:eastAsia="Arial" w:hAnsi="Arial"/>
                <w:sz w:val="18"/>
                <w:szCs w:val="18"/>
                <w:color w:val="auto"/>
              </w:rPr>
              <w:t>2010 Deferred Tax Assets</w:t>
            </w:r>
          </w:p>
        </w:tc>
        <w:tc>
          <w:tcPr>
            <w:tcW w:w="1760" w:type="dxa"/>
            <w:vAlign w:val="bottom"/>
          </w:tcPr>
          <w:p>
            <w:pPr>
              <w:jc w:val="right"/>
              <w:ind w:right="90"/>
              <w:spacing w:after="0"/>
              <w:rPr>
                <w:sz w:val="20"/>
                <w:szCs w:val="20"/>
                <w:color w:val="auto"/>
              </w:rPr>
            </w:pPr>
            <w:r>
              <w:rPr>
                <w:rFonts w:ascii="Arial" w:cs="Arial" w:eastAsia="Arial" w:hAnsi="Arial"/>
                <w:sz w:val="18"/>
                <w:szCs w:val="18"/>
                <w:color w:val="auto"/>
              </w:rPr>
              <w:t>$0.3</w:t>
            </w:r>
          </w:p>
        </w:tc>
        <w:tc>
          <w:tcPr>
            <w:tcW w:w="1320" w:type="dxa"/>
            <w:vAlign w:val="bottom"/>
          </w:tcPr>
          <w:p>
            <w:pPr>
              <w:jc w:val="right"/>
              <w:ind w:right="170"/>
              <w:spacing w:after="0"/>
              <w:rPr>
                <w:sz w:val="20"/>
                <w:szCs w:val="20"/>
                <w:color w:val="auto"/>
              </w:rPr>
            </w:pPr>
            <w:r>
              <w:rPr>
                <w:rFonts w:ascii="Arial" w:cs="Arial" w:eastAsia="Arial" w:hAnsi="Arial"/>
                <w:sz w:val="18"/>
                <w:szCs w:val="18"/>
                <w:color w:val="auto"/>
              </w:rPr>
              <w:t>$0.2</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$0.5</w:t>
            </w:r>
          </w:p>
        </w:tc>
      </w:tr>
      <w:tr>
        <w:trPr>
          <w:trHeight w:val="27"/>
        </w:trPr>
        <w:tc>
          <w:tcPr>
            <w:tcW w:w="42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4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2011 Deferred Tax Assets</w:t>
            </w:r>
          </w:p>
        </w:tc>
        <w:tc>
          <w:tcPr>
            <w:tcW w:w="17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$0.5</w:t>
            </w:r>
          </w:p>
        </w:tc>
        <w:tc>
          <w:tcPr>
            <w:tcW w:w="13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$(0.1)</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w:t>
            </w:r>
          </w:p>
        </w:tc>
      </w:tr>
      <w:tr>
        <w:trPr>
          <w:trHeight w:val="243"/>
        </w:trPr>
        <w:tc>
          <w:tcPr>
            <w:tcW w:w="4280" w:type="dxa"/>
            <w:vAlign w:val="bottom"/>
          </w:tcPr>
          <w:p>
            <w:pPr>
              <w:ind w:left="380"/>
              <w:spacing w:after="0"/>
              <w:rPr>
                <w:sz w:val="20"/>
                <w:szCs w:val="20"/>
                <w:color w:val="auto"/>
              </w:rPr>
            </w:pPr>
            <w:r>
              <w:rPr>
                <w:rFonts w:ascii="Arial" w:cs="Arial" w:eastAsia="Arial" w:hAnsi="Arial"/>
                <w:sz w:val="18"/>
                <w:szCs w:val="18"/>
                <w:color w:val="auto"/>
              </w:rPr>
              <w:t>2012 Deferred Tax Assets</w:t>
            </w:r>
          </w:p>
        </w:tc>
        <w:tc>
          <w:tcPr>
            <w:tcW w:w="1760" w:type="dxa"/>
            <w:vAlign w:val="bottom"/>
          </w:tcPr>
          <w:p>
            <w:pPr>
              <w:jc w:val="right"/>
              <w:ind w:right="90"/>
              <w:spacing w:after="0"/>
              <w:rPr>
                <w:sz w:val="20"/>
                <w:szCs w:val="20"/>
                <w:color w:val="auto"/>
              </w:rPr>
            </w:pPr>
            <w:r>
              <w:rPr>
                <w:rFonts w:ascii="Arial" w:cs="Arial" w:eastAsia="Arial" w:hAnsi="Arial"/>
                <w:sz w:val="18"/>
                <w:szCs w:val="18"/>
                <w:color w:val="auto"/>
              </w:rPr>
              <w:t>$0.4</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$2.0</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i w:val="1"/>
          <w:iCs w:val="1"/>
          <w:color w:val="auto"/>
        </w:rPr>
        <w:t>(a)</w:t>
      </w:r>
      <w:r>
        <w:rPr>
          <w:sz w:val="20"/>
          <w:szCs w:val="20"/>
          <w:color w:val="auto"/>
        </w:rPr>
        <w:tab/>
      </w:r>
      <w:r>
        <w:rPr>
          <w:rFonts w:ascii="Arial" w:cs="Arial" w:eastAsia="Arial" w:hAnsi="Arial"/>
          <w:sz w:val="14"/>
          <w:szCs w:val="14"/>
          <w:i w:val="1"/>
          <w:iCs w:val="1"/>
          <w:color w:val="auto"/>
        </w:rPr>
        <w:t>Includes uncollectible accounts written off.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2012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20"/>
          </w:cols>
          <w:pgMar w:left="240" w:top="364" w:right="239" w:bottom="1440" w:gutter="0" w:footer="0" w:header="0"/>
        </w:sectPr>
      </w:pPr>
    </w:p>
    <w:bookmarkStart w:id="113" w:name="page114"/>
    <w:bookmarkEnd w:id="113"/>
    <w:p>
      <w:pPr>
        <w:jc w:val="right"/>
        <w:spacing w:after="0"/>
        <w:rPr>
          <w:sz w:val="20"/>
          <w:szCs w:val="20"/>
          <w:color w:val="auto"/>
        </w:rPr>
      </w:pPr>
      <w:r>
        <w:rPr>
          <w:rFonts w:ascii="Arial" w:cs="Arial" w:eastAsia="Arial" w:hAnsi="Arial"/>
          <w:sz w:val="18"/>
          <w:szCs w:val="18"/>
          <w:b w:val="1"/>
          <w:bCs w:val="1"/>
          <w:color w:val="auto"/>
        </w:rPr>
        <w:t>Exhibit 10(f)5</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ALLETE Executive Annual Incentive Plan</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Form of Award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Effective 2013</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[Eligible Executive Employees]</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Target Award Opportunity</w:t>
      </w:r>
    </w:p>
    <w:p>
      <w:pPr>
        <w:spacing w:after="0" w:line="200" w:lineRule="exact"/>
        <w:rPr>
          <w:sz w:val="20"/>
          <w:szCs w:val="20"/>
          <w:color w:val="auto"/>
        </w:rPr>
      </w:pPr>
    </w:p>
    <w:p>
      <w:pPr>
        <w:spacing w:after="0" w:line="390" w:lineRule="exact"/>
        <w:rPr>
          <w:sz w:val="20"/>
          <w:szCs w:val="20"/>
          <w:color w:val="auto"/>
        </w:rPr>
      </w:pPr>
    </w:p>
    <w:tbl>
      <w:tblPr>
        <w:tblLayout w:type="fixed"/>
        <w:tblInd w:w="820" w:type="dxa"/>
        <w:tblCellMar>
          <w:top w:w="0" w:type="dxa"/>
          <w:left w:w="0" w:type="dxa"/>
          <w:bottom w:w="0" w:type="dxa"/>
          <w:right w:w="0" w:type="dxa"/>
        </w:tblCellMar>
      </w:tblPr>
      <w:tr>
        <w:trPr>
          <w:trHeight w:val="275"/>
        </w:trPr>
        <w:tc>
          <w:tcPr>
            <w:tcW w:w="3860" w:type="dxa"/>
            <w:vAlign w:val="bottom"/>
            <w:gridSpan w:val="4"/>
          </w:tcPr>
          <w:p>
            <w:pPr>
              <w:spacing w:after="0"/>
              <w:rPr>
                <w:sz w:val="20"/>
                <w:szCs w:val="20"/>
                <w:color w:val="auto"/>
              </w:rPr>
            </w:pPr>
            <w:r>
              <w:rPr>
                <w:rFonts w:ascii="Arial" w:cs="Arial" w:eastAsia="Arial" w:hAnsi="Arial"/>
                <w:sz w:val="22"/>
                <w:szCs w:val="22"/>
                <w:color w:val="auto"/>
              </w:rPr>
              <w:t>Base Salary</w:t>
            </w:r>
          </w:p>
        </w:tc>
        <w:tc>
          <w:tcPr>
            <w:tcW w:w="7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80" w:type="dxa"/>
            <w:vAlign w:val="bottom"/>
          </w:tcPr>
          <w:p>
            <w:pPr>
              <w:spacing w:after="0"/>
              <w:rPr>
                <w:sz w:val="20"/>
                <w:szCs w:val="20"/>
                <w:color w:val="auto"/>
              </w:rPr>
            </w:pPr>
            <w:r>
              <w:rPr>
                <w:rFonts w:ascii="Arial" w:cs="Arial" w:eastAsia="Arial" w:hAnsi="Arial"/>
                <w:sz w:val="22"/>
                <w:szCs w:val="22"/>
                <w:color w:val="auto"/>
              </w:rPr>
              <w:t>$</w:t>
            </w:r>
          </w:p>
        </w:tc>
        <w:tc>
          <w:tcPr>
            <w:tcW w:w="2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702"/>
        </w:trPr>
        <w:tc>
          <w:tcPr>
            <w:tcW w:w="3860" w:type="dxa"/>
            <w:vAlign w:val="bottom"/>
            <w:gridSpan w:val="4"/>
          </w:tcPr>
          <w:p>
            <w:pPr>
              <w:spacing w:after="0"/>
              <w:rPr>
                <w:sz w:val="20"/>
                <w:szCs w:val="20"/>
                <w:color w:val="auto"/>
              </w:rPr>
            </w:pPr>
            <w:r>
              <w:rPr>
                <w:rFonts w:ascii="Arial" w:cs="Arial" w:eastAsia="Arial" w:hAnsi="Arial"/>
                <w:sz w:val="22"/>
                <w:szCs w:val="22"/>
                <w:b w:val="1"/>
                <w:bCs w:val="1"/>
                <w:color w:val="auto"/>
              </w:rPr>
              <w:t>Times</w:t>
            </w:r>
          </w:p>
        </w:tc>
        <w:tc>
          <w:tcPr>
            <w:tcW w:w="7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652"/>
        </w:trPr>
        <w:tc>
          <w:tcPr>
            <w:tcW w:w="3860" w:type="dxa"/>
            <w:vAlign w:val="bottom"/>
            <w:gridSpan w:val="4"/>
          </w:tcPr>
          <w:p>
            <w:pPr>
              <w:spacing w:after="0"/>
              <w:rPr>
                <w:sz w:val="20"/>
                <w:szCs w:val="20"/>
                <w:color w:val="auto"/>
              </w:rPr>
            </w:pPr>
            <w:r>
              <w:rPr>
                <w:rFonts w:ascii="Arial" w:cs="Arial" w:eastAsia="Arial" w:hAnsi="Arial"/>
                <w:sz w:val="22"/>
                <w:szCs w:val="22"/>
                <w:color w:val="auto"/>
                <w:w w:val="91"/>
              </w:rPr>
              <w:t>Award Opportunity (percent of base salary)</w:t>
            </w:r>
          </w:p>
        </w:tc>
        <w:tc>
          <w:tcPr>
            <w:tcW w:w="7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20" w:type="dxa"/>
            <w:vAlign w:val="bottom"/>
            <w:gridSpan w:val="2"/>
          </w:tcPr>
          <w:p>
            <w:pPr>
              <w:spacing w:after="0"/>
              <w:rPr>
                <w:sz w:val="20"/>
                <w:szCs w:val="20"/>
                <w:color w:val="auto"/>
              </w:rPr>
            </w:pPr>
            <w:r>
              <w:rPr>
                <w:rFonts w:ascii="Arial" w:cs="Arial" w:eastAsia="Arial" w:hAnsi="Arial"/>
                <w:sz w:val="22"/>
                <w:szCs w:val="22"/>
                <w:color w:val="auto"/>
              </w:rPr>
              <w:t>%</w:t>
            </w: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733"/>
        </w:trPr>
        <w:tc>
          <w:tcPr>
            <w:tcW w:w="3860" w:type="dxa"/>
            <w:vAlign w:val="bottom"/>
            <w:gridSpan w:val="4"/>
          </w:tcPr>
          <w:p>
            <w:pPr>
              <w:spacing w:after="0"/>
              <w:rPr>
                <w:sz w:val="20"/>
                <w:szCs w:val="20"/>
                <w:color w:val="auto"/>
              </w:rPr>
            </w:pPr>
            <w:r>
              <w:rPr>
                <w:rFonts w:ascii="Arial" w:cs="Arial" w:eastAsia="Arial" w:hAnsi="Arial"/>
                <w:sz w:val="22"/>
                <w:szCs w:val="22"/>
                <w:b w:val="1"/>
                <w:bCs w:val="1"/>
                <w:color w:val="auto"/>
              </w:rPr>
              <w:t>Equals</w:t>
            </w:r>
          </w:p>
        </w:tc>
        <w:tc>
          <w:tcPr>
            <w:tcW w:w="7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702"/>
        </w:trPr>
        <w:tc>
          <w:tcPr>
            <w:tcW w:w="3860" w:type="dxa"/>
            <w:vAlign w:val="bottom"/>
            <w:gridSpan w:val="4"/>
          </w:tcPr>
          <w:p>
            <w:pPr>
              <w:spacing w:after="0"/>
              <w:rPr>
                <w:sz w:val="20"/>
                <w:szCs w:val="20"/>
                <w:color w:val="auto"/>
              </w:rPr>
            </w:pPr>
            <w:r>
              <w:rPr>
                <w:rFonts w:ascii="Arial" w:cs="Arial" w:eastAsia="Arial" w:hAnsi="Arial"/>
                <w:sz w:val="22"/>
                <w:szCs w:val="22"/>
                <w:color w:val="auto"/>
              </w:rPr>
              <w:t>Target Award</w:t>
            </w:r>
          </w:p>
        </w:tc>
        <w:tc>
          <w:tcPr>
            <w:tcW w:w="7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0"/>
                <w:szCs w:val="20"/>
                <w:color w:val="auto"/>
              </w:rPr>
            </w:pPr>
            <w:r>
              <w:rPr>
                <w:rFonts w:ascii="Arial" w:cs="Arial" w:eastAsia="Arial" w:hAnsi="Arial"/>
                <w:sz w:val="22"/>
                <w:szCs w:val="22"/>
                <w:color w:val="auto"/>
              </w:rPr>
              <w:t>$</w:t>
            </w: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90"/>
        </w:trPr>
        <w:tc>
          <w:tcPr>
            <w:tcW w:w="200" w:type="dxa"/>
            <w:vAlign w:val="bottom"/>
          </w:tcPr>
          <w:p>
            <w:pPr>
              <w:spacing w:after="0"/>
              <w:rPr>
                <w:sz w:val="24"/>
                <w:szCs w:val="24"/>
                <w:color w:val="auto"/>
              </w:rPr>
            </w:pPr>
          </w:p>
        </w:tc>
        <w:tc>
          <w:tcPr>
            <w:tcW w:w="9440" w:type="dxa"/>
            <w:vAlign w:val="bottom"/>
            <w:gridSpan w:val="12"/>
          </w:tcPr>
          <w:p>
            <w:pPr>
              <w:jc w:val="center"/>
              <w:ind w:right="60"/>
              <w:spacing w:after="0"/>
              <w:rPr>
                <w:sz w:val="20"/>
                <w:szCs w:val="20"/>
                <w:color w:val="auto"/>
              </w:rPr>
            </w:pPr>
            <w:r>
              <w:rPr>
                <w:rFonts w:ascii="Arial" w:cs="Arial" w:eastAsia="Arial" w:hAnsi="Arial"/>
                <w:sz w:val="22"/>
                <w:szCs w:val="22"/>
                <w:b w:val="1"/>
                <w:bCs w:val="1"/>
                <w:color w:val="auto"/>
                <w:w w:val="89"/>
              </w:rPr>
              <w:t>Performance Levels and Award Amounts</w:t>
            </w:r>
          </w:p>
        </w:tc>
      </w:tr>
      <w:tr>
        <w:trPr>
          <w:trHeight w:val="588"/>
        </w:trPr>
        <w:tc>
          <w:tcPr>
            <w:tcW w:w="200" w:type="dxa"/>
            <w:vAlign w:val="bottom"/>
          </w:tcPr>
          <w:p>
            <w:pPr>
              <w:spacing w:after="0"/>
              <w:rPr>
                <w:sz w:val="24"/>
                <w:szCs w:val="24"/>
                <w:color w:val="auto"/>
              </w:rPr>
            </w:pPr>
          </w:p>
        </w:tc>
        <w:tc>
          <w:tcPr>
            <w:tcW w:w="2780" w:type="dxa"/>
            <w:vAlign w:val="bottom"/>
            <w:tcBorders>
              <w:bottom w:val="single" w:sz="8" w:color="auto"/>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540" w:type="dxa"/>
            <w:vAlign w:val="bottom"/>
            <w:tcBorders>
              <w:top w:val="single" w:sz="8" w:color="auto"/>
              <w:bottom w:val="single" w:sz="8" w:color="auto"/>
            </w:tcBorders>
          </w:tcPr>
          <w:p>
            <w:pPr>
              <w:spacing w:after="0"/>
              <w:rPr>
                <w:sz w:val="24"/>
                <w:szCs w:val="24"/>
                <w:color w:val="auto"/>
              </w:rPr>
            </w:pPr>
          </w:p>
        </w:tc>
        <w:tc>
          <w:tcPr>
            <w:tcW w:w="760" w:type="dxa"/>
            <w:vAlign w:val="bottom"/>
            <w:tcBorders>
              <w:top w:val="single" w:sz="8" w:color="auto"/>
              <w:bottom w:val="single" w:sz="8" w:color="auto"/>
            </w:tcBorders>
          </w:tcPr>
          <w:p>
            <w:pPr>
              <w:spacing w:after="0"/>
              <w:rPr>
                <w:sz w:val="24"/>
                <w:szCs w:val="24"/>
                <w:color w:val="auto"/>
              </w:rPr>
            </w:pPr>
          </w:p>
        </w:tc>
        <w:tc>
          <w:tcPr>
            <w:tcW w:w="540" w:type="dxa"/>
            <w:vAlign w:val="bottom"/>
            <w:tcBorders>
              <w:top w:val="single" w:sz="8" w:color="auto"/>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r>
        <w:trPr>
          <w:trHeight w:val="236"/>
        </w:trPr>
        <w:tc>
          <w:tcPr>
            <w:tcW w:w="200" w:type="dxa"/>
            <w:vAlign w:val="bottom"/>
            <w:tcBorders>
              <w:right w:val="single" w:sz="8" w:color="auto"/>
            </w:tcBorders>
          </w:tcPr>
          <w:p>
            <w:pPr>
              <w:spacing w:after="0"/>
              <w:rPr>
                <w:sz w:val="20"/>
                <w:szCs w:val="20"/>
                <w:color w:val="auto"/>
              </w:rPr>
            </w:pPr>
          </w:p>
        </w:tc>
        <w:tc>
          <w:tcPr>
            <w:tcW w:w="2780" w:type="dxa"/>
            <w:vAlign w:val="bottom"/>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c>
          <w:tcPr>
            <w:tcW w:w="540" w:type="dxa"/>
            <w:vAlign w:val="bottom"/>
          </w:tcPr>
          <w:p>
            <w:pPr>
              <w:spacing w:after="0"/>
              <w:rPr>
                <w:sz w:val="20"/>
                <w:szCs w:val="20"/>
                <w:color w:val="auto"/>
              </w:rPr>
            </w:pPr>
          </w:p>
        </w:tc>
        <w:tc>
          <w:tcPr>
            <w:tcW w:w="2240" w:type="dxa"/>
            <w:vAlign w:val="bottom"/>
            <w:gridSpan w:val="3"/>
          </w:tcPr>
          <w:p>
            <w:pPr>
              <w:jc w:val="center"/>
              <w:ind w:right="140"/>
              <w:spacing w:after="0" w:line="237" w:lineRule="exact"/>
              <w:rPr>
                <w:sz w:val="20"/>
                <w:szCs w:val="20"/>
                <w:color w:val="auto"/>
              </w:rPr>
            </w:pPr>
            <w:r>
              <w:rPr>
                <w:rFonts w:ascii="Arial" w:cs="Arial" w:eastAsia="Arial" w:hAnsi="Arial"/>
                <w:sz w:val="22"/>
                <w:szCs w:val="22"/>
                <w:b w:val="1"/>
                <w:bCs w:val="1"/>
                <w:color w:val="auto"/>
                <w:w w:val="87"/>
              </w:rPr>
              <w:t>Payout as Percent of</w:t>
            </w:r>
          </w:p>
        </w:tc>
        <w:tc>
          <w:tcPr>
            <w:tcW w:w="18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r>
      <w:tr>
        <w:trPr>
          <w:trHeight w:val="291"/>
        </w:trPr>
        <w:tc>
          <w:tcPr>
            <w:tcW w:w="200" w:type="dxa"/>
            <w:vAlign w:val="bottom"/>
            <w:tcBorders>
              <w:right w:val="single" w:sz="8" w:color="auto"/>
            </w:tcBorders>
          </w:tcPr>
          <w:p>
            <w:pPr>
              <w:spacing w:after="0"/>
              <w:rPr>
                <w:sz w:val="24"/>
                <w:szCs w:val="24"/>
                <w:color w:val="auto"/>
              </w:rPr>
            </w:pPr>
          </w:p>
        </w:tc>
        <w:tc>
          <w:tcPr>
            <w:tcW w:w="3120" w:type="dxa"/>
            <w:vAlign w:val="bottom"/>
            <w:tcBorders>
              <w:bottom w:val="single" w:sz="8" w:color="auto"/>
              <w:right w:val="single" w:sz="8" w:color="auto"/>
            </w:tcBorders>
            <w:gridSpan w:val="2"/>
          </w:tcPr>
          <w:p>
            <w:pPr>
              <w:ind w:left="420"/>
              <w:spacing w:after="0"/>
              <w:rPr>
                <w:sz w:val="20"/>
                <w:szCs w:val="20"/>
                <w:color w:val="auto"/>
              </w:rPr>
            </w:pPr>
            <w:r>
              <w:rPr>
                <w:rFonts w:ascii="Arial" w:cs="Arial" w:eastAsia="Arial" w:hAnsi="Arial"/>
                <w:sz w:val="22"/>
                <w:szCs w:val="22"/>
                <w:b w:val="1"/>
                <w:bCs w:val="1"/>
                <w:color w:val="auto"/>
              </w:rPr>
              <w:t>Goal Performance Level</w:t>
            </w:r>
          </w:p>
        </w:tc>
        <w:tc>
          <w:tcPr>
            <w:tcW w:w="54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3"/>
          </w:tcPr>
          <w:p>
            <w:pPr>
              <w:jc w:val="center"/>
              <w:ind w:right="160"/>
              <w:spacing w:after="0"/>
              <w:rPr>
                <w:sz w:val="20"/>
                <w:szCs w:val="20"/>
                <w:color w:val="auto"/>
              </w:rPr>
            </w:pPr>
            <w:r>
              <w:rPr>
                <w:rFonts w:ascii="Arial" w:cs="Arial" w:eastAsia="Arial" w:hAnsi="Arial"/>
                <w:sz w:val="22"/>
                <w:szCs w:val="22"/>
                <w:b w:val="1"/>
                <w:bCs w:val="1"/>
                <w:color w:val="auto"/>
                <w:w w:val="91"/>
              </w:rPr>
              <w:t>Target Award</w:t>
            </w:r>
          </w:p>
        </w:tc>
        <w:tc>
          <w:tcPr>
            <w:tcW w:w="180" w:type="dxa"/>
            <w:vAlign w:val="bottom"/>
            <w:tcBorders>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840" w:type="dxa"/>
            <w:vAlign w:val="bottom"/>
            <w:tcBorders>
              <w:bottom w:val="single" w:sz="8" w:color="auto"/>
              <w:right w:val="single" w:sz="8" w:color="auto"/>
            </w:tcBorders>
            <w:gridSpan w:val="3"/>
          </w:tcPr>
          <w:p>
            <w:pPr>
              <w:ind w:left="560"/>
              <w:spacing w:after="0"/>
              <w:rPr>
                <w:sz w:val="20"/>
                <w:szCs w:val="20"/>
                <w:color w:val="auto"/>
              </w:rPr>
            </w:pPr>
            <w:r>
              <w:rPr>
                <w:rFonts w:ascii="Arial" w:cs="Arial" w:eastAsia="Arial" w:hAnsi="Arial"/>
                <w:sz w:val="22"/>
                <w:szCs w:val="22"/>
                <w:b w:val="1"/>
                <w:bCs w:val="1"/>
                <w:color w:val="auto"/>
              </w:rPr>
              <w:t>Award Amount</w:t>
            </w:r>
          </w:p>
        </w:tc>
      </w:tr>
      <w:tr>
        <w:trPr>
          <w:trHeight w:val="291"/>
        </w:trPr>
        <w:tc>
          <w:tcPr>
            <w:tcW w:w="200" w:type="dxa"/>
            <w:vAlign w:val="bottom"/>
            <w:tcBorders>
              <w:right w:val="single" w:sz="8" w:color="auto"/>
            </w:tcBorders>
          </w:tcPr>
          <w:p>
            <w:pPr>
              <w:spacing w:after="0"/>
              <w:rPr>
                <w:sz w:val="24"/>
                <w:szCs w:val="24"/>
                <w:color w:val="auto"/>
              </w:rPr>
            </w:pPr>
          </w:p>
        </w:tc>
        <w:tc>
          <w:tcPr>
            <w:tcW w:w="312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22"/>
                <w:szCs w:val="22"/>
                <w:color w:val="auto"/>
              </w:rPr>
              <w:t>Superior</w:t>
            </w:r>
          </w:p>
        </w:tc>
        <w:tc>
          <w:tcPr>
            <w:tcW w:w="54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3"/>
          </w:tcPr>
          <w:p>
            <w:pPr>
              <w:jc w:val="center"/>
              <w:ind w:right="140"/>
              <w:spacing w:after="0"/>
              <w:rPr>
                <w:sz w:val="20"/>
                <w:szCs w:val="20"/>
                <w:color w:val="auto"/>
              </w:rPr>
            </w:pPr>
            <w:r>
              <w:rPr>
                <w:rFonts w:ascii="Arial" w:cs="Arial" w:eastAsia="Arial" w:hAnsi="Arial"/>
                <w:sz w:val="22"/>
                <w:szCs w:val="22"/>
                <w:color w:val="auto"/>
                <w:w w:val="88"/>
              </w:rPr>
              <w:t>200%</w:t>
            </w:r>
          </w:p>
        </w:tc>
        <w:tc>
          <w:tcPr>
            <w:tcW w:w="180" w:type="dxa"/>
            <w:vAlign w:val="bottom"/>
            <w:tcBorders>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1980" w:type="dxa"/>
            <w:vAlign w:val="bottom"/>
            <w:tcBorders>
              <w:bottom w:val="single" w:sz="8" w:color="auto"/>
            </w:tcBorders>
            <w:gridSpan w:val="3"/>
          </w:tcPr>
          <w:p>
            <w:pPr>
              <w:ind w:left="1500"/>
              <w:spacing w:after="0"/>
              <w:rPr>
                <w:sz w:val="20"/>
                <w:szCs w:val="20"/>
                <w:color w:val="auto"/>
              </w:rPr>
            </w:pPr>
            <w:r>
              <w:rPr>
                <w:rFonts w:ascii="Arial" w:cs="Arial" w:eastAsia="Arial" w:hAnsi="Arial"/>
                <w:sz w:val="22"/>
                <w:szCs w:val="22"/>
                <w:color w:val="auto"/>
              </w:rPr>
              <w:t>$</w:t>
            </w:r>
          </w:p>
        </w:tc>
        <w:tc>
          <w:tcPr>
            <w:tcW w:w="1140" w:type="dxa"/>
            <w:vAlign w:val="bottom"/>
            <w:tcBorders>
              <w:bottom w:val="single" w:sz="8" w:color="auto"/>
              <w:right w:val="single" w:sz="8" w:color="auto"/>
            </w:tcBorders>
          </w:tcPr>
          <w:p>
            <w:pPr>
              <w:spacing w:after="0"/>
              <w:rPr>
                <w:sz w:val="24"/>
                <w:szCs w:val="24"/>
                <w:color w:val="auto"/>
              </w:rPr>
            </w:pPr>
          </w:p>
        </w:tc>
      </w:tr>
      <w:tr>
        <w:trPr>
          <w:trHeight w:val="291"/>
        </w:trPr>
        <w:tc>
          <w:tcPr>
            <w:tcW w:w="200" w:type="dxa"/>
            <w:vAlign w:val="bottom"/>
            <w:tcBorders>
              <w:right w:val="single" w:sz="8" w:color="auto"/>
            </w:tcBorders>
          </w:tcPr>
          <w:p>
            <w:pPr>
              <w:spacing w:after="0"/>
              <w:rPr>
                <w:sz w:val="24"/>
                <w:szCs w:val="24"/>
                <w:color w:val="auto"/>
              </w:rPr>
            </w:pPr>
          </w:p>
        </w:tc>
        <w:tc>
          <w:tcPr>
            <w:tcW w:w="312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22"/>
                <w:szCs w:val="22"/>
                <w:color w:val="auto"/>
              </w:rPr>
              <w:t>Target</w:t>
            </w:r>
          </w:p>
        </w:tc>
        <w:tc>
          <w:tcPr>
            <w:tcW w:w="54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3"/>
          </w:tcPr>
          <w:p>
            <w:pPr>
              <w:jc w:val="center"/>
              <w:ind w:right="140"/>
              <w:spacing w:after="0"/>
              <w:rPr>
                <w:sz w:val="20"/>
                <w:szCs w:val="20"/>
                <w:color w:val="auto"/>
              </w:rPr>
            </w:pPr>
            <w:r>
              <w:rPr>
                <w:rFonts w:ascii="Arial" w:cs="Arial" w:eastAsia="Arial" w:hAnsi="Arial"/>
                <w:sz w:val="22"/>
                <w:szCs w:val="22"/>
                <w:color w:val="auto"/>
                <w:w w:val="88"/>
              </w:rPr>
              <w:t>100%</w:t>
            </w:r>
          </w:p>
        </w:tc>
        <w:tc>
          <w:tcPr>
            <w:tcW w:w="180" w:type="dxa"/>
            <w:vAlign w:val="bottom"/>
            <w:tcBorders>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1980" w:type="dxa"/>
            <w:vAlign w:val="bottom"/>
            <w:tcBorders>
              <w:bottom w:val="single" w:sz="8" w:color="auto"/>
            </w:tcBorders>
            <w:gridSpan w:val="3"/>
          </w:tcPr>
          <w:p>
            <w:pPr>
              <w:ind w:left="1500"/>
              <w:spacing w:after="0"/>
              <w:rPr>
                <w:sz w:val="20"/>
                <w:szCs w:val="20"/>
                <w:color w:val="auto"/>
              </w:rPr>
            </w:pPr>
            <w:r>
              <w:rPr>
                <w:rFonts w:ascii="Arial" w:cs="Arial" w:eastAsia="Arial" w:hAnsi="Arial"/>
                <w:sz w:val="22"/>
                <w:szCs w:val="22"/>
                <w:color w:val="auto"/>
              </w:rPr>
              <w:t>$</w:t>
            </w:r>
          </w:p>
        </w:tc>
        <w:tc>
          <w:tcPr>
            <w:tcW w:w="1140" w:type="dxa"/>
            <w:vAlign w:val="bottom"/>
            <w:tcBorders>
              <w:bottom w:val="single" w:sz="8" w:color="auto"/>
              <w:right w:val="single" w:sz="8" w:color="auto"/>
            </w:tcBorders>
          </w:tcPr>
          <w:p>
            <w:pPr>
              <w:spacing w:after="0"/>
              <w:rPr>
                <w:sz w:val="24"/>
                <w:szCs w:val="24"/>
                <w:color w:val="auto"/>
              </w:rPr>
            </w:pPr>
          </w:p>
        </w:tc>
      </w:tr>
      <w:tr>
        <w:trPr>
          <w:trHeight w:val="291"/>
        </w:trPr>
        <w:tc>
          <w:tcPr>
            <w:tcW w:w="200" w:type="dxa"/>
            <w:vAlign w:val="bottom"/>
            <w:tcBorders>
              <w:right w:val="single" w:sz="8" w:color="auto"/>
            </w:tcBorders>
          </w:tcPr>
          <w:p>
            <w:pPr>
              <w:spacing w:after="0"/>
              <w:rPr>
                <w:sz w:val="24"/>
                <w:szCs w:val="24"/>
                <w:color w:val="auto"/>
              </w:rPr>
            </w:pPr>
          </w:p>
        </w:tc>
        <w:tc>
          <w:tcPr>
            <w:tcW w:w="312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22"/>
                <w:szCs w:val="22"/>
                <w:color w:val="auto"/>
              </w:rPr>
              <w:t>Threshold</w:t>
            </w:r>
          </w:p>
        </w:tc>
        <w:tc>
          <w:tcPr>
            <w:tcW w:w="54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3"/>
          </w:tcPr>
          <w:p>
            <w:pPr>
              <w:jc w:val="center"/>
              <w:ind w:right="160"/>
              <w:spacing w:after="0"/>
              <w:rPr>
                <w:sz w:val="20"/>
                <w:szCs w:val="20"/>
                <w:color w:val="auto"/>
              </w:rPr>
            </w:pPr>
            <w:r>
              <w:rPr>
                <w:rFonts w:ascii="Arial" w:cs="Arial" w:eastAsia="Arial" w:hAnsi="Arial"/>
                <w:sz w:val="22"/>
                <w:szCs w:val="22"/>
                <w:color w:val="auto"/>
                <w:w w:val="89"/>
              </w:rPr>
              <w:t>37.5%</w:t>
            </w:r>
          </w:p>
        </w:tc>
        <w:tc>
          <w:tcPr>
            <w:tcW w:w="180" w:type="dxa"/>
            <w:vAlign w:val="bottom"/>
            <w:tcBorders>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1980" w:type="dxa"/>
            <w:vAlign w:val="bottom"/>
            <w:tcBorders>
              <w:bottom w:val="single" w:sz="8" w:color="auto"/>
            </w:tcBorders>
            <w:gridSpan w:val="3"/>
          </w:tcPr>
          <w:p>
            <w:pPr>
              <w:ind w:left="1500"/>
              <w:spacing w:after="0"/>
              <w:rPr>
                <w:sz w:val="20"/>
                <w:szCs w:val="20"/>
                <w:color w:val="auto"/>
              </w:rPr>
            </w:pPr>
            <w:r>
              <w:rPr>
                <w:rFonts w:ascii="Arial" w:cs="Arial" w:eastAsia="Arial" w:hAnsi="Arial"/>
                <w:sz w:val="22"/>
                <w:szCs w:val="22"/>
                <w:color w:val="auto"/>
              </w:rPr>
              <w:t>$</w:t>
            </w:r>
          </w:p>
        </w:tc>
        <w:tc>
          <w:tcPr>
            <w:tcW w:w="1140" w:type="dxa"/>
            <w:vAlign w:val="bottom"/>
            <w:tcBorders>
              <w:bottom w:val="single" w:sz="8" w:color="auto"/>
              <w:right w:val="single" w:sz="8" w:color="auto"/>
            </w:tcBorders>
          </w:tcPr>
          <w:p>
            <w:pPr>
              <w:spacing w:after="0"/>
              <w:rPr>
                <w:sz w:val="24"/>
                <w:szCs w:val="24"/>
                <w:color w:val="auto"/>
              </w:rPr>
            </w:pPr>
          </w:p>
        </w:tc>
      </w:tr>
      <w:tr>
        <w:trPr>
          <w:trHeight w:val="291"/>
        </w:trPr>
        <w:tc>
          <w:tcPr>
            <w:tcW w:w="200" w:type="dxa"/>
            <w:vAlign w:val="bottom"/>
            <w:tcBorders>
              <w:right w:val="single" w:sz="8" w:color="auto"/>
            </w:tcBorders>
          </w:tcPr>
          <w:p>
            <w:pPr>
              <w:spacing w:after="0"/>
              <w:rPr>
                <w:sz w:val="24"/>
                <w:szCs w:val="24"/>
                <w:color w:val="auto"/>
              </w:rPr>
            </w:pPr>
          </w:p>
        </w:tc>
        <w:tc>
          <w:tcPr>
            <w:tcW w:w="312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22"/>
                <w:szCs w:val="22"/>
                <w:color w:val="auto"/>
              </w:rPr>
              <w:t>Below Threshold</w:t>
            </w:r>
          </w:p>
        </w:tc>
        <w:tc>
          <w:tcPr>
            <w:tcW w:w="5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2"/>
          </w:tcPr>
          <w:p>
            <w:pPr>
              <w:jc w:val="center"/>
              <w:ind w:right="920"/>
              <w:spacing w:after="0"/>
              <w:rPr>
                <w:sz w:val="20"/>
                <w:szCs w:val="20"/>
                <w:color w:val="auto"/>
              </w:rPr>
            </w:pPr>
            <w:r>
              <w:rPr>
                <w:rFonts w:ascii="Arial" w:cs="Arial" w:eastAsia="Arial" w:hAnsi="Arial"/>
                <w:sz w:val="22"/>
                <w:szCs w:val="22"/>
                <w:color w:val="auto"/>
                <w:w w:val="96"/>
              </w:rPr>
              <w:t>—%</w:t>
            </w:r>
          </w:p>
        </w:tc>
        <w:tc>
          <w:tcPr>
            <w:tcW w:w="180" w:type="dxa"/>
            <w:vAlign w:val="bottom"/>
            <w:tcBorders>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1980" w:type="dxa"/>
            <w:vAlign w:val="bottom"/>
            <w:tcBorders>
              <w:bottom w:val="single" w:sz="8" w:color="auto"/>
            </w:tcBorders>
            <w:gridSpan w:val="3"/>
          </w:tcPr>
          <w:p>
            <w:pPr>
              <w:ind w:left="1500"/>
              <w:spacing w:after="0"/>
              <w:rPr>
                <w:sz w:val="20"/>
                <w:szCs w:val="20"/>
                <w:color w:val="auto"/>
              </w:rPr>
            </w:pPr>
            <w:r>
              <w:rPr>
                <w:rFonts w:ascii="Arial" w:cs="Arial" w:eastAsia="Arial" w:hAnsi="Arial"/>
                <w:sz w:val="22"/>
                <w:szCs w:val="22"/>
                <w:color w:val="auto"/>
              </w:rPr>
              <w:t>$</w:t>
            </w:r>
          </w:p>
        </w:tc>
        <w:tc>
          <w:tcPr>
            <w:tcW w:w="1140" w:type="dxa"/>
            <w:vAlign w:val="bottom"/>
            <w:tcBorders>
              <w:bottom w:val="single" w:sz="8" w:color="auto"/>
              <w:right w:val="single" w:sz="8" w:color="auto"/>
            </w:tcBorders>
          </w:tcPr>
          <w:p>
            <w:pPr>
              <w:spacing w:after="0"/>
              <w:rPr>
                <w:sz w:val="24"/>
                <w:szCs w:val="24"/>
                <w:color w:val="auto"/>
              </w:rPr>
            </w:pPr>
          </w:p>
        </w:tc>
      </w:tr>
      <w:tr>
        <w:trPr>
          <w:trHeight w:val="473"/>
        </w:trPr>
        <w:tc>
          <w:tcPr>
            <w:tcW w:w="20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40" w:type="dxa"/>
            <w:vAlign w:val="bottom"/>
            <w:gridSpan w:val="3"/>
          </w:tcPr>
          <w:p>
            <w:pPr>
              <w:jc w:val="center"/>
              <w:ind w:right="180"/>
              <w:spacing w:after="0"/>
              <w:rPr>
                <w:sz w:val="20"/>
                <w:szCs w:val="20"/>
                <w:color w:val="auto"/>
              </w:rPr>
            </w:pPr>
            <w:r>
              <w:rPr>
                <w:rFonts w:ascii="Arial" w:cs="Arial" w:eastAsia="Arial" w:hAnsi="Arial"/>
                <w:sz w:val="22"/>
                <w:szCs w:val="22"/>
                <w:b w:val="1"/>
                <w:bCs w:val="1"/>
                <w:color w:val="auto"/>
                <w:w w:val="88"/>
              </w:rPr>
              <w:t>Goals</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692"/>
        </w:trPr>
        <w:tc>
          <w:tcPr>
            <w:tcW w:w="20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40" w:type="dxa"/>
            <w:vAlign w:val="bottom"/>
            <w:gridSpan w:val="3"/>
          </w:tcPr>
          <w:p>
            <w:pPr>
              <w:jc w:val="center"/>
              <w:ind w:left="12"/>
              <w:spacing w:after="0"/>
              <w:rPr>
                <w:sz w:val="20"/>
                <w:szCs w:val="20"/>
                <w:color w:val="auto"/>
              </w:rPr>
            </w:pPr>
            <w:r>
              <w:rPr>
                <w:rFonts w:ascii="Arial" w:cs="Arial" w:eastAsia="Arial" w:hAnsi="Arial"/>
                <w:sz w:val="22"/>
                <w:szCs w:val="22"/>
                <w:b w:val="1"/>
                <w:bCs w:val="1"/>
                <w:color w:val="auto"/>
                <w:w w:val="89"/>
              </w:rPr>
              <w:t>Goal</w:t>
            </w:r>
          </w:p>
        </w:tc>
      </w:tr>
      <w:tr>
        <w:trPr>
          <w:trHeight w:val="297"/>
        </w:trPr>
        <w:tc>
          <w:tcPr>
            <w:tcW w:w="20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40" w:type="dxa"/>
            <w:vAlign w:val="bottom"/>
            <w:gridSpan w:val="3"/>
          </w:tcPr>
          <w:p>
            <w:pPr>
              <w:jc w:val="center"/>
              <w:ind w:left="12"/>
              <w:spacing w:after="0"/>
              <w:rPr>
                <w:sz w:val="20"/>
                <w:szCs w:val="20"/>
                <w:color w:val="auto"/>
              </w:rPr>
            </w:pPr>
            <w:r>
              <w:rPr>
                <w:rFonts w:ascii="Arial" w:cs="Arial" w:eastAsia="Arial" w:hAnsi="Arial"/>
                <w:sz w:val="22"/>
                <w:szCs w:val="22"/>
                <w:b w:val="1"/>
                <w:bCs w:val="1"/>
                <w:color w:val="auto"/>
                <w:w w:val="90"/>
              </w:rPr>
              <w:t>Weighting</w:t>
            </w:r>
          </w:p>
        </w:tc>
      </w:tr>
      <w:tr>
        <w:trPr>
          <w:trHeight w:val="297"/>
        </w:trPr>
        <w:tc>
          <w:tcPr>
            <w:tcW w:w="200" w:type="dxa"/>
            <w:vAlign w:val="bottom"/>
          </w:tcPr>
          <w:p>
            <w:pPr>
              <w:spacing w:after="0"/>
              <w:rPr>
                <w:sz w:val="24"/>
                <w:szCs w:val="24"/>
                <w:color w:val="auto"/>
              </w:rPr>
            </w:pPr>
          </w:p>
        </w:tc>
        <w:tc>
          <w:tcPr>
            <w:tcW w:w="3660" w:type="dxa"/>
            <w:vAlign w:val="bottom"/>
            <w:gridSpan w:val="3"/>
          </w:tcPr>
          <w:p>
            <w:pPr>
              <w:ind w:left="720"/>
              <w:spacing w:after="0"/>
              <w:rPr>
                <w:sz w:val="20"/>
                <w:szCs w:val="20"/>
                <w:color w:val="auto"/>
              </w:rPr>
            </w:pPr>
            <w:r>
              <w:rPr>
                <w:rFonts w:ascii="Arial" w:cs="Arial" w:eastAsia="Arial" w:hAnsi="Arial"/>
                <w:sz w:val="22"/>
                <w:szCs w:val="22"/>
                <w:b w:val="1"/>
                <w:bCs w:val="1"/>
                <w:color w:val="auto"/>
              </w:rPr>
              <w:t>Financial Goals</w:t>
            </w:r>
          </w:p>
        </w:tc>
        <w:tc>
          <w:tcPr>
            <w:tcW w:w="7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97"/>
        </w:trPr>
        <w:tc>
          <w:tcPr>
            <w:tcW w:w="200" w:type="dxa"/>
            <w:vAlign w:val="bottom"/>
          </w:tcPr>
          <w:p>
            <w:pPr>
              <w:spacing w:after="0"/>
              <w:rPr>
                <w:sz w:val="24"/>
                <w:szCs w:val="24"/>
                <w:color w:val="auto"/>
              </w:rPr>
            </w:pPr>
          </w:p>
        </w:tc>
        <w:tc>
          <w:tcPr>
            <w:tcW w:w="3660" w:type="dxa"/>
            <w:vAlign w:val="bottom"/>
            <w:gridSpan w:val="3"/>
          </w:tcPr>
          <w:p>
            <w:pPr>
              <w:ind w:left="2080"/>
              <w:spacing w:after="0"/>
              <w:rPr>
                <w:sz w:val="20"/>
                <w:szCs w:val="20"/>
                <w:color w:val="auto"/>
              </w:rPr>
            </w:pPr>
            <w:r>
              <w:rPr>
                <w:rFonts w:ascii="Arial" w:cs="Arial" w:eastAsia="Arial" w:hAnsi="Arial"/>
                <w:sz w:val="22"/>
                <w:szCs w:val="22"/>
                <w:color w:val="auto"/>
              </w:rPr>
              <w:t>Net Income</w:t>
            </w:r>
          </w:p>
        </w:tc>
        <w:tc>
          <w:tcPr>
            <w:tcW w:w="7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0" w:type="dxa"/>
            <w:vAlign w:val="bottom"/>
            <w:gridSpan w:val="5"/>
          </w:tcPr>
          <w:p>
            <w:pPr>
              <w:jc w:val="center"/>
              <w:ind w:left="1852"/>
              <w:spacing w:after="0"/>
              <w:rPr>
                <w:sz w:val="20"/>
                <w:szCs w:val="20"/>
                <w:color w:val="auto"/>
              </w:rPr>
            </w:pPr>
            <w:r>
              <w:rPr>
                <w:rFonts w:ascii="Arial" w:cs="Arial" w:eastAsia="Arial" w:hAnsi="Arial"/>
                <w:sz w:val="22"/>
                <w:szCs w:val="22"/>
                <w:b w:val="1"/>
                <w:bCs w:val="1"/>
                <w:color w:val="auto"/>
                <w:w w:val="99"/>
              </w:rPr>
              <w:t>50%</w:t>
            </w:r>
          </w:p>
        </w:tc>
        <w:tc>
          <w:tcPr>
            <w:tcW w:w="1140" w:type="dxa"/>
            <w:vAlign w:val="bottom"/>
          </w:tcPr>
          <w:p>
            <w:pPr>
              <w:spacing w:after="0"/>
              <w:rPr>
                <w:sz w:val="24"/>
                <w:szCs w:val="24"/>
                <w:color w:val="auto"/>
              </w:rPr>
            </w:pPr>
          </w:p>
        </w:tc>
      </w:tr>
      <w:tr>
        <w:trPr>
          <w:trHeight w:val="297"/>
        </w:trPr>
        <w:tc>
          <w:tcPr>
            <w:tcW w:w="200" w:type="dxa"/>
            <w:vAlign w:val="bottom"/>
          </w:tcPr>
          <w:p>
            <w:pPr>
              <w:spacing w:after="0"/>
              <w:rPr>
                <w:sz w:val="24"/>
                <w:szCs w:val="24"/>
                <w:color w:val="auto"/>
              </w:rPr>
            </w:pPr>
          </w:p>
        </w:tc>
        <w:tc>
          <w:tcPr>
            <w:tcW w:w="5900" w:type="dxa"/>
            <w:vAlign w:val="bottom"/>
            <w:gridSpan w:val="6"/>
          </w:tcPr>
          <w:p>
            <w:pPr>
              <w:ind w:left="2080"/>
              <w:spacing w:after="0"/>
              <w:rPr>
                <w:sz w:val="20"/>
                <w:szCs w:val="20"/>
                <w:color w:val="auto"/>
              </w:rPr>
            </w:pPr>
            <w:r>
              <w:rPr>
                <w:rFonts w:ascii="Arial" w:cs="Arial" w:eastAsia="Arial" w:hAnsi="Arial"/>
                <w:sz w:val="22"/>
                <w:szCs w:val="22"/>
                <w:color w:val="auto"/>
              </w:rPr>
              <w:t>Cash from Operating Activities</w:t>
            </w:r>
          </w:p>
        </w:tc>
        <w:tc>
          <w:tcPr>
            <w:tcW w:w="2400" w:type="dxa"/>
            <w:vAlign w:val="bottom"/>
            <w:gridSpan w:val="5"/>
          </w:tcPr>
          <w:p>
            <w:pPr>
              <w:jc w:val="center"/>
              <w:ind w:left="1852"/>
              <w:spacing w:after="0"/>
              <w:rPr>
                <w:sz w:val="20"/>
                <w:szCs w:val="20"/>
                <w:color w:val="auto"/>
              </w:rPr>
            </w:pPr>
            <w:r>
              <w:rPr>
                <w:rFonts w:ascii="Arial" w:cs="Arial" w:eastAsia="Arial" w:hAnsi="Arial"/>
                <w:sz w:val="22"/>
                <w:szCs w:val="22"/>
                <w:b w:val="1"/>
                <w:bCs w:val="1"/>
                <w:color w:val="auto"/>
                <w:w w:val="99"/>
              </w:rPr>
              <w:t>25%</w:t>
            </w:r>
          </w:p>
        </w:tc>
        <w:tc>
          <w:tcPr>
            <w:tcW w:w="1140" w:type="dxa"/>
            <w:vAlign w:val="bottom"/>
          </w:tcPr>
          <w:p>
            <w:pPr>
              <w:spacing w:after="0"/>
              <w:rPr>
                <w:sz w:val="24"/>
                <w:szCs w:val="24"/>
                <w:color w:val="auto"/>
              </w:rPr>
            </w:pPr>
          </w:p>
        </w:tc>
      </w:tr>
      <w:tr>
        <w:trPr>
          <w:trHeight w:val="571"/>
        </w:trPr>
        <w:tc>
          <w:tcPr>
            <w:tcW w:w="200" w:type="dxa"/>
            <w:vAlign w:val="bottom"/>
          </w:tcPr>
          <w:p>
            <w:pPr>
              <w:spacing w:after="0"/>
              <w:rPr>
                <w:sz w:val="24"/>
                <w:szCs w:val="24"/>
                <w:color w:val="auto"/>
              </w:rPr>
            </w:pPr>
          </w:p>
        </w:tc>
        <w:tc>
          <w:tcPr>
            <w:tcW w:w="5900" w:type="dxa"/>
            <w:vAlign w:val="bottom"/>
            <w:gridSpan w:val="6"/>
          </w:tcPr>
          <w:p>
            <w:pPr>
              <w:ind w:left="720"/>
              <w:spacing w:after="0"/>
              <w:rPr>
                <w:sz w:val="20"/>
                <w:szCs w:val="20"/>
                <w:color w:val="auto"/>
              </w:rPr>
            </w:pPr>
            <w:r>
              <w:rPr>
                <w:rFonts w:ascii="Arial" w:cs="Arial" w:eastAsia="Arial" w:hAnsi="Arial"/>
                <w:sz w:val="22"/>
                <w:szCs w:val="22"/>
                <w:b w:val="1"/>
                <w:bCs w:val="1"/>
                <w:color w:val="auto"/>
              </w:rPr>
              <w:t>Strategic &amp; Operational Positioning Goals</w:t>
            </w:r>
          </w:p>
        </w:tc>
        <w:tc>
          <w:tcPr>
            <w:tcW w:w="1960" w:type="dxa"/>
            <w:vAlign w:val="bottom"/>
            <w:gridSpan w:val="4"/>
          </w:tcPr>
          <w:p>
            <w:pPr>
              <w:spacing w:after="0"/>
              <w:rPr>
                <w:sz w:val="24"/>
                <w:szCs w:val="24"/>
                <w:color w:val="auto"/>
              </w:rPr>
            </w:pPr>
          </w:p>
        </w:tc>
        <w:tc>
          <w:tcPr>
            <w:tcW w:w="440" w:type="dxa"/>
            <w:vAlign w:val="bottom"/>
            <w:tcBorders>
              <w:bottom w:val="single" w:sz="8" w:color="auto"/>
            </w:tcBorders>
          </w:tcPr>
          <w:p>
            <w:pPr>
              <w:jc w:val="center"/>
              <w:spacing w:after="0"/>
              <w:rPr>
                <w:sz w:val="20"/>
                <w:szCs w:val="20"/>
                <w:color w:val="auto"/>
              </w:rPr>
            </w:pPr>
            <w:r>
              <w:rPr>
                <w:rFonts w:ascii="Arial" w:cs="Arial" w:eastAsia="Arial" w:hAnsi="Arial"/>
                <w:sz w:val="22"/>
                <w:szCs w:val="22"/>
                <w:b w:val="1"/>
                <w:bCs w:val="1"/>
                <w:color w:val="auto"/>
                <w:w w:val="99"/>
              </w:rPr>
              <w:t>25%</w:t>
            </w:r>
          </w:p>
        </w:tc>
        <w:tc>
          <w:tcPr>
            <w:tcW w:w="1140" w:type="dxa"/>
            <w:vAlign w:val="bottom"/>
          </w:tcPr>
          <w:p>
            <w:pPr>
              <w:spacing w:after="0"/>
              <w:rPr>
                <w:sz w:val="24"/>
                <w:szCs w:val="24"/>
                <w:color w:val="auto"/>
              </w:rPr>
            </w:pPr>
          </w:p>
        </w:tc>
      </w:tr>
      <w:tr>
        <w:trPr>
          <w:trHeight w:val="328"/>
        </w:trPr>
        <w:tc>
          <w:tcPr>
            <w:tcW w:w="20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540" w:type="dxa"/>
            <w:vAlign w:val="bottom"/>
            <w:gridSpan w:val="6"/>
          </w:tcPr>
          <w:p>
            <w:pPr>
              <w:ind w:left="1920"/>
              <w:spacing w:after="0"/>
              <w:rPr>
                <w:sz w:val="20"/>
                <w:szCs w:val="20"/>
                <w:color w:val="auto"/>
              </w:rPr>
            </w:pPr>
            <w:r>
              <w:rPr>
                <w:rFonts w:ascii="Arial" w:cs="Arial" w:eastAsia="Arial" w:hAnsi="Arial"/>
                <w:sz w:val="22"/>
                <w:szCs w:val="22"/>
                <w:b w:val="1"/>
                <w:bCs w:val="1"/>
                <w:color w:val="auto"/>
              </w:rPr>
              <w:t>100%</w:t>
            </w:r>
          </w:p>
        </w:tc>
      </w:tr>
    </w:tbl>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Compensation Subject to Compensation Recovery Policy</w:t>
      </w: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Annual Incentive Plan Compensation is subject to recoupment as defined in the Compensation Recovery policy.</w:t>
      </w:r>
    </w:p>
    <w:p>
      <w:pPr>
        <w:sectPr>
          <w:pgSz w:w="11900" w:h="16838" w:orient="portrait"/>
          <w:cols w:equalWidth="0" w:num="1">
            <w:col w:w="11420"/>
          </w:cols>
          <w:pgMar w:left="240" w:top="580" w:right="239" w:bottom="1440" w:gutter="0" w:footer="0" w:header="0"/>
        </w:sectPr>
      </w:pPr>
    </w:p>
    <w:bookmarkStart w:id="114" w:name="page115"/>
    <w:bookmarkEnd w:id="114"/>
    <w:p>
      <w:pPr>
        <w:jc w:val="right"/>
        <w:spacing w:after="0"/>
        <w:rPr>
          <w:sz w:val="20"/>
          <w:szCs w:val="20"/>
          <w:color w:val="auto"/>
        </w:rPr>
      </w:pPr>
      <w:r>
        <w:rPr>
          <w:rFonts w:ascii="Arial" w:cs="Arial" w:eastAsia="Arial" w:hAnsi="Arial"/>
          <w:sz w:val="18"/>
          <w:szCs w:val="18"/>
          <w:b w:val="1"/>
          <w:bCs w:val="1"/>
          <w:color w:val="auto"/>
        </w:rPr>
        <w:t>Exhibit 10(j)</w:t>
      </w:r>
    </w:p>
    <w:p>
      <w:pPr>
        <w:spacing w:after="0" w:line="200" w:lineRule="exact"/>
        <w:rPr>
          <w:sz w:val="20"/>
          <w:szCs w:val="20"/>
          <w:color w:val="auto"/>
        </w:rPr>
      </w:pPr>
    </w:p>
    <w:p>
      <w:pPr>
        <w:spacing w:after="0" w:line="232" w:lineRule="exact"/>
        <w:rPr>
          <w:sz w:val="20"/>
          <w:szCs w:val="20"/>
          <w:color w:val="auto"/>
        </w:rPr>
      </w:pPr>
    </w:p>
    <w:p>
      <w:pPr>
        <w:jc w:val="center"/>
        <w:ind w:right="1200"/>
        <w:spacing w:after="0"/>
        <w:rPr>
          <w:sz w:val="20"/>
          <w:szCs w:val="20"/>
          <w:color w:val="auto"/>
        </w:rPr>
      </w:pPr>
      <w:r>
        <w:rPr>
          <w:rFonts w:ascii="Arial" w:cs="Arial" w:eastAsia="Arial" w:hAnsi="Arial"/>
          <w:sz w:val="32"/>
          <w:szCs w:val="32"/>
          <w:b w:val="1"/>
          <w:bCs w:val="1"/>
          <w:color w:val="auto"/>
        </w:rPr>
        <w:t>ALLETE, INC. AMENDED AND RESTATED</w:t>
      </w:r>
    </w:p>
    <w:p>
      <w:pPr>
        <w:spacing w:after="0" w:line="46" w:lineRule="exact"/>
        <w:rPr>
          <w:sz w:val="20"/>
          <w:szCs w:val="20"/>
          <w:color w:val="auto"/>
        </w:rPr>
      </w:pPr>
    </w:p>
    <w:p>
      <w:pPr>
        <w:jc w:val="center"/>
        <w:ind w:right="1200"/>
        <w:spacing w:after="0"/>
        <w:rPr>
          <w:sz w:val="20"/>
          <w:szCs w:val="20"/>
          <w:color w:val="auto"/>
        </w:rPr>
      </w:pPr>
      <w:r>
        <w:rPr>
          <w:rFonts w:ascii="Arial" w:cs="Arial" w:eastAsia="Arial" w:hAnsi="Arial"/>
          <w:sz w:val="32"/>
          <w:szCs w:val="32"/>
          <w:b w:val="1"/>
          <w:bCs w:val="1"/>
          <w:color w:val="auto"/>
        </w:rPr>
        <w:t>DEFERRED COMPENSATION TRUST AGREEMENT</w:t>
      </w:r>
    </w:p>
    <w:p>
      <w:pPr>
        <w:spacing w:after="0" w:line="204" w:lineRule="exact"/>
        <w:rPr>
          <w:sz w:val="20"/>
          <w:szCs w:val="20"/>
          <w:color w:val="auto"/>
        </w:rPr>
      </w:pPr>
    </w:p>
    <w:p>
      <w:pPr>
        <w:ind w:left="3200"/>
        <w:spacing w:after="0"/>
        <w:rPr>
          <w:sz w:val="20"/>
          <w:szCs w:val="20"/>
          <w:color w:val="auto"/>
        </w:rPr>
      </w:pPr>
      <w:r>
        <w:rPr>
          <w:rFonts w:ascii="Arial" w:cs="Arial" w:eastAsia="Arial" w:hAnsi="Arial"/>
          <w:sz w:val="22"/>
          <w:szCs w:val="22"/>
          <w:b w:val="1"/>
          <w:bCs w:val="1"/>
          <w:color w:val="auto"/>
        </w:rPr>
        <w:t>Effective December 15, 2012</w:t>
      </w:r>
    </w:p>
    <w:p>
      <w:pPr>
        <w:sectPr>
          <w:pgSz w:w="11900" w:h="16838" w:orient="portrait"/>
          <w:cols w:equalWidth="0" w:num="1">
            <w:col w:w="10220"/>
          </w:cols>
          <w:pgMar w:left="1440" w:top="580" w:right="239" w:bottom="1440" w:gutter="0" w:footer="0" w:header="0"/>
        </w:sectPr>
      </w:pPr>
    </w:p>
    <w:bookmarkStart w:id="115" w:name="page116"/>
    <w:bookmarkEnd w:id="115"/>
    <w:p>
      <w:pPr>
        <w:jc w:val="center"/>
        <w:ind w:right="-19"/>
        <w:spacing w:after="0"/>
        <w:rPr>
          <w:sz w:val="20"/>
          <w:szCs w:val="20"/>
          <w:color w:val="auto"/>
        </w:rPr>
      </w:pPr>
      <w:r>
        <w:rPr>
          <w:rFonts w:ascii="Arial" w:cs="Arial" w:eastAsia="Arial" w:hAnsi="Arial"/>
          <w:sz w:val="32"/>
          <w:szCs w:val="32"/>
          <w:b w:val="1"/>
          <w:bCs w:val="1"/>
          <w:color w:val="auto"/>
        </w:rPr>
        <w:t>ALLETE, INC. AMENDED AND RESTATED</w:t>
      </w:r>
    </w:p>
    <w:p>
      <w:pPr>
        <w:spacing w:after="0" w:line="46"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DEFERRED COMPENSATION TRUST AGREEMENT</w:t>
      </w:r>
    </w:p>
    <w:p>
      <w:pPr>
        <w:spacing w:after="0" w:line="200" w:lineRule="exact"/>
        <w:rPr>
          <w:sz w:val="20"/>
          <w:szCs w:val="20"/>
          <w:color w:val="auto"/>
        </w:rPr>
      </w:pPr>
    </w:p>
    <w:p>
      <w:pPr>
        <w:spacing w:after="0" w:line="215" w:lineRule="exact"/>
        <w:rPr>
          <w:sz w:val="20"/>
          <w:szCs w:val="20"/>
          <w:color w:val="auto"/>
        </w:rPr>
      </w:pPr>
    </w:p>
    <w:p>
      <w:pPr>
        <w:ind w:right="40"/>
        <w:spacing w:after="0" w:line="264" w:lineRule="auto"/>
        <w:rPr>
          <w:sz w:val="20"/>
          <w:szCs w:val="20"/>
          <w:color w:val="auto"/>
        </w:rPr>
      </w:pPr>
      <w:r>
        <w:rPr>
          <w:rFonts w:ascii="Arial" w:cs="Arial" w:eastAsia="Arial" w:hAnsi="Arial"/>
          <w:sz w:val="20"/>
          <w:szCs w:val="20"/>
          <w:color w:val="auto"/>
        </w:rPr>
        <w:t>This Grantor Trust Agreement (the “</w:t>
      </w:r>
      <w:r>
        <w:rPr>
          <w:rFonts w:ascii="Arial" w:cs="Arial" w:eastAsia="Arial" w:hAnsi="Arial"/>
          <w:sz w:val="20"/>
          <w:szCs w:val="20"/>
          <w:b w:val="1"/>
          <w:bCs w:val="1"/>
          <w:color w:val="auto"/>
        </w:rPr>
        <w:t>Trust Agreement</w:t>
      </w:r>
      <w:r>
        <w:rPr>
          <w:rFonts w:ascii="Arial" w:cs="Arial" w:eastAsia="Arial" w:hAnsi="Arial"/>
          <w:sz w:val="20"/>
          <w:szCs w:val="20"/>
          <w:color w:val="auto"/>
        </w:rPr>
        <w:t>”) is made this 15</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day of December, 2012 by and between </w:t>
      </w:r>
      <w:r>
        <w:rPr>
          <w:rFonts w:ascii="Arial" w:cs="Arial" w:eastAsia="Arial" w:hAnsi="Arial"/>
          <w:sz w:val="20"/>
          <w:szCs w:val="20"/>
          <w:b w:val="1"/>
          <w:bCs w:val="1"/>
          <w:color w:val="auto"/>
        </w:rPr>
        <w:t>ALLETE, INC.</w:t>
      </w:r>
      <w:r>
        <w:rPr>
          <w:rFonts w:ascii="Arial" w:cs="Arial" w:eastAsia="Arial" w:hAnsi="Arial"/>
          <w:sz w:val="20"/>
          <w:szCs w:val="20"/>
          <w:color w:val="auto"/>
        </w:rPr>
        <w:t xml:space="preserve"> (“the </w:t>
      </w:r>
      <w:r>
        <w:rPr>
          <w:rFonts w:ascii="Arial" w:cs="Arial" w:eastAsia="Arial" w:hAnsi="Arial"/>
          <w:sz w:val="20"/>
          <w:szCs w:val="20"/>
          <w:b w:val="1"/>
          <w:bCs w:val="1"/>
          <w:color w:val="auto"/>
        </w:rPr>
        <w:t>Company</w:t>
      </w:r>
      <w:r>
        <w:rPr>
          <w:rFonts w:ascii="Arial" w:cs="Arial" w:eastAsia="Arial" w:hAnsi="Arial"/>
          <w:sz w:val="20"/>
          <w:szCs w:val="20"/>
          <w:color w:val="auto"/>
        </w:rPr>
        <w:t xml:space="preserve">”) and </w:t>
      </w:r>
      <w:r>
        <w:rPr>
          <w:rFonts w:ascii="Arial" w:cs="Arial" w:eastAsia="Arial" w:hAnsi="Arial"/>
          <w:sz w:val="20"/>
          <w:szCs w:val="20"/>
          <w:b w:val="1"/>
          <w:bCs w:val="1"/>
          <w:color w:val="auto"/>
        </w:rPr>
        <w:t>WELLS FARGO BANK, NATIONAL ASSOCIATION</w:t>
      </w:r>
      <w:r>
        <w:rPr>
          <w:rFonts w:ascii="Arial" w:cs="Arial" w:eastAsia="Arial" w:hAnsi="Arial"/>
          <w:sz w:val="20"/>
          <w:szCs w:val="20"/>
          <w:color w:val="auto"/>
        </w:rPr>
        <w:t xml:space="preserve"> (“the </w:t>
      </w:r>
      <w:r>
        <w:rPr>
          <w:rFonts w:ascii="Arial" w:cs="Arial" w:eastAsia="Arial" w:hAnsi="Arial"/>
          <w:sz w:val="20"/>
          <w:szCs w:val="20"/>
          <w:b w:val="1"/>
          <w:bCs w:val="1"/>
          <w:color w:val="auto"/>
        </w:rPr>
        <w:t>Trustee</w:t>
      </w:r>
      <w:r>
        <w:rPr>
          <w:rFonts w:ascii="Arial" w:cs="Arial" w:eastAsia="Arial" w:hAnsi="Arial"/>
          <w:sz w:val="20"/>
          <w:szCs w:val="20"/>
          <w:color w:val="auto"/>
        </w:rPr>
        <w:t>”) and hereby amends and restates the Minnesota Power and Affiliated Companies Deferred Compensation Trust Agreement (the “</w:t>
      </w:r>
      <w:r>
        <w:rPr>
          <w:rFonts w:ascii="Arial" w:cs="Arial" w:eastAsia="Arial" w:hAnsi="Arial"/>
          <w:sz w:val="20"/>
          <w:szCs w:val="20"/>
          <w:b w:val="1"/>
          <w:bCs w:val="1"/>
          <w:color w:val="auto"/>
        </w:rPr>
        <w:t>Original Trust Agreement</w:t>
      </w:r>
      <w:r>
        <w:rPr>
          <w:rFonts w:ascii="Arial" w:cs="Arial" w:eastAsia="Arial" w:hAnsi="Arial"/>
          <w:sz w:val="20"/>
          <w:szCs w:val="20"/>
          <w:color w:val="auto"/>
        </w:rPr>
        <w:t>”), effective January 1, 1990, for the participants under such agreement who have consented to this amended and restated Trust Agreement (“</w:t>
      </w:r>
      <w:r>
        <w:rPr>
          <w:rFonts w:ascii="Arial" w:cs="Arial" w:eastAsia="Arial" w:hAnsi="Arial"/>
          <w:sz w:val="20"/>
          <w:szCs w:val="20"/>
          <w:b w:val="1"/>
          <w:bCs w:val="1"/>
          <w:color w:val="auto"/>
        </w:rPr>
        <w:t>Consenting Participants</w:t>
      </w:r>
      <w:r>
        <w:rPr>
          <w:rFonts w:ascii="Arial" w:cs="Arial" w:eastAsia="Arial" w:hAnsi="Arial"/>
          <w:sz w:val="20"/>
          <w:szCs w:val="20"/>
          <w:color w:val="auto"/>
        </w:rPr>
        <w:t>”). The Original Trust Agreement will continue to be effective for the participants in the Arrangements to whom benefit payments are owed at the time the Trust Agreement is adopted who have not consented to this amended and restated Trust Agreement (“</w:t>
      </w:r>
      <w:r>
        <w:rPr>
          <w:rFonts w:ascii="Arial" w:cs="Arial" w:eastAsia="Arial" w:hAnsi="Arial"/>
          <w:sz w:val="20"/>
          <w:szCs w:val="20"/>
          <w:b w:val="1"/>
          <w:bCs w:val="1"/>
          <w:color w:val="auto"/>
        </w:rPr>
        <w:t>Non-consenting Participants</w:t>
      </w:r>
      <w:r>
        <w:rPr>
          <w:rFonts w:ascii="Arial" w:cs="Arial" w:eastAsia="Arial" w:hAnsi="Arial"/>
          <w:sz w:val="20"/>
          <w:szCs w:val="20"/>
          <w:color w:val="auto"/>
        </w:rPr>
        <w:t>”).</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Recitals</w:t>
      </w:r>
    </w:p>
    <w:p>
      <w:pPr>
        <w:spacing w:after="0" w:line="200" w:lineRule="exact"/>
        <w:rPr>
          <w:sz w:val="20"/>
          <w:szCs w:val="20"/>
          <w:color w:val="auto"/>
        </w:rPr>
      </w:pPr>
    </w:p>
    <w:p>
      <w:pPr>
        <w:spacing w:after="0" w:line="317" w:lineRule="exact"/>
        <w:rPr>
          <w:sz w:val="20"/>
          <w:szCs w:val="20"/>
          <w:color w:val="auto"/>
        </w:rPr>
      </w:pPr>
    </w:p>
    <w:p>
      <w:pPr>
        <w:ind w:left="660" w:right="1500" w:hanging="328"/>
        <w:spacing w:after="0" w:line="350" w:lineRule="auto"/>
        <w:tabs>
          <w:tab w:leader="none" w:pos="660" w:val="left"/>
        </w:tabs>
        <w:numPr>
          <w:ilvl w:val="0"/>
          <w:numId w:val="35"/>
        </w:numPr>
        <w:rPr>
          <w:rFonts w:ascii="Arial" w:cs="Arial" w:eastAsia="Arial" w:hAnsi="Arial"/>
          <w:sz w:val="19"/>
          <w:szCs w:val="19"/>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the Company has adopted the nonqualified deferred compensation plans and agreements (the</w:t>
      </w:r>
      <w:r>
        <w:rPr>
          <w:rFonts w:ascii="Arial" w:cs="Arial" w:eastAsia="Arial" w:hAnsi="Arial"/>
          <w:sz w:val="19"/>
          <w:szCs w:val="19"/>
          <w:b w:val="1"/>
          <w:bCs w:val="1"/>
          <w:color w:val="auto"/>
        </w:rPr>
        <w:t xml:space="preserve"> </w:t>
      </w:r>
      <w:r>
        <w:rPr>
          <w:rFonts w:ascii="Arial" w:cs="Arial" w:eastAsia="Arial" w:hAnsi="Arial"/>
          <w:sz w:val="19"/>
          <w:szCs w:val="19"/>
          <w:color w:val="auto"/>
        </w:rPr>
        <w:t>“</w:t>
      </w:r>
      <w:r>
        <w:rPr>
          <w:rFonts w:ascii="Arial" w:cs="Arial" w:eastAsia="Arial" w:hAnsi="Arial"/>
          <w:sz w:val="19"/>
          <w:szCs w:val="19"/>
          <w:b w:val="1"/>
          <w:bCs w:val="1"/>
          <w:color w:val="auto"/>
        </w:rPr>
        <w:t>Arrangements</w:t>
      </w:r>
      <w:r>
        <w:rPr>
          <w:rFonts w:ascii="Arial" w:cs="Arial" w:eastAsia="Arial" w:hAnsi="Arial"/>
          <w:sz w:val="19"/>
          <w:szCs w:val="19"/>
          <w:color w:val="auto"/>
        </w:rPr>
        <w:t>”) attached hereto as Attachment A, which may be amended from time to time;</w:t>
      </w:r>
    </w:p>
    <w:p>
      <w:pPr>
        <w:spacing w:after="0" w:line="132" w:lineRule="exact"/>
        <w:rPr>
          <w:rFonts w:ascii="Arial" w:cs="Arial" w:eastAsia="Arial" w:hAnsi="Arial"/>
          <w:sz w:val="19"/>
          <w:szCs w:val="19"/>
          <w:color w:val="auto"/>
        </w:rPr>
      </w:pPr>
    </w:p>
    <w:p>
      <w:pPr>
        <w:ind w:left="660" w:right="180" w:hanging="328"/>
        <w:spacing w:after="0" w:line="252" w:lineRule="auto"/>
        <w:tabs>
          <w:tab w:leader="none" w:pos="660" w:val="left"/>
        </w:tabs>
        <w:numPr>
          <w:ilvl w:val="0"/>
          <w:numId w:val="35"/>
        </w:numPr>
        <w:rPr>
          <w:rFonts w:ascii="Arial" w:cs="Arial" w:eastAsia="Arial" w:hAnsi="Arial"/>
          <w:sz w:val="22"/>
          <w:szCs w:val="22"/>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Company has incurred or expects to incur liability under the terms of such Arrangements with respect to</w:t>
      </w:r>
      <w:r>
        <w:rPr>
          <w:rFonts w:ascii="Arial" w:cs="Arial" w:eastAsia="Arial" w:hAnsi="Arial"/>
          <w:sz w:val="22"/>
          <w:szCs w:val="22"/>
          <w:b w:val="1"/>
          <w:bCs w:val="1"/>
          <w:color w:val="auto"/>
        </w:rPr>
        <w:t xml:space="preserve"> </w:t>
      </w:r>
      <w:r>
        <w:rPr>
          <w:rFonts w:ascii="Arial" w:cs="Arial" w:eastAsia="Arial" w:hAnsi="Arial"/>
          <w:sz w:val="22"/>
          <w:szCs w:val="22"/>
          <w:color w:val="auto"/>
        </w:rPr>
        <w:t>the individuals participating in such Arrangements or beneficiaries designated by such participants who are entitled to receive benefits under the terms of such arrangements as the result of the death of the participant (collectively, the “</w:t>
      </w:r>
      <w:r>
        <w:rPr>
          <w:rFonts w:ascii="Arial" w:cs="Arial" w:eastAsia="Arial" w:hAnsi="Arial"/>
          <w:sz w:val="22"/>
          <w:szCs w:val="22"/>
          <w:b w:val="1"/>
          <w:bCs w:val="1"/>
          <w:color w:val="auto"/>
        </w:rPr>
        <w:t>Participants”);</w:t>
      </w:r>
    </w:p>
    <w:p>
      <w:pPr>
        <w:spacing w:after="0" w:line="220" w:lineRule="exact"/>
        <w:rPr>
          <w:rFonts w:ascii="Arial" w:cs="Arial" w:eastAsia="Arial" w:hAnsi="Arial"/>
          <w:sz w:val="22"/>
          <w:szCs w:val="22"/>
          <w:color w:val="auto"/>
        </w:rPr>
      </w:pPr>
    </w:p>
    <w:p>
      <w:pPr>
        <w:ind w:left="660" w:hanging="328"/>
        <w:spacing w:after="0" w:line="315" w:lineRule="auto"/>
        <w:tabs>
          <w:tab w:leader="none" w:pos="660" w:val="left"/>
        </w:tabs>
        <w:numPr>
          <w:ilvl w:val="0"/>
          <w:numId w:val="35"/>
        </w:numPr>
        <w:rPr>
          <w:rFonts w:ascii="Arial" w:cs="Arial" w:eastAsia="Arial" w:hAnsi="Arial"/>
          <w:sz w:val="19"/>
          <w:szCs w:val="19"/>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the Company hereby establishes a Trust (the “</w:t>
      </w:r>
      <w:r>
        <w:rPr>
          <w:rFonts w:ascii="Arial" w:cs="Arial" w:eastAsia="Arial" w:hAnsi="Arial"/>
          <w:sz w:val="19"/>
          <w:szCs w:val="19"/>
          <w:b w:val="1"/>
          <w:bCs w:val="1"/>
          <w:color w:val="auto"/>
        </w:rPr>
        <w:t>Trust</w:t>
      </w:r>
      <w:r>
        <w:rPr>
          <w:rFonts w:ascii="Arial" w:cs="Arial" w:eastAsia="Arial" w:hAnsi="Arial"/>
          <w:sz w:val="19"/>
          <w:szCs w:val="19"/>
          <w:color w:val="auto"/>
        </w:rPr>
        <w:t>”) and shall contribute to the Trust assets that shall be held</w:t>
      </w:r>
      <w:r>
        <w:rPr>
          <w:rFonts w:ascii="Arial" w:cs="Arial" w:eastAsia="Arial" w:hAnsi="Arial"/>
          <w:sz w:val="19"/>
          <w:szCs w:val="19"/>
          <w:b w:val="1"/>
          <w:bCs w:val="1"/>
          <w:color w:val="auto"/>
        </w:rPr>
        <w:t xml:space="preserve"> </w:t>
      </w:r>
      <w:r>
        <w:rPr>
          <w:rFonts w:ascii="Arial" w:cs="Arial" w:eastAsia="Arial" w:hAnsi="Arial"/>
          <w:sz w:val="19"/>
          <w:szCs w:val="19"/>
          <w:color w:val="auto"/>
        </w:rPr>
        <w:t>therein, subject to the claims of the Company's creditors in the event of the Company's Insolvency, as herein defined, until paid to Participants in such manner and at such times as specified in the Arrangements and in this Trust Agreement;</w:t>
      </w:r>
    </w:p>
    <w:p>
      <w:pPr>
        <w:spacing w:after="0" w:line="166" w:lineRule="exact"/>
        <w:rPr>
          <w:rFonts w:ascii="Arial" w:cs="Arial" w:eastAsia="Arial" w:hAnsi="Arial"/>
          <w:sz w:val="19"/>
          <w:szCs w:val="19"/>
          <w:color w:val="auto"/>
        </w:rPr>
      </w:pPr>
    </w:p>
    <w:p>
      <w:pPr>
        <w:ind w:left="660" w:hanging="328"/>
        <w:spacing w:after="0" w:line="252" w:lineRule="auto"/>
        <w:tabs>
          <w:tab w:leader="none" w:pos="660" w:val="left"/>
        </w:tabs>
        <w:numPr>
          <w:ilvl w:val="0"/>
          <w:numId w:val="35"/>
        </w:numPr>
        <w:rPr>
          <w:rFonts w:ascii="Arial" w:cs="Arial" w:eastAsia="Arial" w:hAnsi="Arial"/>
          <w:sz w:val="22"/>
          <w:szCs w:val="22"/>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it is the intention of the parties that this Trust shall constitute an unfunded arrangement and shall not affect the</w:t>
      </w:r>
      <w:r>
        <w:rPr>
          <w:rFonts w:ascii="Arial" w:cs="Arial" w:eastAsia="Arial" w:hAnsi="Arial"/>
          <w:sz w:val="22"/>
          <w:szCs w:val="22"/>
          <w:b w:val="1"/>
          <w:bCs w:val="1"/>
          <w:color w:val="auto"/>
        </w:rPr>
        <w:t xml:space="preserve"> </w:t>
      </w:r>
      <w:r>
        <w:rPr>
          <w:rFonts w:ascii="Arial" w:cs="Arial" w:eastAsia="Arial" w:hAnsi="Arial"/>
          <w:sz w:val="22"/>
          <w:szCs w:val="22"/>
          <w:color w:val="auto"/>
        </w:rPr>
        <w:t>status of the Arrangements as an unfunded plan maintained for the purpose of providing deferred compensation for a select group of management or highly compensated employees for purposes of Title I of the Employee Retirement Income Security Act of 1974;</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828" w:right="259" w:bottom="1440" w:gutter="0" w:footer="0" w:header="0"/>
        </w:sectPr>
      </w:pPr>
    </w:p>
    <w:bookmarkStart w:id="116" w:name="page117"/>
    <w:bookmarkEnd w:id="116"/>
    <w:p>
      <w:pPr>
        <w:ind w:left="660" w:right="240" w:hanging="328"/>
        <w:spacing w:after="0" w:line="256" w:lineRule="auto"/>
        <w:tabs>
          <w:tab w:leader="none" w:pos="660" w:val="left"/>
        </w:tabs>
        <w:numPr>
          <w:ilvl w:val="0"/>
          <w:numId w:val="36"/>
        </w:numPr>
        <w:rPr>
          <w:rFonts w:ascii="Arial" w:cs="Arial" w:eastAsia="Arial" w:hAnsi="Arial"/>
          <w:sz w:val="22"/>
          <w:szCs w:val="22"/>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it is the intention of the parties that this Trust shall be interpreted in all respects to comply with Internal</w:t>
      </w:r>
      <w:r>
        <w:rPr>
          <w:rFonts w:ascii="Arial" w:cs="Arial" w:eastAsia="Arial" w:hAnsi="Arial"/>
          <w:sz w:val="22"/>
          <w:szCs w:val="22"/>
          <w:b w:val="1"/>
          <w:bCs w:val="1"/>
          <w:color w:val="auto"/>
        </w:rPr>
        <w:t xml:space="preserve"> </w:t>
      </w:r>
      <w:r>
        <w:rPr>
          <w:rFonts w:ascii="Arial" w:cs="Arial" w:eastAsia="Arial" w:hAnsi="Arial"/>
          <w:sz w:val="22"/>
          <w:szCs w:val="22"/>
          <w:color w:val="auto"/>
        </w:rPr>
        <w:t>Revenue Code Section 409A (IRC Section 409A) and applicable authorities promulgated thereunder as may change from time to time; and</w:t>
      </w:r>
    </w:p>
    <w:p>
      <w:pPr>
        <w:spacing w:after="0" w:line="216" w:lineRule="exact"/>
        <w:rPr>
          <w:rFonts w:ascii="Arial" w:cs="Arial" w:eastAsia="Arial" w:hAnsi="Arial"/>
          <w:sz w:val="22"/>
          <w:szCs w:val="22"/>
          <w:color w:val="auto"/>
        </w:rPr>
      </w:pPr>
    </w:p>
    <w:p>
      <w:pPr>
        <w:ind w:left="660" w:right="240" w:hanging="328"/>
        <w:spacing w:after="0" w:line="269" w:lineRule="auto"/>
        <w:tabs>
          <w:tab w:leader="none" w:pos="660" w:val="left"/>
        </w:tabs>
        <w:numPr>
          <w:ilvl w:val="0"/>
          <w:numId w:val="36"/>
        </w:numPr>
        <w:rPr>
          <w:rFonts w:ascii="Arial" w:cs="Arial" w:eastAsia="Arial" w:hAnsi="Arial"/>
          <w:sz w:val="22"/>
          <w:szCs w:val="22"/>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it is the intention of the Company to make contributions to the Trust to provide itself with a source of funds</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(“the </w:t>
      </w:r>
      <w:r>
        <w:rPr>
          <w:rFonts w:ascii="Arial" w:cs="Arial" w:eastAsia="Arial" w:hAnsi="Arial"/>
          <w:sz w:val="22"/>
          <w:szCs w:val="22"/>
          <w:b w:val="1"/>
          <w:bCs w:val="1"/>
          <w:color w:val="auto"/>
        </w:rPr>
        <w:t>Fund</w:t>
      </w:r>
      <w:r>
        <w:rPr>
          <w:rFonts w:ascii="Arial" w:cs="Arial" w:eastAsia="Arial" w:hAnsi="Arial"/>
          <w:sz w:val="22"/>
          <w:szCs w:val="22"/>
          <w:color w:val="auto"/>
        </w:rPr>
        <w:t>”) to assist it in satisfying its liabilities under the Arrangements.</w:t>
      </w:r>
    </w:p>
    <w:p>
      <w:pPr>
        <w:spacing w:after="0" w:line="203" w:lineRule="exact"/>
        <w:rPr>
          <w:sz w:val="20"/>
          <w:szCs w:val="20"/>
          <w:color w:val="auto"/>
        </w:rPr>
      </w:pPr>
    </w:p>
    <w:p>
      <w:pPr>
        <w:ind w:right="220"/>
        <w:spacing w:after="0" w:line="269" w:lineRule="auto"/>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the parties do hereby establish the Trust and agree that the Trust shall be comprised, held and disposed of</w:t>
      </w:r>
      <w:r>
        <w:rPr>
          <w:rFonts w:ascii="Arial" w:cs="Arial" w:eastAsia="Arial" w:hAnsi="Arial"/>
          <w:sz w:val="22"/>
          <w:szCs w:val="22"/>
          <w:b w:val="1"/>
          <w:bCs w:val="1"/>
          <w:color w:val="auto"/>
        </w:rPr>
        <w:t xml:space="preserve"> </w:t>
      </w:r>
      <w:r>
        <w:rPr>
          <w:rFonts w:ascii="Arial" w:cs="Arial" w:eastAsia="Arial" w:hAnsi="Arial"/>
          <w:sz w:val="22"/>
          <w:szCs w:val="22"/>
          <w:color w:val="auto"/>
        </w:rPr>
        <w:t>as follows:</w:t>
      </w:r>
    </w:p>
    <w:p>
      <w:pPr>
        <w:spacing w:after="0" w:line="203" w:lineRule="exact"/>
        <w:rPr>
          <w:sz w:val="20"/>
          <w:szCs w:val="20"/>
          <w:color w:val="auto"/>
        </w:rPr>
      </w:pPr>
    </w:p>
    <w:p>
      <w:pPr>
        <w:spacing w:after="0"/>
        <w:tabs>
          <w:tab w:leader="none" w:pos="1100" w:val="left"/>
        </w:tabs>
        <w:rPr>
          <w:sz w:val="20"/>
          <w:szCs w:val="20"/>
          <w:color w:val="auto"/>
        </w:rPr>
      </w:pPr>
      <w:r>
        <w:rPr>
          <w:rFonts w:ascii="Arial" w:cs="Arial" w:eastAsia="Arial" w:hAnsi="Arial"/>
          <w:sz w:val="22"/>
          <w:szCs w:val="22"/>
          <w:b w:val="1"/>
          <w:bCs w:val="1"/>
          <w:color w:val="auto"/>
        </w:rPr>
        <w:t>Section 1.</w:t>
      </w:r>
      <w:r>
        <w:rPr>
          <w:sz w:val="20"/>
          <w:szCs w:val="20"/>
          <w:color w:val="auto"/>
        </w:rPr>
        <w:tab/>
      </w:r>
      <w:r>
        <w:rPr>
          <w:rFonts w:ascii="Arial" w:cs="Arial" w:eastAsia="Arial" w:hAnsi="Arial"/>
          <w:sz w:val="19"/>
          <w:szCs w:val="19"/>
          <w:b w:val="1"/>
          <w:bCs w:val="1"/>
          <w:u w:val="single" w:color="auto"/>
          <w:color w:val="auto"/>
        </w:rPr>
        <w:t>Establishment of The Trust</w:t>
      </w:r>
    </w:p>
    <w:p>
      <w:pPr>
        <w:spacing w:after="0" w:line="266" w:lineRule="exact"/>
        <w:rPr>
          <w:sz w:val="20"/>
          <w:szCs w:val="20"/>
          <w:color w:val="auto"/>
        </w:rPr>
      </w:pPr>
    </w:p>
    <w:p>
      <w:pPr>
        <w:jc w:val="both"/>
        <w:ind w:left="660" w:right="220" w:hanging="328"/>
        <w:spacing w:after="0" w:line="343" w:lineRule="auto"/>
        <w:tabs>
          <w:tab w:leader="none" w:pos="660" w:val="left"/>
        </w:tabs>
        <w:numPr>
          <w:ilvl w:val="0"/>
          <w:numId w:val="37"/>
        </w:numPr>
        <w:rPr>
          <w:rFonts w:ascii="Arial" w:cs="Arial" w:eastAsia="Arial" w:hAnsi="Arial"/>
          <w:sz w:val="19"/>
          <w:szCs w:val="19"/>
          <w:color w:val="auto"/>
        </w:rPr>
      </w:pPr>
      <w:r>
        <w:rPr>
          <w:rFonts w:ascii="Arial" w:cs="Arial" w:eastAsia="Arial" w:hAnsi="Arial"/>
          <w:sz w:val="19"/>
          <w:szCs w:val="19"/>
          <w:color w:val="auto"/>
        </w:rPr>
        <w:t>The Trust is intended to be a Grantor Trust, of which the Company is the Grantor, within the meaning of subpart E, part I, subchapter J, chapter 1, subtitle A of the Internal Revenue Code of 1986, as amended, and shall be construed accordingly.</w:t>
      </w:r>
    </w:p>
    <w:p>
      <w:pPr>
        <w:spacing w:after="0" w:line="145" w:lineRule="exact"/>
        <w:rPr>
          <w:rFonts w:ascii="Arial" w:cs="Arial" w:eastAsia="Arial" w:hAnsi="Arial"/>
          <w:sz w:val="19"/>
          <w:szCs w:val="19"/>
          <w:color w:val="auto"/>
        </w:rPr>
      </w:pPr>
    </w:p>
    <w:p>
      <w:pPr>
        <w:ind w:left="660" w:hanging="328"/>
        <w:spacing w:after="0"/>
        <w:tabs>
          <w:tab w:leader="none" w:pos="660" w:val="left"/>
        </w:tabs>
        <w:numPr>
          <w:ilvl w:val="0"/>
          <w:numId w:val="37"/>
        </w:numPr>
        <w:rPr>
          <w:rFonts w:ascii="Arial" w:cs="Arial" w:eastAsia="Arial" w:hAnsi="Arial"/>
          <w:sz w:val="22"/>
          <w:szCs w:val="22"/>
          <w:color w:val="auto"/>
        </w:rPr>
      </w:pPr>
      <w:r>
        <w:rPr>
          <w:rFonts w:ascii="Arial" w:cs="Arial" w:eastAsia="Arial" w:hAnsi="Arial"/>
          <w:sz w:val="22"/>
          <w:szCs w:val="22"/>
          <w:color w:val="auto"/>
        </w:rPr>
        <w:t>The Company shall be considered a Grantor for the purposes of the Trust.</w:t>
      </w:r>
    </w:p>
    <w:p>
      <w:pPr>
        <w:spacing w:after="0" w:line="260" w:lineRule="exact"/>
        <w:rPr>
          <w:rFonts w:ascii="Arial" w:cs="Arial" w:eastAsia="Arial" w:hAnsi="Arial"/>
          <w:sz w:val="22"/>
          <w:szCs w:val="22"/>
          <w:color w:val="auto"/>
        </w:rPr>
      </w:pPr>
    </w:p>
    <w:p>
      <w:pPr>
        <w:ind w:left="660" w:hanging="328"/>
        <w:spacing w:after="0"/>
        <w:tabs>
          <w:tab w:leader="none" w:pos="660" w:val="left"/>
        </w:tabs>
        <w:numPr>
          <w:ilvl w:val="0"/>
          <w:numId w:val="37"/>
        </w:numPr>
        <w:rPr>
          <w:rFonts w:ascii="Arial" w:cs="Arial" w:eastAsia="Arial" w:hAnsi="Arial"/>
          <w:sz w:val="22"/>
          <w:szCs w:val="22"/>
          <w:color w:val="auto"/>
        </w:rPr>
      </w:pPr>
      <w:r>
        <w:rPr>
          <w:rFonts w:ascii="Arial" w:cs="Arial" w:eastAsia="Arial" w:hAnsi="Arial"/>
          <w:sz w:val="22"/>
          <w:szCs w:val="22"/>
          <w:color w:val="auto"/>
        </w:rPr>
        <w:t>Subject to Section 1(i), the Trust hereby established is irrevocable.</w:t>
      </w:r>
    </w:p>
    <w:p>
      <w:pPr>
        <w:spacing w:after="0" w:line="260" w:lineRule="exact"/>
        <w:rPr>
          <w:rFonts w:ascii="Arial" w:cs="Arial" w:eastAsia="Arial" w:hAnsi="Arial"/>
          <w:sz w:val="22"/>
          <w:szCs w:val="22"/>
          <w:color w:val="auto"/>
        </w:rPr>
      </w:pPr>
    </w:p>
    <w:p>
      <w:pPr>
        <w:ind w:left="660" w:hanging="328"/>
        <w:spacing w:after="0" w:line="250" w:lineRule="auto"/>
        <w:tabs>
          <w:tab w:leader="none" w:pos="660" w:val="left"/>
        </w:tabs>
        <w:numPr>
          <w:ilvl w:val="0"/>
          <w:numId w:val="37"/>
        </w:numPr>
        <w:rPr>
          <w:rFonts w:ascii="Arial" w:cs="Arial" w:eastAsia="Arial" w:hAnsi="Arial"/>
          <w:sz w:val="22"/>
          <w:szCs w:val="22"/>
          <w:color w:val="auto"/>
        </w:rPr>
      </w:pPr>
      <w:r>
        <w:rPr>
          <w:rFonts w:ascii="Arial" w:cs="Arial" w:eastAsia="Arial" w:hAnsi="Arial"/>
          <w:sz w:val="22"/>
          <w:szCs w:val="22"/>
          <w:color w:val="auto"/>
        </w:rPr>
        <w:t>The Company hereby deposits with the Trustee those assets previously held under the Original Trust Agreement attributable to the Consenting Participants, which assets are listed in Attachment B hereto (the “Initial Contribution”) which shall become the principal of this Trust to be held, administered and disposed of by the Trustee as provided in this Trust Agreement.</w:t>
      </w:r>
    </w:p>
    <w:p>
      <w:pPr>
        <w:spacing w:after="0" w:line="228" w:lineRule="exact"/>
        <w:rPr>
          <w:rFonts w:ascii="Arial" w:cs="Arial" w:eastAsia="Arial" w:hAnsi="Arial"/>
          <w:sz w:val="22"/>
          <w:szCs w:val="22"/>
          <w:color w:val="auto"/>
        </w:rPr>
      </w:pPr>
    </w:p>
    <w:p>
      <w:pPr>
        <w:ind w:left="660" w:hanging="328"/>
        <w:spacing w:after="0" w:line="294" w:lineRule="auto"/>
        <w:tabs>
          <w:tab w:leader="none" w:pos="660" w:val="left"/>
        </w:tabs>
        <w:numPr>
          <w:ilvl w:val="0"/>
          <w:numId w:val="37"/>
        </w:numPr>
        <w:rPr>
          <w:rFonts w:ascii="Arial" w:cs="Arial" w:eastAsia="Arial" w:hAnsi="Arial"/>
          <w:sz w:val="19"/>
          <w:szCs w:val="19"/>
          <w:color w:val="auto"/>
        </w:rPr>
      </w:pPr>
      <w:r>
        <w:rPr>
          <w:rFonts w:ascii="Arial" w:cs="Arial" w:eastAsia="Arial" w:hAnsi="Arial"/>
          <w:sz w:val="19"/>
          <w:szCs w:val="19"/>
          <w:color w:val="auto"/>
        </w:rPr>
        <w:t>The principal of the Trust, and any earnings thereon shall be held separate and apart from other funds of the Company and shall be used exclusively for the uses and purposes of Participants and general creditors as herein set forth. Participants shall have no preferred claim on, or any beneficial ownership interest in, any assets of the Trust. Any rights created under the Arrangements and this Trust Agreement shall be unsecured contractual rights of Participants against the Company. Any assets held by the Trust will be subject to the claims of the general creditors of the Company under federal and state law in the event the Company is Insolvent, as defined in Section 3(a) herein.</w:t>
      </w:r>
    </w:p>
    <w:p>
      <w:pPr>
        <w:spacing w:after="0" w:line="190" w:lineRule="exact"/>
        <w:rPr>
          <w:rFonts w:ascii="Arial" w:cs="Arial" w:eastAsia="Arial" w:hAnsi="Arial"/>
          <w:sz w:val="19"/>
          <w:szCs w:val="19"/>
          <w:color w:val="auto"/>
        </w:rPr>
      </w:pPr>
    </w:p>
    <w:p>
      <w:pPr>
        <w:ind w:left="660" w:right="20" w:hanging="328"/>
        <w:spacing w:after="0" w:line="297" w:lineRule="auto"/>
        <w:tabs>
          <w:tab w:leader="none" w:pos="660" w:val="left"/>
        </w:tabs>
        <w:numPr>
          <w:ilvl w:val="0"/>
          <w:numId w:val="37"/>
        </w:numPr>
        <w:rPr>
          <w:rFonts w:ascii="Arial" w:cs="Arial" w:eastAsia="Arial" w:hAnsi="Arial"/>
          <w:sz w:val="19"/>
          <w:szCs w:val="19"/>
          <w:color w:val="auto"/>
        </w:rPr>
      </w:pPr>
      <w:r>
        <w:rPr>
          <w:rFonts w:ascii="Arial" w:cs="Arial" w:eastAsia="Arial" w:hAnsi="Arial"/>
          <w:sz w:val="19"/>
          <w:szCs w:val="19"/>
          <w:color w:val="auto"/>
        </w:rPr>
        <w:t>The Company, in its sole discretion, may at any time, or from time to time, make additional deposits of cash or other property acceptable to the Trustee in the Trust to augment the principal to be held, administered and disposed of by the Trustee as provided in this Trust Agreement. Prior to a Change in Control (as defined in Section 15) or, if earlier, a Potential Change in Control (as defined in Section 15) (a “</w:t>
      </w:r>
      <w:r>
        <w:rPr>
          <w:rFonts w:ascii="Arial" w:cs="Arial" w:eastAsia="Arial" w:hAnsi="Arial"/>
          <w:sz w:val="19"/>
          <w:szCs w:val="19"/>
          <w:b w:val="1"/>
          <w:bCs w:val="1"/>
          <w:color w:val="auto"/>
        </w:rPr>
        <w:t>Triggering Event,</w:t>
      </w:r>
      <w:r>
        <w:rPr>
          <w:rFonts w:ascii="Arial" w:cs="Arial" w:eastAsia="Arial" w:hAnsi="Arial"/>
          <w:sz w:val="19"/>
          <w:szCs w:val="19"/>
          <w:color w:val="auto"/>
        </w:rPr>
        <w:t>” as such term is more fully defined in Section 15), neither the Trustee nor any Participant shall have any right to compel additional deposits.</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585" w:right="259" w:bottom="1440" w:gutter="0" w:footer="0" w:header="0"/>
        </w:sectPr>
      </w:pPr>
    </w:p>
    <w:bookmarkStart w:id="117" w:name="page118"/>
    <w:bookmarkEnd w:id="117"/>
    <w:p>
      <w:pPr>
        <w:ind w:left="328" w:hanging="328"/>
        <w:spacing w:after="0" w:line="247" w:lineRule="auto"/>
        <w:tabs>
          <w:tab w:leader="none" w:pos="328" w:val="left"/>
        </w:tabs>
        <w:numPr>
          <w:ilvl w:val="0"/>
          <w:numId w:val="38"/>
        </w:numPr>
        <w:rPr>
          <w:rFonts w:ascii="Arial" w:cs="Arial" w:eastAsia="Arial" w:hAnsi="Arial"/>
          <w:sz w:val="22"/>
          <w:szCs w:val="22"/>
          <w:color w:val="auto"/>
        </w:rPr>
      </w:pPr>
      <w:r>
        <w:rPr>
          <w:rFonts w:ascii="Arial" w:cs="Arial" w:eastAsia="Arial" w:hAnsi="Arial"/>
          <w:sz w:val="22"/>
          <w:szCs w:val="22"/>
          <w:color w:val="auto"/>
        </w:rPr>
        <w:t>In addition to the Initial Contribution, the Company shall make such other contributions as shall from time to time be authorized by due corporate action. Any such payments made by the Company may be in cash, by letter of credit or, prior to the date as of which a Triggering Event, occurs, in such property (including, without limitation, securities issued by the Company) as the Company may determine. The Company shall keep accurate books and records with respect to the interest of each Executive in any Arrangement and shall provide copies of such books and records to the Trustee at any time as the Trustee shall request.</w:t>
      </w:r>
    </w:p>
    <w:p>
      <w:pPr>
        <w:spacing w:after="0" w:line="234" w:lineRule="exact"/>
        <w:rPr>
          <w:rFonts w:ascii="Arial" w:cs="Arial" w:eastAsia="Arial" w:hAnsi="Arial"/>
          <w:sz w:val="22"/>
          <w:szCs w:val="22"/>
          <w:color w:val="auto"/>
        </w:rPr>
      </w:pPr>
    </w:p>
    <w:p>
      <w:pPr>
        <w:ind w:left="328" w:right="60" w:hanging="328"/>
        <w:spacing w:after="0" w:line="288" w:lineRule="auto"/>
        <w:tabs>
          <w:tab w:leader="none" w:pos="328" w:val="left"/>
        </w:tabs>
        <w:numPr>
          <w:ilvl w:val="0"/>
          <w:numId w:val="38"/>
        </w:numPr>
        <w:rPr>
          <w:rFonts w:ascii="Arial" w:cs="Arial" w:eastAsia="Arial" w:hAnsi="Arial"/>
          <w:sz w:val="19"/>
          <w:szCs w:val="19"/>
          <w:color w:val="auto"/>
        </w:rPr>
      </w:pPr>
      <w:r>
        <w:rPr>
          <w:rFonts w:ascii="Arial" w:cs="Arial" w:eastAsia="Arial" w:hAnsi="Arial"/>
          <w:sz w:val="19"/>
          <w:szCs w:val="19"/>
          <w:color w:val="auto"/>
        </w:rPr>
        <w:t>Upon a Triggering Event, the Company shall, as soon as possible, but in no event longer than thirty (30) days following the occurrence of the Triggering Event, make a contribution to the Trust in an amount that is sufficient (taking into account the Trust assets, if any, resulting from prior contributions) to fund the Trust in an amount equal to no less than 100% of the Required Funding and the Expense Reserve. The Required Funding shall be equal to the amount necessary to pay each Participant the benefits to which Participants would be entitled pursuant to the terms of the Arrangements as of the date on which the Triggering Event occurred. The Expense Reserve shall be equal to the greater of: 1) the estimated trustee and record-keeper expenses and fees for one year or 2) fifty thousand dollars ($50,000). Annually, the Company shall recalculate the Required Funding and the Expense Reserve as of December 31 of the preceding year and, if the assets of the trust are less than the sum of the Required Funding and the Expense Reserve, the Company shall make a contribution to the Trust in an amount equal to no less than 100% of the Required Funding and the Expense Reserve.</w:t>
      </w:r>
    </w:p>
    <w:p>
      <w:pPr>
        <w:spacing w:after="0" w:line="200" w:lineRule="exact"/>
        <w:rPr>
          <w:rFonts w:ascii="Arial" w:cs="Arial" w:eastAsia="Arial" w:hAnsi="Arial"/>
          <w:sz w:val="19"/>
          <w:szCs w:val="19"/>
          <w:color w:val="auto"/>
        </w:rPr>
      </w:pPr>
    </w:p>
    <w:p>
      <w:pPr>
        <w:ind w:left="328" w:right="80" w:hanging="328"/>
        <w:spacing w:after="0" w:line="248" w:lineRule="auto"/>
        <w:tabs>
          <w:tab w:leader="none" w:pos="328" w:val="left"/>
        </w:tabs>
        <w:numPr>
          <w:ilvl w:val="0"/>
          <w:numId w:val="38"/>
        </w:numPr>
        <w:rPr>
          <w:rFonts w:ascii="Arial" w:cs="Arial" w:eastAsia="Arial" w:hAnsi="Arial"/>
          <w:sz w:val="22"/>
          <w:szCs w:val="22"/>
          <w:color w:val="auto"/>
        </w:rPr>
      </w:pPr>
      <w:r>
        <w:rPr>
          <w:rFonts w:ascii="Arial" w:cs="Arial" w:eastAsia="Arial" w:hAnsi="Arial"/>
          <w:sz w:val="22"/>
          <w:szCs w:val="22"/>
          <w:color w:val="auto"/>
        </w:rPr>
        <w:t>In the event a Change in Control does not occur within two years of a Potential Change in Control or, earlier if, within such two year period, the Chief Executive Officer of the Company determines that the Potential Change in Control no longer exists in accordance with Section 15(b), the Company shall have the right to recover any amounts contributed to and remaining on hand in the Trust pursuant to a payment made upon the occurrence of a Potential Change in Control in accordance with Section 1(h).</w:t>
      </w:r>
    </w:p>
    <w:p>
      <w:pPr>
        <w:spacing w:after="0" w:line="232" w:lineRule="exact"/>
        <w:rPr>
          <w:rFonts w:ascii="Arial" w:cs="Arial" w:eastAsia="Arial" w:hAnsi="Arial"/>
          <w:sz w:val="22"/>
          <w:szCs w:val="22"/>
          <w:color w:val="auto"/>
        </w:rPr>
      </w:pPr>
    </w:p>
    <w:p>
      <w:pPr>
        <w:ind w:left="328" w:right="80" w:hanging="328"/>
        <w:spacing w:after="0" w:line="288" w:lineRule="auto"/>
        <w:tabs>
          <w:tab w:leader="none" w:pos="328" w:val="left"/>
        </w:tabs>
        <w:numPr>
          <w:ilvl w:val="0"/>
          <w:numId w:val="38"/>
        </w:numPr>
        <w:rPr>
          <w:rFonts w:ascii="Arial" w:cs="Arial" w:eastAsia="Arial" w:hAnsi="Arial"/>
          <w:sz w:val="19"/>
          <w:szCs w:val="19"/>
          <w:color w:val="auto"/>
        </w:rPr>
      </w:pPr>
      <w:r>
        <w:rPr>
          <w:rFonts w:ascii="Arial" w:cs="Arial" w:eastAsia="Arial" w:hAnsi="Arial"/>
          <w:sz w:val="19"/>
          <w:szCs w:val="19"/>
          <w:color w:val="auto"/>
        </w:rPr>
        <w:t>At the direction of the Company, the Trustee shall establish separate subtrusts for separate Arrangements or groups of Participants covered by the Trust. At the discretion of the Company, such subtrusts may reflect a segregation of particular assets or may reflect an undivided interest in the assets of the Trust, not requiring any segregation of assets. If a Triggering Event occurs, the Trustee shall establish a separate subtrust for all then-existing Participants in the Arrangement (or, at the written direction of either the Company or the Employee Benefit Plans Committee (the “</w:t>
      </w:r>
      <w:r>
        <w:rPr>
          <w:rFonts w:ascii="Arial" w:cs="Arial" w:eastAsia="Arial" w:hAnsi="Arial"/>
          <w:sz w:val="19"/>
          <w:szCs w:val="19"/>
          <w:b w:val="1"/>
          <w:bCs w:val="1"/>
          <w:color w:val="auto"/>
        </w:rPr>
        <w:t>Committee</w:t>
      </w:r>
      <w:r>
        <w:rPr>
          <w:rFonts w:ascii="Arial" w:cs="Arial" w:eastAsia="Arial" w:hAnsi="Arial"/>
          <w:sz w:val="19"/>
          <w:szCs w:val="19"/>
          <w:color w:val="auto"/>
        </w:rPr>
        <w:t>”), for each Participant in the Arrangement who is covered by the Trust). The subtrust established for all then-existing Participants upon a Triggering Event shall require segregation of particular assets. However, individual subtrusts established for each Participant may reflect an undivided interest in the assets of the subtrust for all then-existing Participants and shall not require segregation of particular assets among particular individual subtrusts. Whenever separate subtrusts are established, the then-existing assets of the Trust or affected portion thereof shall be allocated, as directed by the Committee, in proportion to the vested accrued benefits, and, then, if</w:t>
      </w:r>
    </w:p>
    <w:p>
      <w:pPr>
        <w:spacing w:after="0" w:line="175" w:lineRule="exact"/>
        <w:rPr>
          <w:sz w:val="20"/>
          <w:szCs w:val="20"/>
          <w:color w:val="auto"/>
        </w:rPr>
      </w:pPr>
    </w:p>
    <w:p>
      <w:pPr>
        <w:jc w:val="center"/>
        <w:ind w:right="292"/>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68"/>
          </w:cols>
          <w:pgMar w:left="572" w:top="591" w:right="259" w:bottom="1440" w:gutter="0" w:footer="0" w:header="0"/>
        </w:sectPr>
      </w:pPr>
    </w:p>
    <w:bookmarkStart w:id="118" w:name="page119"/>
    <w:bookmarkEnd w:id="118"/>
    <w:p>
      <w:pPr>
        <w:ind w:left="660"/>
        <w:spacing w:after="0" w:line="290" w:lineRule="auto"/>
        <w:rPr>
          <w:sz w:val="20"/>
          <w:szCs w:val="20"/>
          <w:color w:val="auto"/>
        </w:rPr>
      </w:pPr>
      <w:r>
        <w:rPr>
          <w:rFonts w:ascii="Arial" w:cs="Arial" w:eastAsia="Arial" w:hAnsi="Arial"/>
          <w:sz w:val="19"/>
          <w:szCs w:val="19"/>
          <w:color w:val="auto"/>
        </w:rPr>
        <w:t>any assets remain, the unvested (if any) accrued benefits of the Participants affected thereby, in both instances as of the end of the month immediately preceding such allocation. With respect to any new contributions to the Trust by the Company after separate subtrusts have been established, the Company shall designate the subtrust for which such contributions are made. Except as provided in Section 5(b) herein, after separate subtrusts are established, assets allocated to one subtrust may not be utilized to provide benefits under any other subtrust until all benefits payable under such subtrust have been paid in full. Payments to general creditors in the event of the Company becoming Insolvent shall be charged against the subtrusts in proportion to their account balances, except that payment of benefits to a Participant as a general creditor shall be charged against the subtrust for that Participant.</w:t>
      </w:r>
    </w:p>
    <w:p>
      <w:pPr>
        <w:spacing w:after="0" w:line="197" w:lineRule="exact"/>
        <w:rPr>
          <w:sz w:val="20"/>
          <w:szCs w:val="20"/>
          <w:color w:val="auto"/>
        </w:rPr>
      </w:pPr>
    </w:p>
    <w:p>
      <w:pPr>
        <w:ind w:left="660" w:right="200" w:hanging="328"/>
        <w:spacing w:after="0" w:line="253" w:lineRule="auto"/>
        <w:tabs>
          <w:tab w:leader="none" w:pos="660" w:val="left"/>
        </w:tabs>
        <w:numPr>
          <w:ilvl w:val="0"/>
          <w:numId w:val="39"/>
        </w:numPr>
        <w:rPr>
          <w:rFonts w:ascii="Arial" w:cs="Arial" w:eastAsia="Arial" w:hAnsi="Arial"/>
          <w:sz w:val="22"/>
          <w:szCs w:val="22"/>
          <w:color w:val="auto"/>
        </w:rPr>
      </w:pPr>
      <w:r>
        <w:rPr>
          <w:rFonts w:ascii="Arial" w:cs="Arial" w:eastAsia="Arial" w:hAnsi="Arial"/>
          <w:sz w:val="22"/>
          <w:szCs w:val="22"/>
          <w:color w:val="auto"/>
        </w:rPr>
        <w:t>Notwithstanding the foregoing provisions or any other provision of the Arrangements, no contribution shall be required or made if such contribution would violate the provisions of IRC Section 409A and any applicable authorities promulgated thereunder.</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2.</w:t>
      </w:r>
      <w:r>
        <w:rPr>
          <w:rFonts w:ascii="Arial" w:cs="Arial" w:eastAsia="Arial" w:hAnsi="Arial"/>
          <w:sz w:val="22"/>
          <w:szCs w:val="22"/>
          <w:b w:val="1"/>
          <w:bCs w:val="1"/>
          <w:u w:val="single" w:color="auto"/>
          <w:color w:val="auto"/>
        </w:rPr>
        <w:t>Payments to Participants</w:t>
      </w:r>
    </w:p>
    <w:p>
      <w:pPr>
        <w:spacing w:after="0" w:line="266" w:lineRule="exact"/>
        <w:rPr>
          <w:sz w:val="20"/>
          <w:szCs w:val="20"/>
          <w:color w:val="auto"/>
        </w:rPr>
      </w:pPr>
    </w:p>
    <w:p>
      <w:pPr>
        <w:ind w:left="660" w:right="180" w:hanging="328"/>
        <w:spacing w:after="0" w:line="292" w:lineRule="auto"/>
        <w:tabs>
          <w:tab w:leader="none" w:pos="660" w:val="left"/>
        </w:tabs>
        <w:numPr>
          <w:ilvl w:val="0"/>
          <w:numId w:val="40"/>
        </w:numPr>
        <w:rPr>
          <w:rFonts w:ascii="Arial" w:cs="Arial" w:eastAsia="Arial" w:hAnsi="Arial"/>
          <w:sz w:val="19"/>
          <w:szCs w:val="19"/>
          <w:color w:val="auto"/>
        </w:rPr>
      </w:pPr>
      <w:r>
        <w:rPr>
          <w:rFonts w:ascii="Arial" w:cs="Arial" w:eastAsia="Arial" w:hAnsi="Arial"/>
          <w:sz w:val="19"/>
          <w:szCs w:val="19"/>
          <w:color w:val="auto"/>
        </w:rPr>
        <w:t>Prior to a Triggering Event, any distributions from the Trust shall be made by the Trustee to Participants at the direction of the Company. Prior to a Triggering Event, the entitlement of a Participant to benefits under the Arrangements shall be determined by the Committee, and any claim for such benefits shall be considered and reviewed under the procedures set out in the Arrangements. Prior to a Triggering Event, the Company may appoint a third-party administrator (“</w:t>
      </w:r>
      <w:r>
        <w:rPr>
          <w:rFonts w:ascii="Arial" w:cs="Arial" w:eastAsia="Arial" w:hAnsi="Arial"/>
          <w:sz w:val="19"/>
          <w:szCs w:val="19"/>
          <w:b w:val="1"/>
          <w:bCs w:val="1"/>
          <w:color w:val="auto"/>
        </w:rPr>
        <w:t>TPA</w:t>
      </w:r>
      <w:r>
        <w:rPr>
          <w:rFonts w:ascii="Arial" w:cs="Arial" w:eastAsia="Arial" w:hAnsi="Arial"/>
          <w:sz w:val="19"/>
          <w:szCs w:val="19"/>
          <w:color w:val="auto"/>
        </w:rPr>
        <w:t>”) to direct the Trustee with respect to the amount and timing of such payments. After a Triggering Event, the TPA previously appointed by the Company shall continue unless and until the Trustee shall appoint a new TPA to act on its behalf in directing the Trustee with respect to the amount and timing of payments from the Trust.</w:t>
      </w:r>
    </w:p>
    <w:p>
      <w:pPr>
        <w:spacing w:after="0" w:line="192" w:lineRule="exact"/>
        <w:rPr>
          <w:rFonts w:ascii="Arial" w:cs="Arial" w:eastAsia="Arial" w:hAnsi="Arial"/>
          <w:sz w:val="19"/>
          <w:szCs w:val="19"/>
          <w:color w:val="auto"/>
        </w:rPr>
      </w:pPr>
    </w:p>
    <w:p>
      <w:pPr>
        <w:ind w:left="660" w:right="40" w:hanging="328"/>
        <w:spacing w:after="0" w:line="289" w:lineRule="auto"/>
        <w:tabs>
          <w:tab w:leader="none" w:pos="660" w:val="left"/>
        </w:tabs>
        <w:numPr>
          <w:ilvl w:val="0"/>
          <w:numId w:val="40"/>
        </w:numPr>
        <w:rPr>
          <w:rFonts w:ascii="Arial" w:cs="Arial" w:eastAsia="Arial" w:hAnsi="Arial"/>
          <w:sz w:val="19"/>
          <w:szCs w:val="19"/>
          <w:color w:val="auto"/>
        </w:rPr>
      </w:pPr>
      <w:r>
        <w:rPr>
          <w:rFonts w:ascii="Arial" w:cs="Arial" w:eastAsia="Arial" w:hAnsi="Arial"/>
          <w:sz w:val="19"/>
          <w:szCs w:val="19"/>
          <w:color w:val="auto"/>
        </w:rPr>
        <w:t>The Company may direct the Trustee to make payments of benefits to Participants, or the Company may make payments of benefits directly to Participants as they become due under the terms of the Arrangements and may obtain full or partial reimbursement for such benefit payments from the Trust (or offset required contributions to the Trust) within twelve (12) months following the date such payments are made. In addition, if the principal of the Trust, and any earnings thereon, are not sufficient to make payments of benefits in accordance with the terms of the Arrangements, the Company shall make the balance of each such payment as it falls due in accordance with the Arrangements. The Trustee shall notify the Company when principal and earnings are not sufficient to make payments the Trustee has been directed to make by the Company, the Committee, or the TPA. Nothing in this Agreement shall relieve the Company of its liabilities to pay benefits due under the Arrangements except to the extent such liabilities are met by application of assets of the Trust.</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91" w:right="239" w:bottom="1440" w:gutter="0" w:footer="0" w:header="0"/>
        </w:sectPr>
      </w:pPr>
    </w:p>
    <w:bookmarkStart w:id="119" w:name="page120"/>
    <w:bookmarkEnd w:id="119"/>
    <w:p>
      <w:pPr>
        <w:ind w:left="660" w:hanging="328"/>
        <w:spacing w:after="0" w:line="247" w:lineRule="auto"/>
        <w:tabs>
          <w:tab w:leader="none" w:pos="660" w:val="left"/>
        </w:tabs>
        <w:numPr>
          <w:ilvl w:val="0"/>
          <w:numId w:val="41"/>
        </w:numPr>
        <w:rPr>
          <w:rFonts w:ascii="Arial" w:cs="Arial" w:eastAsia="Arial" w:hAnsi="Arial"/>
          <w:sz w:val="22"/>
          <w:szCs w:val="22"/>
          <w:color w:val="auto"/>
        </w:rPr>
      </w:pPr>
      <w:r>
        <w:rPr>
          <w:rFonts w:ascii="Arial" w:cs="Arial" w:eastAsia="Arial" w:hAnsi="Arial"/>
          <w:sz w:val="22"/>
          <w:szCs w:val="22"/>
          <w:color w:val="auto"/>
        </w:rPr>
        <w:t>The Company shall deliver to the Trustee a schedule of benefits, to include state and federal tax withholding guidelines, due under the Arrangements on an annual basis. Immediately, as soon as administratively practicable, after a Potential Change in Control and before a Change in Control, the Company shall deliver to the Trustee an updated schedule of benefits due under the Arrangements.</w:t>
      </w:r>
    </w:p>
    <w:p>
      <w:pPr>
        <w:spacing w:after="0" w:line="2" w:lineRule="exact"/>
        <w:rPr>
          <w:rFonts w:ascii="Arial" w:cs="Arial" w:eastAsia="Arial" w:hAnsi="Arial"/>
          <w:sz w:val="22"/>
          <w:szCs w:val="22"/>
          <w:color w:val="auto"/>
        </w:rPr>
      </w:pPr>
    </w:p>
    <w:p>
      <w:pPr>
        <w:ind w:left="660"/>
        <w:spacing w:after="0" w:line="285" w:lineRule="auto"/>
        <w:rPr>
          <w:rFonts w:ascii="Arial" w:cs="Arial" w:eastAsia="Arial" w:hAnsi="Arial"/>
          <w:sz w:val="22"/>
          <w:szCs w:val="22"/>
          <w:color w:val="auto"/>
        </w:rPr>
      </w:pPr>
      <w:r>
        <w:rPr>
          <w:rFonts w:ascii="Arial" w:cs="Arial" w:eastAsia="Arial" w:hAnsi="Arial"/>
          <w:sz w:val="19"/>
          <w:szCs w:val="19"/>
          <w:color w:val="auto"/>
        </w:rPr>
        <w:t>After a Triggering Event, the Trustee shall pay benefits (unless Company pays pursuant to Section 2(b)) due in accordance with such schedule. After a Triggering Event, the TPA shall make the determination of benefits due to Participants and shall provide the Trustee with an updated schedule, to include state and federal tax withholding guidelines, of benefits due; provided however, a Participant may make application to the Trustee for an independent decision as to the amount or form of their benefits due under the Arrangements. In making any determination required or permitted to be made by the Trustee under this Section, the Trustee shall, in each such case, reach its own independent determination, in its absolute and sole discretion, as to the Participant's entitlement to a payment hereunder. In making its determination, the Trustee may consult with and make such inquiries of such persons, including the Participant, the Company, legal counsel, actuaries or other persons, as the Trustee may reasonably deem necessary. Any reasonable costs incurred by the Trustee in arriving at its determination shall be reimbursed by the Company and, to the extent not paid by the Company within a reasonable time, shall be charged to the Trust. The Company waives any right to contest any amount paid over by the Trustee hereunder pursuant to a good faith determination made by the Trustee notwithstanding any claim by or on behalf of the Company (absent a legal violation or manifest abuse of discretion by the Trustee) that such payments should not be made.</w:t>
      </w:r>
    </w:p>
    <w:p>
      <w:pPr>
        <w:spacing w:after="0" w:line="201" w:lineRule="exact"/>
        <w:rPr>
          <w:rFonts w:ascii="Arial" w:cs="Arial" w:eastAsia="Arial" w:hAnsi="Arial"/>
          <w:sz w:val="22"/>
          <w:szCs w:val="22"/>
          <w:color w:val="auto"/>
        </w:rPr>
      </w:pPr>
    </w:p>
    <w:p>
      <w:pPr>
        <w:ind w:left="660" w:right="140" w:hanging="328"/>
        <w:spacing w:after="0" w:line="294" w:lineRule="auto"/>
        <w:tabs>
          <w:tab w:leader="none" w:pos="660" w:val="left"/>
        </w:tabs>
        <w:numPr>
          <w:ilvl w:val="0"/>
          <w:numId w:val="41"/>
        </w:numPr>
        <w:rPr>
          <w:rFonts w:ascii="Arial" w:cs="Arial" w:eastAsia="Arial" w:hAnsi="Arial"/>
          <w:sz w:val="19"/>
          <w:szCs w:val="19"/>
          <w:color w:val="auto"/>
        </w:rPr>
      </w:pPr>
      <w:r>
        <w:rPr>
          <w:rFonts w:ascii="Arial" w:cs="Arial" w:eastAsia="Arial" w:hAnsi="Arial"/>
          <w:sz w:val="19"/>
          <w:szCs w:val="19"/>
          <w:color w:val="auto"/>
        </w:rPr>
        <w:t>The Trustee agrees that it will not itself institute any action at law or at equity, whether in the nature of an accounting, interpleading action, request for a declaratory judgment or otherwise, requesting a court or administrative or quasi-judicial body to make the determination required to be made by the Trustee under this Section 2 in the place and stead of the Trustee. The Trustee may (and, if necessary or appropriate, shall) institute an action to collect a contribution due the Trust following a Triggering Event or in the event that the Trust should ever experience a short-fall in the amount of assets necessary to make payments pursuant to the terms of the Arrangements.</w:t>
      </w:r>
    </w:p>
    <w:p>
      <w:pPr>
        <w:spacing w:after="0" w:line="184"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b w:val="1"/>
          <w:bCs w:val="1"/>
          <w:color w:val="auto"/>
        </w:rPr>
        <w:t>Section 3.</w:t>
      </w:r>
      <w:r>
        <w:rPr>
          <w:sz w:val="20"/>
          <w:szCs w:val="20"/>
          <w:color w:val="auto"/>
        </w:rPr>
        <w:tab/>
      </w:r>
      <w:r>
        <w:rPr>
          <w:rFonts w:ascii="Arial" w:cs="Arial" w:eastAsia="Arial" w:hAnsi="Arial"/>
          <w:sz w:val="19"/>
          <w:szCs w:val="19"/>
          <w:b w:val="1"/>
          <w:bCs w:val="1"/>
          <w:color w:val="auto"/>
        </w:rPr>
        <w:t>Trustee Responsibility Regarding Payments</w:t>
      </w:r>
    </w:p>
    <w:p>
      <w:pPr>
        <w:spacing w:after="0" w:line="28" w:lineRule="exact"/>
        <w:rPr>
          <w:sz w:val="20"/>
          <w:szCs w:val="20"/>
          <w:color w:val="auto"/>
        </w:rPr>
      </w:pPr>
    </w:p>
    <w:p>
      <w:pPr>
        <w:ind w:left="1960"/>
        <w:spacing w:after="0"/>
        <w:rPr>
          <w:sz w:val="20"/>
          <w:szCs w:val="20"/>
          <w:color w:val="auto"/>
        </w:rPr>
      </w:pPr>
      <w:r>
        <w:rPr>
          <w:rFonts w:ascii="Arial" w:cs="Arial" w:eastAsia="Arial" w:hAnsi="Arial"/>
          <w:sz w:val="22"/>
          <w:szCs w:val="22"/>
          <w:b w:val="1"/>
          <w:bCs w:val="1"/>
          <w:u w:val="single" w:color="auto"/>
          <w:color w:val="auto"/>
        </w:rPr>
        <w:t>To The Trust Beneficiary When The Company Is Insolvent</w:t>
      </w:r>
    </w:p>
    <w:p>
      <w:pPr>
        <w:spacing w:after="0" w:line="242" w:lineRule="exact"/>
        <w:rPr>
          <w:sz w:val="20"/>
          <w:szCs w:val="20"/>
          <w:color w:val="auto"/>
        </w:rPr>
      </w:pPr>
    </w:p>
    <w:p>
      <w:pPr>
        <w:ind w:left="660" w:right="140" w:hanging="328"/>
        <w:spacing w:after="0" w:line="312" w:lineRule="auto"/>
        <w:tabs>
          <w:tab w:leader="none" w:pos="660" w:val="left"/>
        </w:tabs>
        <w:numPr>
          <w:ilvl w:val="0"/>
          <w:numId w:val="42"/>
        </w:numPr>
        <w:rPr>
          <w:rFonts w:ascii="Arial" w:cs="Arial" w:eastAsia="Arial" w:hAnsi="Arial"/>
          <w:sz w:val="19"/>
          <w:szCs w:val="19"/>
          <w:color w:val="auto"/>
        </w:rPr>
      </w:pPr>
      <w:r>
        <w:rPr>
          <w:rFonts w:ascii="Arial" w:cs="Arial" w:eastAsia="Arial" w:hAnsi="Arial"/>
          <w:sz w:val="19"/>
          <w:szCs w:val="19"/>
          <w:color w:val="auto"/>
        </w:rPr>
        <w:t>The Trustee shall cease payment of benefits to Participants if the Company is Insolvent. The Company shall be considered “</w:t>
      </w:r>
      <w:r>
        <w:rPr>
          <w:rFonts w:ascii="Arial" w:cs="Arial" w:eastAsia="Arial" w:hAnsi="Arial"/>
          <w:sz w:val="19"/>
          <w:szCs w:val="19"/>
          <w:b w:val="1"/>
          <w:bCs w:val="1"/>
          <w:color w:val="auto"/>
        </w:rPr>
        <w:t>Insolvent</w:t>
      </w:r>
      <w:r>
        <w:rPr>
          <w:rFonts w:ascii="Arial" w:cs="Arial" w:eastAsia="Arial" w:hAnsi="Arial"/>
          <w:sz w:val="19"/>
          <w:szCs w:val="19"/>
          <w:color w:val="auto"/>
        </w:rPr>
        <w:t>” for purposes of this Trust Agreement if (i) the Company is unable to pay its debts as they become due, or (ii) the Company is subject to a pending proceeding as a debtor under the United States Bankruptcy Code.</w:t>
      </w:r>
    </w:p>
    <w:p>
      <w:pPr>
        <w:spacing w:after="0" w:line="174" w:lineRule="exact"/>
        <w:rPr>
          <w:rFonts w:ascii="Arial" w:cs="Arial" w:eastAsia="Arial" w:hAnsi="Arial"/>
          <w:sz w:val="19"/>
          <w:szCs w:val="19"/>
          <w:color w:val="auto"/>
        </w:rPr>
      </w:pPr>
    </w:p>
    <w:p>
      <w:pPr>
        <w:ind w:left="660" w:right="120" w:hanging="328"/>
        <w:spacing w:after="0" w:line="263" w:lineRule="auto"/>
        <w:tabs>
          <w:tab w:leader="none" w:pos="660" w:val="left"/>
        </w:tabs>
        <w:numPr>
          <w:ilvl w:val="0"/>
          <w:numId w:val="42"/>
        </w:numPr>
        <w:rPr>
          <w:rFonts w:ascii="Arial" w:cs="Arial" w:eastAsia="Arial" w:hAnsi="Arial"/>
          <w:sz w:val="22"/>
          <w:szCs w:val="22"/>
          <w:color w:val="auto"/>
        </w:rPr>
      </w:pPr>
      <w:r>
        <w:rPr>
          <w:rFonts w:ascii="Arial" w:cs="Arial" w:eastAsia="Arial" w:hAnsi="Arial"/>
          <w:sz w:val="22"/>
          <w:szCs w:val="22"/>
          <w:color w:val="auto"/>
        </w:rPr>
        <w:t>At all times during the continuance of this Trust, the principal and income of the Trust shall be subject to claims of general unsecured creditors of the Company under federal and state law as set forth below.</w:t>
      </w:r>
    </w:p>
    <w:p>
      <w:pPr>
        <w:spacing w:after="0" w:line="200" w:lineRule="exact"/>
        <w:rPr>
          <w:sz w:val="20"/>
          <w:szCs w:val="20"/>
          <w:color w:val="auto"/>
        </w:rPr>
      </w:pP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591" w:right="279" w:bottom="1440" w:gutter="0" w:footer="0" w:header="0"/>
        </w:sectPr>
      </w:pPr>
    </w:p>
    <w:bookmarkStart w:id="120" w:name="page121"/>
    <w:bookmarkEnd w:id="120"/>
    <w:p>
      <w:pPr>
        <w:jc w:val="both"/>
        <w:ind w:left="1300" w:right="60" w:hanging="644"/>
        <w:spacing w:after="0" w:line="288" w:lineRule="auto"/>
        <w:tabs>
          <w:tab w:leader="none" w:pos="1300" w:val="left"/>
        </w:tabs>
        <w:numPr>
          <w:ilvl w:val="1"/>
          <w:numId w:val="43"/>
        </w:numPr>
        <w:rPr>
          <w:rFonts w:ascii="Arial" w:cs="Arial" w:eastAsia="Arial" w:hAnsi="Arial"/>
          <w:sz w:val="19"/>
          <w:szCs w:val="19"/>
          <w:color w:val="auto"/>
        </w:rPr>
      </w:pPr>
      <w:r>
        <w:rPr>
          <w:rFonts w:ascii="Arial" w:cs="Arial" w:eastAsia="Arial" w:hAnsi="Arial"/>
          <w:sz w:val="19"/>
          <w:szCs w:val="19"/>
          <w:color w:val="auto"/>
        </w:rPr>
        <w:t>The Board of Directors and the Chief Executive Officer of the Company shall have the duty to inform the Trustee in writing that the Company is Insolvent. If a person claiming to be a creditor of the Company alleges in writing to the Trustee that the Company has become Insolvent, the Trustee shall determine whether the Company</w:t>
      </w:r>
    </w:p>
    <w:p>
      <w:pPr>
        <w:spacing w:after="0" w:line="1" w:lineRule="exact"/>
        <w:rPr>
          <w:rFonts w:ascii="Arial" w:cs="Arial" w:eastAsia="Arial" w:hAnsi="Arial"/>
          <w:sz w:val="19"/>
          <w:szCs w:val="19"/>
          <w:color w:val="auto"/>
        </w:rPr>
      </w:pPr>
    </w:p>
    <w:p>
      <w:pPr>
        <w:ind w:left="1300" w:right="1000" w:firstLine="648"/>
        <w:spacing w:after="0" w:line="246" w:lineRule="auto"/>
        <w:rPr>
          <w:rFonts w:ascii="Arial" w:cs="Arial" w:eastAsia="Arial" w:hAnsi="Arial"/>
          <w:sz w:val="19"/>
          <w:szCs w:val="19"/>
          <w:color w:val="auto"/>
        </w:rPr>
      </w:pPr>
      <w:r>
        <w:rPr>
          <w:rFonts w:ascii="Arial" w:cs="Arial" w:eastAsia="Arial" w:hAnsi="Arial"/>
          <w:sz w:val="22"/>
          <w:szCs w:val="22"/>
          <w:color w:val="auto"/>
        </w:rPr>
        <w:t>is Insolvent and, pending such determination, the Trustee shall discontinue payment of benefits to Participants.</w:t>
      </w:r>
    </w:p>
    <w:p>
      <w:pPr>
        <w:spacing w:after="0" w:line="233" w:lineRule="exact"/>
        <w:rPr>
          <w:rFonts w:ascii="Arial" w:cs="Arial" w:eastAsia="Arial" w:hAnsi="Arial"/>
          <w:sz w:val="19"/>
          <w:szCs w:val="19"/>
          <w:color w:val="auto"/>
        </w:rPr>
      </w:pPr>
    </w:p>
    <w:p>
      <w:pPr>
        <w:ind w:left="1300" w:right="20" w:hanging="644"/>
        <w:spacing w:after="0" w:line="263" w:lineRule="auto"/>
        <w:tabs>
          <w:tab w:leader="none" w:pos="1300" w:val="left"/>
        </w:tabs>
        <w:numPr>
          <w:ilvl w:val="1"/>
          <w:numId w:val="43"/>
        </w:numPr>
        <w:rPr>
          <w:rFonts w:ascii="Arial" w:cs="Arial" w:eastAsia="Arial" w:hAnsi="Arial"/>
          <w:sz w:val="21"/>
          <w:szCs w:val="21"/>
          <w:color w:val="auto"/>
        </w:rPr>
      </w:pPr>
      <w:r>
        <w:rPr>
          <w:rFonts w:ascii="Arial" w:cs="Arial" w:eastAsia="Arial" w:hAnsi="Arial"/>
          <w:sz w:val="21"/>
          <w:szCs w:val="21"/>
          <w:color w:val="auto"/>
        </w:rPr>
        <w:t>Unless the Trustee has actual knowledge that the Company is Insolvent, or has received notice from the Company or a person claiming to be a creditor alleging that the Company is Insolvent, the Trustee shall have no duty to inquire whether the Company is Insolvent. The Trustee may in all events rely on such evidence concerning the Company's solvency as may be furnished to the Trustee and that provides the Trustee with a reasonable basis for making a determination concerning the Company's solvency.</w:t>
      </w:r>
    </w:p>
    <w:p>
      <w:pPr>
        <w:spacing w:after="0" w:line="216" w:lineRule="exact"/>
        <w:rPr>
          <w:rFonts w:ascii="Arial" w:cs="Arial" w:eastAsia="Arial" w:hAnsi="Arial"/>
          <w:sz w:val="21"/>
          <w:szCs w:val="21"/>
          <w:color w:val="auto"/>
        </w:rPr>
      </w:pPr>
    </w:p>
    <w:p>
      <w:pPr>
        <w:ind w:left="1300" w:hanging="644"/>
        <w:spacing w:after="0" w:line="302" w:lineRule="auto"/>
        <w:tabs>
          <w:tab w:leader="none" w:pos="1300" w:val="left"/>
        </w:tabs>
        <w:numPr>
          <w:ilvl w:val="1"/>
          <w:numId w:val="43"/>
        </w:numPr>
        <w:rPr>
          <w:rFonts w:ascii="Arial" w:cs="Arial" w:eastAsia="Arial" w:hAnsi="Arial"/>
          <w:sz w:val="19"/>
          <w:szCs w:val="19"/>
          <w:color w:val="auto"/>
        </w:rPr>
      </w:pPr>
      <w:r>
        <w:rPr>
          <w:rFonts w:ascii="Arial" w:cs="Arial" w:eastAsia="Arial" w:hAnsi="Arial"/>
          <w:sz w:val="19"/>
          <w:szCs w:val="19"/>
          <w:color w:val="auto"/>
        </w:rPr>
        <w:t>If at any time the Trustee has determined that the Company is Insolvent, the Trustee shall discontinue payments to Participants and shall hold the assets of the Trust for the benefit of the Company's general creditors. Nothing in this Trust Agreement shall in any way diminish any rights of Participants to pursue their rights as general creditors of the Company with respect to benefits due under the Arrangements or otherwise.</w:t>
      </w:r>
    </w:p>
    <w:p>
      <w:pPr>
        <w:spacing w:after="0" w:line="183" w:lineRule="exact"/>
        <w:rPr>
          <w:rFonts w:ascii="Arial" w:cs="Arial" w:eastAsia="Arial" w:hAnsi="Arial"/>
          <w:sz w:val="19"/>
          <w:szCs w:val="19"/>
          <w:color w:val="auto"/>
        </w:rPr>
      </w:pPr>
    </w:p>
    <w:p>
      <w:pPr>
        <w:ind w:left="1300" w:right="520" w:hanging="644"/>
        <w:spacing w:after="0" w:line="343" w:lineRule="auto"/>
        <w:tabs>
          <w:tab w:leader="none" w:pos="1300" w:val="left"/>
        </w:tabs>
        <w:numPr>
          <w:ilvl w:val="1"/>
          <w:numId w:val="43"/>
        </w:numPr>
        <w:rPr>
          <w:rFonts w:ascii="Arial" w:cs="Arial" w:eastAsia="Arial" w:hAnsi="Arial"/>
          <w:sz w:val="19"/>
          <w:szCs w:val="19"/>
          <w:color w:val="auto"/>
        </w:rPr>
      </w:pPr>
      <w:r>
        <w:rPr>
          <w:rFonts w:ascii="Arial" w:cs="Arial" w:eastAsia="Arial" w:hAnsi="Arial"/>
          <w:sz w:val="19"/>
          <w:szCs w:val="19"/>
          <w:color w:val="auto"/>
        </w:rPr>
        <w:t>The Trustee shall resume the payment of benefits to Participants in accordance with Section 2 of this Trust Agreement only after the Trustee has determined that the Company is not Insolvent (or is no longer Insolvent).</w:t>
      </w:r>
    </w:p>
    <w:p>
      <w:pPr>
        <w:spacing w:after="0" w:line="145" w:lineRule="exact"/>
        <w:rPr>
          <w:rFonts w:ascii="Arial" w:cs="Arial" w:eastAsia="Arial" w:hAnsi="Arial"/>
          <w:sz w:val="19"/>
          <w:szCs w:val="19"/>
          <w:color w:val="auto"/>
        </w:rPr>
      </w:pPr>
    </w:p>
    <w:p>
      <w:pPr>
        <w:ind w:left="660" w:right="20" w:hanging="328"/>
        <w:spacing w:after="0" w:line="297" w:lineRule="auto"/>
        <w:tabs>
          <w:tab w:leader="none" w:pos="660" w:val="left"/>
        </w:tabs>
        <w:numPr>
          <w:ilvl w:val="0"/>
          <w:numId w:val="44"/>
        </w:numPr>
        <w:rPr>
          <w:rFonts w:ascii="Arial" w:cs="Arial" w:eastAsia="Arial" w:hAnsi="Arial"/>
          <w:sz w:val="19"/>
          <w:szCs w:val="19"/>
          <w:color w:val="auto"/>
        </w:rPr>
      </w:pPr>
      <w:r>
        <w:rPr>
          <w:rFonts w:ascii="Arial" w:cs="Arial" w:eastAsia="Arial" w:hAnsi="Arial"/>
          <w:sz w:val="19"/>
          <w:szCs w:val="19"/>
          <w:color w:val="auto"/>
        </w:rPr>
        <w:t>Provided that there are sufficient assets, if the Trustee discontinues the payment of benefits from the Trust pursuant to Section 3(b) hereof and subsequently resumes such payments, the first payment following such discontinuance shall include the aggregate amount of all payments due to Participants under the terms of the Arrangements for the period of such discontinuance, less the aggregate amount of any payments made to Participants by the Company in lieu of the payments provided for hereunder during any such period of discontinuance.</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4.</w:t>
      </w:r>
      <w:r>
        <w:rPr>
          <w:rFonts w:ascii="Arial" w:cs="Arial" w:eastAsia="Arial" w:hAnsi="Arial"/>
          <w:sz w:val="22"/>
          <w:szCs w:val="22"/>
          <w:b w:val="1"/>
          <w:bCs w:val="1"/>
          <w:u w:val="single" w:color="auto"/>
          <w:color w:val="auto"/>
        </w:rPr>
        <w:t>Payments When a Short-Fall of The Trust Assets Occurs</w:t>
      </w:r>
    </w:p>
    <w:p>
      <w:pPr>
        <w:spacing w:after="0" w:line="266" w:lineRule="exact"/>
        <w:rPr>
          <w:sz w:val="20"/>
          <w:szCs w:val="20"/>
          <w:color w:val="auto"/>
        </w:rPr>
      </w:pPr>
    </w:p>
    <w:p>
      <w:pPr>
        <w:ind w:left="660" w:hanging="328"/>
        <w:spacing w:after="0" w:line="312" w:lineRule="auto"/>
        <w:tabs>
          <w:tab w:leader="none" w:pos="660" w:val="left"/>
        </w:tabs>
        <w:numPr>
          <w:ilvl w:val="0"/>
          <w:numId w:val="45"/>
        </w:numPr>
        <w:rPr>
          <w:rFonts w:ascii="Arial" w:cs="Arial" w:eastAsia="Arial" w:hAnsi="Arial"/>
          <w:sz w:val="19"/>
          <w:szCs w:val="19"/>
          <w:color w:val="auto"/>
        </w:rPr>
      </w:pPr>
      <w:r>
        <w:rPr>
          <w:rFonts w:ascii="Arial" w:cs="Arial" w:eastAsia="Arial" w:hAnsi="Arial"/>
          <w:sz w:val="19"/>
          <w:szCs w:val="19"/>
          <w:color w:val="auto"/>
        </w:rPr>
        <w:t>If there are not sufficient assets for the payment of current and expected future benefits pursuant to Section 2 or Section 3(c) hereof and the Company does not otherwise make such payments within a reasonable time after demand from the Trustee, the Trustee shall allocate the Trust assets among the Participants of a particular subtrust in the following order of priority:</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591" w:right="259" w:bottom="1440" w:gutter="0" w:footer="0" w:header="0"/>
        </w:sectPr>
      </w:pPr>
    </w:p>
    <w:bookmarkStart w:id="121" w:name="page122"/>
    <w:bookmarkEnd w:id="121"/>
    <w:p>
      <w:pPr>
        <w:ind w:left="1960" w:hanging="750"/>
        <w:spacing w:after="0"/>
        <w:tabs>
          <w:tab w:leader="none" w:pos="1960" w:val="left"/>
        </w:tabs>
        <w:numPr>
          <w:ilvl w:val="1"/>
          <w:numId w:val="46"/>
        </w:numPr>
        <w:rPr>
          <w:rFonts w:ascii="Arial" w:cs="Arial" w:eastAsia="Arial" w:hAnsi="Arial"/>
          <w:sz w:val="22"/>
          <w:szCs w:val="22"/>
          <w:color w:val="auto"/>
        </w:rPr>
      </w:pPr>
      <w:r>
        <w:rPr>
          <w:rFonts w:ascii="Arial" w:cs="Arial" w:eastAsia="Arial" w:hAnsi="Arial"/>
          <w:sz w:val="22"/>
          <w:szCs w:val="22"/>
          <w:color w:val="auto"/>
        </w:rPr>
        <w:t>vested Participants (regardless of whether they are actively employed); and</w:t>
      </w:r>
    </w:p>
    <w:p>
      <w:pPr>
        <w:spacing w:after="0" w:line="260" w:lineRule="exact"/>
        <w:rPr>
          <w:rFonts w:ascii="Arial" w:cs="Arial" w:eastAsia="Arial" w:hAnsi="Arial"/>
          <w:sz w:val="22"/>
          <w:szCs w:val="22"/>
          <w:color w:val="auto"/>
        </w:rPr>
      </w:pPr>
    </w:p>
    <w:p>
      <w:pPr>
        <w:ind w:left="1960" w:hanging="750"/>
        <w:spacing w:after="0"/>
        <w:tabs>
          <w:tab w:leader="none" w:pos="1960" w:val="left"/>
        </w:tabs>
        <w:numPr>
          <w:ilvl w:val="1"/>
          <w:numId w:val="46"/>
        </w:numPr>
        <w:rPr>
          <w:rFonts w:ascii="Arial" w:cs="Arial" w:eastAsia="Arial" w:hAnsi="Arial"/>
          <w:sz w:val="22"/>
          <w:szCs w:val="22"/>
          <w:color w:val="auto"/>
        </w:rPr>
      </w:pPr>
      <w:r>
        <w:rPr>
          <w:rFonts w:ascii="Arial" w:cs="Arial" w:eastAsia="Arial" w:hAnsi="Arial"/>
          <w:sz w:val="22"/>
          <w:szCs w:val="22"/>
          <w:color w:val="auto"/>
        </w:rPr>
        <w:t>non-vested Participants (regardless of whether they are actively employed).</w:t>
      </w:r>
    </w:p>
    <w:p>
      <w:pPr>
        <w:spacing w:after="0" w:line="260" w:lineRule="exact"/>
        <w:rPr>
          <w:rFonts w:ascii="Arial" w:cs="Arial" w:eastAsia="Arial" w:hAnsi="Arial"/>
          <w:sz w:val="22"/>
          <w:szCs w:val="22"/>
          <w:color w:val="auto"/>
        </w:rPr>
      </w:pPr>
    </w:p>
    <w:p>
      <w:pPr>
        <w:jc w:val="both"/>
        <w:ind w:left="660" w:right="160" w:hanging="328"/>
        <w:spacing w:after="0" w:line="249" w:lineRule="auto"/>
        <w:tabs>
          <w:tab w:leader="none" w:pos="660" w:val="left"/>
        </w:tabs>
        <w:numPr>
          <w:ilvl w:val="0"/>
          <w:numId w:val="47"/>
        </w:numPr>
        <w:rPr>
          <w:rFonts w:ascii="Arial" w:cs="Arial" w:eastAsia="Arial" w:hAnsi="Arial"/>
          <w:sz w:val="22"/>
          <w:szCs w:val="22"/>
          <w:color w:val="auto"/>
        </w:rPr>
      </w:pPr>
      <w:r>
        <w:rPr>
          <w:rFonts w:ascii="Arial" w:cs="Arial" w:eastAsia="Arial" w:hAnsi="Arial"/>
          <w:sz w:val="22"/>
          <w:szCs w:val="22"/>
          <w:color w:val="auto"/>
        </w:rPr>
        <w:t>Within each category, assets shall be allocated pro-rata with respect to the total present value of benefits expected for each within the category, and payments due under the terms of the Arrangements to each Participant shall be made to the extent of the assets allocated to each Participant. For purposes</w:t>
      </w:r>
    </w:p>
    <w:p>
      <w:pPr>
        <w:ind w:left="660" w:right="40"/>
        <w:spacing w:after="0" w:line="246" w:lineRule="auto"/>
        <w:rPr>
          <w:rFonts w:ascii="Arial" w:cs="Arial" w:eastAsia="Arial" w:hAnsi="Arial"/>
          <w:sz w:val="22"/>
          <w:szCs w:val="22"/>
          <w:color w:val="auto"/>
        </w:rPr>
      </w:pPr>
      <w:r>
        <w:rPr>
          <w:rFonts w:ascii="Arial" w:cs="Arial" w:eastAsia="Arial" w:hAnsi="Arial"/>
          <w:sz w:val="22"/>
          <w:szCs w:val="22"/>
          <w:color w:val="auto"/>
        </w:rPr>
        <w:t>of the foregoing, calculations of the present values shall be performed within normal actuarial practices and within the most recent Actuarial Standards of Practice.</w:t>
      </w:r>
    </w:p>
    <w:p>
      <w:pPr>
        <w:spacing w:after="0" w:line="233" w:lineRule="exact"/>
        <w:rPr>
          <w:rFonts w:ascii="Arial" w:cs="Arial" w:eastAsia="Arial" w:hAnsi="Arial"/>
          <w:sz w:val="22"/>
          <w:szCs w:val="22"/>
          <w:color w:val="auto"/>
        </w:rPr>
      </w:pPr>
    </w:p>
    <w:p>
      <w:pPr>
        <w:ind w:left="660" w:right="80" w:hanging="328"/>
        <w:spacing w:after="0" w:line="312" w:lineRule="auto"/>
        <w:tabs>
          <w:tab w:leader="none" w:pos="660" w:val="left"/>
        </w:tabs>
        <w:numPr>
          <w:ilvl w:val="0"/>
          <w:numId w:val="47"/>
        </w:numPr>
        <w:rPr>
          <w:rFonts w:ascii="Arial" w:cs="Arial" w:eastAsia="Arial" w:hAnsi="Arial"/>
          <w:sz w:val="19"/>
          <w:szCs w:val="19"/>
          <w:color w:val="auto"/>
        </w:rPr>
      </w:pPr>
      <w:r>
        <w:rPr>
          <w:rFonts w:ascii="Arial" w:cs="Arial" w:eastAsia="Arial" w:hAnsi="Arial"/>
          <w:sz w:val="19"/>
          <w:szCs w:val="19"/>
          <w:color w:val="auto"/>
        </w:rPr>
        <w:t>Upon receipt of a contribution from the Company necessary to make up for a short-fall in the payments due, the Trustee shall resume payments to all the Participants under the Arrangements. Following a Triggering Event, the Trustee shall have the right and duty to compel a contribution to the Trust from the Company to make-up for any short-fall.</w:t>
      </w:r>
    </w:p>
    <w:p>
      <w:pPr>
        <w:spacing w:after="0" w:line="168" w:lineRule="exact"/>
        <w:rPr>
          <w:sz w:val="20"/>
          <w:szCs w:val="20"/>
          <w:color w:val="auto"/>
        </w:rPr>
      </w:pPr>
    </w:p>
    <w:p>
      <w:pPr>
        <w:spacing w:after="0"/>
        <w:tabs>
          <w:tab w:leader="none" w:pos="1100" w:val="left"/>
        </w:tabs>
        <w:rPr>
          <w:sz w:val="20"/>
          <w:szCs w:val="20"/>
          <w:color w:val="auto"/>
        </w:rPr>
      </w:pPr>
      <w:r>
        <w:rPr>
          <w:rFonts w:ascii="Arial" w:cs="Arial" w:eastAsia="Arial" w:hAnsi="Arial"/>
          <w:sz w:val="22"/>
          <w:szCs w:val="22"/>
          <w:b w:val="1"/>
          <w:bCs w:val="1"/>
          <w:color w:val="auto"/>
        </w:rPr>
        <w:t>Section 5.</w:t>
      </w:r>
      <w:r>
        <w:rPr>
          <w:sz w:val="20"/>
          <w:szCs w:val="20"/>
          <w:color w:val="auto"/>
        </w:rPr>
        <w:tab/>
      </w:r>
      <w:r>
        <w:rPr>
          <w:rFonts w:ascii="Arial" w:cs="Arial" w:eastAsia="Arial" w:hAnsi="Arial"/>
          <w:sz w:val="19"/>
          <w:szCs w:val="19"/>
          <w:b w:val="1"/>
          <w:bCs w:val="1"/>
          <w:u w:val="single" w:color="auto"/>
          <w:color w:val="auto"/>
        </w:rPr>
        <w:t>Payments to the Company</w:t>
      </w:r>
    </w:p>
    <w:p>
      <w:pPr>
        <w:spacing w:after="0" w:line="266" w:lineRule="exact"/>
        <w:rPr>
          <w:sz w:val="20"/>
          <w:szCs w:val="20"/>
          <w:color w:val="auto"/>
        </w:rPr>
      </w:pPr>
    </w:p>
    <w:p>
      <w:pPr>
        <w:ind w:left="660" w:right="20" w:hanging="328"/>
        <w:spacing w:after="0" w:line="271" w:lineRule="auto"/>
        <w:tabs>
          <w:tab w:leader="none" w:pos="660" w:val="left"/>
        </w:tabs>
        <w:numPr>
          <w:ilvl w:val="0"/>
          <w:numId w:val="48"/>
        </w:numPr>
        <w:rPr>
          <w:rFonts w:ascii="Arial" w:cs="Arial" w:eastAsia="Arial" w:hAnsi="Arial"/>
          <w:sz w:val="21"/>
          <w:szCs w:val="21"/>
          <w:color w:val="auto"/>
        </w:rPr>
      </w:pPr>
      <w:r>
        <w:rPr>
          <w:rFonts w:ascii="Arial" w:cs="Arial" w:eastAsia="Arial" w:hAnsi="Arial"/>
          <w:sz w:val="21"/>
          <w:szCs w:val="21"/>
          <w:color w:val="auto"/>
        </w:rPr>
        <w:t>Except as provided in Section 1(i), Section 2, Section 3, Section 5(b), and Section 8 hereof, the Company shall have no right or power to direct the Trustee to return to the Company or to divert to others any of the Trust assets before all payment of benefits have been made to Participants pursuant to the terms of the Arrangements.</w:t>
      </w:r>
    </w:p>
    <w:p>
      <w:pPr>
        <w:spacing w:after="0" w:line="208" w:lineRule="exact"/>
        <w:rPr>
          <w:rFonts w:ascii="Arial" w:cs="Arial" w:eastAsia="Arial" w:hAnsi="Arial"/>
          <w:sz w:val="21"/>
          <w:szCs w:val="21"/>
          <w:color w:val="auto"/>
        </w:rPr>
      </w:pPr>
    </w:p>
    <w:p>
      <w:pPr>
        <w:ind w:left="660" w:hanging="328"/>
        <w:spacing w:after="0" w:line="287" w:lineRule="auto"/>
        <w:tabs>
          <w:tab w:leader="none" w:pos="660" w:val="left"/>
        </w:tabs>
        <w:numPr>
          <w:ilvl w:val="0"/>
          <w:numId w:val="48"/>
        </w:numPr>
        <w:rPr>
          <w:rFonts w:ascii="Arial" w:cs="Arial" w:eastAsia="Arial" w:hAnsi="Arial"/>
          <w:sz w:val="19"/>
          <w:szCs w:val="19"/>
          <w:color w:val="auto"/>
        </w:rPr>
      </w:pPr>
      <w:r>
        <w:rPr>
          <w:rFonts w:ascii="Arial" w:cs="Arial" w:eastAsia="Arial" w:hAnsi="Arial"/>
          <w:sz w:val="19"/>
          <w:szCs w:val="19"/>
          <w:color w:val="auto"/>
        </w:rPr>
        <w:t>In the event that the Company, prior to a Triggering Event, or the Trustee in its sole and absolute discretion, after a Triggering Event, determines that the Trust assets exceed one-hundred twenty-five percent (125%) of the anticipated benefit obligations and administrative expenses that are to be paid under the Arrangements and that all of the subtrusts' assets exceed one-hundred percent (100%) of the anticipated benefit obligations and administrative expenses that are to be paid under the Arrangements, the Trustee, at the written direction of the Company, prior to a Triggering Event, or the Trustee in its sole and absolute discretion, after a Triggering Event, shall distribute to the Company such excess portion of Trust assets. For purposes of the foregoing, in the event that the Company, prior to a Triggering Event, or the Trustee in its sole and absolute discretion, after a Triggering Event, determines that the Trust assets in a particular subtrust exceed one-hundred percent (100%) of the anticipated benefit obligations and administrative expenses that are to be paid under the Arrangements from such subtrust, such excess amounts may be allocated to other subtrusts whose assets are less than one-hundred percent (100%) of the anticipated benefit obligations and administrative expenses that are to be paid under the Arrangements from such subtrust.</w:t>
      </w:r>
    </w:p>
    <w:p>
      <w:pPr>
        <w:spacing w:after="0" w:line="200" w:lineRule="exact"/>
        <w:rPr>
          <w:sz w:val="20"/>
          <w:szCs w:val="20"/>
          <w:color w:val="auto"/>
        </w:rPr>
      </w:pPr>
    </w:p>
    <w:p>
      <w:pPr>
        <w:spacing w:after="0" w:line="256" w:lineRule="exact"/>
        <w:rPr>
          <w:sz w:val="20"/>
          <w:szCs w:val="20"/>
          <w:color w:val="auto"/>
        </w:rPr>
      </w:pPr>
    </w:p>
    <w:p>
      <w:pPr>
        <w:spacing w:after="0"/>
        <w:tabs>
          <w:tab w:leader="none" w:pos="1100" w:val="left"/>
        </w:tabs>
        <w:rPr>
          <w:sz w:val="20"/>
          <w:szCs w:val="20"/>
          <w:color w:val="auto"/>
        </w:rPr>
      </w:pPr>
      <w:r>
        <w:rPr>
          <w:rFonts w:ascii="Arial" w:cs="Arial" w:eastAsia="Arial" w:hAnsi="Arial"/>
          <w:sz w:val="22"/>
          <w:szCs w:val="22"/>
          <w:b w:val="1"/>
          <w:bCs w:val="1"/>
          <w:color w:val="auto"/>
        </w:rPr>
        <w:t>Section 6.</w:t>
      </w:r>
      <w:r>
        <w:rPr>
          <w:sz w:val="20"/>
          <w:szCs w:val="20"/>
          <w:color w:val="auto"/>
        </w:rPr>
        <w:tab/>
      </w:r>
      <w:r>
        <w:rPr>
          <w:rFonts w:ascii="Arial" w:cs="Arial" w:eastAsia="Arial" w:hAnsi="Arial"/>
          <w:sz w:val="19"/>
          <w:szCs w:val="19"/>
          <w:b w:val="1"/>
          <w:bCs w:val="1"/>
          <w:u w:val="single" w:color="auto"/>
          <w:color w:val="auto"/>
        </w:rPr>
        <w:t>Investment Authority</w:t>
      </w:r>
    </w:p>
    <w:p>
      <w:pPr>
        <w:spacing w:after="0" w:line="266" w:lineRule="exact"/>
        <w:rPr>
          <w:sz w:val="20"/>
          <w:szCs w:val="20"/>
          <w:color w:val="auto"/>
        </w:rPr>
      </w:pPr>
    </w:p>
    <w:p>
      <w:pPr>
        <w:ind w:left="660" w:right="260" w:hanging="328"/>
        <w:spacing w:after="0" w:line="263" w:lineRule="auto"/>
        <w:tabs>
          <w:tab w:leader="none" w:pos="660" w:val="left"/>
        </w:tabs>
        <w:numPr>
          <w:ilvl w:val="0"/>
          <w:numId w:val="49"/>
        </w:numPr>
        <w:rPr>
          <w:rFonts w:ascii="Arial" w:cs="Arial" w:eastAsia="Arial" w:hAnsi="Arial"/>
          <w:sz w:val="22"/>
          <w:szCs w:val="22"/>
          <w:color w:val="auto"/>
        </w:rPr>
      </w:pPr>
      <w:r>
        <w:rPr>
          <w:rFonts w:ascii="Arial" w:cs="Arial" w:eastAsia="Arial" w:hAnsi="Arial"/>
          <w:sz w:val="22"/>
          <w:szCs w:val="22"/>
          <w:color w:val="auto"/>
        </w:rPr>
        <w:t>Prior to a Triggering Event, the Company shall have the right, subject to this Section, to direct the Trustee with respect to investments.</w:t>
      </w: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591" w:right="259" w:bottom="1440" w:gutter="0" w:footer="0" w:header="0"/>
        </w:sectPr>
      </w:pPr>
    </w:p>
    <w:bookmarkStart w:id="122" w:name="page123"/>
    <w:bookmarkEnd w:id="122"/>
    <w:p>
      <w:pPr>
        <w:ind w:left="644" w:right="100" w:hanging="644"/>
        <w:spacing w:after="0" w:line="261" w:lineRule="auto"/>
        <w:tabs>
          <w:tab w:leader="none" w:pos="644" w:val="left"/>
        </w:tabs>
        <w:numPr>
          <w:ilvl w:val="0"/>
          <w:numId w:val="50"/>
        </w:numPr>
        <w:rPr>
          <w:rFonts w:ascii="Arial" w:cs="Arial" w:eastAsia="Arial" w:hAnsi="Arial"/>
          <w:sz w:val="21"/>
          <w:szCs w:val="21"/>
          <w:color w:val="auto"/>
        </w:rPr>
      </w:pPr>
      <w:r>
        <w:rPr>
          <w:rFonts w:ascii="Arial" w:cs="Arial" w:eastAsia="Arial" w:hAnsi="Arial"/>
          <w:sz w:val="21"/>
          <w:szCs w:val="21"/>
          <w:color w:val="auto"/>
        </w:rPr>
        <w:t>The Company may direct the Trustee to segregate all or a portion of the Fund in a separate investment account or accounts and may appoint one or more investment managers and/or an investment committee established by the Company to direct the investment and reinvestment of each such investment account or accounts. In such event, the Company shall notify the Trustee of the appointment of each such investment manager and/or investment committee. No such investment manager shall be related, directly or indirectly, to the Company, but members of the investment committee may be employees of the Company.</w:t>
      </w:r>
    </w:p>
    <w:p>
      <w:pPr>
        <w:spacing w:after="0" w:line="220" w:lineRule="exact"/>
        <w:rPr>
          <w:rFonts w:ascii="Arial" w:cs="Arial" w:eastAsia="Arial" w:hAnsi="Arial"/>
          <w:sz w:val="21"/>
          <w:szCs w:val="21"/>
          <w:color w:val="auto"/>
        </w:rPr>
      </w:pPr>
    </w:p>
    <w:p>
      <w:pPr>
        <w:ind w:left="644" w:hanging="644"/>
        <w:spacing w:after="0" w:line="294" w:lineRule="auto"/>
        <w:tabs>
          <w:tab w:leader="none" w:pos="644" w:val="left"/>
        </w:tabs>
        <w:numPr>
          <w:ilvl w:val="0"/>
          <w:numId w:val="50"/>
        </w:numPr>
        <w:rPr>
          <w:rFonts w:ascii="Arial" w:cs="Arial" w:eastAsia="Arial" w:hAnsi="Arial"/>
          <w:sz w:val="19"/>
          <w:szCs w:val="19"/>
          <w:color w:val="auto"/>
        </w:rPr>
      </w:pPr>
      <w:r>
        <w:rPr>
          <w:rFonts w:ascii="Arial" w:cs="Arial" w:eastAsia="Arial" w:hAnsi="Arial"/>
          <w:sz w:val="19"/>
          <w:szCs w:val="19"/>
          <w:color w:val="auto"/>
        </w:rPr>
        <w:t>Thereafter, until a Triggering Event, the Trustee shall make every sale or investment with respect to such investment account as directed in writing by the investment manager or investment committee. It shall be the duty of the Trustee to act strictly in accordance with each direction. The Trustee shall be under no duty to question any such direction of the investment manager or investment committee, to review any securities or other property held in such investment account or accounts acquired by it pursuant to such directions or to make any recommendations to the investment managers or investment committee with respect to such securities or other property.</w:t>
      </w:r>
    </w:p>
    <w:p>
      <w:pPr>
        <w:spacing w:after="0" w:line="190" w:lineRule="exact"/>
        <w:rPr>
          <w:rFonts w:ascii="Arial" w:cs="Arial" w:eastAsia="Arial" w:hAnsi="Arial"/>
          <w:sz w:val="19"/>
          <w:szCs w:val="19"/>
          <w:color w:val="auto"/>
        </w:rPr>
      </w:pPr>
    </w:p>
    <w:p>
      <w:pPr>
        <w:ind w:left="644" w:right="80" w:hanging="644"/>
        <w:spacing w:after="0" w:line="289" w:lineRule="auto"/>
        <w:tabs>
          <w:tab w:leader="none" w:pos="644" w:val="left"/>
        </w:tabs>
        <w:numPr>
          <w:ilvl w:val="0"/>
          <w:numId w:val="50"/>
        </w:numPr>
        <w:rPr>
          <w:rFonts w:ascii="Arial" w:cs="Arial" w:eastAsia="Arial" w:hAnsi="Arial"/>
          <w:sz w:val="19"/>
          <w:szCs w:val="19"/>
          <w:color w:val="auto"/>
        </w:rPr>
      </w:pPr>
      <w:r>
        <w:rPr>
          <w:rFonts w:ascii="Arial" w:cs="Arial" w:eastAsia="Arial" w:hAnsi="Arial"/>
          <w:sz w:val="19"/>
          <w:szCs w:val="19"/>
          <w:color w:val="auto"/>
        </w:rPr>
        <w:t>Notwithstanding the foregoing, the Trustee, without obtaining prior approval or direction from an investment manager or investment committee, shall invest cash balances held by it from time to time in short term cash equivalents including, but not limited to, through the medium of any short term common, collective, or commingled trust fund established and maintained by the Trustee subject to the instrument establishing such trust fund, U.S. Treasury Bills, commercial paper (including such forms of commercial paper as may be available through the Trustee's Trust Department), certificates of deposit (including certificates issued by the Trustee in its separate corporate capacity), and similar type securities, with a maturity not to exceed one year; and, furthermore, sell such short term investments as may be necessary to carry out the instructions of an investment manager or investment committee regarding more permanent type investment and directed distributions.</w:t>
      </w:r>
    </w:p>
    <w:p>
      <w:pPr>
        <w:spacing w:after="0" w:line="198" w:lineRule="exact"/>
        <w:rPr>
          <w:rFonts w:ascii="Arial" w:cs="Arial" w:eastAsia="Arial" w:hAnsi="Arial"/>
          <w:sz w:val="19"/>
          <w:szCs w:val="19"/>
          <w:color w:val="auto"/>
        </w:rPr>
      </w:pPr>
    </w:p>
    <w:p>
      <w:pPr>
        <w:ind w:left="644" w:right="180" w:hanging="644"/>
        <w:spacing w:after="0" w:line="265" w:lineRule="auto"/>
        <w:tabs>
          <w:tab w:leader="none" w:pos="644" w:val="left"/>
        </w:tabs>
        <w:numPr>
          <w:ilvl w:val="0"/>
          <w:numId w:val="50"/>
        </w:numPr>
        <w:rPr>
          <w:rFonts w:ascii="Arial" w:cs="Arial" w:eastAsia="Arial" w:hAnsi="Arial"/>
          <w:sz w:val="21"/>
          <w:szCs w:val="21"/>
          <w:color w:val="auto"/>
        </w:rPr>
      </w:pPr>
      <w:r>
        <w:rPr>
          <w:rFonts w:ascii="Arial" w:cs="Arial" w:eastAsia="Arial" w:hAnsi="Arial"/>
          <w:sz w:val="21"/>
          <w:szCs w:val="21"/>
          <w:color w:val="auto"/>
        </w:rPr>
        <w:t>The Trustee shall neither be liable nor responsible for any loss resulting to the Fund by reason of any sale or purchase of an investment directed by an investment manager or investment committee nor by reason of the failure to take any action with respect to any investment which was acquired pursuant to any such direction in the absence of further directions of such investment manager or investment committee.</w:t>
      </w:r>
    </w:p>
    <w:p>
      <w:pPr>
        <w:spacing w:after="0" w:line="216" w:lineRule="exact"/>
        <w:rPr>
          <w:rFonts w:ascii="Arial" w:cs="Arial" w:eastAsia="Arial" w:hAnsi="Arial"/>
          <w:sz w:val="21"/>
          <w:szCs w:val="21"/>
          <w:color w:val="auto"/>
        </w:rPr>
      </w:pPr>
    </w:p>
    <w:p>
      <w:pPr>
        <w:ind w:left="1304" w:right="120" w:hanging="655"/>
        <w:spacing w:after="0" w:line="257" w:lineRule="auto"/>
        <w:tabs>
          <w:tab w:leader="none" w:pos="1304" w:val="left"/>
        </w:tabs>
        <w:numPr>
          <w:ilvl w:val="1"/>
          <w:numId w:val="50"/>
        </w:numPr>
        <w:rPr>
          <w:rFonts w:ascii="Arial" w:cs="Arial" w:eastAsia="Arial" w:hAnsi="Arial"/>
          <w:sz w:val="21"/>
          <w:szCs w:val="21"/>
          <w:color w:val="auto"/>
        </w:rPr>
      </w:pPr>
      <w:r>
        <w:rPr>
          <w:rFonts w:ascii="Arial" w:cs="Arial" w:eastAsia="Arial" w:hAnsi="Arial"/>
          <w:sz w:val="21"/>
          <w:szCs w:val="21"/>
          <w:color w:val="auto"/>
        </w:rPr>
        <w:t>Notwithstanding anything in this Agreement to the contrary, the Trustee shall be indemnified and saved harmless by the Company from and against any and all personal liability to which the Trustee may be subjected by carrying out any directions of an investment manager or investment committee issued pursuant hereto or for failure to act in the absence of directions of the investment manager or investment committee including all expenses reasonably incurred in its defense in the event the Company fails to provide such defense; provided, however, the Trustee shall not be so indemnified if it participates knowingly in, or knowingly undertakes to conceal, an</w:t>
      </w:r>
    </w:p>
    <w:p>
      <w:pPr>
        <w:spacing w:after="0" w:line="4" w:lineRule="exact"/>
        <w:rPr>
          <w:rFonts w:ascii="Arial" w:cs="Arial" w:eastAsia="Arial" w:hAnsi="Arial"/>
          <w:sz w:val="21"/>
          <w:szCs w:val="21"/>
          <w:color w:val="auto"/>
        </w:rPr>
      </w:pPr>
    </w:p>
    <w:p>
      <w:pPr>
        <w:ind w:left="1304" w:right="20"/>
        <w:spacing w:after="0" w:line="245" w:lineRule="auto"/>
        <w:rPr>
          <w:rFonts w:ascii="Arial" w:cs="Arial" w:eastAsia="Arial" w:hAnsi="Arial"/>
          <w:sz w:val="21"/>
          <w:szCs w:val="21"/>
          <w:color w:val="auto"/>
        </w:rPr>
      </w:pPr>
      <w:r>
        <w:rPr>
          <w:rFonts w:ascii="Arial" w:cs="Arial" w:eastAsia="Arial" w:hAnsi="Arial"/>
          <w:sz w:val="22"/>
          <w:szCs w:val="22"/>
          <w:color w:val="auto"/>
        </w:rPr>
        <w:t>act or omission of an investment manager or investment committee, having actual knowledge that such act or omission is a breach of a fiduciary duty; provided further, however, that the Trustee shall not be deemed to have knowingly</w:t>
      </w:r>
    </w:p>
    <w:p>
      <w:pPr>
        <w:spacing w:after="0" w:line="214" w:lineRule="exact"/>
        <w:rPr>
          <w:sz w:val="20"/>
          <w:szCs w:val="20"/>
          <w:color w:val="auto"/>
        </w:rPr>
      </w:pPr>
    </w:p>
    <w:p>
      <w:pPr>
        <w:ind w:left="5004"/>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764"/>
          </w:cols>
          <w:pgMar w:left="896" w:top="591" w:right="239" w:bottom="1440" w:gutter="0" w:footer="0" w:header="0"/>
        </w:sectPr>
      </w:pPr>
    </w:p>
    <w:bookmarkStart w:id="123" w:name="page124"/>
    <w:bookmarkEnd w:id="123"/>
    <w:p>
      <w:pPr>
        <w:ind w:left="1628"/>
        <w:spacing w:after="0" w:line="259" w:lineRule="auto"/>
        <w:rPr>
          <w:sz w:val="20"/>
          <w:szCs w:val="20"/>
          <w:color w:val="auto"/>
        </w:rPr>
      </w:pPr>
      <w:r>
        <w:rPr>
          <w:rFonts w:ascii="Arial" w:cs="Arial" w:eastAsia="Arial" w:hAnsi="Arial"/>
          <w:sz w:val="21"/>
          <w:szCs w:val="21"/>
          <w:color w:val="auto"/>
        </w:rPr>
        <w:t>participated in or knowingly undertaken to conceal an act or omission of an investment manager or investment committee with knowledge that such act or omission was a breach of fiduciary duty by merely complying with directions of an investment manager or investment committee or for failure to act in the absence of directions of an investment manager or investment committee. The Trustee may rely upon any order, certificate, notice, direction or other documentary confirmation purporting to have been issued by the investment manager or investment committee which the Trustee believes to be genuine and to have been issued by the investment manager or investment committee. The Trustee shall not be charged with knowledge of the termination of the appointment of any investment manager or investment committee until it receives written notice thereof from the Company.</w:t>
      </w:r>
    </w:p>
    <w:p>
      <w:pPr>
        <w:spacing w:after="0" w:line="221" w:lineRule="exact"/>
        <w:rPr>
          <w:sz w:val="20"/>
          <w:szCs w:val="20"/>
          <w:color w:val="auto"/>
        </w:rPr>
      </w:pPr>
    </w:p>
    <w:p>
      <w:pPr>
        <w:ind w:left="1628" w:right="80" w:hanging="655"/>
        <w:spacing w:after="0" w:line="263" w:lineRule="auto"/>
        <w:tabs>
          <w:tab w:leader="none" w:pos="1628" w:val="left"/>
        </w:tabs>
        <w:numPr>
          <w:ilvl w:val="2"/>
          <w:numId w:val="51"/>
        </w:numPr>
        <w:rPr>
          <w:rFonts w:ascii="Arial" w:cs="Arial" w:eastAsia="Arial" w:hAnsi="Arial"/>
          <w:sz w:val="22"/>
          <w:szCs w:val="22"/>
          <w:color w:val="auto"/>
        </w:rPr>
      </w:pPr>
      <w:r>
        <w:rPr>
          <w:rFonts w:ascii="Arial" w:cs="Arial" w:eastAsia="Arial" w:hAnsi="Arial"/>
          <w:sz w:val="22"/>
          <w:szCs w:val="22"/>
          <w:color w:val="auto"/>
        </w:rPr>
        <w:t>The Company, prior to a Triggering Event, may direct the Trustee to invest in securities (including stock and the rights to acquire stock) or obligations issued by the Company.</w:t>
      </w:r>
    </w:p>
    <w:p>
      <w:pPr>
        <w:spacing w:after="0" w:line="215" w:lineRule="exact"/>
        <w:rPr>
          <w:rFonts w:ascii="Arial" w:cs="Arial" w:eastAsia="Arial" w:hAnsi="Arial"/>
          <w:sz w:val="22"/>
          <w:szCs w:val="22"/>
          <w:color w:val="auto"/>
        </w:rPr>
      </w:pPr>
    </w:p>
    <w:p>
      <w:pPr>
        <w:ind w:left="1628" w:right="20" w:hanging="655"/>
        <w:spacing w:after="0" w:line="253" w:lineRule="auto"/>
        <w:tabs>
          <w:tab w:leader="none" w:pos="1628" w:val="left"/>
        </w:tabs>
        <w:numPr>
          <w:ilvl w:val="2"/>
          <w:numId w:val="51"/>
        </w:numPr>
        <w:rPr>
          <w:rFonts w:ascii="Arial" w:cs="Arial" w:eastAsia="Arial" w:hAnsi="Arial"/>
          <w:sz w:val="22"/>
          <w:szCs w:val="22"/>
          <w:color w:val="auto"/>
        </w:rPr>
      </w:pPr>
      <w:r>
        <w:rPr>
          <w:rFonts w:ascii="Arial" w:cs="Arial" w:eastAsia="Arial" w:hAnsi="Arial"/>
          <w:sz w:val="22"/>
          <w:szCs w:val="22"/>
          <w:color w:val="auto"/>
        </w:rPr>
        <w:t>All rights associated with respect to any investment held by the Trust, including but not limited to, exercising or voting of proxies, in person or by general or limited proxy, shall be in accordance with and as directed in writing by the Company or its authorized representative.</w:t>
      </w:r>
    </w:p>
    <w:p>
      <w:pPr>
        <w:spacing w:after="0" w:line="226" w:lineRule="exact"/>
        <w:rPr>
          <w:rFonts w:ascii="Arial" w:cs="Arial" w:eastAsia="Arial" w:hAnsi="Arial"/>
          <w:sz w:val="22"/>
          <w:szCs w:val="22"/>
          <w:color w:val="auto"/>
        </w:rPr>
      </w:pPr>
    </w:p>
    <w:p>
      <w:pPr>
        <w:ind w:left="328" w:right="180" w:hanging="328"/>
        <w:spacing w:after="0" w:line="263" w:lineRule="auto"/>
        <w:tabs>
          <w:tab w:leader="none" w:pos="328" w:val="left"/>
        </w:tabs>
        <w:numPr>
          <w:ilvl w:val="0"/>
          <w:numId w:val="52"/>
        </w:numPr>
        <w:rPr>
          <w:rFonts w:ascii="Arial" w:cs="Arial" w:eastAsia="Arial" w:hAnsi="Arial"/>
          <w:sz w:val="22"/>
          <w:szCs w:val="22"/>
          <w:color w:val="auto"/>
        </w:rPr>
      </w:pPr>
      <w:r>
        <w:rPr>
          <w:rFonts w:ascii="Arial" w:cs="Arial" w:eastAsia="Arial" w:hAnsi="Arial"/>
          <w:sz w:val="22"/>
          <w:szCs w:val="22"/>
          <w:color w:val="auto"/>
        </w:rPr>
        <w:t>Following a Triggering Event, the Trustee shall have the power in investing and reinvesting the Fund in its sole discretion, unless otherwise provided below:</w:t>
      </w:r>
    </w:p>
    <w:p>
      <w:pPr>
        <w:spacing w:after="0" w:line="215" w:lineRule="exact"/>
        <w:rPr>
          <w:rFonts w:ascii="Arial" w:cs="Arial" w:eastAsia="Arial" w:hAnsi="Arial"/>
          <w:sz w:val="22"/>
          <w:szCs w:val="22"/>
          <w:color w:val="auto"/>
        </w:rPr>
      </w:pPr>
    </w:p>
    <w:p>
      <w:pPr>
        <w:ind w:left="968" w:hanging="644"/>
        <w:spacing w:after="0" w:line="287" w:lineRule="auto"/>
        <w:tabs>
          <w:tab w:leader="none" w:pos="968" w:val="left"/>
        </w:tabs>
        <w:numPr>
          <w:ilvl w:val="1"/>
          <w:numId w:val="52"/>
        </w:numPr>
        <w:rPr>
          <w:rFonts w:ascii="Arial" w:cs="Arial" w:eastAsia="Arial" w:hAnsi="Arial"/>
          <w:sz w:val="19"/>
          <w:szCs w:val="19"/>
          <w:color w:val="auto"/>
        </w:rPr>
      </w:pPr>
      <w:r>
        <w:rPr>
          <w:rFonts w:ascii="Arial" w:cs="Arial" w:eastAsia="Arial" w:hAnsi="Arial"/>
          <w:sz w:val="19"/>
          <w:szCs w:val="19"/>
          <w:color w:val="auto"/>
        </w:rPr>
        <w:t>To invest and reinvest in any readily marketable common and preferred stocks (including any stock or security of the Company), bonds, notes, debentures (including convertible stocks and securities but not including any stock or security of the Trustee other than a de minimus amount held in a mutual fund), certificates of deposit or demand or time deposits (including any such deposits with the Trustee), limited partnerships or limited liability companies, private placements and shares of investment companies, and mutual funds, without being limited to the classes or property in which the Trustees are authorized to invest by any law or any rule of court of any state and without regard to the proportion any such property may bear to the entire amount of the Fund. Without limitation, the Trustee may invest the Trust in any investment company (including any investment company or companies for which Wells Fargo Bank, N.A. or an affiliated company acts as the investment advisor {“Special Investment Companies”}) or, any insurance contract or contracts issued by an insurance company or companies in each case as the Trustee may determine provided that the Trustee may in its sole discretion keep such portion of the Trust in cash or cash balances for such reasonable periods as may from time to time be deemed advisable pending investment or in order to meet contemplated payments of benefits;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88"/>
          </w:cols>
          <w:pgMar w:left="572" w:top="591" w:right="239" w:bottom="1440" w:gutter="0" w:footer="0" w:header="0"/>
        </w:sectPr>
      </w:pPr>
    </w:p>
    <w:bookmarkStart w:id="124" w:name="page125"/>
    <w:bookmarkEnd w:id="124"/>
    <w:p>
      <w:pPr>
        <w:ind w:left="644" w:hanging="644"/>
        <w:spacing w:after="0" w:line="263" w:lineRule="auto"/>
        <w:tabs>
          <w:tab w:leader="none" w:pos="644" w:val="left"/>
        </w:tabs>
        <w:numPr>
          <w:ilvl w:val="0"/>
          <w:numId w:val="53"/>
        </w:numPr>
        <w:rPr>
          <w:rFonts w:ascii="Arial" w:cs="Arial" w:eastAsia="Arial" w:hAnsi="Arial"/>
          <w:sz w:val="22"/>
          <w:szCs w:val="22"/>
          <w:color w:val="auto"/>
        </w:rPr>
      </w:pPr>
      <w:r>
        <w:rPr>
          <w:rFonts w:ascii="Arial" w:cs="Arial" w:eastAsia="Arial" w:hAnsi="Arial"/>
          <w:sz w:val="22"/>
          <w:szCs w:val="22"/>
          <w:color w:val="auto"/>
        </w:rPr>
        <w:t>To invest and reinvest all or any portion of the Fund collectively through the medium of any proprietary mutual fund that may be established and maintained by the Trustee;</w:t>
      </w:r>
    </w:p>
    <w:p>
      <w:pPr>
        <w:spacing w:after="0" w:line="215" w:lineRule="exact"/>
        <w:rPr>
          <w:rFonts w:ascii="Arial" w:cs="Arial" w:eastAsia="Arial" w:hAnsi="Arial"/>
          <w:sz w:val="22"/>
          <w:szCs w:val="22"/>
          <w:color w:val="auto"/>
        </w:rPr>
      </w:pPr>
    </w:p>
    <w:p>
      <w:pPr>
        <w:jc w:val="both"/>
        <w:ind w:left="644" w:right="180" w:hanging="644"/>
        <w:spacing w:after="0" w:line="253" w:lineRule="auto"/>
        <w:tabs>
          <w:tab w:leader="none" w:pos="644" w:val="left"/>
        </w:tabs>
        <w:numPr>
          <w:ilvl w:val="0"/>
          <w:numId w:val="53"/>
        </w:numPr>
        <w:rPr>
          <w:rFonts w:ascii="Arial" w:cs="Arial" w:eastAsia="Arial" w:hAnsi="Arial"/>
          <w:sz w:val="22"/>
          <w:szCs w:val="22"/>
          <w:color w:val="auto"/>
        </w:rPr>
      </w:pPr>
      <w:r>
        <w:rPr>
          <w:rFonts w:ascii="Arial" w:cs="Arial" w:eastAsia="Arial" w:hAnsi="Arial"/>
          <w:sz w:val="22"/>
          <w:szCs w:val="22"/>
          <w:color w:val="auto"/>
        </w:rPr>
        <w:t>To commingle for investment purposes all or any portion of the Fund with assets of any other similar trust or trusts established by the Company with the Trustee for the purpose of safeguarding deferred compensation or retirement income benefits of its employees and/or directors;</w:t>
      </w:r>
    </w:p>
    <w:p>
      <w:pPr>
        <w:spacing w:after="0" w:line="226" w:lineRule="exact"/>
        <w:rPr>
          <w:rFonts w:ascii="Arial" w:cs="Arial" w:eastAsia="Arial" w:hAnsi="Arial"/>
          <w:sz w:val="22"/>
          <w:szCs w:val="22"/>
          <w:color w:val="auto"/>
        </w:rPr>
      </w:pPr>
    </w:p>
    <w:p>
      <w:pPr>
        <w:ind w:left="644" w:hanging="644"/>
        <w:spacing w:after="0"/>
        <w:tabs>
          <w:tab w:leader="none" w:pos="644" w:val="left"/>
        </w:tabs>
        <w:numPr>
          <w:ilvl w:val="0"/>
          <w:numId w:val="53"/>
        </w:numPr>
        <w:rPr>
          <w:rFonts w:ascii="Arial" w:cs="Arial" w:eastAsia="Arial" w:hAnsi="Arial"/>
          <w:sz w:val="22"/>
          <w:szCs w:val="22"/>
          <w:color w:val="auto"/>
        </w:rPr>
      </w:pPr>
      <w:r>
        <w:rPr>
          <w:rFonts w:ascii="Arial" w:cs="Arial" w:eastAsia="Arial" w:hAnsi="Arial"/>
          <w:sz w:val="22"/>
          <w:szCs w:val="22"/>
          <w:color w:val="auto"/>
        </w:rPr>
        <w:t>To retain any property at any time received by the Trustee;</w:t>
      </w:r>
    </w:p>
    <w:p>
      <w:pPr>
        <w:spacing w:after="0" w:line="260" w:lineRule="exact"/>
        <w:rPr>
          <w:rFonts w:ascii="Arial" w:cs="Arial" w:eastAsia="Arial" w:hAnsi="Arial"/>
          <w:sz w:val="22"/>
          <w:szCs w:val="22"/>
          <w:color w:val="auto"/>
        </w:rPr>
      </w:pPr>
    </w:p>
    <w:p>
      <w:pPr>
        <w:ind w:left="644" w:right="80" w:hanging="644"/>
        <w:spacing w:after="0" w:line="312" w:lineRule="auto"/>
        <w:tabs>
          <w:tab w:leader="none" w:pos="644" w:val="left"/>
        </w:tabs>
        <w:numPr>
          <w:ilvl w:val="0"/>
          <w:numId w:val="53"/>
        </w:numPr>
        <w:rPr>
          <w:rFonts w:ascii="Arial" w:cs="Arial" w:eastAsia="Arial" w:hAnsi="Arial"/>
          <w:sz w:val="19"/>
          <w:szCs w:val="19"/>
          <w:color w:val="auto"/>
        </w:rPr>
      </w:pPr>
      <w:r>
        <w:rPr>
          <w:rFonts w:ascii="Arial" w:cs="Arial" w:eastAsia="Arial" w:hAnsi="Arial"/>
          <w:sz w:val="19"/>
          <w:szCs w:val="19"/>
          <w:color w:val="auto"/>
        </w:rPr>
        <w:t>To sell or exchange any property held by it at public or private sale, for cash or on credit, to grant and exercise options for the purchase or exchange thereof, to exercise all conversion or subscription rights pertaining to any such property and to enter into any covenant or agreement to purchase any property in the future;</w:t>
      </w:r>
    </w:p>
    <w:p>
      <w:pPr>
        <w:spacing w:after="0" w:line="174" w:lineRule="exact"/>
        <w:rPr>
          <w:rFonts w:ascii="Arial" w:cs="Arial" w:eastAsia="Arial" w:hAnsi="Arial"/>
          <w:sz w:val="19"/>
          <w:szCs w:val="19"/>
          <w:color w:val="auto"/>
        </w:rPr>
      </w:pPr>
    </w:p>
    <w:p>
      <w:pPr>
        <w:jc w:val="both"/>
        <w:ind w:left="644" w:right="320" w:hanging="644"/>
        <w:spacing w:after="0" w:line="253" w:lineRule="auto"/>
        <w:tabs>
          <w:tab w:leader="none" w:pos="644" w:val="left"/>
        </w:tabs>
        <w:numPr>
          <w:ilvl w:val="0"/>
          <w:numId w:val="53"/>
        </w:numPr>
        <w:rPr>
          <w:rFonts w:ascii="Arial" w:cs="Arial" w:eastAsia="Arial" w:hAnsi="Arial"/>
          <w:sz w:val="22"/>
          <w:szCs w:val="22"/>
          <w:color w:val="auto"/>
        </w:rPr>
      </w:pPr>
      <w:r>
        <w:rPr>
          <w:rFonts w:ascii="Arial" w:cs="Arial" w:eastAsia="Arial" w:hAnsi="Arial"/>
          <w:sz w:val="22"/>
          <w:szCs w:val="22"/>
          <w:color w:val="auto"/>
        </w:rPr>
        <w:t>To participate in any plan of reorganization, consolidation, merger, combination, liquidation or other similar plan relating to property held by it and to consent to or oppose any such plan or any action thereunder or any contract, lease, mortgage, purchase, sale or other action by any person;</w:t>
      </w:r>
    </w:p>
    <w:p>
      <w:pPr>
        <w:spacing w:after="0" w:line="226" w:lineRule="exact"/>
        <w:rPr>
          <w:rFonts w:ascii="Arial" w:cs="Arial" w:eastAsia="Arial" w:hAnsi="Arial"/>
          <w:sz w:val="22"/>
          <w:szCs w:val="22"/>
          <w:color w:val="auto"/>
        </w:rPr>
      </w:pPr>
    </w:p>
    <w:p>
      <w:pPr>
        <w:ind w:left="644" w:hanging="644"/>
        <w:spacing w:after="0" w:line="253" w:lineRule="auto"/>
        <w:tabs>
          <w:tab w:leader="none" w:pos="644" w:val="left"/>
        </w:tabs>
        <w:numPr>
          <w:ilvl w:val="0"/>
          <w:numId w:val="53"/>
        </w:numPr>
        <w:rPr>
          <w:rFonts w:ascii="Arial" w:cs="Arial" w:eastAsia="Arial" w:hAnsi="Arial"/>
          <w:sz w:val="22"/>
          <w:szCs w:val="22"/>
          <w:color w:val="auto"/>
        </w:rPr>
      </w:pPr>
      <w:r>
        <w:rPr>
          <w:rFonts w:ascii="Arial" w:cs="Arial" w:eastAsia="Arial" w:hAnsi="Arial"/>
          <w:sz w:val="22"/>
          <w:szCs w:val="22"/>
          <w:color w:val="auto"/>
        </w:rPr>
        <w:t>To deposit any property held by it with any protective, reorganization or similar committee, to delegate discretionary power thereto, and to pay part of the expenses and compensation thereof for any assessments levied with respect to any such property to be deposited;</w:t>
      </w:r>
    </w:p>
    <w:p>
      <w:pPr>
        <w:spacing w:after="0" w:line="226" w:lineRule="exact"/>
        <w:rPr>
          <w:rFonts w:ascii="Arial" w:cs="Arial" w:eastAsia="Arial" w:hAnsi="Arial"/>
          <w:sz w:val="22"/>
          <w:szCs w:val="22"/>
          <w:color w:val="auto"/>
        </w:rPr>
      </w:pPr>
    </w:p>
    <w:p>
      <w:pPr>
        <w:ind w:left="644" w:hanging="644"/>
        <w:spacing w:after="0"/>
        <w:tabs>
          <w:tab w:leader="none" w:pos="644" w:val="left"/>
        </w:tabs>
        <w:numPr>
          <w:ilvl w:val="0"/>
          <w:numId w:val="53"/>
        </w:numPr>
        <w:rPr>
          <w:rFonts w:ascii="Arial" w:cs="Arial" w:eastAsia="Arial" w:hAnsi="Arial"/>
          <w:sz w:val="22"/>
          <w:szCs w:val="22"/>
          <w:color w:val="auto"/>
        </w:rPr>
      </w:pPr>
      <w:r>
        <w:rPr>
          <w:rFonts w:ascii="Arial" w:cs="Arial" w:eastAsia="Arial" w:hAnsi="Arial"/>
          <w:sz w:val="22"/>
          <w:szCs w:val="22"/>
          <w:color w:val="auto"/>
        </w:rPr>
        <w:t>To extend the time of payment of any obligation held by it;</w:t>
      </w:r>
    </w:p>
    <w:p>
      <w:pPr>
        <w:spacing w:after="0" w:line="260" w:lineRule="exact"/>
        <w:rPr>
          <w:rFonts w:ascii="Arial" w:cs="Arial" w:eastAsia="Arial" w:hAnsi="Arial"/>
          <w:sz w:val="22"/>
          <w:szCs w:val="22"/>
          <w:color w:val="auto"/>
        </w:rPr>
      </w:pPr>
    </w:p>
    <w:p>
      <w:pPr>
        <w:ind w:left="644" w:right="580" w:hanging="644"/>
        <w:spacing w:after="0" w:line="263" w:lineRule="auto"/>
        <w:tabs>
          <w:tab w:leader="none" w:pos="644" w:val="left"/>
        </w:tabs>
        <w:numPr>
          <w:ilvl w:val="0"/>
          <w:numId w:val="53"/>
        </w:numPr>
        <w:rPr>
          <w:rFonts w:ascii="Arial" w:cs="Arial" w:eastAsia="Arial" w:hAnsi="Arial"/>
          <w:sz w:val="22"/>
          <w:szCs w:val="22"/>
          <w:color w:val="auto"/>
        </w:rPr>
      </w:pPr>
      <w:r>
        <w:rPr>
          <w:rFonts w:ascii="Arial" w:cs="Arial" w:eastAsia="Arial" w:hAnsi="Arial"/>
          <w:sz w:val="22"/>
          <w:szCs w:val="22"/>
          <w:color w:val="auto"/>
        </w:rPr>
        <w:t>To hold uninvested any moneys received by it, without liability for interest thereon, but only in anticipation of payments due for investments, reinvestments, expenses or disbursements;</w:t>
      </w:r>
    </w:p>
    <w:p>
      <w:pPr>
        <w:spacing w:after="0" w:line="200" w:lineRule="exact"/>
        <w:rPr>
          <w:sz w:val="20"/>
          <w:szCs w:val="20"/>
          <w:color w:val="auto"/>
        </w:rPr>
      </w:pPr>
    </w:p>
    <w:p>
      <w:pPr>
        <w:spacing w:after="0" w:line="252"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744"/>
          </w:cols>
          <w:pgMar w:left="896" w:top="591" w:right="259" w:bottom="1440" w:gutter="0" w:footer="0" w:header="0"/>
        </w:sectPr>
      </w:pPr>
    </w:p>
    <w:bookmarkStart w:id="125" w:name="page126"/>
    <w:bookmarkEnd w:id="125"/>
    <w:p>
      <w:pPr>
        <w:ind w:left="644" w:right="60" w:hanging="644"/>
        <w:spacing w:after="0" w:line="263" w:lineRule="auto"/>
        <w:tabs>
          <w:tab w:leader="none" w:pos="644" w:val="left"/>
        </w:tabs>
        <w:numPr>
          <w:ilvl w:val="0"/>
          <w:numId w:val="54"/>
        </w:numPr>
        <w:rPr>
          <w:rFonts w:ascii="Arial" w:cs="Arial" w:eastAsia="Arial" w:hAnsi="Arial"/>
          <w:sz w:val="22"/>
          <w:szCs w:val="22"/>
          <w:color w:val="auto"/>
        </w:rPr>
      </w:pPr>
      <w:r>
        <w:rPr>
          <w:rFonts w:ascii="Arial" w:cs="Arial" w:eastAsia="Arial" w:hAnsi="Arial"/>
          <w:sz w:val="22"/>
          <w:szCs w:val="22"/>
          <w:color w:val="auto"/>
        </w:rPr>
        <w:t>To exercise all voting or other rights, at the direction of the Company, with respect to any property held by it and to grant proxies, discretionary or otherwise;</w:t>
      </w:r>
    </w:p>
    <w:p>
      <w:pPr>
        <w:spacing w:after="0" w:line="215" w:lineRule="exact"/>
        <w:rPr>
          <w:rFonts w:ascii="Arial" w:cs="Arial" w:eastAsia="Arial" w:hAnsi="Arial"/>
          <w:sz w:val="22"/>
          <w:szCs w:val="22"/>
          <w:color w:val="auto"/>
        </w:rPr>
      </w:pPr>
    </w:p>
    <w:p>
      <w:pPr>
        <w:ind w:left="644" w:right="300" w:hanging="644"/>
        <w:spacing w:after="0" w:line="263" w:lineRule="auto"/>
        <w:tabs>
          <w:tab w:leader="none" w:pos="644" w:val="left"/>
        </w:tabs>
        <w:numPr>
          <w:ilvl w:val="0"/>
          <w:numId w:val="54"/>
        </w:numPr>
        <w:rPr>
          <w:rFonts w:ascii="Arial" w:cs="Arial" w:eastAsia="Arial" w:hAnsi="Arial"/>
          <w:sz w:val="22"/>
          <w:szCs w:val="22"/>
          <w:color w:val="auto"/>
        </w:rPr>
      </w:pPr>
      <w:r>
        <w:rPr>
          <w:rFonts w:ascii="Arial" w:cs="Arial" w:eastAsia="Arial" w:hAnsi="Arial"/>
          <w:sz w:val="22"/>
          <w:szCs w:val="22"/>
          <w:color w:val="auto"/>
        </w:rPr>
        <w:t>For the purposes of the Trust, to borrow money from others, to issue its promissory note or notes therefor, and to secure the repayment thereof by pledging any property held by it;</w:t>
      </w:r>
    </w:p>
    <w:p>
      <w:pPr>
        <w:spacing w:after="0" w:line="215" w:lineRule="exact"/>
        <w:rPr>
          <w:rFonts w:ascii="Arial" w:cs="Arial" w:eastAsia="Arial" w:hAnsi="Arial"/>
          <w:sz w:val="22"/>
          <w:szCs w:val="22"/>
          <w:color w:val="auto"/>
        </w:rPr>
      </w:pPr>
    </w:p>
    <w:p>
      <w:pPr>
        <w:ind w:left="644" w:right="40" w:hanging="644"/>
        <w:spacing w:after="0" w:line="287" w:lineRule="auto"/>
        <w:tabs>
          <w:tab w:leader="none" w:pos="644" w:val="left"/>
        </w:tabs>
        <w:numPr>
          <w:ilvl w:val="0"/>
          <w:numId w:val="54"/>
        </w:numPr>
        <w:rPr>
          <w:rFonts w:ascii="Arial" w:cs="Arial" w:eastAsia="Arial" w:hAnsi="Arial"/>
          <w:sz w:val="21"/>
          <w:szCs w:val="21"/>
          <w:color w:val="auto"/>
        </w:rPr>
      </w:pPr>
      <w:r>
        <w:rPr>
          <w:rFonts w:ascii="Arial" w:cs="Arial" w:eastAsia="Arial" w:hAnsi="Arial"/>
          <w:sz w:val="21"/>
          <w:szCs w:val="21"/>
          <w:color w:val="auto"/>
        </w:rPr>
        <w:t>To employ suitable contractors and counsel, who may be counsel to the Company or to the Trustee, and to pay their reasonable expenses and compensation from the Fund to the extent not paid by the Company;</w:t>
      </w:r>
    </w:p>
    <w:p>
      <w:pPr>
        <w:spacing w:after="0" w:line="192" w:lineRule="exact"/>
        <w:rPr>
          <w:rFonts w:ascii="Arial" w:cs="Arial" w:eastAsia="Arial" w:hAnsi="Arial"/>
          <w:sz w:val="21"/>
          <w:szCs w:val="21"/>
          <w:color w:val="auto"/>
        </w:rPr>
      </w:pPr>
    </w:p>
    <w:p>
      <w:pPr>
        <w:ind w:left="644" w:hanging="644"/>
        <w:spacing w:after="0" w:line="288" w:lineRule="auto"/>
        <w:tabs>
          <w:tab w:leader="none" w:pos="644" w:val="left"/>
        </w:tabs>
        <w:numPr>
          <w:ilvl w:val="0"/>
          <w:numId w:val="54"/>
        </w:numPr>
        <w:rPr>
          <w:rFonts w:ascii="Arial" w:cs="Arial" w:eastAsia="Arial" w:hAnsi="Arial"/>
          <w:sz w:val="19"/>
          <w:szCs w:val="19"/>
          <w:color w:val="auto"/>
        </w:rPr>
      </w:pPr>
      <w:r>
        <w:rPr>
          <w:rFonts w:ascii="Arial" w:cs="Arial" w:eastAsia="Arial" w:hAnsi="Arial"/>
          <w:sz w:val="19"/>
          <w:szCs w:val="19"/>
          <w:color w:val="auto"/>
        </w:rPr>
        <w:t>To register investments in its own name or in the name of a nominee; and to combine certificates representing securities with certificates of the same issue held by it in other fiduciary capacities or to deposit or to arrange for the deposit of such securities with any depository, even though, when so deposited, such securities may be held in the name of the nominee of such depository with other securities deposited therewith by other persons, or to deposit or to arrange for the deposit of any securities issued or guaranteed by the United States government, or any agency or instrumentality thereof, including securities evidenced by book entries rather than by certificates, with the United States Department of the Treasury or a Federal Reserve Bank, even though, when so deposited, such securities may not be held separate from securities deposited therein by other persons; provided, however, that no securities held in the Fund shall be deposited with the United States Department of the Treasury or a Federal Reserve Bank or other depository in the same account as any individual property of the Trustee, and provided, further, that the books and records of the Trustee shall at all times show that all such securities are part of the Trust Fund;</w:t>
      </w:r>
    </w:p>
    <w:p>
      <w:pPr>
        <w:spacing w:after="0" w:line="195" w:lineRule="exact"/>
        <w:rPr>
          <w:rFonts w:ascii="Arial" w:cs="Arial" w:eastAsia="Arial" w:hAnsi="Arial"/>
          <w:sz w:val="19"/>
          <w:szCs w:val="19"/>
          <w:color w:val="auto"/>
        </w:rPr>
      </w:pPr>
    </w:p>
    <w:p>
      <w:pPr>
        <w:ind w:left="1544" w:right="80" w:hanging="1544"/>
        <w:spacing w:after="0" w:line="247" w:lineRule="auto"/>
        <w:tabs>
          <w:tab w:leader="none" w:pos="653" w:val="left"/>
        </w:tabs>
        <w:numPr>
          <w:ilvl w:val="0"/>
          <w:numId w:val="54"/>
        </w:numPr>
        <w:rPr>
          <w:rFonts w:ascii="Arial" w:cs="Arial" w:eastAsia="Arial" w:hAnsi="Arial"/>
          <w:sz w:val="22"/>
          <w:szCs w:val="22"/>
          <w:color w:val="auto"/>
        </w:rPr>
      </w:pPr>
      <w:r>
        <w:rPr>
          <w:rFonts w:ascii="Arial" w:cs="Arial" w:eastAsia="Arial" w:hAnsi="Arial"/>
          <w:sz w:val="22"/>
          <w:szCs w:val="22"/>
          <w:color w:val="auto"/>
        </w:rPr>
        <w:t>To settle, compromise or submit to arbitration any claims, debts or damages due or owing to or from the Trust, respectively, to commence or defend suits or legal proceedings to protect any interest of the Trust, and to represent the Trust in all suits or legal proceedings in any court or before any other body or tribunal; provided, however, that the Trustee shall not be required to take any such action unless it shall have been indemnified by the Company to its reasonable satisfaction against liability or expenses it might incur therefrom;</w:t>
      </w:r>
    </w:p>
    <w:p>
      <w:pPr>
        <w:spacing w:after="0" w:line="234" w:lineRule="exact"/>
        <w:rPr>
          <w:rFonts w:ascii="Arial" w:cs="Arial" w:eastAsia="Arial" w:hAnsi="Arial"/>
          <w:sz w:val="22"/>
          <w:szCs w:val="22"/>
          <w:color w:val="auto"/>
        </w:rPr>
      </w:pPr>
    </w:p>
    <w:p>
      <w:pPr>
        <w:ind w:left="1544" w:right="160" w:hanging="1544"/>
        <w:spacing w:after="0" w:line="253" w:lineRule="auto"/>
        <w:tabs>
          <w:tab w:leader="none" w:pos="653" w:val="left"/>
        </w:tabs>
        <w:numPr>
          <w:ilvl w:val="0"/>
          <w:numId w:val="54"/>
        </w:numPr>
        <w:rPr>
          <w:rFonts w:ascii="Arial" w:cs="Arial" w:eastAsia="Arial" w:hAnsi="Arial"/>
          <w:sz w:val="22"/>
          <w:szCs w:val="22"/>
          <w:color w:val="auto"/>
        </w:rPr>
      </w:pPr>
      <w:r>
        <w:rPr>
          <w:rFonts w:ascii="Arial" w:cs="Arial" w:eastAsia="Arial" w:hAnsi="Arial"/>
          <w:sz w:val="22"/>
          <w:szCs w:val="22"/>
          <w:color w:val="auto"/>
        </w:rPr>
        <w:t>Subject to Section 7, to hold and retain policies of life insurance, annuity contracts, and other property of any kind which policies are contributed to the Trust by the Company or any subsidiary of the Company or are purchased by the Trustee;</w:t>
      </w:r>
    </w:p>
    <w:p>
      <w:pPr>
        <w:spacing w:after="0" w:line="226" w:lineRule="exact"/>
        <w:rPr>
          <w:sz w:val="20"/>
          <w:szCs w:val="20"/>
          <w:color w:val="auto"/>
        </w:rPr>
      </w:pPr>
    </w:p>
    <w:p>
      <w:pPr>
        <w:ind w:left="644" w:hanging="1539"/>
        <w:spacing w:after="0" w:line="263" w:lineRule="auto"/>
        <w:tabs>
          <w:tab w:leader="none" w:pos="623" w:val="left"/>
        </w:tabs>
        <w:rPr>
          <w:sz w:val="20"/>
          <w:szCs w:val="20"/>
          <w:color w:val="auto"/>
        </w:rPr>
      </w:pPr>
      <w:r>
        <w:rPr>
          <w:rFonts w:ascii="Arial" w:cs="Arial" w:eastAsia="Arial" w:hAnsi="Arial"/>
          <w:sz w:val="22"/>
          <w:szCs w:val="22"/>
          <w:color w:val="auto"/>
        </w:rPr>
        <w:t>(16)</w:t>
        <w:tab/>
        <w:t>To hold any other class of assets which may be contributed by the Company and that is deemed reasonable by the Trustee, unless expressly prohibited herein;</w:t>
      </w:r>
    </w:p>
    <w:p>
      <w:pPr>
        <w:spacing w:after="0" w:line="200" w:lineRule="exact"/>
        <w:rPr>
          <w:sz w:val="20"/>
          <w:szCs w:val="20"/>
          <w:color w:val="auto"/>
        </w:rPr>
      </w:pPr>
    </w:p>
    <w:p>
      <w:pPr>
        <w:spacing w:after="0" w:line="252"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684"/>
          </w:cols>
          <w:pgMar w:left="896" w:top="591" w:right="319" w:bottom="1440" w:gutter="0" w:footer="0" w:header="0"/>
        </w:sectPr>
      </w:pPr>
    </w:p>
    <w:bookmarkStart w:id="126" w:name="page127"/>
    <w:bookmarkEnd w:id="126"/>
    <w:p>
      <w:pPr>
        <w:ind w:left="2200" w:hanging="1544"/>
        <w:spacing w:after="0" w:line="253" w:lineRule="auto"/>
        <w:tabs>
          <w:tab w:leader="none" w:pos="1309" w:val="left"/>
        </w:tabs>
        <w:numPr>
          <w:ilvl w:val="1"/>
          <w:numId w:val="55"/>
        </w:numPr>
        <w:rPr>
          <w:rFonts w:ascii="Arial" w:cs="Arial" w:eastAsia="Arial" w:hAnsi="Arial"/>
          <w:sz w:val="22"/>
          <w:szCs w:val="22"/>
          <w:color w:val="auto"/>
        </w:rPr>
      </w:pPr>
      <w:r>
        <w:rPr>
          <w:rFonts w:ascii="Arial" w:cs="Arial" w:eastAsia="Arial" w:hAnsi="Arial"/>
          <w:sz w:val="22"/>
          <w:szCs w:val="22"/>
          <w:color w:val="auto"/>
        </w:rPr>
        <w:t>To loan any securities at any time held by it to brokers or dealers upon such security as may be deemed advisable, and during the terms of any such loan to permit the loaned securities to be transferred into the name of and voted by the borrower or others; and</w:t>
      </w:r>
    </w:p>
    <w:p>
      <w:pPr>
        <w:spacing w:after="0" w:line="226" w:lineRule="exact"/>
        <w:rPr>
          <w:rFonts w:ascii="Arial" w:cs="Arial" w:eastAsia="Arial" w:hAnsi="Arial"/>
          <w:sz w:val="22"/>
          <w:szCs w:val="22"/>
          <w:color w:val="auto"/>
        </w:rPr>
      </w:pPr>
    </w:p>
    <w:p>
      <w:pPr>
        <w:ind w:left="2200" w:right="200" w:hanging="1544"/>
        <w:spacing w:after="0" w:line="263" w:lineRule="auto"/>
        <w:tabs>
          <w:tab w:leader="none" w:pos="1309" w:val="left"/>
        </w:tabs>
        <w:numPr>
          <w:ilvl w:val="1"/>
          <w:numId w:val="55"/>
        </w:numPr>
        <w:rPr>
          <w:rFonts w:ascii="Arial" w:cs="Arial" w:eastAsia="Arial" w:hAnsi="Arial"/>
          <w:sz w:val="22"/>
          <w:szCs w:val="22"/>
          <w:color w:val="auto"/>
        </w:rPr>
      </w:pPr>
      <w:r>
        <w:rPr>
          <w:rFonts w:ascii="Arial" w:cs="Arial" w:eastAsia="Arial" w:hAnsi="Arial"/>
          <w:sz w:val="22"/>
          <w:szCs w:val="22"/>
          <w:color w:val="auto"/>
        </w:rPr>
        <w:t>Generally, to do all acts, whether or not expressly authorized, that the Trustee may deem necessary or desirable for the protection of the Fund.</w:t>
      </w:r>
    </w:p>
    <w:p>
      <w:pPr>
        <w:spacing w:after="0" w:line="215" w:lineRule="exact"/>
        <w:rPr>
          <w:rFonts w:ascii="Arial" w:cs="Arial" w:eastAsia="Arial" w:hAnsi="Arial"/>
          <w:sz w:val="22"/>
          <w:szCs w:val="22"/>
          <w:color w:val="auto"/>
        </w:rPr>
      </w:pPr>
    </w:p>
    <w:p>
      <w:pPr>
        <w:ind w:left="660" w:right="120" w:hanging="328"/>
        <w:spacing w:after="0" w:line="343" w:lineRule="auto"/>
        <w:tabs>
          <w:tab w:leader="none" w:pos="660" w:val="left"/>
        </w:tabs>
        <w:numPr>
          <w:ilvl w:val="0"/>
          <w:numId w:val="56"/>
        </w:numPr>
        <w:rPr>
          <w:rFonts w:ascii="Arial" w:cs="Arial" w:eastAsia="Arial" w:hAnsi="Arial"/>
          <w:sz w:val="19"/>
          <w:szCs w:val="19"/>
          <w:color w:val="auto"/>
        </w:rPr>
      </w:pPr>
      <w:r>
        <w:rPr>
          <w:rFonts w:ascii="Arial" w:cs="Arial" w:eastAsia="Arial" w:hAnsi="Arial"/>
          <w:sz w:val="19"/>
          <w:szCs w:val="19"/>
          <w:color w:val="auto"/>
        </w:rPr>
        <w:t>Following a Triggering Event, the Trustee shall have the sole and absolute discretion in the management of the Trust assets and shall have all the powers set forth under this Section 6(c). In investing the Trust assets, the Trustee shall consider:</w:t>
      </w:r>
    </w:p>
    <w:p>
      <w:pPr>
        <w:spacing w:after="0" w:line="145" w:lineRule="exact"/>
        <w:rPr>
          <w:rFonts w:ascii="Arial" w:cs="Arial" w:eastAsia="Arial" w:hAnsi="Arial"/>
          <w:sz w:val="19"/>
          <w:szCs w:val="19"/>
          <w:color w:val="auto"/>
        </w:rPr>
      </w:pPr>
    </w:p>
    <w:p>
      <w:pPr>
        <w:ind w:left="1860" w:hanging="650"/>
        <w:spacing w:after="0"/>
        <w:tabs>
          <w:tab w:leader="none" w:pos="1860" w:val="left"/>
        </w:tabs>
        <w:numPr>
          <w:ilvl w:val="2"/>
          <w:numId w:val="56"/>
        </w:numPr>
        <w:rPr>
          <w:rFonts w:ascii="Arial" w:cs="Arial" w:eastAsia="Arial" w:hAnsi="Arial"/>
          <w:sz w:val="22"/>
          <w:szCs w:val="22"/>
          <w:color w:val="auto"/>
        </w:rPr>
      </w:pPr>
      <w:r>
        <w:rPr>
          <w:rFonts w:ascii="Arial" w:cs="Arial" w:eastAsia="Arial" w:hAnsi="Arial"/>
          <w:sz w:val="22"/>
          <w:szCs w:val="22"/>
          <w:color w:val="auto"/>
        </w:rPr>
        <w:t>the needs of the Arrangements;</w:t>
      </w:r>
    </w:p>
    <w:p>
      <w:pPr>
        <w:spacing w:after="0" w:line="260" w:lineRule="exact"/>
        <w:rPr>
          <w:rFonts w:ascii="Arial" w:cs="Arial" w:eastAsia="Arial" w:hAnsi="Arial"/>
          <w:sz w:val="22"/>
          <w:szCs w:val="22"/>
          <w:color w:val="auto"/>
        </w:rPr>
      </w:pPr>
    </w:p>
    <w:p>
      <w:pPr>
        <w:ind w:left="1860" w:hanging="650"/>
        <w:spacing w:after="0"/>
        <w:tabs>
          <w:tab w:leader="none" w:pos="1860" w:val="left"/>
        </w:tabs>
        <w:numPr>
          <w:ilvl w:val="2"/>
          <w:numId w:val="56"/>
        </w:numPr>
        <w:rPr>
          <w:rFonts w:ascii="Arial" w:cs="Arial" w:eastAsia="Arial" w:hAnsi="Arial"/>
          <w:sz w:val="22"/>
          <w:szCs w:val="22"/>
          <w:color w:val="auto"/>
        </w:rPr>
      </w:pPr>
      <w:r>
        <w:rPr>
          <w:rFonts w:ascii="Arial" w:cs="Arial" w:eastAsia="Arial" w:hAnsi="Arial"/>
          <w:sz w:val="22"/>
          <w:szCs w:val="22"/>
          <w:color w:val="auto"/>
        </w:rPr>
        <w:t>the need for matching of the Trust assets with the liabilities of the Arrangements; and</w:t>
      </w:r>
    </w:p>
    <w:p>
      <w:pPr>
        <w:spacing w:after="0" w:line="260" w:lineRule="exact"/>
        <w:rPr>
          <w:rFonts w:ascii="Arial" w:cs="Arial" w:eastAsia="Arial" w:hAnsi="Arial"/>
          <w:sz w:val="22"/>
          <w:szCs w:val="22"/>
          <w:color w:val="auto"/>
        </w:rPr>
      </w:pPr>
    </w:p>
    <w:p>
      <w:pPr>
        <w:ind w:left="1860" w:hanging="650"/>
        <w:spacing w:after="0"/>
        <w:tabs>
          <w:tab w:leader="none" w:pos="1860" w:val="left"/>
        </w:tabs>
        <w:numPr>
          <w:ilvl w:val="2"/>
          <w:numId w:val="56"/>
        </w:numPr>
        <w:rPr>
          <w:rFonts w:ascii="Arial" w:cs="Arial" w:eastAsia="Arial" w:hAnsi="Arial"/>
          <w:sz w:val="22"/>
          <w:szCs w:val="22"/>
          <w:color w:val="auto"/>
        </w:rPr>
      </w:pPr>
      <w:r>
        <w:rPr>
          <w:rFonts w:ascii="Arial" w:cs="Arial" w:eastAsia="Arial" w:hAnsi="Arial"/>
          <w:sz w:val="22"/>
          <w:szCs w:val="22"/>
          <w:color w:val="auto"/>
        </w:rPr>
        <w:t>the duty of the Trustee to act solely in the best interests of the Participants.</w:t>
      </w:r>
    </w:p>
    <w:p>
      <w:pPr>
        <w:spacing w:after="0" w:line="260" w:lineRule="exact"/>
        <w:rPr>
          <w:rFonts w:ascii="Arial" w:cs="Arial" w:eastAsia="Arial" w:hAnsi="Arial"/>
          <w:sz w:val="22"/>
          <w:szCs w:val="22"/>
          <w:color w:val="auto"/>
        </w:rPr>
      </w:pPr>
    </w:p>
    <w:p>
      <w:pPr>
        <w:ind w:left="660" w:hanging="328"/>
        <w:spacing w:after="0"/>
        <w:tabs>
          <w:tab w:leader="none" w:pos="660" w:val="left"/>
        </w:tabs>
        <w:numPr>
          <w:ilvl w:val="0"/>
          <w:numId w:val="56"/>
        </w:numPr>
        <w:rPr>
          <w:rFonts w:ascii="Arial" w:cs="Arial" w:eastAsia="Arial" w:hAnsi="Arial"/>
          <w:sz w:val="21"/>
          <w:szCs w:val="21"/>
          <w:color w:val="auto"/>
        </w:rPr>
      </w:pPr>
      <w:r>
        <w:rPr>
          <w:rFonts w:ascii="Arial" w:cs="Arial" w:eastAsia="Arial" w:hAnsi="Arial"/>
          <w:sz w:val="21"/>
          <w:szCs w:val="21"/>
          <w:color w:val="auto"/>
        </w:rPr>
        <w:t>In no event may the Trustee invest in offshore securities or any other investments prohibited by IRC Section 409A.</w:t>
      </w:r>
    </w:p>
    <w:p>
      <w:pPr>
        <w:spacing w:after="0" w:line="271" w:lineRule="exact"/>
        <w:rPr>
          <w:rFonts w:ascii="Arial" w:cs="Arial" w:eastAsia="Arial" w:hAnsi="Arial"/>
          <w:sz w:val="21"/>
          <w:szCs w:val="21"/>
          <w:color w:val="auto"/>
        </w:rPr>
      </w:pPr>
    </w:p>
    <w:p>
      <w:pPr>
        <w:ind w:left="660" w:right="40" w:hanging="328"/>
        <w:spacing w:after="0" w:line="250" w:lineRule="auto"/>
        <w:tabs>
          <w:tab w:leader="none" w:pos="660" w:val="left"/>
        </w:tabs>
        <w:numPr>
          <w:ilvl w:val="0"/>
          <w:numId w:val="56"/>
        </w:numPr>
        <w:rPr>
          <w:rFonts w:ascii="Arial" w:cs="Arial" w:eastAsia="Arial" w:hAnsi="Arial"/>
          <w:sz w:val="22"/>
          <w:szCs w:val="22"/>
          <w:color w:val="auto"/>
        </w:rPr>
      </w:pPr>
      <w:r>
        <w:rPr>
          <w:rFonts w:ascii="Arial" w:cs="Arial" w:eastAsia="Arial" w:hAnsi="Arial"/>
          <w:sz w:val="22"/>
          <w:szCs w:val="22"/>
          <w:color w:val="auto"/>
        </w:rPr>
        <w:t>The Trustee shall have the right, in its sole discretion, to delegate its investment responsibility to an investment manager who may be an affiliate of the Trustee. In the event the Trustee shall exercise this right, the Trustee shall remain, at all times responsible for the acts of an investment manager. The Trustee shall have the right to purchase an insurance policy or an annuity to fund the benefits of the Arrangements.</w:t>
      </w:r>
    </w:p>
    <w:p>
      <w:pPr>
        <w:spacing w:after="0" w:line="228" w:lineRule="exact"/>
        <w:rPr>
          <w:rFonts w:ascii="Arial" w:cs="Arial" w:eastAsia="Arial" w:hAnsi="Arial"/>
          <w:sz w:val="22"/>
          <w:szCs w:val="22"/>
          <w:color w:val="auto"/>
        </w:rPr>
      </w:pPr>
    </w:p>
    <w:p>
      <w:pPr>
        <w:ind w:left="660" w:right="160" w:hanging="328"/>
        <w:spacing w:after="0" w:line="250" w:lineRule="auto"/>
        <w:tabs>
          <w:tab w:leader="none" w:pos="660" w:val="left"/>
        </w:tabs>
        <w:numPr>
          <w:ilvl w:val="0"/>
          <w:numId w:val="56"/>
        </w:numPr>
        <w:rPr>
          <w:rFonts w:ascii="Arial" w:cs="Arial" w:eastAsia="Arial" w:hAnsi="Arial"/>
          <w:sz w:val="22"/>
          <w:szCs w:val="22"/>
          <w:color w:val="auto"/>
        </w:rPr>
      </w:pPr>
      <w:r>
        <w:rPr>
          <w:rFonts w:ascii="Arial" w:cs="Arial" w:eastAsia="Arial" w:hAnsi="Arial"/>
          <w:sz w:val="22"/>
          <w:szCs w:val="22"/>
          <w:color w:val="auto"/>
        </w:rPr>
        <w:t>The Company shall have the right at any time to substitute assets (other than securities issued by the Trustee or the Company) of equal fair market value for any asset held by the Trust, provided, however, that no such substitution shall be permitted unless the Trustee determines that the fair market values of the substituted assets are equal (which determination shall be made on a timely basis).</w:t>
      </w:r>
    </w:p>
    <w:p>
      <w:pPr>
        <w:spacing w:after="0" w:line="223" w:lineRule="exact"/>
        <w:rPr>
          <w:sz w:val="20"/>
          <w:szCs w:val="20"/>
          <w:color w:val="auto"/>
        </w:rPr>
      </w:pPr>
    </w:p>
    <w:p>
      <w:pPr>
        <w:spacing w:after="0"/>
        <w:tabs>
          <w:tab w:leader="none" w:pos="1100" w:val="left"/>
        </w:tabs>
        <w:rPr>
          <w:sz w:val="20"/>
          <w:szCs w:val="20"/>
          <w:color w:val="auto"/>
        </w:rPr>
      </w:pPr>
      <w:r>
        <w:rPr>
          <w:rFonts w:ascii="Arial" w:cs="Arial" w:eastAsia="Arial" w:hAnsi="Arial"/>
          <w:sz w:val="22"/>
          <w:szCs w:val="22"/>
          <w:b w:val="1"/>
          <w:bCs w:val="1"/>
          <w:color w:val="auto"/>
        </w:rPr>
        <w:t>Section 7.</w:t>
      </w:r>
      <w:r>
        <w:rPr>
          <w:sz w:val="20"/>
          <w:szCs w:val="20"/>
          <w:color w:val="auto"/>
        </w:rPr>
        <w:tab/>
      </w:r>
      <w:r>
        <w:rPr>
          <w:rFonts w:ascii="Arial" w:cs="Arial" w:eastAsia="Arial" w:hAnsi="Arial"/>
          <w:sz w:val="19"/>
          <w:szCs w:val="19"/>
          <w:b w:val="1"/>
          <w:bCs w:val="1"/>
          <w:u w:val="single" w:color="auto"/>
          <w:color w:val="auto"/>
        </w:rPr>
        <w:t>Insurance Contracts</w:t>
      </w:r>
    </w:p>
    <w:p>
      <w:pPr>
        <w:spacing w:after="0" w:line="266" w:lineRule="exact"/>
        <w:rPr>
          <w:sz w:val="20"/>
          <w:szCs w:val="20"/>
          <w:color w:val="auto"/>
        </w:rPr>
      </w:pPr>
    </w:p>
    <w:p>
      <w:pPr>
        <w:jc w:val="both"/>
        <w:ind w:left="660" w:right="200" w:hanging="328"/>
        <w:spacing w:after="0" w:line="253" w:lineRule="auto"/>
        <w:tabs>
          <w:tab w:leader="none" w:pos="660" w:val="left"/>
        </w:tabs>
        <w:numPr>
          <w:ilvl w:val="0"/>
          <w:numId w:val="57"/>
        </w:numPr>
        <w:rPr>
          <w:rFonts w:ascii="Arial" w:cs="Arial" w:eastAsia="Arial" w:hAnsi="Arial"/>
          <w:sz w:val="22"/>
          <w:szCs w:val="22"/>
          <w:color w:val="auto"/>
        </w:rPr>
      </w:pPr>
      <w:r>
        <w:rPr>
          <w:rFonts w:ascii="Arial" w:cs="Arial" w:eastAsia="Arial" w:hAnsi="Arial"/>
          <w:sz w:val="22"/>
          <w:szCs w:val="22"/>
          <w:color w:val="auto"/>
        </w:rPr>
        <w:t>To the extent that the Trustee is directed by the Company prior to a Triggering Event to invest part or all of the Trust Fund in insurance contracts, the type and amount thereof shall be specified by the Company. The Trustee shall be under no duty to make inquiry as to the propriety of the type or amount so specified.</w:t>
      </w: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591" w:right="239" w:bottom="1440" w:gutter="0" w:footer="0" w:header="0"/>
        </w:sectPr>
      </w:pPr>
    </w:p>
    <w:bookmarkStart w:id="127" w:name="page128"/>
    <w:bookmarkEnd w:id="127"/>
    <w:p>
      <w:pPr>
        <w:ind w:left="660" w:hanging="328"/>
        <w:spacing w:after="0" w:line="265" w:lineRule="auto"/>
        <w:tabs>
          <w:tab w:leader="none" w:pos="660" w:val="left"/>
        </w:tabs>
        <w:numPr>
          <w:ilvl w:val="0"/>
          <w:numId w:val="58"/>
        </w:numPr>
        <w:rPr>
          <w:rFonts w:ascii="Arial" w:cs="Arial" w:eastAsia="Arial" w:hAnsi="Arial"/>
          <w:sz w:val="21"/>
          <w:szCs w:val="21"/>
          <w:color w:val="auto"/>
        </w:rPr>
      </w:pPr>
      <w:r>
        <w:rPr>
          <w:rFonts w:ascii="Arial" w:cs="Arial" w:eastAsia="Arial" w:hAnsi="Arial"/>
          <w:sz w:val="21"/>
          <w:szCs w:val="21"/>
          <w:color w:val="auto"/>
        </w:rPr>
        <w:t>Each insurance contract issued shall provide that the Trustee shall be the owner thereof with the power to exercise all rights, privileges, options and elections granted by or permitted under such contract or under the rules of the insurer. The exercise by the Trustee of any incidents of ownership under any contract shall, prior to a Triggering Event, be subject to the direction of the Company. After a Triggering Event, the Trustee shall have all such rights.</w:t>
      </w:r>
    </w:p>
    <w:p>
      <w:pPr>
        <w:spacing w:after="0" w:line="216" w:lineRule="exact"/>
        <w:rPr>
          <w:rFonts w:ascii="Arial" w:cs="Arial" w:eastAsia="Arial" w:hAnsi="Arial"/>
          <w:sz w:val="21"/>
          <w:szCs w:val="21"/>
          <w:color w:val="auto"/>
        </w:rPr>
      </w:pPr>
    </w:p>
    <w:p>
      <w:pPr>
        <w:ind w:left="660" w:right="60" w:hanging="328"/>
        <w:spacing w:after="0" w:line="253" w:lineRule="auto"/>
        <w:tabs>
          <w:tab w:leader="none" w:pos="660" w:val="left"/>
        </w:tabs>
        <w:numPr>
          <w:ilvl w:val="0"/>
          <w:numId w:val="58"/>
        </w:numPr>
        <w:rPr>
          <w:rFonts w:ascii="Arial" w:cs="Arial" w:eastAsia="Arial" w:hAnsi="Arial"/>
          <w:sz w:val="22"/>
          <w:szCs w:val="22"/>
          <w:color w:val="auto"/>
        </w:rPr>
      </w:pPr>
      <w:r>
        <w:rPr>
          <w:rFonts w:ascii="Arial" w:cs="Arial" w:eastAsia="Arial" w:hAnsi="Arial"/>
          <w:sz w:val="22"/>
          <w:szCs w:val="22"/>
          <w:color w:val="auto"/>
        </w:rPr>
        <w:t>The Trustee shall have no power to name a beneficiary of the policy other than the Trust, to assign the policy (as distinct from conversion of the policy to a different form) other than to a successor Trustee, or to loan to any person the proceeds of any borrowing against an insurance policy held in the Trust Fund.</w:t>
      </w:r>
    </w:p>
    <w:p>
      <w:pPr>
        <w:spacing w:after="0" w:line="226" w:lineRule="exact"/>
        <w:rPr>
          <w:rFonts w:ascii="Arial" w:cs="Arial" w:eastAsia="Arial" w:hAnsi="Arial"/>
          <w:sz w:val="22"/>
          <w:szCs w:val="22"/>
          <w:color w:val="auto"/>
        </w:rPr>
      </w:pPr>
    </w:p>
    <w:p>
      <w:pPr>
        <w:ind w:left="660" w:right="220" w:hanging="328"/>
        <w:spacing w:after="0" w:line="263" w:lineRule="auto"/>
        <w:tabs>
          <w:tab w:leader="none" w:pos="660" w:val="left"/>
        </w:tabs>
        <w:numPr>
          <w:ilvl w:val="0"/>
          <w:numId w:val="58"/>
        </w:numPr>
        <w:rPr>
          <w:rFonts w:ascii="Arial" w:cs="Arial" w:eastAsia="Arial" w:hAnsi="Arial"/>
          <w:sz w:val="22"/>
          <w:szCs w:val="22"/>
          <w:color w:val="auto"/>
        </w:rPr>
      </w:pPr>
      <w:r>
        <w:rPr>
          <w:rFonts w:ascii="Arial" w:cs="Arial" w:eastAsia="Arial" w:hAnsi="Arial"/>
          <w:sz w:val="22"/>
          <w:szCs w:val="22"/>
          <w:color w:val="auto"/>
        </w:rPr>
        <w:t>No insurer shall be deemed to be a party to the Trust and an insurer's obligations shall be measured and determined solely by the terms of contracts and other agreements executed by the insurer.</w:t>
      </w:r>
    </w:p>
    <w:p>
      <w:pPr>
        <w:spacing w:after="0" w:line="209" w:lineRule="exact"/>
        <w:rPr>
          <w:sz w:val="20"/>
          <w:szCs w:val="20"/>
          <w:color w:val="auto"/>
        </w:rPr>
      </w:pPr>
    </w:p>
    <w:p>
      <w:pPr>
        <w:spacing w:after="0"/>
        <w:tabs>
          <w:tab w:leader="none" w:pos="1100" w:val="left"/>
        </w:tabs>
        <w:rPr>
          <w:sz w:val="20"/>
          <w:szCs w:val="20"/>
          <w:color w:val="auto"/>
        </w:rPr>
      </w:pPr>
      <w:r>
        <w:rPr>
          <w:rFonts w:ascii="Arial" w:cs="Arial" w:eastAsia="Arial" w:hAnsi="Arial"/>
          <w:sz w:val="22"/>
          <w:szCs w:val="22"/>
          <w:b w:val="1"/>
          <w:bCs w:val="1"/>
          <w:color w:val="auto"/>
        </w:rPr>
        <w:t>Section 8.</w:t>
      </w:r>
      <w:r>
        <w:rPr>
          <w:sz w:val="20"/>
          <w:szCs w:val="20"/>
          <w:color w:val="auto"/>
        </w:rPr>
        <w:tab/>
      </w:r>
      <w:r>
        <w:rPr>
          <w:rFonts w:ascii="Arial" w:cs="Arial" w:eastAsia="Arial" w:hAnsi="Arial"/>
          <w:sz w:val="19"/>
          <w:szCs w:val="19"/>
          <w:b w:val="1"/>
          <w:bCs w:val="1"/>
          <w:u w:val="single" w:color="auto"/>
          <w:color w:val="auto"/>
        </w:rPr>
        <w:t>Disposition of Income</w:t>
      </w:r>
    </w:p>
    <w:p>
      <w:pPr>
        <w:spacing w:after="0" w:line="266" w:lineRule="exact"/>
        <w:rPr>
          <w:sz w:val="20"/>
          <w:szCs w:val="20"/>
          <w:color w:val="auto"/>
        </w:rPr>
      </w:pPr>
    </w:p>
    <w:p>
      <w:pPr>
        <w:ind w:left="660" w:right="40" w:hanging="328"/>
        <w:spacing w:after="0" w:line="263" w:lineRule="auto"/>
        <w:tabs>
          <w:tab w:leader="none" w:pos="660" w:val="left"/>
        </w:tabs>
        <w:numPr>
          <w:ilvl w:val="0"/>
          <w:numId w:val="59"/>
        </w:numPr>
        <w:rPr>
          <w:rFonts w:ascii="Arial" w:cs="Arial" w:eastAsia="Arial" w:hAnsi="Arial"/>
          <w:sz w:val="22"/>
          <w:szCs w:val="22"/>
          <w:color w:val="auto"/>
        </w:rPr>
      </w:pPr>
      <w:r>
        <w:rPr>
          <w:rFonts w:ascii="Arial" w:cs="Arial" w:eastAsia="Arial" w:hAnsi="Arial"/>
          <w:sz w:val="22"/>
          <w:szCs w:val="22"/>
          <w:color w:val="auto"/>
        </w:rPr>
        <w:t>Prior to a Triggering Event, all income received by the Trust, net of expenses and taxes, may be returned to the Company or accumulated and reinvested within the Trust at the direction of the Company.</w:t>
      </w:r>
    </w:p>
    <w:p>
      <w:pPr>
        <w:spacing w:after="0" w:line="215" w:lineRule="exact"/>
        <w:rPr>
          <w:rFonts w:ascii="Arial" w:cs="Arial" w:eastAsia="Arial" w:hAnsi="Arial"/>
          <w:sz w:val="22"/>
          <w:szCs w:val="22"/>
          <w:color w:val="auto"/>
        </w:rPr>
      </w:pPr>
    </w:p>
    <w:p>
      <w:pPr>
        <w:ind w:left="660" w:right="400" w:hanging="328"/>
        <w:spacing w:after="0" w:line="263" w:lineRule="auto"/>
        <w:tabs>
          <w:tab w:leader="none" w:pos="660" w:val="left"/>
        </w:tabs>
        <w:numPr>
          <w:ilvl w:val="0"/>
          <w:numId w:val="59"/>
        </w:numPr>
        <w:rPr>
          <w:rFonts w:ascii="Arial" w:cs="Arial" w:eastAsia="Arial" w:hAnsi="Arial"/>
          <w:sz w:val="22"/>
          <w:szCs w:val="22"/>
          <w:color w:val="auto"/>
        </w:rPr>
      </w:pPr>
      <w:r>
        <w:rPr>
          <w:rFonts w:ascii="Arial" w:cs="Arial" w:eastAsia="Arial" w:hAnsi="Arial"/>
          <w:sz w:val="22"/>
          <w:szCs w:val="22"/>
          <w:color w:val="auto"/>
        </w:rPr>
        <w:t>Following a Triggering Event, all income received by the Trust, net of expenses and taxes payable by the Trust, shall be accumulated and reinvested within the Trust.</w:t>
      </w:r>
    </w:p>
    <w:p>
      <w:pPr>
        <w:spacing w:after="0" w:line="209" w:lineRule="exact"/>
        <w:rPr>
          <w:sz w:val="20"/>
          <w:szCs w:val="20"/>
          <w:color w:val="auto"/>
        </w:rPr>
      </w:pPr>
    </w:p>
    <w:p>
      <w:pPr>
        <w:spacing w:after="0"/>
        <w:tabs>
          <w:tab w:leader="none" w:pos="1100" w:val="left"/>
        </w:tabs>
        <w:rPr>
          <w:sz w:val="20"/>
          <w:szCs w:val="20"/>
          <w:color w:val="auto"/>
        </w:rPr>
      </w:pPr>
      <w:r>
        <w:rPr>
          <w:rFonts w:ascii="Arial" w:cs="Arial" w:eastAsia="Arial" w:hAnsi="Arial"/>
          <w:sz w:val="22"/>
          <w:szCs w:val="22"/>
          <w:b w:val="1"/>
          <w:bCs w:val="1"/>
          <w:color w:val="auto"/>
        </w:rPr>
        <w:t>Section 9.</w:t>
      </w:r>
      <w:r>
        <w:rPr>
          <w:sz w:val="20"/>
          <w:szCs w:val="20"/>
          <w:color w:val="auto"/>
        </w:rPr>
        <w:tab/>
      </w:r>
      <w:r>
        <w:rPr>
          <w:rFonts w:ascii="Arial" w:cs="Arial" w:eastAsia="Arial" w:hAnsi="Arial"/>
          <w:sz w:val="19"/>
          <w:szCs w:val="19"/>
          <w:b w:val="1"/>
          <w:bCs w:val="1"/>
          <w:u w:val="single" w:color="auto"/>
          <w:color w:val="auto"/>
        </w:rPr>
        <w:t>Accounting by The Trustee</w:t>
      </w:r>
    </w:p>
    <w:p>
      <w:pPr>
        <w:spacing w:after="0" w:line="266" w:lineRule="exact"/>
        <w:rPr>
          <w:sz w:val="20"/>
          <w:szCs w:val="20"/>
          <w:color w:val="auto"/>
        </w:rPr>
      </w:pPr>
    </w:p>
    <w:p>
      <w:pPr>
        <w:ind w:right="40"/>
        <w:spacing w:after="0" w:line="286" w:lineRule="auto"/>
        <w:rPr>
          <w:sz w:val="20"/>
          <w:szCs w:val="20"/>
          <w:color w:val="auto"/>
        </w:rPr>
      </w:pPr>
      <w:r>
        <w:rPr>
          <w:rFonts w:ascii="Arial" w:cs="Arial" w:eastAsia="Arial" w:hAnsi="Arial"/>
          <w:sz w:val="19"/>
          <w:szCs w:val="19"/>
          <w:color w:val="auto"/>
        </w:rPr>
        <w:t>The Trustee shall keep accurate and detailed records of all investments, receipts, disbursements, and all other transactions required to be made, including such specific records as shall be agreed upon in writing between the Company and the Trustee. Within forty-five (45) days following the close of each calendar year and within forty-five (45) days after the removal or resignation of the Trustee, the Trustee shall deliver to the Company a written account of its administration of the Trust during such year or during the period from the close of the last preceding year to the date of such removal or resignation setting forth all investments, receipts, disbursements and other transactions effected by it, including a description of all securities and investments purchased and sold with the cost or net proceeds of such purchases or sales (accrued interest paid or receivable being shown separately), and showing all cash, securities and other property held in the Trust at the end of such year or as of the date of such removal or resignation, as the case may be. The Company may approve such account by an instrument in writing delivered to the Trustee. In the absence of the Company's filing with the Trustee objections to any such account within one hundred and eighty (180) days after its receipt, the Company shall be deemed to have so approved such account. In such case, or upon the written approval by the Company of any such account, the Trustee shall, to the extent permitted by law, be discharged from all liability to the Company for its acts or failures to act described by such account. The foregoing, however, shall not preclude the Trustee from having its accounting settled by a court of competent jurisdiction. The Trustee shall be entitled to hold and to commingle the assets of the Trust in one Fund for investment purposes but at the direction of the Company prior to a Change in Control, the Trustee shall create one or more sub-accounts.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591" w:right="259" w:bottom="1440" w:gutter="0" w:footer="0" w:header="0"/>
        </w:sectPr>
      </w:pPr>
    </w:p>
    <w:bookmarkStart w:id="128" w:name="page129"/>
    <w:bookmarkEnd w:id="128"/>
    <w:p>
      <w:pPr>
        <w:spacing w:after="0"/>
        <w:tabs>
          <w:tab w:leader="none" w:pos="1200" w:val="left"/>
        </w:tabs>
        <w:rPr>
          <w:sz w:val="20"/>
          <w:szCs w:val="20"/>
          <w:color w:val="auto"/>
        </w:rPr>
      </w:pPr>
      <w:r>
        <w:rPr>
          <w:rFonts w:ascii="Arial" w:cs="Arial" w:eastAsia="Arial" w:hAnsi="Arial"/>
          <w:sz w:val="22"/>
          <w:szCs w:val="22"/>
          <w:b w:val="1"/>
          <w:bCs w:val="1"/>
          <w:color w:val="auto"/>
        </w:rPr>
        <w:t>Section 10.</w:t>
      </w:r>
      <w:r>
        <w:rPr>
          <w:sz w:val="20"/>
          <w:szCs w:val="20"/>
          <w:color w:val="auto"/>
        </w:rPr>
        <w:tab/>
      </w:r>
      <w:r>
        <w:rPr>
          <w:rFonts w:ascii="Arial" w:cs="Arial" w:eastAsia="Arial" w:hAnsi="Arial"/>
          <w:sz w:val="19"/>
          <w:szCs w:val="19"/>
          <w:b w:val="1"/>
          <w:bCs w:val="1"/>
          <w:u w:val="single" w:color="auto"/>
          <w:color w:val="auto"/>
        </w:rPr>
        <w:t>Responsibility of The Trustee</w:t>
      </w:r>
    </w:p>
    <w:p>
      <w:pPr>
        <w:spacing w:after="0" w:line="266" w:lineRule="exact"/>
        <w:rPr>
          <w:sz w:val="20"/>
          <w:szCs w:val="20"/>
          <w:color w:val="auto"/>
        </w:rPr>
      </w:pPr>
    </w:p>
    <w:p>
      <w:pPr>
        <w:ind w:left="660" w:right="20" w:hanging="328"/>
        <w:spacing w:after="0" w:line="285" w:lineRule="auto"/>
        <w:tabs>
          <w:tab w:leader="none" w:pos="660" w:val="left"/>
        </w:tabs>
        <w:numPr>
          <w:ilvl w:val="0"/>
          <w:numId w:val="60"/>
        </w:numPr>
        <w:rPr>
          <w:rFonts w:ascii="Arial" w:cs="Arial" w:eastAsia="Arial" w:hAnsi="Arial"/>
          <w:sz w:val="19"/>
          <w:szCs w:val="19"/>
          <w:color w:val="auto"/>
        </w:rPr>
      </w:pPr>
      <w:r>
        <w:rPr>
          <w:rFonts w:ascii="Arial" w:cs="Arial" w:eastAsia="Arial" w:hAnsi="Arial"/>
          <w:sz w:val="19"/>
          <w:szCs w:val="19"/>
          <w:color w:val="auto"/>
        </w:rPr>
        <w:t>The Trustee shall act with the care, skill, prudence and diligence under the circumstances then prevailing that a prudent person acting in like capacity and familiar with such matters would use in the conduct of an enterprise of a like character and with like aims, provided, however, that the Trustee shall incur no liability to any person for any action taken pursuant to a direction, request or approval given by the Company which is contemplated by, and in conformity with, the terms of the Arrangements or this Trust and is given in writing by the Company. In the event of a dispute between</w:t>
      </w:r>
    </w:p>
    <w:p>
      <w:pPr>
        <w:spacing w:after="0" w:line="3" w:lineRule="exact"/>
        <w:rPr>
          <w:rFonts w:ascii="Arial" w:cs="Arial" w:eastAsia="Arial" w:hAnsi="Arial"/>
          <w:sz w:val="19"/>
          <w:szCs w:val="19"/>
          <w:color w:val="auto"/>
        </w:rPr>
      </w:pPr>
    </w:p>
    <w:p>
      <w:pPr>
        <w:ind w:left="660"/>
        <w:spacing w:after="0" w:line="246" w:lineRule="auto"/>
        <w:rPr>
          <w:rFonts w:ascii="Arial" w:cs="Arial" w:eastAsia="Arial" w:hAnsi="Arial"/>
          <w:sz w:val="19"/>
          <w:szCs w:val="19"/>
          <w:color w:val="auto"/>
        </w:rPr>
      </w:pPr>
      <w:r>
        <w:rPr>
          <w:rFonts w:ascii="Arial" w:cs="Arial" w:eastAsia="Arial" w:hAnsi="Arial"/>
          <w:sz w:val="22"/>
          <w:szCs w:val="22"/>
          <w:color w:val="auto"/>
        </w:rPr>
        <w:t>the Company and a party, the Trustee may apply to a court of competent jurisdiction to resolve the dispute, subject, however to Section 2(d) hereof.</w:t>
      </w:r>
    </w:p>
    <w:p>
      <w:pPr>
        <w:spacing w:after="0" w:line="233" w:lineRule="exact"/>
        <w:rPr>
          <w:rFonts w:ascii="Arial" w:cs="Arial" w:eastAsia="Arial" w:hAnsi="Arial"/>
          <w:sz w:val="19"/>
          <w:szCs w:val="19"/>
          <w:color w:val="auto"/>
        </w:rPr>
      </w:pPr>
    </w:p>
    <w:p>
      <w:pPr>
        <w:ind w:left="660" w:right="140" w:hanging="328"/>
        <w:spacing w:after="0" w:line="288" w:lineRule="auto"/>
        <w:tabs>
          <w:tab w:leader="none" w:pos="660" w:val="left"/>
        </w:tabs>
        <w:numPr>
          <w:ilvl w:val="0"/>
          <w:numId w:val="60"/>
        </w:numPr>
        <w:rPr>
          <w:rFonts w:ascii="Arial" w:cs="Arial" w:eastAsia="Arial" w:hAnsi="Arial"/>
          <w:sz w:val="19"/>
          <w:szCs w:val="19"/>
          <w:color w:val="auto"/>
        </w:rPr>
      </w:pPr>
      <w:r>
        <w:rPr>
          <w:rFonts w:ascii="Arial" w:cs="Arial" w:eastAsia="Arial" w:hAnsi="Arial"/>
          <w:sz w:val="19"/>
          <w:szCs w:val="19"/>
          <w:color w:val="auto"/>
        </w:rPr>
        <w:t>The Company hereby indemnifies the Trustee against losses, liabilities, claims, costs and expenses in connection with the administration of the Trust, unless resulting from the negligence or willful misconduct of Trustee. The Trustee hereby indemnifies the Company against liabilities, claims, costs and expenses resulting from negligence or willful misconduct of the Trustee. The Trustee shall not be liable under any circumstances for indirect, incidental, consequential, punitive, or special damages in connection with the administration of this Trust. To the extent the Company fails to make any payment on account of an indemnity provided in this Section 10(b), in a reasonably timely manner, the Trustee may obtain payment from the Trust. If the Trustee undertakes or defends any litigation arising in connection with this Trust or to protect a Participant's rights under the Arrangements, the Company agrees to indemnify the Trustee against the Trustee's costs, reasonable expenses and liabilities (including, without limitation, attorneys' fees and expenses) relating thereto and to be primarily liable for such payments. If the Company does not pay such costs, expenses and liabilities in a reasonably timely manner, the Trustee may obtain payment from the Trust.</w:t>
      </w:r>
    </w:p>
    <w:p>
      <w:pPr>
        <w:spacing w:after="0" w:line="195" w:lineRule="exact"/>
        <w:rPr>
          <w:rFonts w:ascii="Arial" w:cs="Arial" w:eastAsia="Arial" w:hAnsi="Arial"/>
          <w:sz w:val="19"/>
          <w:szCs w:val="19"/>
          <w:color w:val="auto"/>
        </w:rPr>
      </w:pPr>
    </w:p>
    <w:p>
      <w:pPr>
        <w:ind w:left="660" w:right="60" w:hanging="328"/>
        <w:spacing w:after="0" w:line="263" w:lineRule="auto"/>
        <w:tabs>
          <w:tab w:leader="none" w:pos="660" w:val="left"/>
        </w:tabs>
        <w:numPr>
          <w:ilvl w:val="0"/>
          <w:numId w:val="60"/>
        </w:numPr>
        <w:rPr>
          <w:rFonts w:ascii="Arial" w:cs="Arial" w:eastAsia="Arial" w:hAnsi="Arial"/>
          <w:sz w:val="22"/>
          <w:szCs w:val="22"/>
          <w:color w:val="auto"/>
        </w:rPr>
      </w:pPr>
      <w:r>
        <w:rPr>
          <w:rFonts w:ascii="Arial" w:cs="Arial" w:eastAsia="Arial" w:hAnsi="Arial"/>
          <w:sz w:val="22"/>
          <w:szCs w:val="22"/>
          <w:color w:val="auto"/>
        </w:rPr>
        <w:t>The Trustee may consult with legal counsel (who may also be counsel for the Company generally) with respect to any of its duties or obligations hereunder.</w:t>
      </w:r>
    </w:p>
    <w:p>
      <w:pPr>
        <w:spacing w:after="0" w:line="215" w:lineRule="exact"/>
        <w:rPr>
          <w:rFonts w:ascii="Arial" w:cs="Arial" w:eastAsia="Arial" w:hAnsi="Arial"/>
          <w:sz w:val="22"/>
          <w:szCs w:val="22"/>
          <w:color w:val="auto"/>
        </w:rPr>
      </w:pPr>
    </w:p>
    <w:p>
      <w:pPr>
        <w:ind w:left="660" w:right="260" w:hanging="328"/>
        <w:spacing w:after="0" w:line="253" w:lineRule="auto"/>
        <w:tabs>
          <w:tab w:leader="none" w:pos="660" w:val="left"/>
        </w:tabs>
        <w:numPr>
          <w:ilvl w:val="0"/>
          <w:numId w:val="60"/>
        </w:numPr>
        <w:rPr>
          <w:rFonts w:ascii="Arial" w:cs="Arial" w:eastAsia="Arial" w:hAnsi="Arial"/>
          <w:sz w:val="22"/>
          <w:szCs w:val="22"/>
          <w:color w:val="auto"/>
        </w:rPr>
      </w:pPr>
      <w:r>
        <w:rPr>
          <w:rFonts w:ascii="Arial" w:cs="Arial" w:eastAsia="Arial" w:hAnsi="Arial"/>
          <w:sz w:val="22"/>
          <w:szCs w:val="22"/>
          <w:color w:val="auto"/>
        </w:rPr>
        <w:t>The Trustee may hire agents, accountants, actuaries, investment advisors, financial consultants or other professionals to assist it in performing any of its duties or obligations hereunder and may rely on any determinations made by such agents and information provided to it by the Company.</w:t>
      </w:r>
    </w:p>
    <w:p>
      <w:pPr>
        <w:spacing w:after="0" w:line="226" w:lineRule="exact"/>
        <w:rPr>
          <w:rFonts w:ascii="Arial" w:cs="Arial" w:eastAsia="Arial" w:hAnsi="Arial"/>
          <w:sz w:val="22"/>
          <w:szCs w:val="22"/>
          <w:color w:val="auto"/>
        </w:rPr>
      </w:pPr>
    </w:p>
    <w:p>
      <w:pPr>
        <w:ind w:left="660" w:right="60" w:hanging="328"/>
        <w:spacing w:after="0" w:line="263" w:lineRule="auto"/>
        <w:tabs>
          <w:tab w:leader="none" w:pos="660" w:val="left"/>
        </w:tabs>
        <w:numPr>
          <w:ilvl w:val="0"/>
          <w:numId w:val="60"/>
        </w:numPr>
        <w:rPr>
          <w:rFonts w:ascii="Arial" w:cs="Arial" w:eastAsia="Arial" w:hAnsi="Arial"/>
          <w:sz w:val="22"/>
          <w:szCs w:val="22"/>
          <w:color w:val="auto"/>
        </w:rPr>
      </w:pPr>
      <w:r>
        <w:rPr>
          <w:rFonts w:ascii="Arial" w:cs="Arial" w:eastAsia="Arial" w:hAnsi="Arial"/>
          <w:sz w:val="22"/>
          <w:szCs w:val="22"/>
          <w:color w:val="auto"/>
        </w:rPr>
        <w:t>The Trustee shall have, without exclusion, all powers conferred on the Trustee by applicable law, unless expressly provided otherwise herein.</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585" w:right="259" w:bottom="1440" w:gutter="0" w:footer="0" w:header="0"/>
        </w:sectPr>
      </w:pPr>
    </w:p>
    <w:bookmarkStart w:id="129" w:name="page130"/>
    <w:bookmarkEnd w:id="129"/>
    <w:p>
      <w:pPr>
        <w:ind w:left="660" w:right="120" w:hanging="328"/>
        <w:spacing w:after="0" w:line="250" w:lineRule="auto"/>
        <w:tabs>
          <w:tab w:leader="none" w:pos="660" w:val="left"/>
        </w:tabs>
        <w:numPr>
          <w:ilvl w:val="0"/>
          <w:numId w:val="61"/>
        </w:numPr>
        <w:rPr>
          <w:rFonts w:ascii="Arial" w:cs="Arial" w:eastAsia="Arial" w:hAnsi="Arial"/>
          <w:sz w:val="22"/>
          <w:szCs w:val="22"/>
          <w:color w:val="auto"/>
        </w:rPr>
      </w:pPr>
      <w:r>
        <w:rPr>
          <w:rFonts w:ascii="Arial" w:cs="Arial" w:eastAsia="Arial" w:hAnsi="Arial"/>
          <w:sz w:val="22"/>
          <w:szCs w:val="22"/>
          <w:color w:val="auto"/>
        </w:rPr>
        <w:t>Notwithstanding any powers granted to the Trustee pursuant to this Trust Agreement or to applicable law, the Trustee shall not have any power that could give this Trust the objective of carrying on a business and dividing the gains therefrom, within the meaning of section 301.7701-2 of the Procedure and Administrative Regulations promulgated pursuant to the Internal Revenue Code.</w:t>
      </w:r>
    </w:p>
    <w:p>
      <w:pPr>
        <w:spacing w:after="0" w:line="223" w:lineRule="exact"/>
        <w:rPr>
          <w:sz w:val="20"/>
          <w:szCs w:val="20"/>
          <w:color w:val="auto"/>
        </w:rPr>
      </w:pPr>
    </w:p>
    <w:p>
      <w:pPr>
        <w:spacing w:after="0"/>
        <w:tabs>
          <w:tab w:leader="none" w:pos="1180" w:val="left"/>
        </w:tabs>
        <w:rPr>
          <w:sz w:val="20"/>
          <w:szCs w:val="20"/>
          <w:color w:val="auto"/>
        </w:rPr>
      </w:pPr>
      <w:r>
        <w:rPr>
          <w:rFonts w:ascii="Arial" w:cs="Arial" w:eastAsia="Arial" w:hAnsi="Arial"/>
          <w:sz w:val="22"/>
          <w:szCs w:val="22"/>
          <w:b w:val="1"/>
          <w:bCs w:val="1"/>
          <w:color w:val="auto"/>
        </w:rPr>
        <w:t>Section 11.</w:t>
      </w:r>
      <w:r>
        <w:rPr>
          <w:sz w:val="20"/>
          <w:szCs w:val="20"/>
          <w:color w:val="auto"/>
        </w:rPr>
        <w:tab/>
      </w:r>
      <w:r>
        <w:rPr>
          <w:rFonts w:ascii="Arial" w:cs="Arial" w:eastAsia="Arial" w:hAnsi="Arial"/>
          <w:sz w:val="19"/>
          <w:szCs w:val="19"/>
          <w:b w:val="1"/>
          <w:bCs w:val="1"/>
          <w:u w:val="single" w:color="auto"/>
          <w:color w:val="auto"/>
        </w:rPr>
        <w:t>Compensation and Expenses of The Trustee</w:t>
      </w:r>
    </w:p>
    <w:p>
      <w:pPr>
        <w:spacing w:after="0" w:line="266" w:lineRule="exact"/>
        <w:rPr>
          <w:sz w:val="20"/>
          <w:szCs w:val="20"/>
          <w:color w:val="auto"/>
        </w:rPr>
      </w:pPr>
    </w:p>
    <w:p>
      <w:pPr>
        <w:ind w:right="240"/>
        <w:spacing w:after="0" w:line="312" w:lineRule="auto"/>
        <w:rPr>
          <w:sz w:val="20"/>
          <w:szCs w:val="20"/>
          <w:color w:val="auto"/>
        </w:rPr>
      </w:pPr>
      <w:r>
        <w:rPr>
          <w:rFonts w:ascii="Arial" w:cs="Arial" w:eastAsia="Arial" w:hAnsi="Arial"/>
          <w:sz w:val="19"/>
          <w:szCs w:val="19"/>
          <w:color w:val="auto"/>
        </w:rPr>
        <w:t>The Trustee's compensation shall be as agreed in writing from time to time by the Company and the Trustee. The Company shall pay all administrative expenses and the Trustee's fees and shall promptly reimburse the Trustee for any fees and expenses of its agents. If not so paid within thirty (30) days of being invoiced, the fees and expenses shall be paid from the Trust.</w:t>
      </w:r>
    </w:p>
    <w:p>
      <w:pPr>
        <w:spacing w:after="0" w:line="168" w:lineRule="exact"/>
        <w:rPr>
          <w:sz w:val="20"/>
          <w:szCs w:val="20"/>
          <w:color w:val="auto"/>
        </w:rPr>
      </w:pPr>
    </w:p>
    <w:p>
      <w:pPr>
        <w:spacing w:after="0"/>
        <w:tabs>
          <w:tab w:leader="none" w:pos="1200" w:val="left"/>
        </w:tabs>
        <w:rPr>
          <w:sz w:val="20"/>
          <w:szCs w:val="20"/>
          <w:color w:val="auto"/>
        </w:rPr>
      </w:pPr>
      <w:r>
        <w:rPr>
          <w:rFonts w:ascii="Arial" w:cs="Arial" w:eastAsia="Arial" w:hAnsi="Arial"/>
          <w:sz w:val="22"/>
          <w:szCs w:val="22"/>
          <w:b w:val="1"/>
          <w:bCs w:val="1"/>
          <w:color w:val="auto"/>
        </w:rPr>
        <w:t>Section 12.</w:t>
      </w:r>
      <w:r>
        <w:rPr>
          <w:sz w:val="20"/>
          <w:szCs w:val="20"/>
          <w:color w:val="auto"/>
        </w:rPr>
        <w:tab/>
      </w:r>
      <w:r>
        <w:rPr>
          <w:rFonts w:ascii="Arial" w:cs="Arial" w:eastAsia="Arial" w:hAnsi="Arial"/>
          <w:sz w:val="19"/>
          <w:szCs w:val="19"/>
          <w:b w:val="1"/>
          <w:bCs w:val="1"/>
          <w:u w:val="single" w:color="auto"/>
          <w:color w:val="auto"/>
        </w:rPr>
        <w:t>Resignation and Removal of The Trustee</w:t>
      </w:r>
    </w:p>
    <w:p>
      <w:pPr>
        <w:spacing w:after="0" w:line="266" w:lineRule="exact"/>
        <w:rPr>
          <w:sz w:val="20"/>
          <w:szCs w:val="20"/>
          <w:color w:val="auto"/>
        </w:rPr>
      </w:pPr>
    </w:p>
    <w:p>
      <w:pPr>
        <w:ind w:left="660" w:right="20" w:hanging="328"/>
        <w:spacing w:after="0" w:line="292" w:lineRule="auto"/>
        <w:tabs>
          <w:tab w:leader="none" w:pos="660" w:val="left"/>
        </w:tabs>
        <w:numPr>
          <w:ilvl w:val="0"/>
          <w:numId w:val="62"/>
        </w:numPr>
        <w:rPr>
          <w:rFonts w:ascii="Arial" w:cs="Arial" w:eastAsia="Arial" w:hAnsi="Arial"/>
          <w:sz w:val="19"/>
          <w:szCs w:val="19"/>
          <w:color w:val="auto"/>
        </w:rPr>
      </w:pPr>
      <w:r>
        <w:rPr>
          <w:rFonts w:ascii="Arial" w:cs="Arial" w:eastAsia="Arial" w:hAnsi="Arial"/>
          <w:sz w:val="19"/>
          <w:szCs w:val="19"/>
          <w:color w:val="auto"/>
        </w:rPr>
        <w:t>Prior to a Triggering Event, the Trustee may resign at any time by written notice to the Committee, which shall be effective sixty (60) days after receipt of such notice unless the Committee and the Trustee agree otherwise. Following a Triggering Event, the Trustee may resign thirty-six (36) months or more after the Triggering Event by written notice to the Committee, which shall be effective sixty (60) days after receipt of such notice or upon shorter notice as the Committee and the Trustee agree. Or, following a Triggering Event, the Trustee may resign twenty-four (24) months or more after the Triggering Event if a successor Trustee has been appointed by the Committee in accordance with Section 13 or the Trustee has received written consent from a Majority of the Participants as defined in Section 15.</w:t>
      </w:r>
    </w:p>
    <w:p>
      <w:pPr>
        <w:spacing w:after="0" w:line="192" w:lineRule="exact"/>
        <w:rPr>
          <w:rFonts w:ascii="Arial" w:cs="Arial" w:eastAsia="Arial" w:hAnsi="Arial"/>
          <w:sz w:val="19"/>
          <w:szCs w:val="19"/>
          <w:color w:val="auto"/>
        </w:rPr>
      </w:pPr>
    </w:p>
    <w:p>
      <w:pPr>
        <w:ind w:left="660" w:hanging="328"/>
        <w:spacing w:after="0" w:line="253" w:lineRule="auto"/>
        <w:tabs>
          <w:tab w:leader="none" w:pos="660" w:val="left"/>
        </w:tabs>
        <w:numPr>
          <w:ilvl w:val="0"/>
          <w:numId w:val="62"/>
        </w:numPr>
        <w:rPr>
          <w:rFonts w:ascii="Arial" w:cs="Arial" w:eastAsia="Arial" w:hAnsi="Arial"/>
          <w:sz w:val="22"/>
          <w:szCs w:val="22"/>
          <w:color w:val="auto"/>
        </w:rPr>
      </w:pPr>
      <w:r>
        <w:rPr>
          <w:rFonts w:ascii="Arial" w:cs="Arial" w:eastAsia="Arial" w:hAnsi="Arial"/>
          <w:sz w:val="22"/>
          <w:szCs w:val="22"/>
          <w:color w:val="auto"/>
        </w:rPr>
        <w:t>Prior to a Triggering Event, the Trustee may be removed by the Committee on sixty (60) days written notice or upon shorter notice accepted by the Trustee. After a Triggering Event, the Trustee may be removed by the Committee with written consent from a Majority of the Participants.</w:t>
      </w:r>
    </w:p>
    <w:p>
      <w:pPr>
        <w:spacing w:after="0" w:line="226" w:lineRule="exact"/>
        <w:rPr>
          <w:rFonts w:ascii="Arial" w:cs="Arial" w:eastAsia="Arial" w:hAnsi="Arial"/>
          <w:sz w:val="22"/>
          <w:szCs w:val="22"/>
          <w:color w:val="auto"/>
        </w:rPr>
      </w:pPr>
    </w:p>
    <w:p>
      <w:pPr>
        <w:ind w:left="660" w:right="380" w:hanging="328"/>
        <w:spacing w:after="0" w:line="312" w:lineRule="auto"/>
        <w:tabs>
          <w:tab w:leader="none" w:pos="660" w:val="left"/>
        </w:tabs>
        <w:numPr>
          <w:ilvl w:val="0"/>
          <w:numId w:val="62"/>
        </w:numPr>
        <w:rPr>
          <w:rFonts w:ascii="Arial" w:cs="Arial" w:eastAsia="Arial" w:hAnsi="Arial"/>
          <w:sz w:val="19"/>
          <w:szCs w:val="19"/>
          <w:color w:val="auto"/>
        </w:rPr>
      </w:pPr>
      <w:r>
        <w:rPr>
          <w:rFonts w:ascii="Arial" w:cs="Arial" w:eastAsia="Arial" w:hAnsi="Arial"/>
          <w:sz w:val="19"/>
          <w:szCs w:val="19"/>
          <w:color w:val="auto"/>
        </w:rPr>
        <w:t>If the Trustee resigns following a Triggering Event and if the Committee fails to appoint a successor Trustee within a reasonable period of time following such resignation, the Trustee shall apply to a court of competent jurisdiction for the appointment of a successor Trustee which satisfies the requirements of Section 13 or for instructions.</w:t>
      </w:r>
    </w:p>
    <w:p>
      <w:pPr>
        <w:spacing w:after="0" w:line="174" w:lineRule="exact"/>
        <w:rPr>
          <w:rFonts w:ascii="Arial" w:cs="Arial" w:eastAsia="Arial" w:hAnsi="Arial"/>
          <w:sz w:val="19"/>
          <w:szCs w:val="19"/>
          <w:color w:val="auto"/>
        </w:rPr>
      </w:pPr>
    </w:p>
    <w:p>
      <w:pPr>
        <w:jc w:val="both"/>
        <w:ind w:left="660" w:right="740" w:hanging="328"/>
        <w:spacing w:after="0" w:line="271" w:lineRule="auto"/>
        <w:tabs>
          <w:tab w:leader="none" w:pos="660" w:val="left"/>
        </w:tabs>
        <w:numPr>
          <w:ilvl w:val="0"/>
          <w:numId w:val="62"/>
        </w:numPr>
        <w:rPr>
          <w:rFonts w:ascii="Arial" w:cs="Arial" w:eastAsia="Arial" w:hAnsi="Arial"/>
          <w:sz w:val="21"/>
          <w:szCs w:val="21"/>
          <w:color w:val="auto"/>
        </w:rPr>
      </w:pPr>
      <w:r>
        <w:rPr>
          <w:rFonts w:ascii="Arial" w:cs="Arial" w:eastAsia="Arial" w:hAnsi="Arial"/>
          <w:sz w:val="21"/>
          <w:szCs w:val="21"/>
          <w:color w:val="auto"/>
        </w:rPr>
        <w:t>Upon resignation or removal of the Trustee and appointment of a successor Trustee, all assets shall subsequently be transferred to the successor Trustee. The transfer shall be completed within sixty (60) days after receipt of notice of resignation, removal or transfer, unless the Committee extends the time limit.</w:t>
      </w:r>
    </w:p>
    <w:p>
      <w:pPr>
        <w:spacing w:after="0" w:line="208" w:lineRule="exact"/>
        <w:rPr>
          <w:rFonts w:ascii="Arial" w:cs="Arial" w:eastAsia="Arial" w:hAnsi="Arial"/>
          <w:sz w:val="21"/>
          <w:szCs w:val="21"/>
          <w:color w:val="auto"/>
        </w:rPr>
      </w:pPr>
    </w:p>
    <w:p>
      <w:pPr>
        <w:ind w:left="660" w:right="140" w:hanging="328"/>
        <w:spacing w:after="0" w:line="248" w:lineRule="auto"/>
        <w:tabs>
          <w:tab w:leader="none" w:pos="660" w:val="left"/>
        </w:tabs>
        <w:numPr>
          <w:ilvl w:val="0"/>
          <w:numId w:val="62"/>
        </w:numPr>
        <w:rPr>
          <w:rFonts w:ascii="Arial" w:cs="Arial" w:eastAsia="Arial" w:hAnsi="Arial"/>
          <w:sz w:val="22"/>
          <w:szCs w:val="22"/>
          <w:color w:val="auto"/>
        </w:rPr>
      </w:pPr>
      <w:r>
        <w:rPr>
          <w:rFonts w:ascii="Arial" w:cs="Arial" w:eastAsia="Arial" w:hAnsi="Arial"/>
          <w:sz w:val="22"/>
          <w:szCs w:val="22"/>
          <w:color w:val="auto"/>
        </w:rPr>
        <w:t>If the Trustee resigns or is removed, a successor Trustee shall be appointed by the Committee, in accordance with Section 13 hereof, by the effective date of resignation or removal under paragraph(s) (a) or (b) of this section. If no such appointment has been made, the Trustee may apply to a court of competent jurisdiction for appointment of a successor or for instructions. All expenses of the Trustee in connection with the proceeding shall be allowed as administrative expenses of the Trust.</w:t>
      </w:r>
    </w:p>
    <w:p>
      <w:pPr>
        <w:spacing w:after="0" w:line="200" w:lineRule="exact"/>
        <w:rPr>
          <w:sz w:val="20"/>
          <w:szCs w:val="20"/>
          <w:color w:val="auto"/>
        </w:rPr>
      </w:pPr>
    </w:p>
    <w:p>
      <w:pPr>
        <w:spacing w:after="0" w:line="2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591" w:right="279" w:bottom="1440" w:gutter="0" w:footer="0" w:header="0"/>
        </w:sectPr>
      </w:pPr>
    </w:p>
    <w:bookmarkStart w:id="130" w:name="page131"/>
    <w:bookmarkEnd w:id="130"/>
    <w:p>
      <w:pPr>
        <w:spacing w:after="0"/>
        <w:tabs>
          <w:tab w:leader="none" w:pos="1200" w:val="left"/>
        </w:tabs>
        <w:rPr>
          <w:sz w:val="20"/>
          <w:szCs w:val="20"/>
          <w:color w:val="auto"/>
        </w:rPr>
      </w:pPr>
      <w:r>
        <w:rPr>
          <w:rFonts w:ascii="Arial" w:cs="Arial" w:eastAsia="Arial" w:hAnsi="Arial"/>
          <w:sz w:val="22"/>
          <w:szCs w:val="22"/>
          <w:b w:val="1"/>
          <w:bCs w:val="1"/>
          <w:color w:val="auto"/>
        </w:rPr>
        <w:t>Section 13.</w:t>
      </w:r>
      <w:r>
        <w:rPr>
          <w:sz w:val="20"/>
          <w:szCs w:val="20"/>
          <w:color w:val="auto"/>
        </w:rPr>
        <w:tab/>
      </w:r>
      <w:r>
        <w:rPr>
          <w:rFonts w:ascii="Arial" w:cs="Arial" w:eastAsia="Arial" w:hAnsi="Arial"/>
          <w:sz w:val="19"/>
          <w:szCs w:val="19"/>
          <w:b w:val="1"/>
          <w:bCs w:val="1"/>
          <w:u w:val="single" w:color="auto"/>
          <w:color w:val="auto"/>
        </w:rPr>
        <w:t>Appointment of Successor</w:t>
      </w:r>
    </w:p>
    <w:p>
      <w:pPr>
        <w:spacing w:after="0" w:line="266" w:lineRule="exact"/>
        <w:rPr>
          <w:sz w:val="20"/>
          <w:szCs w:val="20"/>
          <w:color w:val="auto"/>
        </w:rPr>
      </w:pPr>
    </w:p>
    <w:p>
      <w:pPr>
        <w:ind w:left="660" w:right="140" w:hanging="328"/>
        <w:spacing w:after="0" w:line="263" w:lineRule="auto"/>
        <w:tabs>
          <w:tab w:leader="none" w:pos="660" w:val="left"/>
        </w:tabs>
        <w:numPr>
          <w:ilvl w:val="0"/>
          <w:numId w:val="63"/>
        </w:numPr>
        <w:rPr>
          <w:rFonts w:ascii="Arial" w:cs="Arial" w:eastAsia="Arial" w:hAnsi="Arial"/>
          <w:sz w:val="21"/>
          <w:szCs w:val="21"/>
          <w:color w:val="auto"/>
        </w:rPr>
      </w:pPr>
      <w:r>
        <w:rPr>
          <w:rFonts w:ascii="Arial" w:cs="Arial" w:eastAsia="Arial" w:hAnsi="Arial"/>
          <w:sz w:val="21"/>
          <w:szCs w:val="21"/>
          <w:color w:val="auto"/>
        </w:rPr>
        <w:t>If the Trustee resigns or is removed in accordance with Section 12 hereof, the Committee may appoint, subject to Section 12, any third party national banking association with a market capitalization exceeding $25,000,000 to replace the Trustee upon resignation or removal. The successor Trustee shall have all of the rights and powers of the former Trustee, including ownership rights in the Trust. The former Trustee shall execute any instrument necessary or reasonably requested by the Committee or the successor Trustee to evidence the transfer.</w:t>
      </w:r>
    </w:p>
    <w:p>
      <w:pPr>
        <w:spacing w:after="0" w:line="216" w:lineRule="exact"/>
        <w:rPr>
          <w:rFonts w:ascii="Arial" w:cs="Arial" w:eastAsia="Arial" w:hAnsi="Arial"/>
          <w:sz w:val="21"/>
          <w:szCs w:val="21"/>
          <w:color w:val="auto"/>
        </w:rPr>
      </w:pPr>
    </w:p>
    <w:p>
      <w:pPr>
        <w:ind w:left="660" w:right="480" w:hanging="328"/>
        <w:spacing w:after="0" w:line="251" w:lineRule="auto"/>
        <w:tabs>
          <w:tab w:leader="none" w:pos="660" w:val="left"/>
        </w:tabs>
        <w:numPr>
          <w:ilvl w:val="0"/>
          <w:numId w:val="63"/>
        </w:numPr>
        <w:rPr>
          <w:rFonts w:ascii="Arial" w:cs="Arial" w:eastAsia="Arial" w:hAnsi="Arial"/>
          <w:sz w:val="22"/>
          <w:szCs w:val="22"/>
          <w:color w:val="auto"/>
        </w:rPr>
      </w:pPr>
      <w:r>
        <w:rPr>
          <w:rFonts w:ascii="Arial" w:cs="Arial" w:eastAsia="Arial" w:hAnsi="Arial"/>
          <w:sz w:val="22"/>
          <w:szCs w:val="22"/>
          <w:color w:val="auto"/>
        </w:rPr>
        <w:t>The successor Trustee need not examine the records and acts of any prior Trustee and may retain or dispose of existing Trust assets, subject to Section 9 and 10 hereof. The successor Trustee shall not</w:t>
      </w:r>
    </w:p>
    <w:p>
      <w:pPr>
        <w:spacing w:after="0" w:line="2" w:lineRule="exact"/>
        <w:rPr>
          <w:rFonts w:ascii="Arial" w:cs="Arial" w:eastAsia="Arial" w:hAnsi="Arial"/>
          <w:sz w:val="22"/>
          <w:szCs w:val="22"/>
          <w:color w:val="auto"/>
        </w:rPr>
      </w:pPr>
    </w:p>
    <w:p>
      <w:pPr>
        <w:ind w:left="660" w:right="160"/>
        <w:spacing w:after="0" w:line="245" w:lineRule="auto"/>
        <w:rPr>
          <w:rFonts w:ascii="Arial" w:cs="Arial" w:eastAsia="Arial" w:hAnsi="Arial"/>
          <w:sz w:val="22"/>
          <w:szCs w:val="22"/>
          <w:color w:val="auto"/>
        </w:rPr>
      </w:pPr>
      <w:r>
        <w:rPr>
          <w:rFonts w:ascii="Arial" w:cs="Arial" w:eastAsia="Arial" w:hAnsi="Arial"/>
          <w:sz w:val="22"/>
          <w:szCs w:val="22"/>
          <w:color w:val="auto"/>
        </w:rPr>
        <w:t>be responsible for and the Company shall indemnify and defend the successor Trustee from any claim or liability resulting from any action or inaction of any prior Trustee or from any other past event, or any condition existing at the time it becomes successor Trustee.</w:t>
      </w:r>
    </w:p>
    <w:p>
      <w:pPr>
        <w:spacing w:after="0" w:line="2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14.</w:t>
      </w:r>
      <w:r>
        <w:rPr>
          <w:rFonts w:ascii="Arial" w:cs="Arial" w:eastAsia="Arial" w:hAnsi="Arial"/>
          <w:sz w:val="22"/>
          <w:szCs w:val="22"/>
          <w:b w:val="1"/>
          <w:bCs w:val="1"/>
          <w:u w:val="single" w:color="auto"/>
          <w:color w:val="auto"/>
        </w:rPr>
        <w:t>Amendment or Termination</w:t>
      </w:r>
    </w:p>
    <w:p>
      <w:pPr>
        <w:spacing w:after="0" w:line="266" w:lineRule="exact"/>
        <w:rPr>
          <w:sz w:val="20"/>
          <w:szCs w:val="20"/>
          <w:color w:val="auto"/>
        </w:rPr>
      </w:pPr>
    </w:p>
    <w:p>
      <w:pPr>
        <w:ind w:left="660" w:right="40" w:hanging="328"/>
        <w:spacing w:after="0" w:line="294" w:lineRule="auto"/>
        <w:tabs>
          <w:tab w:leader="none" w:pos="660" w:val="left"/>
        </w:tabs>
        <w:numPr>
          <w:ilvl w:val="0"/>
          <w:numId w:val="64"/>
        </w:numPr>
        <w:rPr>
          <w:rFonts w:ascii="Arial" w:cs="Arial" w:eastAsia="Arial" w:hAnsi="Arial"/>
          <w:sz w:val="19"/>
          <w:szCs w:val="19"/>
          <w:color w:val="auto"/>
        </w:rPr>
      </w:pPr>
      <w:r>
        <w:rPr>
          <w:rFonts w:ascii="Arial" w:cs="Arial" w:eastAsia="Arial" w:hAnsi="Arial"/>
          <w:sz w:val="19"/>
          <w:szCs w:val="19"/>
          <w:color w:val="auto"/>
        </w:rPr>
        <w:t>The Company's Board of Directors and the Trustee may amend this Trust Agreement at any time by a written instrument executed by both parties, provided, however, that such amendment shall not become effective until the Company has receive the written consent of a Majority of the Participants. Notwithstanding the foregoing, Participant consent need not be obtained for non-substantive or minor administrative changes, corrections, or clarifications. No such amendment shall conflict with the terms of the Arrangements or shall make the Trust revocable, except as provided in Section 14(c). No amendment made under this Section may violate the provisions of IRC Section 409A.</w:t>
      </w:r>
    </w:p>
    <w:p>
      <w:pPr>
        <w:spacing w:after="0" w:line="190" w:lineRule="exact"/>
        <w:rPr>
          <w:rFonts w:ascii="Arial" w:cs="Arial" w:eastAsia="Arial" w:hAnsi="Arial"/>
          <w:sz w:val="19"/>
          <w:szCs w:val="19"/>
          <w:color w:val="auto"/>
        </w:rPr>
      </w:pPr>
    </w:p>
    <w:p>
      <w:pPr>
        <w:ind w:left="660" w:hanging="328"/>
        <w:spacing w:after="0" w:line="248" w:lineRule="auto"/>
        <w:tabs>
          <w:tab w:leader="none" w:pos="660" w:val="left"/>
        </w:tabs>
        <w:numPr>
          <w:ilvl w:val="0"/>
          <w:numId w:val="64"/>
        </w:numPr>
        <w:rPr>
          <w:rFonts w:ascii="Arial" w:cs="Arial" w:eastAsia="Arial" w:hAnsi="Arial"/>
          <w:sz w:val="22"/>
          <w:szCs w:val="22"/>
          <w:color w:val="auto"/>
        </w:rPr>
      </w:pPr>
      <w:r>
        <w:rPr>
          <w:rFonts w:ascii="Arial" w:cs="Arial" w:eastAsia="Arial" w:hAnsi="Arial"/>
          <w:sz w:val="22"/>
          <w:szCs w:val="22"/>
          <w:color w:val="auto"/>
        </w:rPr>
        <w:t>Following a Triggering Event, the Trust shall not terminate until the date on which Participants have received all of the benefits due to them under the terms and conditions of the Arrangements, except as provided in Section 14(c). Notwithstanding the foregoing, after individual subtrusts have been created, an individual subtrust may be terminated on the date on which all Participants have received all of the benefits due to them under the terms and conditions of the Arrangements covered by such subtrust.</w:t>
      </w:r>
    </w:p>
    <w:p>
      <w:pPr>
        <w:spacing w:after="0" w:line="232" w:lineRule="exact"/>
        <w:rPr>
          <w:rFonts w:ascii="Arial" w:cs="Arial" w:eastAsia="Arial" w:hAnsi="Arial"/>
          <w:sz w:val="22"/>
          <w:szCs w:val="22"/>
          <w:color w:val="auto"/>
        </w:rPr>
      </w:pPr>
    </w:p>
    <w:p>
      <w:pPr>
        <w:ind w:left="660" w:right="80" w:hanging="328"/>
        <w:spacing w:after="0" w:line="271" w:lineRule="auto"/>
        <w:tabs>
          <w:tab w:leader="none" w:pos="660" w:val="left"/>
        </w:tabs>
        <w:numPr>
          <w:ilvl w:val="0"/>
          <w:numId w:val="64"/>
        </w:numPr>
        <w:rPr>
          <w:rFonts w:ascii="Arial" w:cs="Arial" w:eastAsia="Arial" w:hAnsi="Arial"/>
          <w:sz w:val="21"/>
          <w:szCs w:val="21"/>
          <w:color w:val="auto"/>
        </w:rPr>
      </w:pPr>
      <w:r>
        <w:rPr>
          <w:rFonts w:ascii="Arial" w:cs="Arial" w:eastAsia="Arial" w:hAnsi="Arial"/>
          <w:sz w:val="21"/>
          <w:szCs w:val="21"/>
          <w:color w:val="auto"/>
        </w:rPr>
        <w:t>Upon written approval of all Participants entitled to payment of benefits pursuant to the terms of the Arrangements, the Company's Board of Directors may terminate this Trust prior to the time all benefit payments under the Arrangements have been made. All assets in the Trust at termination shall be returned to the Company.</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585" w:right="259" w:bottom="1440" w:gutter="0" w:footer="0" w:header="0"/>
        </w:sectPr>
      </w:pPr>
    </w:p>
    <w:bookmarkStart w:id="131" w:name="page132"/>
    <w:bookmarkEnd w:id="131"/>
    <w:p>
      <w:pPr>
        <w:spacing w:after="0"/>
        <w:tabs>
          <w:tab w:leader="none" w:pos="1200" w:val="left"/>
        </w:tabs>
        <w:rPr>
          <w:sz w:val="20"/>
          <w:szCs w:val="20"/>
          <w:color w:val="auto"/>
        </w:rPr>
      </w:pPr>
      <w:r>
        <w:rPr>
          <w:rFonts w:ascii="Arial" w:cs="Arial" w:eastAsia="Arial" w:hAnsi="Arial"/>
          <w:sz w:val="22"/>
          <w:szCs w:val="22"/>
          <w:b w:val="1"/>
          <w:bCs w:val="1"/>
          <w:color w:val="auto"/>
        </w:rPr>
        <w:t>Section 15.</w:t>
      </w:r>
      <w:r>
        <w:rPr>
          <w:sz w:val="20"/>
          <w:szCs w:val="20"/>
          <w:color w:val="auto"/>
        </w:rPr>
        <w:tab/>
      </w:r>
      <w:r>
        <w:rPr>
          <w:rFonts w:ascii="Arial" w:cs="Arial" w:eastAsia="Arial" w:hAnsi="Arial"/>
          <w:sz w:val="19"/>
          <w:szCs w:val="19"/>
          <w:b w:val="1"/>
          <w:bCs w:val="1"/>
          <w:u w:val="single" w:color="auto"/>
          <w:color w:val="auto"/>
        </w:rPr>
        <w:t>Definitions</w:t>
      </w:r>
    </w:p>
    <w:p>
      <w:pPr>
        <w:spacing w:after="0" w:line="266" w:lineRule="exact"/>
        <w:rPr>
          <w:sz w:val="20"/>
          <w:szCs w:val="20"/>
          <w:color w:val="auto"/>
        </w:rPr>
      </w:pPr>
    </w:p>
    <w:p>
      <w:pPr>
        <w:ind w:left="660" w:hanging="328"/>
        <w:spacing w:after="0"/>
        <w:tabs>
          <w:tab w:leader="none" w:pos="660" w:val="left"/>
        </w:tabs>
        <w:numPr>
          <w:ilvl w:val="0"/>
          <w:numId w:val="65"/>
        </w:numPr>
        <w:rPr>
          <w:rFonts w:ascii="Arial" w:cs="Arial" w:eastAsia="Arial" w:hAnsi="Arial"/>
          <w:sz w:val="22"/>
          <w:szCs w:val="22"/>
          <w:color w:val="auto"/>
        </w:rPr>
      </w:pPr>
      <w:r>
        <w:rPr>
          <w:rFonts w:ascii="Arial" w:cs="Arial" w:eastAsia="Arial" w:hAnsi="Arial"/>
          <w:sz w:val="22"/>
          <w:szCs w:val="22"/>
          <w:color w:val="auto"/>
        </w:rPr>
        <w:t>For purposes of this Trust, the following terms shall be defined as set forth below:</w:t>
      </w:r>
    </w:p>
    <w:p>
      <w:pPr>
        <w:spacing w:after="0" w:line="254" w:lineRule="exact"/>
        <w:rPr>
          <w:rFonts w:ascii="Arial" w:cs="Arial" w:eastAsia="Arial" w:hAnsi="Arial"/>
          <w:sz w:val="22"/>
          <w:szCs w:val="22"/>
          <w:color w:val="auto"/>
        </w:rPr>
      </w:pPr>
    </w:p>
    <w:p>
      <w:pPr>
        <w:ind w:left="1620" w:hanging="640"/>
        <w:spacing w:after="0"/>
        <w:tabs>
          <w:tab w:leader="none" w:pos="1620" w:val="left"/>
        </w:tabs>
        <w:numPr>
          <w:ilvl w:val="1"/>
          <w:numId w:val="6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Potential Change in Control</w:t>
      </w:r>
      <w:r>
        <w:rPr>
          <w:rFonts w:ascii="Arial" w:cs="Arial" w:eastAsia="Arial" w:hAnsi="Arial"/>
          <w:sz w:val="22"/>
          <w:szCs w:val="22"/>
          <w:color w:val="auto"/>
        </w:rPr>
        <w:t>” shall mean:</w:t>
      </w:r>
    </w:p>
    <w:p>
      <w:pPr>
        <w:spacing w:after="0" w:line="266" w:lineRule="exact"/>
        <w:rPr>
          <w:rFonts w:ascii="Arial" w:cs="Arial" w:eastAsia="Arial" w:hAnsi="Arial"/>
          <w:sz w:val="22"/>
          <w:szCs w:val="22"/>
          <w:color w:val="auto"/>
        </w:rPr>
      </w:pPr>
    </w:p>
    <w:p>
      <w:pPr>
        <w:ind w:left="2120" w:right="60" w:hanging="329"/>
        <w:spacing w:after="0" w:line="261" w:lineRule="auto"/>
        <w:tabs>
          <w:tab w:leader="none" w:pos="2120" w:val="left"/>
        </w:tabs>
        <w:numPr>
          <w:ilvl w:val="2"/>
          <w:numId w:val="65"/>
        </w:numPr>
        <w:rPr>
          <w:rFonts w:ascii="Arial" w:cs="Arial" w:eastAsia="Arial" w:hAnsi="Arial"/>
          <w:sz w:val="21"/>
          <w:szCs w:val="21"/>
          <w:color w:val="auto"/>
        </w:rPr>
      </w:pPr>
      <w:r>
        <w:rPr>
          <w:rFonts w:ascii="Arial" w:cs="Arial" w:eastAsia="Arial" w:hAnsi="Arial"/>
          <w:sz w:val="21"/>
          <w:szCs w:val="21"/>
          <w:color w:val="auto"/>
        </w:rPr>
        <w:t>the purchase or other acquisition by any person, entity or group of persons, within the meaning of Section 13(d) or 14(d) of the Securities Exchange Act of 1934 (“Act”), or any comparable successor provisions, other than the trustee of any other trust or plan maintained for the benefit of employees of the Company, of beneficial ownership (within the meaning of Rule 13d-3 promulgated under the Act) of 20% or more of either the outstanding shares of common stock or the combined voting power of the Company's then outstanding voting securities entitled to vote generally;</w:t>
      </w:r>
    </w:p>
    <w:p>
      <w:pPr>
        <w:spacing w:after="0" w:line="220" w:lineRule="exact"/>
        <w:rPr>
          <w:rFonts w:ascii="Arial" w:cs="Arial" w:eastAsia="Arial" w:hAnsi="Arial"/>
          <w:sz w:val="21"/>
          <w:szCs w:val="21"/>
          <w:color w:val="auto"/>
        </w:rPr>
      </w:pPr>
    </w:p>
    <w:p>
      <w:pPr>
        <w:jc w:val="both"/>
        <w:ind w:left="2120" w:right="20" w:hanging="329"/>
        <w:spacing w:after="0" w:line="253" w:lineRule="auto"/>
        <w:tabs>
          <w:tab w:leader="none" w:pos="2120" w:val="left"/>
        </w:tabs>
        <w:numPr>
          <w:ilvl w:val="2"/>
          <w:numId w:val="65"/>
        </w:numPr>
        <w:rPr>
          <w:rFonts w:ascii="Arial" w:cs="Arial" w:eastAsia="Arial" w:hAnsi="Arial"/>
          <w:sz w:val="22"/>
          <w:szCs w:val="22"/>
          <w:color w:val="auto"/>
        </w:rPr>
      </w:pPr>
      <w:r>
        <w:rPr>
          <w:rFonts w:ascii="Arial" w:cs="Arial" w:eastAsia="Arial" w:hAnsi="Arial"/>
          <w:sz w:val="22"/>
          <w:szCs w:val="22"/>
          <w:color w:val="auto"/>
        </w:rPr>
        <w:t>the announcement by any person of an intention to take actions which might reasonably result in a business combination between the Company and an entity which has a market capitalization equal to or greater than 80% of the Company;</w:t>
      </w:r>
    </w:p>
    <w:p>
      <w:pPr>
        <w:spacing w:after="0" w:line="226" w:lineRule="exact"/>
        <w:rPr>
          <w:rFonts w:ascii="Arial" w:cs="Arial" w:eastAsia="Arial" w:hAnsi="Arial"/>
          <w:sz w:val="22"/>
          <w:szCs w:val="22"/>
          <w:color w:val="auto"/>
        </w:rPr>
      </w:pPr>
    </w:p>
    <w:p>
      <w:pPr>
        <w:ind w:left="2120" w:hanging="329"/>
        <w:spacing w:after="0" w:line="250" w:lineRule="auto"/>
        <w:tabs>
          <w:tab w:leader="none" w:pos="2120" w:val="left"/>
        </w:tabs>
        <w:numPr>
          <w:ilvl w:val="2"/>
          <w:numId w:val="65"/>
        </w:numPr>
        <w:rPr>
          <w:rFonts w:ascii="Arial" w:cs="Arial" w:eastAsia="Arial" w:hAnsi="Arial"/>
          <w:sz w:val="22"/>
          <w:szCs w:val="22"/>
          <w:color w:val="auto"/>
        </w:rPr>
      </w:pPr>
      <w:r>
        <w:rPr>
          <w:rFonts w:ascii="Arial" w:cs="Arial" w:eastAsia="Arial" w:hAnsi="Arial"/>
          <w:sz w:val="22"/>
          <w:szCs w:val="22"/>
          <w:color w:val="auto"/>
        </w:rPr>
        <w:t>the issuance of a proxy statement by the Company with respect to an election of directors for which there is proposed one or more directors who are not recommended by the Board of Directors of the Company or its nominating committee, where the election of such proposed director or directors would result in a Change in Control as defined in Section 15(a)(2)(iii); or</w:t>
      </w:r>
    </w:p>
    <w:p>
      <w:pPr>
        <w:spacing w:after="0" w:line="228" w:lineRule="exact"/>
        <w:rPr>
          <w:rFonts w:ascii="Arial" w:cs="Arial" w:eastAsia="Arial" w:hAnsi="Arial"/>
          <w:sz w:val="22"/>
          <w:szCs w:val="22"/>
          <w:color w:val="auto"/>
        </w:rPr>
      </w:pPr>
    </w:p>
    <w:p>
      <w:pPr>
        <w:ind w:left="2120" w:right="140" w:hanging="329"/>
        <w:spacing w:after="0" w:line="253" w:lineRule="auto"/>
        <w:tabs>
          <w:tab w:leader="none" w:pos="2120" w:val="left"/>
        </w:tabs>
        <w:numPr>
          <w:ilvl w:val="2"/>
          <w:numId w:val="65"/>
        </w:numPr>
        <w:rPr>
          <w:rFonts w:ascii="Arial" w:cs="Arial" w:eastAsia="Arial" w:hAnsi="Arial"/>
          <w:sz w:val="22"/>
          <w:szCs w:val="22"/>
          <w:color w:val="auto"/>
        </w:rPr>
      </w:pPr>
      <w:r>
        <w:rPr>
          <w:rFonts w:ascii="Arial" w:cs="Arial" w:eastAsia="Arial" w:hAnsi="Arial"/>
          <w:sz w:val="22"/>
          <w:szCs w:val="22"/>
          <w:color w:val="auto"/>
        </w:rPr>
        <w:t>submission to the individuals who, as of the date hereof, constitute the Board of Directors, of nominations which, if approved, would change the Executive Officer configuration of the Company (at the Executive Vice President level and above) by 50% or more.</w:t>
      </w:r>
    </w:p>
    <w:p>
      <w:pPr>
        <w:spacing w:after="0" w:line="200" w:lineRule="exact"/>
        <w:rPr>
          <w:rFonts w:ascii="Arial" w:cs="Arial" w:eastAsia="Arial" w:hAnsi="Arial"/>
          <w:sz w:val="22"/>
          <w:szCs w:val="22"/>
          <w:color w:val="auto"/>
        </w:rPr>
      </w:pPr>
    </w:p>
    <w:p>
      <w:pPr>
        <w:spacing w:after="0" w:line="276" w:lineRule="exact"/>
        <w:rPr>
          <w:rFonts w:ascii="Arial" w:cs="Arial" w:eastAsia="Arial" w:hAnsi="Arial"/>
          <w:sz w:val="22"/>
          <w:szCs w:val="22"/>
          <w:color w:val="auto"/>
        </w:rPr>
      </w:pPr>
    </w:p>
    <w:p>
      <w:pPr>
        <w:ind w:left="1620" w:hanging="640"/>
        <w:spacing w:after="0"/>
        <w:tabs>
          <w:tab w:leader="none" w:pos="1620" w:val="left"/>
        </w:tabs>
        <w:numPr>
          <w:ilvl w:val="1"/>
          <w:numId w:val="6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Change in Control</w:t>
      </w:r>
      <w:r>
        <w:rPr>
          <w:rFonts w:ascii="Arial" w:cs="Arial" w:eastAsia="Arial" w:hAnsi="Arial"/>
          <w:sz w:val="22"/>
          <w:szCs w:val="22"/>
          <w:color w:val="auto"/>
        </w:rPr>
        <w:t>” shall mean the earliest of:</w:t>
      </w:r>
    </w:p>
    <w:p>
      <w:pPr>
        <w:spacing w:after="0" w:line="266" w:lineRule="exact"/>
        <w:rPr>
          <w:rFonts w:ascii="Arial" w:cs="Arial" w:eastAsia="Arial" w:hAnsi="Arial"/>
          <w:sz w:val="22"/>
          <w:szCs w:val="22"/>
          <w:color w:val="auto"/>
        </w:rPr>
      </w:pPr>
    </w:p>
    <w:p>
      <w:pPr>
        <w:ind w:left="2120" w:right="20" w:hanging="329"/>
        <w:spacing w:after="0" w:line="289" w:lineRule="auto"/>
        <w:tabs>
          <w:tab w:leader="none" w:pos="2120" w:val="left"/>
        </w:tabs>
        <w:numPr>
          <w:ilvl w:val="2"/>
          <w:numId w:val="65"/>
        </w:numPr>
        <w:rPr>
          <w:rFonts w:ascii="Arial" w:cs="Arial" w:eastAsia="Arial" w:hAnsi="Arial"/>
          <w:sz w:val="19"/>
          <w:szCs w:val="19"/>
          <w:color w:val="auto"/>
        </w:rPr>
      </w:pPr>
      <w:r>
        <w:rPr>
          <w:rFonts w:ascii="Arial" w:cs="Arial" w:eastAsia="Arial" w:hAnsi="Arial"/>
          <w:sz w:val="19"/>
          <w:szCs w:val="19"/>
          <w:color w:val="auto"/>
        </w:rPr>
        <w:t>the date any one person, or more than one person acting as a group (as the term “group” is used in Treasury Regulations section 1.409A-3(i)(5)(v)(B)), acquires ownership of stock of the Company that, together with stock previously held by the acquirer, constitutes more than fifty (50%) percent of the total fair market value or total voting power of Company stock. If any one person, or more than one person acting as a group, is considered to own more than fifty (50%) percent of the total fair market value or total voting power of Company stock, the acquisition of additional stock by the same person or persons acting as a group does not cause a Change in Control. An increase in the percentage of stock owned by any one person, or persons acting as a group, as a result of a transaction in which Company acquires its stock in exchange for property, is treated as an acquisition of stock;</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585" w:right="239" w:bottom="1440" w:gutter="0" w:footer="0" w:header="0"/>
        </w:sectPr>
      </w:pPr>
    </w:p>
    <w:bookmarkStart w:id="132" w:name="page133"/>
    <w:bookmarkEnd w:id="132"/>
    <w:p>
      <w:pPr>
        <w:ind w:left="920" w:hanging="329"/>
        <w:spacing w:after="0" w:line="302" w:lineRule="auto"/>
        <w:tabs>
          <w:tab w:leader="none" w:pos="920" w:val="left"/>
        </w:tabs>
        <w:numPr>
          <w:ilvl w:val="0"/>
          <w:numId w:val="66"/>
        </w:numPr>
        <w:rPr>
          <w:rFonts w:ascii="Arial" w:cs="Arial" w:eastAsia="Arial" w:hAnsi="Arial"/>
          <w:sz w:val="19"/>
          <w:szCs w:val="19"/>
          <w:color w:val="auto"/>
        </w:rPr>
      </w:pPr>
      <w:r>
        <w:rPr>
          <w:rFonts w:ascii="Arial" w:cs="Arial" w:eastAsia="Arial" w:hAnsi="Arial"/>
          <w:sz w:val="19"/>
          <w:szCs w:val="19"/>
          <w:color w:val="auto"/>
        </w:rPr>
        <w:t>the date any one person, or more than one person acting as a group (as the term “group” is used in Treasury Regulations section 1.409A-3(i)(5)(v)(B)), acquires (or has acquired during the twelve (12) month period ending on the date of the most recent acquisition by that person or persons) ownership of Company stock possessing at least thirty (30%) percent of the total voting power of Company stock;</w:t>
      </w:r>
    </w:p>
    <w:p>
      <w:pPr>
        <w:spacing w:after="0" w:line="183" w:lineRule="exact"/>
        <w:rPr>
          <w:rFonts w:ascii="Arial" w:cs="Arial" w:eastAsia="Arial" w:hAnsi="Arial"/>
          <w:sz w:val="19"/>
          <w:szCs w:val="19"/>
          <w:color w:val="auto"/>
        </w:rPr>
      </w:pPr>
    </w:p>
    <w:p>
      <w:pPr>
        <w:ind w:left="920" w:right="60" w:hanging="329"/>
        <w:spacing w:after="0" w:line="271" w:lineRule="auto"/>
        <w:tabs>
          <w:tab w:leader="none" w:pos="884" w:val="left"/>
        </w:tabs>
        <w:numPr>
          <w:ilvl w:val="0"/>
          <w:numId w:val="66"/>
        </w:numPr>
        <w:rPr>
          <w:rFonts w:ascii="Arial" w:cs="Arial" w:eastAsia="Arial" w:hAnsi="Arial"/>
          <w:sz w:val="21"/>
          <w:szCs w:val="21"/>
          <w:color w:val="auto"/>
        </w:rPr>
      </w:pPr>
      <w:r>
        <w:rPr>
          <w:rFonts w:ascii="Arial" w:cs="Arial" w:eastAsia="Arial" w:hAnsi="Arial"/>
          <w:sz w:val="21"/>
          <w:szCs w:val="21"/>
          <w:color w:val="auto"/>
        </w:rPr>
        <w:t>the date a majority of the members of the Company's Board of Directors is replaced during any twelve (12) month period by directors whose appointment or election is not endorsed by a majority of the members of the Board of Directors prior to the date of appointment or election; or</w:t>
      </w:r>
    </w:p>
    <w:p>
      <w:pPr>
        <w:spacing w:after="0" w:line="208" w:lineRule="exact"/>
        <w:rPr>
          <w:rFonts w:ascii="Arial" w:cs="Arial" w:eastAsia="Arial" w:hAnsi="Arial"/>
          <w:sz w:val="21"/>
          <w:szCs w:val="21"/>
          <w:color w:val="auto"/>
        </w:rPr>
      </w:pPr>
    </w:p>
    <w:p>
      <w:pPr>
        <w:ind w:left="920" w:right="60" w:hanging="329"/>
        <w:spacing w:after="0" w:line="292" w:lineRule="auto"/>
        <w:tabs>
          <w:tab w:leader="none" w:pos="858" w:val="left"/>
        </w:tabs>
        <w:numPr>
          <w:ilvl w:val="0"/>
          <w:numId w:val="66"/>
        </w:numPr>
        <w:rPr>
          <w:rFonts w:ascii="Arial" w:cs="Arial" w:eastAsia="Arial" w:hAnsi="Arial"/>
          <w:sz w:val="19"/>
          <w:szCs w:val="19"/>
          <w:color w:val="auto"/>
        </w:rPr>
      </w:pPr>
      <w:r>
        <w:rPr>
          <w:rFonts w:ascii="Arial" w:cs="Arial" w:eastAsia="Arial" w:hAnsi="Arial"/>
          <w:sz w:val="19"/>
          <w:szCs w:val="19"/>
          <w:color w:val="auto"/>
        </w:rPr>
        <w:t>the date any one person, or more than one person acting as a group (as the term “group” is used in Treasury Regulations section 1.409A-3(i)(5)(v)(B)), acquires (or has acquired during the twelve (12) month period ending on the date of the most recent acquisition by that person or persons) assets from the Company that have a totalgross fair market value equal to at least forty (40%) percent of the total gross fair market value of all the Company's assets immediately prior to the acquisition or acquisitions. For this purpose, “gross fair market value” means the value of the corporation's assets, or the value of the assets being disposed of, without regard to any liabilities associated with these assets.</w:t>
      </w:r>
    </w:p>
    <w:p>
      <w:pPr>
        <w:spacing w:after="0" w:line="192" w:lineRule="exact"/>
        <w:rPr>
          <w:sz w:val="20"/>
          <w:szCs w:val="20"/>
          <w:color w:val="auto"/>
        </w:rPr>
      </w:pPr>
    </w:p>
    <w:p>
      <w:pPr>
        <w:ind w:left="920" w:right="60"/>
        <w:spacing w:after="0" w:line="250" w:lineRule="auto"/>
        <w:rPr>
          <w:sz w:val="20"/>
          <w:szCs w:val="20"/>
          <w:color w:val="auto"/>
        </w:rPr>
      </w:pPr>
      <w:r>
        <w:rPr>
          <w:rFonts w:ascii="Arial" w:cs="Arial" w:eastAsia="Arial" w:hAnsi="Arial"/>
          <w:sz w:val="22"/>
          <w:szCs w:val="22"/>
          <w:color w:val="auto"/>
        </w:rPr>
        <w:t>In determining whether a Change in Control occurs, the attribution rules of Internal Revenue Code Section 318 apply to determine stock ownership. The stock underlying a vested option is treated as owned by the individual who holds the vested option, and the stock underlying an unvested option is not treated as owned by the individual who holds the unvested option.</w:t>
      </w:r>
    </w:p>
    <w:p>
      <w:pPr>
        <w:spacing w:after="0" w:line="229" w:lineRule="exact"/>
        <w:rPr>
          <w:sz w:val="20"/>
          <w:szCs w:val="20"/>
          <w:color w:val="auto"/>
        </w:rPr>
      </w:pPr>
    </w:p>
    <w:p>
      <w:pPr>
        <w:ind w:left="920" w:right="40"/>
        <w:spacing w:after="0" w:line="291" w:lineRule="auto"/>
        <w:rPr>
          <w:sz w:val="20"/>
          <w:szCs w:val="20"/>
          <w:color w:val="auto"/>
        </w:rPr>
      </w:pPr>
      <w:r>
        <w:rPr>
          <w:rFonts w:ascii="Arial" w:cs="Arial" w:eastAsia="Arial" w:hAnsi="Arial"/>
          <w:sz w:val="19"/>
          <w:szCs w:val="19"/>
          <w:color w:val="auto"/>
        </w:rPr>
        <w:t>For purposes of this Section 15(a), the individuals who, as of the date hereof, constitute the Board of Directors, by a majority vote, shall have the power to determine on the basis of information known to them</w:t>
      </w:r>
    </w:p>
    <w:p>
      <w:pPr>
        <w:spacing w:after="0" w:line="1" w:lineRule="exact"/>
        <w:rPr>
          <w:sz w:val="20"/>
          <w:szCs w:val="20"/>
          <w:color w:val="auto"/>
        </w:rPr>
      </w:pPr>
    </w:p>
    <w:p>
      <w:pPr>
        <w:ind w:left="920" w:hanging="5"/>
        <w:spacing w:after="0" w:line="244" w:lineRule="auto"/>
        <w:tabs>
          <w:tab w:leader="none" w:pos="1214" w:val="left"/>
        </w:tabs>
        <w:numPr>
          <w:ilvl w:val="0"/>
          <w:numId w:val="67"/>
        </w:numPr>
        <w:rPr>
          <w:rFonts w:ascii="Arial" w:cs="Arial" w:eastAsia="Arial" w:hAnsi="Arial"/>
          <w:sz w:val="22"/>
          <w:szCs w:val="22"/>
          <w:color w:val="auto"/>
        </w:rPr>
      </w:pPr>
      <w:r>
        <w:rPr>
          <w:rFonts w:ascii="Arial" w:cs="Arial" w:eastAsia="Arial" w:hAnsi="Arial"/>
          <w:sz w:val="22"/>
          <w:szCs w:val="22"/>
          <w:color w:val="auto"/>
        </w:rPr>
        <w:t>the number of shares beneficially owned by any person, entity or group; (b) whether there exists an agreement, arrangement or understanding with another as to matters referred to in this Section 15(a); (c) whether persons are acting as a group (as the term “group” is used in Treasury Regulations section 1.409A-3(i)(5)(v)(B)); and (d) such other matters with respect to which a determination is necessary under this Section 15(a).</w:t>
      </w:r>
    </w:p>
    <w:p>
      <w:pPr>
        <w:spacing w:after="0" w:line="200" w:lineRule="exact"/>
        <w:rPr>
          <w:sz w:val="20"/>
          <w:szCs w:val="20"/>
          <w:color w:val="auto"/>
        </w:rPr>
      </w:pPr>
    </w:p>
    <w:p>
      <w:pPr>
        <w:spacing w:after="0" w:line="272"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200"/>
          </w:cols>
          <w:pgMar w:left="1440" w:top="591" w:right="259" w:bottom="1440" w:gutter="0" w:footer="0" w:header="0"/>
        </w:sectPr>
      </w:pPr>
    </w:p>
    <w:bookmarkStart w:id="133" w:name="page134"/>
    <w:bookmarkEnd w:id="133"/>
    <w:p>
      <w:pPr>
        <w:ind w:left="1620" w:right="900" w:hanging="640"/>
        <w:spacing w:after="0" w:line="350" w:lineRule="auto"/>
        <w:tabs>
          <w:tab w:leader="none" w:pos="1620" w:val="left"/>
        </w:tabs>
        <w:numPr>
          <w:ilvl w:val="1"/>
          <w:numId w:val="68"/>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Majority of the Participants</w:t>
      </w:r>
      <w:r>
        <w:rPr>
          <w:rFonts w:ascii="Arial" w:cs="Arial" w:eastAsia="Arial" w:hAnsi="Arial"/>
          <w:sz w:val="19"/>
          <w:szCs w:val="19"/>
          <w:color w:val="auto"/>
        </w:rPr>
        <w:t>” shall mean Participants whose combined vested and unvested account balance(s) and accrued benefits within the Arrangements exceed 67% of the total Trust liability.</w:t>
      </w:r>
    </w:p>
    <w:p>
      <w:pPr>
        <w:spacing w:after="0" w:line="132" w:lineRule="exact"/>
        <w:rPr>
          <w:rFonts w:ascii="Arial" w:cs="Arial" w:eastAsia="Arial" w:hAnsi="Arial"/>
          <w:sz w:val="19"/>
          <w:szCs w:val="19"/>
          <w:color w:val="auto"/>
        </w:rPr>
      </w:pPr>
    </w:p>
    <w:p>
      <w:pPr>
        <w:ind w:left="1620" w:right="20" w:hanging="640"/>
        <w:spacing w:after="0" w:line="298" w:lineRule="auto"/>
        <w:tabs>
          <w:tab w:leader="none" w:pos="1620" w:val="left"/>
        </w:tabs>
        <w:numPr>
          <w:ilvl w:val="1"/>
          <w:numId w:val="68"/>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Triggering Event</w:t>
      </w:r>
      <w:r>
        <w:rPr>
          <w:rFonts w:ascii="Arial" w:cs="Arial" w:eastAsia="Arial" w:hAnsi="Arial"/>
          <w:sz w:val="19"/>
          <w:szCs w:val="19"/>
          <w:color w:val="auto"/>
        </w:rPr>
        <w:t>” shall mean a Change in Control or, if earlier, a Potential Change in Control. However, a Potential Change in Control will cease to be a Triggering Event and the Trust Agreement will be interpreted as if no such Triggering Event had occurred, if a Change in Control does not occur within two years of the Potential Change in Control or if, within such two year period, the Chief Executive Officer of the Company determines that the Potential Change in Control no longer exists in accordance with Section 15(b).</w:t>
      </w:r>
    </w:p>
    <w:p>
      <w:pPr>
        <w:spacing w:after="0" w:line="189" w:lineRule="exact"/>
        <w:rPr>
          <w:rFonts w:ascii="Arial" w:cs="Arial" w:eastAsia="Arial" w:hAnsi="Arial"/>
          <w:sz w:val="19"/>
          <w:szCs w:val="19"/>
          <w:color w:val="auto"/>
        </w:rPr>
      </w:pPr>
    </w:p>
    <w:p>
      <w:pPr>
        <w:ind w:left="660" w:right="120" w:hanging="328"/>
        <w:spacing w:after="0" w:line="261" w:lineRule="auto"/>
        <w:tabs>
          <w:tab w:leader="none" w:pos="660" w:val="left"/>
        </w:tabs>
        <w:numPr>
          <w:ilvl w:val="0"/>
          <w:numId w:val="69"/>
        </w:numPr>
        <w:rPr>
          <w:rFonts w:ascii="Arial" w:cs="Arial" w:eastAsia="Arial" w:hAnsi="Arial"/>
          <w:sz w:val="21"/>
          <w:szCs w:val="21"/>
          <w:color w:val="auto"/>
        </w:rPr>
      </w:pPr>
      <w:r>
        <w:rPr>
          <w:rFonts w:ascii="Arial" w:cs="Arial" w:eastAsia="Arial" w:hAnsi="Arial"/>
          <w:sz w:val="21"/>
          <w:szCs w:val="21"/>
          <w:color w:val="auto"/>
        </w:rPr>
        <w:t>The Chief Executive Officer of the Company shall have the specific authority to determine whether a Potential Change in Control or Change in Control has transpired, and to determine whether the Potential Change in Control no longer exists under the guidance of this Section 15 and shall be required to give the Trustee notice of a Potential Change in Control, of a Change in Control, or if a Potential Change in Control no longer exists. The Trustee shall be entitled to rely upon such notice, but if the Trustee receives notice of a Potential Change in Control or Change in Control from another source, the Trustee shall make its own independent determination.</w:t>
      </w:r>
    </w:p>
    <w:p>
      <w:pPr>
        <w:spacing w:after="0" w:line="215" w:lineRule="exact"/>
        <w:rPr>
          <w:sz w:val="20"/>
          <w:szCs w:val="20"/>
          <w:color w:val="auto"/>
        </w:rPr>
      </w:pPr>
    </w:p>
    <w:p>
      <w:pPr>
        <w:spacing w:after="0"/>
        <w:tabs>
          <w:tab w:leader="none" w:pos="1200" w:val="left"/>
        </w:tabs>
        <w:rPr>
          <w:sz w:val="20"/>
          <w:szCs w:val="20"/>
          <w:color w:val="auto"/>
        </w:rPr>
      </w:pPr>
      <w:r>
        <w:rPr>
          <w:rFonts w:ascii="Arial" w:cs="Arial" w:eastAsia="Arial" w:hAnsi="Arial"/>
          <w:sz w:val="22"/>
          <w:szCs w:val="22"/>
          <w:b w:val="1"/>
          <w:bCs w:val="1"/>
          <w:color w:val="auto"/>
        </w:rPr>
        <w:t>Section 16.</w:t>
      </w:r>
      <w:r>
        <w:rPr>
          <w:sz w:val="20"/>
          <w:szCs w:val="20"/>
          <w:color w:val="auto"/>
        </w:rPr>
        <w:tab/>
      </w:r>
      <w:r>
        <w:rPr>
          <w:rFonts w:ascii="Arial" w:cs="Arial" w:eastAsia="Arial" w:hAnsi="Arial"/>
          <w:sz w:val="19"/>
          <w:szCs w:val="19"/>
          <w:b w:val="1"/>
          <w:bCs w:val="1"/>
          <w:u w:val="single" w:color="auto"/>
          <w:color w:val="auto"/>
        </w:rPr>
        <w:t>Confidentiality</w:t>
      </w:r>
    </w:p>
    <w:p>
      <w:pPr>
        <w:spacing w:after="0" w:line="266" w:lineRule="exact"/>
        <w:rPr>
          <w:sz w:val="20"/>
          <w:szCs w:val="20"/>
          <w:color w:val="auto"/>
        </w:rPr>
      </w:pPr>
    </w:p>
    <w:p>
      <w:pPr>
        <w:ind w:left="660" w:hanging="328"/>
        <w:spacing w:after="0" w:line="285" w:lineRule="auto"/>
        <w:tabs>
          <w:tab w:leader="none" w:pos="660" w:val="left"/>
        </w:tabs>
        <w:numPr>
          <w:ilvl w:val="0"/>
          <w:numId w:val="70"/>
        </w:numPr>
        <w:rPr>
          <w:rFonts w:ascii="Arial" w:cs="Arial" w:eastAsia="Arial" w:hAnsi="Arial"/>
          <w:sz w:val="19"/>
          <w:szCs w:val="19"/>
          <w:color w:val="auto"/>
        </w:rPr>
      </w:pPr>
      <w:r>
        <w:rPr>
          <w:rFonts w:ascii="Arial" w:cs="Arial" w:eastAsia="Arial" w:hAnsi="Arial"/>
          <w:sz w:val="19"/>
          <w:szCs w:val="19"/>
          <w:color w:val="auto"/>
        </w:rPr>
        <w:t>This Trust Agreement and certain information relating to the Trust is “Confidential Information” pursuant to applicable federal and state law, and as such it shall be maintained in confidence and not disclosed, used or duplicated, except as described in this section. If it is necessary for the Trustee to disclose Confidential Information to a third party in order to perform the Trustee's duties hereunder, the Trustee shall disclose only such Confidential Information as is necessary for such third party to perform its obligations to the Trustee and shall, before such disclosure is made, ensure that said third party understands and agrees to the confidentiality obligations set forth herein. The Trustee and the Company shall maintain an appropriate information security program and adequate administrative and physical safeguards to prevent the unauthorized disclosure, misuse, alteration or destruction of Confidential Information, and shall inform the other party as soon as possible of any security breach or other incident involving possible unauthorized disclosure of or access to Confidential Information. Confidential Information shall be returned to the disclosing party upon request. Confidential Information does not include information that is generally known or available to the public or that is not treated as confidential by the disclosing party, provided, however, that this exception shall not apply to any publicly available information to the extent that the disclosure or sharing of the information by one or both parties is subject to any limitation, restriction, consent, or notification requirement under any applicable federal or state information privacy law or regulation. If the receiving party is required by law, according to the advice of competent counsel, to disclose Confidential Information, the receiving party may do so without breaching this section, but shall first, if feasible and legally permissible, provide the disclosing party with prompt notice of such pending disclosure so that the disclosing party may seek a protective order or other appropriate remedy or waive compliance with the provisions of this section.</w:t>
      </w: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585" w:right="259" w:bottom="1440" w:gutter="0" w:footer="0" w:header="0"/>
        </w:sectPr>
      </w:pPr>
    </w:p>
    <w:bookmarkStart w:id="134" w:name="page135"/>
    <w:bookmarkEnd w:id="134"/>
    <w:p>
      <w:pPr>
        <w:spacing w:after="0"/>
        <w:tabs>
          <w:tab w:leader="none" w:pos="1200" w:val="left"/>
        </w:tabs>
        <w:rPr>
          <w:sz w:val="20"/>
          <w:szCs w:val="20"/>
          <w:color w:val="auto"/>
        </w:rPr>
      </w:pPr>
      <w:r>
        <w:rPr>
          <w:rFonts w:ascii="Arial" w:cs="Arial" w:eastAsia="Arial" w:hAnsi="Arial"/>
          <w:sz w:val="22"/>
          <w:szCs w:val="22"/>
          <w:b w:val="1"/>
          <w:bCs w:val="1"/>
          <w:color w:val="auto"/>
        </w:rPr>
        <w:t>Section 17.</w:t>
      </w:r>
      <w:r>
        <w:rPr>
          <w:sz w:val="20"/>
          <w:szCs w:val="20"/>
          <w:color w:val="auto"/>
        </w:rPr>
        <w:tab/>
      </w:r>
      <w:r>
        <w:rPr>
          <w:rFonts w:ascii="Arial" w:cs="Arial" w:eastAsia="Arial" w:hAnsi="Arial"/>
          <w:sz w:val="19"/>
          <w:szCs w:val="19"/>
          <w:b w:val="1"/>
          <w:bCs w:val="1"/>
          <w:u w:val="single" w:color="auto"/>
          <w:color w:val="auto"/>
        </w:rPr>
        <w:t>Miscellaneous</w:t>
      </w:r>
    </w:p>
    <w:p>
      <w:pPr>
        <w:spacing w:after="0" w:line="266" w:lineRule="exact"/>
        <w:rPr>
          <w:sz w:val="20"/>
          <w:szCs w:val="20"/>
          <w:color w:val="auto"/>
        </w:rPr>
      </w:pPr>
    </w:p>
    <w:p>
      <w:pPr>
        <w:ind w:left="660" w:right="140" w:hanging="328"/>
        <w:spacing w:after="0" w:line="263" w:lineRule="auto"/>
        <w:tabs>
          <w:tab w:leader="none" w:pos="660" w:val="left"/>
        </w:tabs>
        <w:numPr>
          <w:ilvl w:val="0"/>
          <w:numId w:val="71"/>
        </w:numPr>
        <w:rPr>
          <w:rFonts w:ascii="Arial" w:cs="Arial" w:eastAsia="Arial" w:hAnsi="Arial"/>
          <w:sz w:val="22"/>
          <w:szCs w:val="22"/>
          <w:color w:val="auto"/>
        </w:rPr>
      </w:pPr>
      <w:r>
        <w:rPr>
          <w:rFonts w:ascii="Arial" w:cs="Arial" w:eastAsia="Arial" w:hAnsi="Arial"/>
          <w:sz w:val="22"/>
          <w:szCs w:val="22"/>
          <w:color w:val="auto"/>
        </w:rPr>
        <w:t>Any provision of this Trust Agreement prohibited by law shall be ineffective to the extent of any such prohibition, without invalidating the remaining provisions hereof.</w:t>
      </w:r>
    </w:p>
    <w:p>
      <w:pPr>
        <w:spacing w:after="0" w:line="215" w:lineRule="exact"/>
        <w:rPr>
          <w:rFonts w:ascii="Arial" w:cs="Arial" w:eastAsia="Arial" w:hAnsi="Arial"/>
          <w:sz w:val="22"/>
          <w:szCs w:val="22"/>
          <w:color w:val="auto"/>
        </w:rPr>
      </w:pPr>
    </w:p>
    <w:p>
      <w:pPr>
        <w:ind w:left="660" w:hanging="328"/>
        <w:spacing w:after="0" w:line="263" w:lineRule="auto"/>
        <w:tabs>
          <w:tab w:leader="none" w:pos="660" w:val="left"/>
        </w:tabs>
        <w:numPr>
          <w:ilvl w:val="0"/>
          <w:numId w:val="71"/>
        </w:numPr>
        <w:rPr>
          <w:rFonts w:ascii="Arial" w:cs="Arial" w:eastAsia="Arial" w:hAnsi="Arial"/>
          <w:sz w:val="21"/>
          <w:szCs w:val="21"/>
          <w:color w:val="auto"/>
        </w:rPr>
      </w:pPr>
      <w:r>
        <w:rPr>
          <w:rFonts w:ascii="Arial" w:cs="Arial" w:eastAsia="Arial" w:hAnsi="Arial"/>
          <w:sz w:val="21"/>
          <w:szCs w:val="21"/>
          <w:color w:val="auto"/>
        </w:rPr>
        <w:t>The Company hereby represents and warrants that all of the Arrangements have been established, maintained and administered in accordance with all applicable laws, including without limitation, ERISA. The Company hereby indemnifies and agrees to hold the Trustee harmless from all liabilities, including attorney's fees, relating to or arising out of the establishment, maintenance and administration of the Arrangements. To the extent the Company does not pay any of such liabilities in a reasonably timely manner, the Trustee may obtain payment from the Trust.</w:t>
      </w:r>
    </w:p>
    <w:p>
      <w:pPr>
        <w:spacing w:after="0" w:line="216" w:lineRule="exact"/>
        <w:rPr>
          <w:rFonts w:ascii="Arial" w:cs="Arial" w:eastAsia="Arial" w:hAnsi="Arial"/>
          <w:sz w:val="21"/>
          <w:szCs w:val="21"/>
          <w:color w:val="auto"/>
        </w:rPr>
      </w:pPr>
    </w:p>
    <w:p>
      <w:pPr>
        <w:ind w:left="660" w:right="20" w:hanging="328"/>
        <w:spacing w:after="0" w:line="343" w:lineRule="auto"/>
        <w:tabs>
          <w:tab w:leader="none" w:pos="660" w:val="left"/>
        </w:tabs>
        <w:numPr>
          <w:ilvl w:val="0"/>
          <w:numId w:val="71"/>
        </w:numPr>
        <w:rPr>
          <w:rFonts w:ascii="Arial" w:cs="Arial" w:eastAsia="Arial" w:hAnsi="Arial"/>
          <w:sz w:val="19"/>
          <w:szCs w:val="19"/>
          <w:color w:val="auto"/>
        </w:rPr>
      </w:pPr>
      <w:r>
        <w:rPr>
          <w:rFonts w:ascii="Arial" w:cs="Arial" w:eastAsia="Arial" w:hAnsi="Arial"/>
          <w:sz w:val="19"/>
          <w:szCs w:val="19"/>
          <w:color w:val="auto"/>
        </w:rPr>
        <w:t>Benefits payable to Participants under this Trust Agreement may not be anticipated, assigned (either at law or in equity), alienated, pledged, encumbered or subjected to attachment, garnishment, levy, execution or other legal or equitable process.</w:t>
      </w:r>
    </w:p>
    <w:p>
      <w:pPr>
        <w:spacing w:after="0" w:line="145" w:lineRule="exact"/>
        <w:rPr>
          <w:rFonts w:ascii="Arial" w:cs="Arial" w:eastAsia="Arial" w:hAnsi="Arial"/>
          <w:sz w:val="19"/>
          <w:szCs w:val="19"/>
          <w:color w:val="auto"/>
        </w:rPr>
      </w:pPr>
    </w:p>
    <w:p>
      <w:pPr>
        <w:ind w:left="660" w:hanging="328"/>
        <w:spacing w:after="0"/>
        <w:tabs>
          <w:tab w:leader="none" w:pos="660" w:val="left"/>
        </w:tabs>
        <w:numPr>
          <w:ilvl w:val="0"/>
          <w:numId w:val="71"/>
        </w:numPr>
        <w:rPr>
          <w:rFonts w:ascii="Arial" w:cs="Arial" w:eastAsia="Arial" w:hAnsi="Arial"/>
          <w:sz w:val="22"/>
          <w:szCs w:val="22"/>
          <w:color w:val="auto"/>
        </w:rPr>
      </w:pPr>
      <w:r>
        <w:rPr>
          <w:rFonts w:ascii="Arial" w:cs="Arial" w:eastAsia="Arial" w:hAnsi="Arial"/>
          <w:sz w:val="22"/>
          <w:szCs w:val="22"/>
          <w:color w:val="auto"/>
        </w:rPr>
        <w:t>This Trust Agreement shall be governed by and construed in accordance with the laws of North Carolina.</w:t>
      </w: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585" w:right="279" w:bottom="1440" w:gutter="0" w:footer="0" w:header="0"/>
        </w:sectPr>
      </w:pPr>
    </w:p>
    <w:bookmarkStart w:id="135" w:name="page136"/>
    <w:bookmarkEnd w:id="135"/>
    <w:p>
      <w:pPr>
        <w:ind w:right="100"/>
        <w:spacing w:after="0" w:line="269" w:lineRule="auto"/>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this Amended and Restated Deferred Compensation Trust Agreement has been executed on behalf of</w:t>
      </w:r>
      <w:r>
        <w:rPr>
          <w:rFonts w:ascii="Arial" w:cs="Arial" w:eastAsia="Arial" w:hAnsi="Arial"/>
          <w:sz w:val="22"/>
          <w:szCs w:val="22"/>
          <w:b w:val="1"/>
          <w:bCs w:val="1"/>
          <w:color w:val="auto"/>
        </w:rPr>
        <w:t xml:space="preserve"> </w:t>
      </w:r>
      <w:r>
        <w:rPr>
          <w:rFonts w:ascii="Arial" w:cs="Arial" w:eastAsia="Arial" w:hAnsi="Arial"/>
          <w:sz w:val="22"/>
          <w:szCs w:val="22"/>
          <w:color w:val="auto"/>
        </w:rPr>
        <w:t>the parties hereto on the day and year first above written.</w:t>
      </w:r>
    </w:p>
    <w:p>
      <w:pPr>
        <w:spacing w:after="0" w:line="200" w:lineRule="exact"/>
        <w:rPr>
          <w:sz w:val="20"/>
          <w:szCs w:val="20"/>
          <w:color w:val="auto"/>
        </w:rPr>
      </w:pPr>
    </w:p>
    <w:p>
      <w:pPr>
        <w:spacing w:after="0" w:line="317"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5460" w:type="dxa"/>
            <w:vAlign w:val="bottom"/>
            <w:gridSpan w:val="2"/>
          </w:tcPr>
          <w:p>
            <w:pPr>
              <w:spacing w:after="0"/>
              <w:rPr>
                <w:sz w:val="20"/>
                <w:szCs w:val="20"/>
                <w:color w:val="auto"/>
              </w:rPr>
            </w:pPr>
            <w:r>
              <w:rPr>
                <w:rFonts w:ascii="Arial" w:cs="Arial" w:eastAsia="Arial" w:hAnsi="Arial"/>
                <w:sz w:val="22"/>
                <w:szCs w:val="22"/>
                <w:b w:val="1"/>
                <w:bCs w:val="1"/>
                <w:color w:val="auto"/>
              </w:rPr>
              <w:t>ALLETE, INC.</w:t>
            </w:r>
          </w:p>
        </w:tc>
        <w:tc>
          <w:tcPr>
            <w:tcW w:w="1040" w:type="dxa"/>
            <w:vAlign w:val="bottom"/>
          </w:tcPr>
          <w:p>
            <w:pPr>
              <w:spacing w:after="0"/>
              <w:rPr>
                <w:sz w:val="21"/>
                <w:szCs w:val="21"/>
                <w:color w:val="auto"/>
              </w:rPr>
            </w:pPr>
          </w:p>
        </w:tc>
        <w:tc>
          <w:tcPr>
            <w:tcW w:w="4880" w:type="dxa"/>
            <w:vAlign w:val="bottom"/>
            <w:gridSpan w:val="2"/>
          </w:tcPr>
          <w:p>
            <w:pPr>
              <w:ind w:left="360"/>
              <w:spacing w:after="0"/>
              <w:rPr>
                <w:sz w:val="20"/>
                <w:szCs w:val="20"/>
                <w:color w:val="auto"/>
              </w:rPr>
            </w:pPr>
            <w:r>
              <w:rPr>
                <w:rFonts w:ascii="Arial" w:cs="Arial" w:eastAsia="Arial" w:hAnsi="Arial"/>
                <w:sz w:val="22"/>
                <w:szCs w:val="22"/>
                <w:b w:val="1"/>
                <w:bCs w:val="1"/>
                <w:color w:val="auto"/>
              </w:rPr>
              <w:t>WELLS FARGO BANK, NATIONAL</w:t>
            </w:r>
          </w:p>
        </w:tc>
      </w:tr>
      <w:tr>
        <w:trPr>
          <w:trHeight w:val="281"/>
        </w:trPr>
        <w:tc>
          <w:tcPr>
            <w:tcW w:w="78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880" w:type="dxa"/>
            <w:vAlign w:val="bottom"/>
            <w:gridSpan w:val="2"/>
          </w:tcPr>
          <w:p>
            <w:pPr>
              <w:ind w:left="360"/>
              <w:spacing w:after="0"/>
              <w:rPr>
                <w:sz w:val="20"/>
                <w:szCs w:val="20"/>
                <w:color w:val="auto"/>
              </w:rPr>
            </w:pPr>
            <w:r>
              <w:rPr>
                <w:rFonts w:ascii="Arial" w:cs="Arial" w:eastAsia="Arial" w:hAnsi="Arial"/>
                <w:sz w:val="22"/>
                <w:szCs w:val="22"/>
                <w:b w:val="1"/>
                <w:bCs w:val="1"/>
                <w:color w:val="auto"/>
              </w:rPr>
              <w:t>ASSOCIATION as TRUSTEE</w:t>
            </w:r>
          </w:p>
        </w:tc>
      </w:tr>
      <w:tr>
        <w:trPr>
          <w:trHeight w:val="308"/>
        </w:trPr>
        <w:tc>
          <w:tcPr>
            <w:tcW w:w="780" w:type="dxa"/>
            <w:vAlign w:val="bottom"/>
          </w:tcPr>
          <w:p>
            <w:pPr>
              <w:spacing w:after="0"/>
              <w:rPr>
                <w:sz w:val="20"/>
                <w:szCs w:val="20"/>
                <w:color w:val="auto"/>
              </w:rPr>
            </w:pPr>
            <w:r>
              <w:rPr>
                <w:rFonts w:ascii="Arial" w:cs="Arial" w:eastAsia="Arial" w:hAnsi="Arial"/>
                <w:sz w:val="22"/>
                <w:szCs w:val="22"/>
                <w:color w:val="auto"/>
              </w:rPr>
              <w:t>By:</w:t>
            </w:r>
          </w:p>
        </w:tc>
        <w:tc>
          <w:tcPr>
            <w:tcW w:w="468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Alan R. Hodnik</w:t>
            </w:r>
          </w:p>
        </w:tc>
        <w:tc>
          <w:tcPr>
            <w:tcW w:w="1040" w:type="dxa"/>
            <w:vAlign w:val="bottom"/>
            <w:tcBorders>
              <w:bottom w:val="single" w:sz="8" w:color="auto"/>
            </w:tcBorders>
          </w:tcPr>
          <w:p>
            <w:pPr>
              <w:spacing w:after="0"/>
              <w:rPr>
                <w:sz w:val="24"/>
                <w:szCs w:val="24"/>
                <w:color w:val="auto"/>
              </w:rPr>
            </w:pPr>
          </w:p>
        </w:tc>
        <w:tc>
          <w:tcPr>
            <w:tcW w:w="1000" w:type="dxa"/>
            <w:vAlign w:val="bottom"/>
          </w:tcPr>
          <w:p>
            <w:pPr>
              <w:ind w:left="360"/>
              <w:spacing w:after="0"/>
              <w:rPr>
                <w:sz w:val="20"/>
                <w:szCs w:val="20"/>
                <w:color w:val="auto"/>
              </w:rPr>
            </w:pPr>
            <w:r>
              <w:rPr>
                <w:rFonts w:ascii="Arial" w:cs="Arial" w:eastAsia="Arial" w:hAnsi="Arial"/>
                <w:sz w:val="22"/>
                <w:szCs w:val="22"/>
                <w:color w:val="auto"/>
              </w:rPr>
              <w:t>By:</w:t>
            </w:r>
          </w:p>
        </w:tc>
        <w:tc>
          <w:tcPr>
            <w:tcW w:w="388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/s/ Michael D. Hill</w:t>
            </w:r>
          </w:p>
        </w:tc>
      </w:tr>
      <w:tr>
        <w:trPr>
          <w:trHeight w:val="291"/>
        </w:trPr>
        <w:tc>
          <w:tcPr>
            <w:tcW w:w="780" w:type="dxa"/>
            <w:vAlign w:val="bottom"/>
          </w:tcPr>
          <w:p>
            <w:pPr>
              <w:spacing w:after="0"/>
              <w:rPr>
                <w:sz w:val="20"/>
                <w:szCs w:val="20"/>
                <w:color w:val="auto"/>
              </w:rPr>
            </w:pPr>
            <w:r>
              <w:rPr>
                <w:rFonts w:ascii="Arial" w:cs="Arial" w:eastAsia="Arial" w:hAnsi="Arial"/>
                <w:sz w:val="22"/>
                <w:szCs w:val="22"/>
                <w:color w:val="auto"/>
              </w:rPr>
              <w:t>Its:</w:t>
            </w:r>
          </w:p>
        </w:tc>
        <w:tc>
          <w:tcPr>
            <w:tcW w:w="468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Chairman, President &amp; Chief Executive Officer</w:t>
            </w:r>
          </w:p>
        </w:tc>
        <w:tc>
          <w:tcPr>
            <w:tcW w:w="1040" w:type="dxa"/>
            <w:vAlign w:val="bottom"/>
            <w:tcBorders>
              <w:bottom w:val="single" w:sz="8" w:color="auto"/>
            </w:tcBorders>
          </w:tcPr>
          <w:p>
            <w:pPr>
              <w:spacing w:after="0"/>
              <w:rPr>
                <w:sz w:val="24"/>
                <w:szCs w:val="24"/>
                <w:color w:val="auto"/>
              </w:rPr>
            </w:pPr>
          </w:p>
        </w:tc>
        <w:tc>
          <w:tcPr>
            <w:tcW w:w="1000" w:type="dxa"/>
            <w:vAlign w:val="bottom"/>
          </w:tcPr>
          <w:p>
            <w:pPr>
              <w:ind w:left="360"/>
              <w:spacing w:after="0"/>
              <w:rPr>
                <w:sz w:val="20"/>
                <w:szCs w:val="20"/>
                <w:color w:val="auto"/>
              </w:rPr>
            </w:pPr>
            <w:r>
              <w:rPr>
                <w:rFonts w:ascii="Arial" w:cs="Arial" w:eastAsia="Arial" w:hAnsi="Arial"/>
                <w:sz w:val="22"/>
                <w:szCs w:val="22"/>
                <w:color w:val="auto"/>
              </w:rPr>
              <w:t>Its:</w:t>
            </w:r>
          </w:p>
        </w:tc>
        <w:tc>
          <w:tcPr>
            <w:tcW w:w="388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Senior Vice President</w:t>
            </w:r>
          </w:p>
        </w:tc>
      </w:tr>
      <w:tr>
        <w:trPr>
          <w:trHeight w:val="281"/>
        </w:trPr>
        <w:tc>
          <w:tcPr>
            <w:tcW w:w="780" w:type="dxa"/>
            <w:vAlign w:val="bottom"/>
          </w:tcPr>
          <w:p>
            <w:pPr>
              <w:spacing w:after="0"/>
              <w:rPr>
                <w:sz w:val="20"/>
                <w:szCs w:val="20"/>
                <w:color w:val="auto"/>
              </w:rPr>
            </w:pPr>
            <w:r>
              <w:rPr>
                <w:rFonts w:ascii="Arial" w:cs="Arial" w:eastAsia="Arial" w:hAnsi="Arial"/>
                <w:sz w:val="22"/>
                <w:szCs w:val="22"/>
                <w:b w:val="1"/>
                <w:bCs w:val="1"/>
                <w:color w:val="auto"/>
                <w:w w:val="81"/>
              </w:rPr>
              <w:t>ATTEST:</w:t>
            </w:r>
          </w:p>
        </w:tc>
        <w:tc>
          <w:tcPr>
            <w:tcW w:w="4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880" w:type="dxa"/>
            <w:vAlign w:val="bottom"/>
            <w:gridSpan w:val="2"/>
          </w:tcPr>
          <w:p>
            <w:pPr>
              <w:ind w:left="360"/>
              <w:spacing w:after="0"/>
              <w:rPr>
                <w:sz w:val="20"/>
                <w:szCs w:val="20"/>
                <w:color w:val="auto"/>
              </w:rPr>
            </w:pPr>
            <w:r>
              <w:rPr>
                <w:rFonts w:ascii="Arial" w:cs="Arial" w:eastAsia="Arial" w:hAnsi="Arial"/>
                <w:sz w:val="22"/>
                <w:szCs w:val="22"/>
                <w:b w:val="1"/>
                <w:bCs w:val="1"/>
                <w:color w:val="auto"/>
              </w:rPr>
              <w:t>ATTEST:</w:t>
            </w:r>
          </w:p>
        </w:tc>
      </w:tr>
      <w:tr>
        <w:trPr>
          <w:trHeight w:val="294"/>
        </w:trPr>
        <w:tc>
          <w:tcPr>
            <w:tcW w:w="780" w:type="dxa"/>
            <w:vAlign w:val="bottom"/>
          </w:tcPr>
          <w:p>
            <w:pPr>
              <w:spacing w:after="0"/>
              <w:rPr>
                <w:sz w:val="20"/>
                <w:szCs w:val="20"/>
                <w:color w:val="auto"/>
              </w:rPr>
            </w:pPr>
            <w:r>
              <w:rPr>
                <w:rFonts w:ascii="Arial" w:cs="Arial" w:eastAsia="Arial" w:hAnsi="Arial"/>
                <w:sz w:val="22"/>
                <w:szCs w:val="22"/>
                <w:color w:val="auto"/>
              </w:rPr>
              <w:t>By:</w:t>
            </w:r>
          </w:p>
        </w:tc>
        <w:tc>
          <w:tcPr>
            <w:tcW w:w="468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Deborah A. Amberg</w:t>
            </w:r>
          </w:p>
        </w:tc>
        <w:tc>
          <w:tcPr>
            <w:tcW w:w="1040" w:type="dxa"/>
            <w:vAlign w:val="bottom"/>
            <w:tcBorders>
              <w:bottom w:val="single" w:sz="8" w:color="auto"/>
            </w:tcBorders>
          </w:tcPr>
          <w:p>
            <w:pPr>
              <w:spacing w:after="0"/>
              <w:rPr>
                <w:sz w:val="24"/>
                <w:szCs w:val="24"/>
                <w:color w:val="auto"/>
              </w:rPr>
            </w:pPr>
          </w:p>
        </w:tc>
        <w:tc>
          <w:tcPr>
            <w:tcW w:w="1000" w:type="dxa"/>
            <w:vAlign w:val="bottom"/>
          </w:tcPr>
          <w:p>
            <w:pPr>
              <w:ind w:left="360"/>
              <w:spacing w:after="0"/>
              <w:rPr>
                <w:sz w:val="20"/>
                <w:szCs w:val="20"/>
                <w:color w:val="auto"/>
              </w:rPr>
            </w:pPr>
            <w:r>
              <w:rPr>
                <w:rFonts w:ascii="Arial" w:cs="Arial" w:eastAsia="Arial" w:hAnsi="Arial"/>
                <w:sz w:val="22"/>
                <w:szCs w:val="22"/>
                <w:color w:val="auto"/>
              </w:rPr>
              <w:t>By:</w:t>
            </w:r>
          </w:p>
        </w:tc>
        <w:tc>
          <w:tcPr>
            <w:tcW w:w="388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/s/ Tonya M. Inscore</w:t>
            </w:r>
          </w:p>
        </w:tc>
      </w:tr>
      <w:tr>
        <w:trPr>
          <w:trHeight w:val="291"/>
        </w:trPr>
        <w:tc>
          <w:tcPr>
            <w:tcW w:w="780" w:type="dxa"/>
            <w:vAlign w:val="bottom"/>
          </w:tcPr>
          <w:p>
            <w:pPr>
              <w:spacing w:after="0"/>
              <w:rPr>
                <w:sz w:val="20"/>
                <w:szCs w:val="20"/>
                <w:color w:val="auto"/>
              </w:rPr>
            </w:pPr>
            <w:r>
              <w:rPr>
                <w:rFonts w:ascii="Arial" w:cs="Arial" w:eastAsia="Arial" w:hAnsi="Arial"/>
                <w:sz w:val="22"/>
                <w:szCs w:val="22"/>
                <w:color w:val="auto"/>
              </w:rPr>
              <w:t>Its:</w:t>
            </w:r>
          </w:p>
        </w:tc>
        <w:tc>
          <w:tcPr>
            <w:tcW w:w="468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w w:val="90"/>
              </w:rPr>
              <w:t>Senior Vice President, General Counsel &amp; Secretary</w:t>
            </w:r>
          </w:p>
        </w:tc>
        <w:tc>
          <w:tcPr>
            <w:tcW w:w="1040" w:type="dxa"/>
            <w:vAlign w:val="bottom"/>
            <w:tcBorders>
              <w:bottom w:val="single" w:sz="8" w:color="auto"/>
            </w:tcBorders>
          </w:tcPr>
          <w:p>
            <w:pPr>
              <w:spacing w:after="0"/>
              <w:rPr>
                <w:sz w:val="24"/>
                <w:szCs w:val="24"/>
                <w:color w:val="auto"/>
              </w:rPr>
            </w:pPr>
          </w:p>
        </w:tc>
        <w:tc>
          <w:tcPr>
            <w:tcW w:w="1000" w:type="dxa"/>
            <w:vAlign w:val="bottom"/>
          </w:tcPr>
          <w:p>
            <w:pPr>
              <w:ind w:left="360"/>
              <w:spacing w:after="0"/>
              <w:rPr>
                <w:sz w:val="20"/>
                <w:szCs w:val="20"/>
                <w:color w:val="auto"/>
              </w:rPr>
            </w:pPr>
            <w:r>
              <w:rPr>
                <w:rFonts w:ascii="Arial" w:cs="Arial" w:eastAsia="Arial" w:hAnsi="Arial"/>
                <w:sz w:val="22"/>
                <w:szCs w:val="22"/>
                <w:color w:val="auto"/>
              </w:rPr>
              <w:t>Its:</w:t>
            </w:r>
          </w:p>
        </w:tc>
        <w:tc>
          <w:tcPr>
            <w:tcW w:w="388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Senior Vice President</w:t>
            </w:r>
          </w:p>
        </w:tc>
      </w:tr>
      <w:tr>
        <w:trPr>
          <w:trHeight w:val="675"/>
        </w:trPr>
        <w:tc>
          <w:tcPr>
            <w:tcW w:w="78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1040" w:type="dxa"/>
            <w:vAlign w:val="bottom"/>
          </w:tcPr>
          <w:p>
            <w:pPr>
              <w:jc w:val="right"/>
              <w:ind w:right="650"/>
              <w:spacing w:after="0"/>
              <w:rPr>
                <w:sz w:val="20"/>
                <w:szCs w:val="20"/>
                <w:color w:val="auto"/>
              </w:rPr>
            </w:pPr>
            <w:r>
              <w:rPr>
                <w:rFonts w:ascii="Arial" w:cs="Arial" w:eastAsia="Arial" w:hAnsi="Arial"/>
                <w:sz w:val="18"/>
                <w:szCs w:val="18"/>
                <w:color w:val="auto"/>
              </w:rPr>
              <w:t>22</w:t>
            </w:r>
          </w:p>
        </w:tc>
        <w:tc>
          <w:tcPr>
            <w:tcW w:w="1000" w:type="dxa"/>
            <w:vAlign w:val="bottom"/>
          </w:tcPr>
          <w:p>
            <w:pPr>
              <w:spacing w:after="0"/>
              <w:rPr>
                <w:sz w:val="24"/>
                <w:szCs w:val="24"/>
                <w:color w:val="auto"/>
              </w:rPr>
            </w:pPr>
          </w:p>
        </w:tc>
        <w:tc>
          <w:tcPr>
            <w:tcW w:w="3880" w:type="dxa"/>
            <w:vAlign w:val="bottom"/>
          </w:tcPr>
          <w:p>
            <w:pPr>
              <w:spacing w:after="0"/>
              <w:rPr>
                <w:sz w:val="24"/>
                <w:szCs w:val="24"/>
                <w:color w:val="auto"/>
              </w:rPr>
            </w:pPr>
          </w:p>
        </w:tc>
      </w:tr>
    </w:tbl>
    <w:p>
      <w:pPr>
        <w:sectPr>
          <w:pgSz w:w="11900" w:h="16838" w:orient="portrait"/>
          <w:cols w:equalWidth="0" w:num="1">
            <w:col w:w="11420"/>
          </w:cols>
          <w:pgMar w:left="240" w:top="585" w:right="239" w:bottom="1440" w:gutter="0" w:footer="0" w:header="0"/>
        </w:sectPr>
      </w:pPr>
    </w:p>
    <w:bookmarkStart w:id="136" w:name="page137"/>
    <w:bookmarkEnd w:id="136"/>
    <w:p>
      <w:pPr>
        <w:ind w:left="5100"/>
        <w:spacing w:after="0"/>
        <w:rPr>
          <w:sz w:val="20"/>
          <w:szCs w:val="20"/>
          <w:color w:val="auto"/>
        </w:rPr>
      </w:pPr>
      <w:r>
        <w:rPr>
          <w:rFonts w:ascii="Arial" w:cs="Arial" w:eastAsia="Arial" w:hAnsi="Arial"/>
          <w:sz w:val="22"/>
          <w:szCs w:val="22"/>
          <w:color w:val="auto"/>
        </w:rPr>
        <w:t>Attachment A</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22"/>
          <w:szCs w:val="22"/>
          <w:color w:val="auto"/>
        </w:rPr>
        <w:t>The following Arrangements are covered by this Trust:</w:t>
      </w:r>
    </w:p>
    <w:p>
      <w:pPr>
        <w:spacing w:after="0" w:line="220" w:lineRule="exact"/>
        <w:rPr>
          <w:sz w:val="20"/>
          <w:szCs w:val="20"/>
          <w:color w:val="auto"/>
        </w:rPr>
      </w:pPr>
    </w:p>
    <w:p>
      <w:pPr>
        <w:ind w:left="660" w:right="2659"/>
        <w:spacing w:after="0" w:line="539" w:lineRule="auto"/>
        <w:rPr>
          <w:sz w:val="20"/>
          <w:szCs w:val="20"/>
          <w:color w:val="auto"/>
        </w:rPr>
      </w:pPr>
      <w:r>
        <w:rPr>
          <w:rFonts w:ascii="Arial" w:cs="Arial" w:eastAsia="Arial" w:hAnsi="Arial"/>
          <w:sz w:val="19"/>
          <w:szCs w:val="19"/>
          <w:color w:val="auto"/>
        </w:rPr>
        <w:t>ALLETE and Affiliated Companies Supplemental Executive Retirement Plan ALLETE and Affiliated Companies Supplemental Executive Retirement Plan II Minnesota Power and Affiliated Companies Executive Investment Plan I Minnesota Power and Affiliated Companies Executive Investment Plan II</w:t>
      </w:r>
    </w:p>
    <w:p>
      <w:pPr>
        <w:spacing w:after="0" w:line="200" w:lineRule="exact"/>
        <w:rPr>
          <w:sz w:val="20"/>
          <w:szCs w:val="20"/>
          <w:color w:val="auto"/>
        </w:rPr>
      </w:pPr>
    </w:p>
    <w:p>
      <w:pPr>
        <w:spacing w:after="0" w:line="39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219"/>
          </w:cols>
          <w:pgMar w:left="240" w:top="591" w:right="1440" w:bottom="1440" w:gutter="0" w:footer="0" w:header="0"/>
        </w:sectPr>
      </w:pPr>
    </w:p>
    <w:bookmarkStart w:id="137" w:name="page138"/>
    <w:bookmarkEnd w:id="137"/>
    <w:p>
      <w:pPr>
        <w:jc w:val="center"/>
        <w:ind w:right="-20"/>
        <w:spacing w:after="0"/>
        <w:rPr>
          <w:sz w:val="20"/>
          <w:szCs w:val="20"/>
          <w:color w:val="auto"/>
        </w:rPr>
      </w:pPr>
      <w:r>
        <w:rPr>
          <w:rFonts w:ascii="Arial" w:cs="Arial" w:eastAsia="Arial" w:hAnsi="Arial"/>
          <w:sz w:val="19"/>
          <w:szCs w:val="19"/>
          <w:color w:val="auto"/>
        </w:rPr>
        <w:t>Attachment B</w:t>
      </w:r>
    </w:p>
    <w:p>
      <w:pPr>
        <w:sectPr>
          <w:pgSz w:w="11900" w:h="16838" w:orient="portrait"/>
          <w:cols w:equalWidth="0" w:num="1">
            <w:col w:w="9019"/>
          </w:cols>
          <w:pgMar w:left="1440" w:top="59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9019"/>
          </w:cols>
          <w:pgMar w:left="1440" w:top="591" w:right="1440" w:bottom="1440" w:gutter="0" w:footer="0" w:header="0"/>
          <w:type w:val="continuous"/>
        </w:sectPr>
      </w:pPr>
    </w:p>
    <w:bookmarkStart w:id="138" w:name="page139"/>
    <w:bookmarkEnd w:id="138"/>
    <w:p>
      <w:pPr>
        <w:jc w:val="right"/>
        <w:spacing w:after="0"/>
        <w:rPr>
          <w:sz w:val="20"/>
          <w:szCs w:val="20"/>
          <w:color w:val="auto"/>
        </w:rPr>
      </w:pPr>
      <w:r>
        <w:rPr>
          <w:rFonts w:ascii="Arial" w:cs="Arial" w:eastAsia="Arial" w:hAnsi="Arial"/>
          <w:sz w:val="18"/>
          <w:szCs w:val="18"/>
          <w:b w:val="1"/>
          <w:bCs w:val="1"/>
          <w:color w:val="auto"/>
        </w:rPr>
        <w:t>Exhibit 10(k)14</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ALLETE</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EXECUTIVE LONG-TERM INCENTIVE COMPENSATION PLAN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PERFORMANCE SHARE GRANT</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Effective 2013</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[Eligible Executive Employees]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color w:val="auto"/>
        </w:rPr>
        <w:t>Name</w:t>
      </w:r>
    </w:p>
    <w:p>
      <w:pPr>
        <w:spacing w:after="0" w:line="200" w:lineRule="exact"/>
        <w:rPr>
          <w:sz w:val="20"/>
          <w:szCs w:val="20"/>
          <w:color w:val="auto"/>
        </w:rPr>
      </w:pPr>
    </w:p>
    <w:p>
      <w:pPr>
        <w:spacing w:after="0" w:line="317" w:lineRule="exact"/>
        <w:rPr>
          <w:sz w:val="20"/>
          <w:szCs w:val="20"/>
          <w:color w:val="auto"/>
        </w:rPr>
      </w:pPr>
    </w:p>
    <w:p>
      <w:pPr>
        <w:ind w:right="160"/>
        <w:spacing w:after="0" w:line="265" w:lineRule="auto"/>
        <w:rPr>
          <w:sz w:val="20"/>
          <w:szCs w:val="20"/>
          <w:color w:val="auto"/>
        </w:rPr>
      </w:pPr>
      <w:r>
        <w:rPr>
          <w:rFonts w:ascii="Arial" w:cs="Arial" w:eastAsia="Arial" w:hAnsi="Arial"/>
          <w:sz w:val="21"/>
          <w:szCs w:val="21"/>
          <w:color w:val="auto"/>
        </w:rPr>
        <w:t>In accordance with the terms of ALLETE's Executive Long-Term Incentive Compensation Plan, as amended (the "Plan"), as determined by and through the Executive Compensation Committee of ALLETE's Board of Directors, ALLETE hereby grants to you (the "Participant") Performance Shares, as set forth below, subject to the terms and conditions set forth in this Grant including Annexes A and B hereto and all documents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880"/>
        <w:spacing w:after="0"/>
        <w:rPr>
          <w:sz w:val="20"/>
          <w:szCs w:val="20"/>
          <w:color w:val="auto"/>
        </w:rPr>
      </w:pPr>
      <w:r>
        <w:rPr>
          <w:rFonts w:ascii="Arial" w:cs="Arial" w:eastAsia="Arial" w:hAnsi="Arial"/>
          <w:sz w:val="22"/>
          <w:szCs w:val="22"/>
          <w:color w:val="auto"/>
        </w:rPr>
        <w:t>Number of Performance Shares Granted:</w:t>
      </w:r>
    </w:p>
    <w:p>
      <w:pPr>
        <w:spacing w:after="0" w:line="44" w:lineRule="exact"/>
        <w:rPr>
          <w:sz w:val="20"/>
          <w:szCs w:val="20"/>
          <w:color w:val="auto"/>
        </w:rPr>
      </w:pPr>
    </w:p>
    <w:p>
      <w:pPr>
        <w:ind w:left="880"/>
        <w:spacing w:after="0"/>
        <w:rPr>
          <w:sz w:val="20"/>
          <w:szCs w:val="20"/>
          <w:color w:val="auto"/>
        </w:rPr>
      </w:pPr>
      <w:r>
        <w:rPr>
          <w:rFonts w:ascii="Arial" w:cs="Arial" w:eastAsia="Arial" w:hAnsi="Arial"/>
          <w:sz w:val="22"/>
          <w:szCs w:val="22"/>
          <w:color w:val="auto"/>
        </w:rPr>
        <w:t>Date of Grant:</w:t>
      </w:r>
    </w:p>
    <w:p>
      <w:pPr>
        <w:spacing w:after="0" w:line="44" w:lineRule="exact"/>
        <w:rPr>
          <w:sz w:val="20"/>
          <w:szCs w:val="20"/>
          <w:color w:val="auto"/>
        </w:rPr>
      </w:pPr>
    </w:p>
    <w:p>
      <w:pPr>
        <w:ind w:left="880"/>
        <w:spacing w:after="0"/>
        <w:rPr>
          <w:sz w:val="20"/>
          <w:szCs w:val="20"/>
          <w:color w:val="auto"/>
        </w:rPr>
      </w:pPr>
      <w:r>
        <w:rPr>
          <w:rFonts w:ascii="Arial" w:cs="Arial" w:eastAsia="Arial" w:hAnsi="Arial"/>
          <w:sz w:val="22"/>
          <w:szCs w:val="22"/>
          <w:color w:val="auto"/>
        </w:rPr>
        <w:t>Performance Period:</w:t>
      </w:r>
    </w:p>
    <w:p>
      <w:pPr>
        <w:spacing w:after="0" w:line="44" w:lineRule="exact"/>
        <w:rPr>
          <w:sz w:val="20"/>
          <w:szCs w:val="20"/>
          <w:color w:val="auto"/>
        </w:rPr>
      </w:pPr>
    </w:p>
    <w:p>
      <w:pPr>
        <w:ind w:left="880"/>
        <w:spacing w:after="0"/>
        <w:tabs>
          <w:tab w:leader="none" w:pos="5540" w:val="left"/>
        </w:tabs>
        <w:rPr>
          <w:sz w:val="20"/>
          <w:szCs w:val="20"/>
          <w:color w:val="auto"/>
        </w:rPr>
      </w:pPr>
      <w:r>
        <w:rPr>
          <w:rFonts w:ascii="Arial" w:cs="Arial" w:eastAsia="Arial" w:hAnsi="Arial"/>
          <w:sz w:val="22"/>
          <w:szCs w:val="22"/>
          <w:color w:val="auto"/>
        </w:rPr>
        <w:t>Performance Goals:</w:t>
      </w:r>
      <w:r>
        <w:rPr>
          <w:sz w:val="20"/>
          <w:szCs w:val="20"/>
          <w:color w:val="auto"/>
        </w:rPr>
        <w:tab/>
      </w:r>
      <w:r>
        <w:rPr>
          <w:rFonts w:ascii="Arial" w:cs="Arial" w:eastAsia="Arial" w:hAnsi="Arial"/>
          <w:sz w:val="19"/>
          <w:szCs w:val="19"/>
          <w:color w:val="auto"/>
        </w:rPr>
        <w:t>See Annex B</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This Grant is made in accordance with the Plan.</w:t>
      </w:r>
    </w:p>
    <w:p>
      <w:pPr>
        <w:spacing w:after="0" w:line="260" w:lineRule="exact"/>
        <w:rPr>
          <w:sz w:val="20"/>
          <w:szCs w:val="20"/>
          <w:color w:val="auto"/>
        </w:rPr>
      </w:pPr>
    </w:p>
    <w:p>
      <w:pPr>
        <w:ind w:right="220"/>
        <w:spacing w:after="0" w:line="263" w:lineRule="auto"/>
        <w:rPr>
          <w:sz w:val="20"/>
          <w:szCs w:val="20"/>
          <w:color w:val="auto"/>
        </w:rPr>
      </w:pPr>
      <w:r>
        <w:rPr>
          <w:rFonts w:ascii="Arial" w:cs="Arial" w:eastAsia="Arial" w:hAnsi="Arial"/>
          <w:sz w:val="22"/>
          <w:szCs w:val="22"/>
          <w:color w:val="auto"/>
        </w:rPr>
        <w:t>Further terms and conditions of the Grant are set forth in Annex A hereto and Performance Goals are set forth in Annex B hereto, which are integral parts of this Grant.</w:t>
      </w:r>
    </w:p>
    <w:p>
      <w:pPr>
        <w:spacing w:after="0" w:line="215" w:lineRule="exact"/>
        <w:rPr>
          <w:sz w:val="20"/>
          <w:szCs w:val="20"/>
          <w:color w:val="auto"/>
        </w:rPr>
      </w:pPr>
    </w:p>
    <w:p>
      <w:pPr>
        <w:ind w:right="60"/>
        <w:spacing w:after="0" w:line="253" w:lineRule="auto"/>
        <w:rPr>
          <w:sz w:val="20"/>
          <w:szCs w:val="20"/>
          <w:color w:val="auto"/>
        </w:rPr>
      </w:pPr>
      <w:r>
        <w:rPr>
          <w:rFonts w:ascii="Arial" w:cs="Arial" w:eastAsia="Arial" w:hAnsi="Arial"/>
          <w:sz w:val="22"/>
          <w:szCs w:val="22"/>
          <w:color w:val="auto"/>
        </w:rPr>
        <w:t>All terms, provisions and conditions applicable to the Performance Shares set forth in the Plan and not set forth herein are incorporated by reference. To the extent any provision hereof is inconsistent with a provision of the Plan, the provisions of the Plan will govern.</w:t>
      </w:r>
    </w:p>
    <w:p>
      <w:pPr>
        <w:spacing w:after="0" w:line="226" w:lineRule="exact"/>
        <w:rPr>
          <w:sz w:val="20"/>
          <w:szCs w:val="20"/>
          <w:color w:val="auto"/>
        </w:rPr>
      </w:pPr>
    </w:p>
    <w:p>
      <w:pPr>
        <w:ind w:right="60"/>
        <w:spacing w:after="0" w:line="263" w:lineRule="auto"/>
        <w:rPr>
          <w:sz w:val="20"/>
          <w:szCs w:val="20"/>
          <w:color w:val="auto"/>
        </w:rPr>
      </w:pPr>
      <w:r>
        <w:rPr>
          <w:rFonts w:ascii="Arial" w:cs="Arial" w:eastAsia="Arial" w:hAnsi="Arial"/>
          <w:sz w:val="22"/>
          <w:szCs w:val="22"/>
          <w:color w:val="auto"/>
        </w:rPr>
        <w:t>IN WITNESS WHEREOF, ALLETE has caused this Grant to be executed by its Chairman, President &amp; Chief Executive Officer as of the date and year first above written.</w:t>
      </w:r>
    </w:p>
    <w:p>
      <w:pPr>
        <w:spacing w:after="0" w:line="215"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ALLETE</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58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3212465</wp:posOffset>
            </wp:positionH>
            <wp:positionV relativeFrom="paragraph">
              <wp:posOffset>24765</wp:posOffset>
            </wp:positionV>
            <wp:extent cx="221234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212340" cy="8890"/>
                    </a:xfrm>
                    <a:prstGeom prst="rect">
                      <a:avLst/>
                    </a:prstGeom>
                    <a:noFill/>
                  </pic:spPr>
                </pic:pic>
              </a:graphicData>
            </a:graphic>
          </wp:anchor>
        </w:drawing>
      </w:r>
    </w:p>
    <w:p>
      <w:pPr>
        <w:spacing w:after="0" w:line="38" w:lineRule="exact"/>
        <w:rPr>
          <w:sz w:val="20"/>
          <w:szCs w:val="20"/>
          <w:color w:val="auto"/>
        </w:rPr>
      </w:pPr>
    </w:p>
    <w:p>
      <w:pPr>
        <w:ind w:left="5080"/>
        <w:spacing w:after="0"/>
        <w:rPr>
          <w:sz w:val="20"/>
          <w:szCs w:val="20"/>
          <w:color w:val="auto"/>
        </w:rPr>
      </w:pPr>
      <w:r>
        <w:rPr>
          <w:rFonts w:ascii="Arial" w:cs="Arial" w:eastAsia="Arial" w:hAnsi="Arial"/>
          <w:sz w:val="22"/>
          <w:szCs w:val="22"/>
          <w:color w:val="auto"/>
        </w:rPr>
        <w:t>Chairman, President &amp; CEO</w:t>
      </w:r>
    </w:p>
    <w:p>
      <w:pPr>
        <w:spacing w:after="0" w:line="200" w:lineRule="exact"/>
        <w:rPr>
          <w:sz w:val="20"/>
          <w:szCs w:val="20"/>
          <w:color w:val="auto"/>
        </w:rPr>
      </w:pPr>
    </w:p>
    <w:p>
      <w:pPr>
        <w:spacing w:after="0" w:line="344" w:lineRule="exact"/>
        <w:rPr>
          <w:sz w:val="20"/>
          <w:szCs w:val="20"/>
          <w:color w:val="auto"/>
        </w:rPr>
      </w:pPr>
    </w:p>
    <w:p>
      <w:pPr>
        <w:spacing w:after="0"/>
        <w:tabs>
          <w:tab w:leader="none" w:pos="1340" w:val="left"/>
        </w:tabs>
        <w:rPr>
          <w:sz w:val="20"/>
          <w:szCs w:val="20"/>
          <w:color w:val="auto"/>
        </w:rPr>
      </w:pPr>
      <w:r>
        <w:rPr>
          <w:rFonts w:ascii="Arial" w:cs="Arial" w:eastAsia="Arial" w:hAnsi="Arial"/>
          <w:sz w:val="22"/>
          <w:szCs w:val="22"/>
          <w:color w:val="auto"/>
        </w:rPr>
        <w:t>Attachments:</w:t>
      </w:r>
      <w:r>
        <w:rPr>
          <w:sz w:val="20"/>
          <w:szCs w:val="20"/>
          <w:color w:val="auto"/>
        </w:rPr>
        <w:tab/>
      </w:r>
      <w:r>
        <w:rPr>
          <w:rFonts w:ascii="Arial" w:cs="Arial" w:eastAsia="Arial" w:hAnsi="Arial"/>
          <w:sz w:val="19"/>
          <w:szCs w:val="19"/>
          <w:color w:val="auto"/>
        </w:rPr>
        <w:t>Annex A and Annex B</w:t>
      </w:r>
    </w:p>
    <w:p>
      <w:pPr>
        <w:sectPr>
          <w:pgSz w:w="11900" w:h="16838" w:orient="portrait"/>
          <w:cols w:equalWidth="0" w:num="1">
            <w:col w:w="11420"/>
          </w:cols>
          <w:pgMar w:left="240" w:top="580" w:right="239" w:bottom="1440" w:gutter="0" w:footer="0" w:header="0"/>
        </w:sectPr>
      </w:pPr>
    </w:p>
    <w:bookmarkStart w:id="139" w:name="page140"/>
    <w:bookmarkEnd w:id="139"/>
    <w:p>
      <w:pPr>
        <w:jc w:val="center"/>
        <w:ind w:right="-139"/>
        <w:spacing w:after="0"/>
        <w:rPr>
          <w:sz w:val="20"/>
          <w:szCs w:val="20"/>
          <w:color w:val="auto"/>
        </w:rPr>
      </w:pPr>
      <w:r>
        <w:rPr>
          <w:rFonts w:ascii="Arial" w:cs="Arial" w:eastAsia="Arial" w:hAnsi="Arial"/>
          <w:sz w:val="23"/>
          <w:szCs w:val="23"/>
          <w:b w:val="1"/>
          <w:bCs w:val="1"/>
          <w:color w:val="auto"/>
        </w:rPr>
        <w:t>ANNEX A</w:t>
      </w:r>
    </w:p>
    <w:p>
      <w:pPr>
        <w:spacing w:after="0" w:line="32" w:lineRule="exact"/>
        <w:rPr>
          <w:sz w:val="20"/>
          <w:szCs w:val="20"/>
          <w:color w:val="auto"/>
        </w:rPr>
      </w:pPr>
    </w:p>
    <w:p>
      <w:pPr>
        <w:jc w:val="center"/>
        <w:ind w:right="-139"/>
        <w:spacing w:after="0"/>
        <w:rPr>
          <w:sz w:val="20"/>
          <w:szCs w:val="20"/>
          <w:color w:val="auto"/>
        </w:rPr>
      </w:pPr>
      <w:r>
        <w:rPr>
          <w:rFonts w:ascii="Arial" w:cs="Arial" w:eastAsia="Arial" w:hAnsi="Arial"/>
          <w:sz w:val="23"/>
          <w:szCs w:val="23"/>
          <w:b w:val="1"/>
          <w:bCs w:val="1"/>
          <w:color w:val="auto"/>
        </w:rPr>
        <w:t>TO</w:t>
      </w:r>
    </w:p>
    <w:p>
      <w:pPr>
        <w:spacing w:after="0" w:line="6" w:lineRule="exact"/>
        <w:rPr>
          <w:sz w:val="20"/>
          <w:szCs w:val="20"/>
          <w:color w:val="auto"/>
        </w:rPr>
      </w:pPr>
    </w:p>
    <w:p>
      <w:pPr>
        <w:jc w:val="center"/>
        <w:ind w:right="-139"/>
        <w:spacing w:after="0"/>
        <w:rPr>
          <w:sz w:val="20"/>
          <w:szCs w:val="20"/>
          <w:color w:val="auto"/>
        </w:rPr>
      </w:pPr>
      <w:r>
        <w:rPr>
          <w:rFonts w:ascii="Arial" w:cs="Arial" w:eastAsia="Arial" w:hAnsi="Arial"/>
          <w:sz w:val="23"/>
          <w:szCs w:val="23"/>
          <w:b w:val="1"/>
          <w:bCs w:val="1"/>
          <w:color w:val="auto"/>
        </w:rPr>
        <w:t>ALLETE</w:t>
      </w:r>
    </w:p>
    <w:p>
      <w:pPr>
        <w:spacing w:after="0" w:line="6" w:lineRule="exact"/>
        <w:rPr>
          <w:sz w:val="20"/>
          <w:szCs w:val="20"/>
          <w:color w:val="auto"/>
        </w:rPr>
      </w:pPr>
    </w:p>
    <w:p>
      <w:pPr>
        <w:jc w:val="center"/>
        <w:ind w:right="-139"/>
        <w:spacing w:after="0"/>
        <w:rPr>
          <w:sz w:val="20"/>
          <w:szCs w:val="20"/>
          <w:color w:val="auto"/>
        </w:rPr>
      </w:pPr>
      <w:r>
        <w:rPr>
          <w:rFonts w:ascii="Arial" w:cs="Arial" w:eastAsia="Arial" w:hAnsi="Arial"/>
          <w:sz w:val="23"/>
          <w:szCs w:val="23"/>
          <w:b w:val="1"/>
          <w:bCs w:val="1"/>
          <w:color w:val="auto"/>
        </w:rPr>
        <w:t>EXECUTIVE LONG-TERM INCENTIVE COMPENSATION PLAN</w:t>
      </w:r>
    </w:p>
    <w:p>
      <w:pPr>
        <w:spacing w:after="0" w:line="6" w:lineRule="exact"/>
        <w:rPr>
          <w:sz w:val="20"/>
          <w:szCs w:val="20"/>
          <w:color w:val="auto"/>
        </w:rPr>
      </w:pPr>
    </w:p>
    <w:p>
      <w:pPr>
        <w:jc w:val="center"/>
        <w:ind w:right="-139"/>
        <w:spacing w:after="0"/>
        <w:rPr>
          <w:sz w:val="20"/>
          <w:szCs w:val="20"/>
          <w:color w:val="auto"/>
        </w:rPr>
      </w:pPr>
      <w:r>
        <w:rPr>
          <w:rFonts w:ascii="Arial" w:cs="Arial" w:eastAsia="Arial" w:hAnsi="Arial"/>
          <w:sz w:val="23"/>
          <w:szCs w:val="23"/>
          <w:b w:val="1"/>
          <w:bCs w:val="1"/>
          <w:color w:val="auto"/>
        </w:rPr>
        <w:t>PERFORMANCE SHARE GRANT</w:t>
      </w:r>
    </w:p>
    <w:p>
      <w:pPr>
        <w:spacing w:after="0" w:line="220" w:lineRule="exact"/>
        <w:rPr>
          <w:sz w:val="20"/>
          <w:szCs w:val="20"/>
          <w:color w:val="auto"/>
        </w:rPr>
      </w:pPr>
    </w:p>
    <w:p>
      <w:pPr>
        <w:ind w:right="300" w:firstLine="648"/>
        <w:spacing w:after="0" w:line="263" w:lineRule="auto"/>
        <w:rPr>
          <w:sz w:val="20"/>
          <w:szCs w:val="20"/>
          <w:color w:val="auto"/>
        </w:rPr>
      </w:pPr>
      <w:r>
        <w:rPr>
          <w:rFonts w:ascii="Arial" w:cs="Arial" w:eastAsia="Arial" w:hAnsi="Arial"/>
          <w:sz w:val="22"/>
          <w:szCs w:val="22"/>
          <w:color w:val="auto"/>
        </w:rPr>
        <w:t>The Grant of Performance Shares evidenced by the Grant to which this is annexed is subject to the following additional terms and conditions:</w:t>
      </w:r>
    </w:p>
    <w:p>
      <w:pPr>
        <w:spacing w:after="0" w:line="215" w:lineRule="exact"/>
        <w:rPr>
          <w:sz w:val="20"/>
          <w:szCs w:val="20"/>
          <w:color w:val="auto"/>
        </w:rPr>
      </w:pPr>
    </w:p>
    <w:p>
      <w:pPr>
        <w:ind w:right="60" w:firstLine="656"/>
        <w:spacing w:after="0" w:line="246" w:lineRule="auto"/>
        <w:tabs>
          <w:tab w:leader="none" w:pos="1026" w:val="left"/>
        </w:tabs>
        <w:numPr>
          <w:ilvl w:val="0"/>
          <w:numId w:val="72"/>
        </w:numPr>
        <w:rPr>
          <w:rFonts w:ascii="Arial" w:cs="Arial" w:eastAsia="Arial" w:hAnsi="Arial"/>
          <w:sz w:val="22"/>
          <w:szCs w:val="22"/>
          <w:color w:val="auto"/>
        </w:rPr>
      </w:pPr>
      <w:r>
        <w:rPr>
          <w:rFonts w:ascii="Arial" w:cs="Arial" w:eastAsia="Arial" w:hAnsi="Arial"/>
          <w:sz w:val="22"/>
          <w:szCs w:val="22"/>
          <w:u w:val="single" w:color="auto"/>
          <w:color w:val="auto"/>
        </w:rPr>
        <w:t>Dividend Equivalents.</w:t>
      </w:r>
      <w:r>
        <w:rPr>
          <w:rFonts w:ascii="Arial" w:cs="Arial" w:eastAsia="Arial" w:hAnsi="Arial"/>
          <w:sz w:val="22"/>
          <w:szCs w:val="22"/>
          <w:color w:val="auto"/>
        </w:rPr>
        <w:t xml:space="preserve"> The Participant shall receive Dividend Equivalents with respect to the number of Performance Shares subject to the Grant. Dividend Equivalents shall be calculated and credited to the Participant at the end of the Performance Period. The Dividend Equivalents shall be in the form of additional Performance Shares, which shall be added to the number of Performance Shares subject to the Grant, and which shall equal the number of Shares (including fractional Shares) that could be purchased on the dividend payment dates, based on the closing sale price as reported in the consolidated transaction reporting system on that date, with cash dividends that would have been paid on Performance Shares, if such Performance Shares were Shares.</w:t>
      </w:r>
    </w:p>
    <w:p>
      <w:pPr>
        <w:spacing w:after="0" w:line="237" w:lineRule="exact"/>
        <w:rPr>
          <w:rFonts w:ascii="Arial" w:cs="Arial" w:eastAsia="Arial" w:hAnsi="Arial"/>
          <w:sz w:val="22"/>
          <w:szCs w:val="22"/>
          <w:color w:val="auto"/>
        </w:rPr>
      </w:pPr>
    </w:p>
    <w:p>
      <w:pPr>
        <w:ind w:left="1040" w:hanging="384"/>
        <w:spacing w:after="0"/>
        <w:tabs>
          <w:tab w:leader="none" w:pos="1040" w:val="left"/>
        </w:tabs>
        <w:numPr>
          <w:ilvl w:val="0"/>
          <w:numId w:val="72"/>
        </w:numPr>
        <w:rPr>
          <w:rFonts w:ascii="Arial" w:cs="Arial" w:eastAsia="Arial" w:hAnsi="Arial"/>
          <w:sz w:val="21"/>
          <w:szCs w:val="21"/>
          <w:color w:val="auto"/>
        </w:rPr>
      </w:pPr>
      <w:r>
        <w:rPr>
          <w:rFonts w:ascii="Arial" w:cs="Arial" w:eastAsia="Arial" w:hAnsi="Arial"/>
          <w:sz w:val="21"/>
          <w:szCs w:val="21"/>
          <w:u w:val="single" w:color="auto"/>
          <w:color w:val="auto"/>
        </w:rPr>
        <w:t>Satisfaction of Goals.</w:t>
      </w:r>
      <w:r>
        <w:rPr>
          <w:rFonts w:ascii="Arial" w:cs="Arial" w:eastAsia="Arial" w:hAnsi="Arial"/>
          <w:sz w:val="21"/>
          <w:szCs w:val="21"/>
          <w:color w:val="auto"/>
        </w:rPr>
        <w:t xml:space="preserve"> At the end of the Performance Period, the Executive Compensation Committee (the</w:t>
      </w:r>
    </w:p>
    <w:p>
      <w:pPr>
        <w:spacing w:after="0" w:line="33" w:lineRule="exact"/>
        <w:rPr>
          <w:rFonts w:ascii="Arial" w:cs="Arial" w:eastAsia="Arial" w:hAnsi="Arial"/>
          <w:sz w:val="21"/>
          <w:szCs w:val="21"/>
          <w:color w:val="auto"/>
        </w:rPr>
      </w:pPr>
    </w:p>
    <w:p>
      <w:pPr>
        <w:ind w:right="20"/>
        <w:spacing w:after="0" w:line="287" w:lineRule="auto"/>
        <w:rPr>
          <w:rFonts w:ascii="Arial" w:cs="Arial" w:eastAsia="Arial" w:hAnsi="Arial"/>
          <w:sz w:val="21"/>
          <w:szCs w:val="21"/>
          <w:color w:val="auto"/>
        </w:rPr>
      </w:pPr>
      <w:r>
        <w:rPr>
          <w:rFonts w:ascii="Arial" w:cs="Arial" w:eastAsia="Arial" w:hAnsi="Arial"/>
          <w:sz w:val="19"/>
          <w:szCs w:val="19"/>
          <w:color w:val="auto"/>
        </w:rPr>
        <w:t>“Committee”) shall determine the extent to which the Performance Goals have been met. The Participant will not be credited with any Performance Shares if the threshold level has not been met. Subject to the provisions of Section 4 hereof and to provisions in the Plan for change in control, percentages of the Performance Share grant shall be credited to the Participant as follows: If the threshold level has been met, 50% of the Performance Shares (as increased by the Dividend Equivalents) shall be credited to the Participant. If the target level has been met, 100% of the Performance Shares (as increased by the Dividend Equivalents) shall be credited to the Participant. If the superior level has been met, 200% of the Performance Shares (as increased by the Dividend Equivalents) shall be credited to the Participant. Straight line interpolation will be used to determine earned awards based on achievement of goals between the threshold, target and superior levels.</w:t>
      </w:r>
    </w:p>
    <w:p>
      <w:pPr>
        <w:spacing w:after="0" w:line="201" w:lineRule="exact"/>
        <w:rPr>
          <w:rFonts w:ascii="Arial" w:cs="Arial" w:eastAsia="Arial" w:hAnsi="Arial"/>
          <w:sz w:val="21"/>
          <w:szCs w:val="21"/>
          <w:color w:val="auto"/>
        </w:rPr>
      </w:pPr>
    </w:p>
    <w:p>
      <w:pPr>
        <w:ind w:right="80" w:firstLine="656"/>
        <w:spacing w:after="0" w:line="261" w:lineRule="auto"/>
        <w:tabs>
          <w:tab w:leader="none" w:pos="1026" w:val="left"/>
        </w:tabs>
        <w:numPr>
          <w:ilvl w:val="0"/>
          <w:numId w:val="72"/>
        </w:numPr>
        <w:rPr>
          <w:rFonts w:ascii="Arial" w:cs="Arial" w:eastAsia="Arial" w:hAnsi="Arial"/>
          <w:sz w:val="21"/>
          <w:szCs w:val="21"/>
          <w:color w:val="auto"/>
        </w:rPr>
      </w:pPr>
      <w:r>
        <w:rPr>
          <w:rFonts w:ascii="Arial" w:cs="Arial" w:eastAsia="Arial" w:hAnsi="Arial"/>
          <w:sz w:val="21"/>
          <w:szCs w:val="21"/>
          <w:u w:val="single" w:color="auto"/>
          <w:color w:val="auto"/>
        </w:rPr>
        <w:t>Payment.</w:t>
      </w:r>
      <w:r>
        <w:rPr>
          <w:rFonts w:ascii="Arial" w:cs="Arial" w:eastAsia="Arial" w:hAnsi="Arial"/>
          <w:sz w:val="21"/>
          <w:szCs w:val="21"/>
          <w:color w:val="auto"/>
        </w:rPr>
        <w:t xml:space="preserve"> Subject to the provisions of subsection (d) hereof and to provisions in the Plan for change in control, Performance Shares as determined by the Committee according to Section 2 hereof shall be paid out 100% (as increased by the Dividend Equivalents) within two and one half months after the end of the Performance Period and after the Committee has determined the extent to which Performance Goals have been met. Payment shall be made, after withholding Performance Shares equal in value to the Participant's income tax obligation via a deposit of ALLETE common stock into an Invest Direct account. Performance Share awards shall not vest until paid.</w:t>
      </w:r>
    </w:p>
    <w:p>
      <w:pPr>
        <w:spacing w:after="0" w:line="200" w:lineRule="exact"/>
        <w:rPr>
          <w:rFonts w:ascii="Arial" w:cs="Arial" w:eastAsia="Arial" w:hAnsi="Arial"/>
          <w:sz w:val="21"/>
          <w:szCs w:val="21"/>
          <w:color w:val="auto"/>
        </w:rPr>
      </w:pPr>
    </w:p>
    <w:p>
      <w:pPr>
        <w:spacing w:after="0" w:line="277" w:lineRule="exact"/>
        <w:rPr>
          <w:rFonts w:ascii="Arial" w:cs="Arial" w:eastAsia="Arial" w:hAnsi="Arial"/>
          <w:sz w:val="21"/>
          <w:szCs w:val="21"/>
          <w:color w:val="auto"/>
        </w:rPr>
      </w:pPr>
    </w:p>
    <w:p>
      <w:pPr>
        <w:ind w:right="800" w:firstLine="656"/>
        <w:spacing w:after="0" w:line="263" w:lineRule="auto"/>
        <w:tabs>
          <w:tab w:leader="none" w:pos="1026" w:val="left"/>
        </w:tabs>
        <w:numPr>
          <w:ilvl w:val="0"/>
          <w:numId w:val="72"/>
        </w:numPr>
        <w:rPr>
          <w:rFonts w:ascii="Arial" w:cs="Arial" w:eastAsia="Arial" w:hAnsi="Arial"/>
          <w:sz w:val="22"/>
          <w:szCs w:val="22"/>
          <w:color w:val="auto"/>
        </w:rPr>
      </w:pPr>
      <w:r>
        <w:rPr>
          <w:rFonts w:ascii="Arial" w:cs="Arial" w:eastAsia="Arial" w:hAnsi="Arial"/>
          <w:sz w:val="22"/>
          <w:szCs w:val="22"/>
          <w:u w:val="single" w:color="auto"/>
          <w:color w:val="auto"/>
        </w:rPr>
        <w:t>Payment Upon Death, Retirement or Disability; Forfeiture of Unvested Performance Shares Upon Demotion, Unsatisfactory Job Performance or Other Separation from Service.</w:t>
      </w:r>
    </w:p>
    <w:p>
      <w:pPr>
        <w:spacing w:after="0" w:line="215" w:lineRule="exact"/>
        <w:rPr>
          <w:sz w:val="20"/>
          <w:szCs w:val="20"/>
          <w:color w:val="auto"/>
        </w:rPr>
      </w:pPr>
    </w:p>
    <w:p>
      <w:pPr>
        <w:ind w:left="1300"/>
        <w:spacing w:after="0"/>
        <w:tabs>
          <w:tab w:leader="none" w:pos="1780" w:val="left"/>
        </w:tabs>
        <w:rPr>
          <w:sz w:val="20"/>
          <w:szCs w:val="20"/>
          <w:color w:val="auto"/>
        </w:rPr>
      </w:pPr>
      <w:r>
        <w:rPr>
          <w:rFonts w:ascii="Arial" w:cs="Arial" w:eastAsia="Arial" w:hAnsi="Arial"/>
          <w:sz w:val="22"/>
          <w:szCs w:val="22"/>
          <w:color w:val="auto"/>
        </w:rPr>
        <w:t>4.1</w:t>
      </w:r>
      <w:r>
        <w:rPr>
          <w:sz w:val="20"/>
          <w:szCs w:val="20"/>
          <w:color w:val="auto"/>
        </w:rPr>
        <w:tab/>
      </w:r>
      <w:r>
        <w:rPr>
          <w:rFonts w:ascii="Arial" w:cs="Arial" w:eastAsia="Arial" w:hAnsi="Arial"/>
          <w:sz w:val="19"/>
          <w:szCs w:val="19"/>
          <w:color w:val="auto"/>
        </w:rPr>
        <w:t>If during a Performance Period the Participant (i) Retires, (ii) dies while employed by a Related Company, or</w:t>
      </w:r>
    </w:p>
    <w:p>
      <w:pPr>
        <w:spacing w:after="0" w:line="22" w:lineRule="exact"/>
        <w:rPr>
          <w:sz w:val="20"/>
          <w:szCs w:val="20"/>
          <w:color w:val="auto"/>
        </w:rPr>
      </w:pPr>
    </w:p>
    <w:p>
      <w:pPr>
        <w:ind w:left="660" w:hanging="4"/>
        <w:spacing w:after="0" w:line="258" w:lineRule="auto"/>
        <w:tabs>
          <w:tab w:leader="none" w:pos="1038" w:val="left"/>
        </w:tabs>
        <w:numPr>
          <w:ilvl w:val="0"/>
          <w:numId w:val="73"/>
        </w:numPr>
        <w:rPr>
          <w:rFonts w:ascii="Arial" w:cs="Arial" w:eastAsia="Arial" w:hAnsi="Arial"/>
          <w:sz w:val="21"/>
          <w:szCs w:val="21"/>
          <w:color w:val="auto"/>
        </w:rPr>
      </w:pPr>
      <w:r>
        <w:rPr>
          <w:rFonts w:ascii="Arial" w:cs="Arial" w:eastAsia="Arial" w:hAnsi="Arial"/>
          <w:sz w:val="21"/>
          <w:szCs w:val="21"/>
          <w:color w:val="auto"/>
        </w:rPr>
        <w:t>becomes Disabled, the Participant (or the Participant's beneficiary or estate) shall receive a payment of any Performance Shares (as increased by the Dividend Equivalents) after the end of the Performance Period, promptly after the Committee has determined the extent to which Performance Goals have been met. The payment shall be prorated based upon the number of whole calendar months within the Performance Period which had elapsed as of the date of death, Retirement or Disability in relation to the number of calendar</w:t>
      </w:r>
    </w:p>
    <w:p>
      <w:pPr>
        <w:sectPr>
          <w:pgSz w:w="11900" w:h="16838" w:orient="portrait"/>
          <w:cols w:equalWidth="0" w:num="1">
            <w:col w:w="11280"/>
          </w:cols>
          <w:pgMar w:left="240" w:top="567" w:right="379" w:bottom="1440" w:gutter="0" w:footer="0" w:header="0"/>
        </w:sectPr>
      </w:pPr>
    </w:p>
    <w:bookmarkStart w:id="140" w:name="page141"/>
    <w:bookmarkEnd w:id="140"/>
    <w:p>
      <w:pPr>
        <w:ind w:left="4" w:right="100"/>
        <w:spacing w:after="0" w:line="273" w:lineRule="auto"/>
        <w:rPr>
          <w:sz w:val="20"/>
          <w:szCs w:val="20"/>
          <w:color w:val="auto"/>
        </w:rPr>
      </w:pPr>
      <w:r>
        <w:rPr>
          <w:rFonts w:ascii="Arial" w:cs="Arial" w:eastAsia="Arial" w:hAnsi="Arial"/>
          <w:sz w:val="22"/>
          <w:szCs w:val="22"/>
          <w:color w:val="auto"/>
        </w:rPr>
        <w:t>months in the full Performance Period. A whole month is counted in the calculation if the Participant was in the position as of the 15</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of the month.</w:t>
      </w:r>
    </w:p>
    <w:p>
      <w:pPr>
        <w:spacing w:after="0" w:line="116" w:lineRule="exact"/>
        <w:rPr>
          <w:sz w:val="20"/>
          <w:szCs w:val="20"/>
          <w:color w:val="auto"/>
        </w:rPr>
      </w:pPr>
    </w:p>
    <w:p>
      <w:pPr>
        <w:ind w:left="4" w:firstLine="648"/>
        <w:spacing w:after="0" w:line="250" w:lineRule="auto"/>
        <w:rPr>
          <w:sz w:val="20"/>
          <w:szCs w:val="20"/>
          <w:color w:val="auto"/>
        </w:rPr>
      </w:pPr>
      <w:r>
        <w:rPr>
          <w:rFonts w:ascii="Arial" w:cs="Arial" w:eastAsia="Arial" w:hAnsi="Arial"/>
          <w:sz w:val="22"/>
          <w:szCs w:val="22"/>
          <w:color w:val="auto"/>
        </w:rPr>
        <w:t>4.2 If after the end of a Performance Period, but before any or all Performance Shares have been paid, as specified in Section 4.1 above, the Participant Retires, dies or becomes Disabled, the Participant (or the Participant's beneficiary or estate) shall be entitled to a full payout of all Performance Shares (as increased by the Dividend Equivalents), which shall be paid out at the next scheduled performance share payment date.</w:t>
      </w:r>
    </w:p>
    <w:p>
      <w:pPr>
        <w:spacing w:after="0" w:line="229" w:lineRule="exact"/>
        <w:rPr>
          <w:sz w:val="20"/>
          <w:szCs w:val="20"/>
          <w:color w:val="auto"/>
        </w:rPr>
      </w:pPr>
    </w:p>
    <w:p>
      <w:pPr>
        <w:ind w:left="4" w:right="20" w:firstLine="648"/>
        <w:spacing w:after="0" w:line="250" w:lineRule="auto"/>
        <w:rPr>
          <w:sz w:val="20"/>
          <w:szCs w:val="20"/>
          <w:color w:val="auto"/>
        </w:rPr>
      </w:pPr>
      <w:r>
        <w:rPr>
          <w:rFonts w:ascii="Arial" w:cs="Arial" w:eastAsia="Arial" w:hAnsi="Arial"/>
          <w:sz w:val="22"/>
          <w:szCs w:val="22"/>
          <w:color w:val="auto"/>
        </w:rPr>
        <w:t>4.3 If prior to payment of all Performance Shares, the Participant is demoted, or ALLETE or a Business Unit determines, in its sole discretion, that the Participant's job performance is unsatisfactory, ALLETE reserves the right to cancel or amend the Participant's grant relating to any unpaid Performance Shares, with the result that some portion or all of the Participant's unpaid Performance Shares will be forfeited.</w:t>
      </w:r>
    </w:p>
    <w:p>
      <w:pPr>
        <w:spacing w:after="0" w:line="229" w:lineRule="exact"/>
        <w:rPr>
          <w:sz w:val="20"/>
          <w:szCs w:val="20"/>
          <w:color w:val="auto"/>
        </w:rPr>
      </w:pPr>
    </w:p>
    <w:p>
      <w:pPr>
        <w:ind w:left="4" w:right="220" w:firstLine="648"/>
        <w:spacing w:after="0" w:line="271" w:lineRule="auto"/>
        <w:rPr>
          <w:sz w:val="20"/>
          <w:szCs w:val="20"/>
          <w:color w:val="auto"/>
        </w:rPr>
      </w:pPr>
      <w:r>
        <w:rPr>
          <w:rFonts w:ascii="Arial" w:cs="Arial" w:eastAsia="Arial" w:hAnsi="Arial"/>
          <w:sz w:val="21"/>
          <w:szCs w:val="21"/>
          <w:color w:val="auto"/>
        </w:rPr>
        <w:t>4.4 If the Participant has a Separation from Service for any reason other than those specified in subsection 4.1 above, all Performance Shares and related Dividend Equivalents to the extent not yet paid shall be forfeited on the date of such Separation from Service, except as otherwise provided by the Committee.</w:t>
      </w:r>
    </w:p>
    <w:p>
      <w:pPr>
        <w:spacing w:after="0" w:line="208" w:lineRule="exact"/>
        <w:rPr>
          <w:sz w:val="20"/>
          <w:szCs w:val="20"/>
          <w:color w:val="auto"/>
        </w:rPr>
      </w:pPr>
    </w:p>
    <w:p>
      <w:pPr>
        <w:ind w:left="-656" w:right="160" w:firstLine="656"/>
        <w:spacing w:after="0" w:line="253" w:lineRule="auto"/>
        <w:tabs>
          <w:tab w:leader="none" w:pos="370" w:val="left"/>
        </w:tabs>
        <w:numPr>
          <w:ilvl w:val="0"/>
          <w:numId w:val="74"/>
        </w:numPr>
        <w:rPr>
          <w:rFonts w:ascii="Arial" w:cs="Arial" w:eastAsia="Arial" w:hAnsi="Arial"/>
          <w:sz w:val="22"/>
          <w:szCs w:val="22"/>
          <w:color w:val="auto"/>
        </w:rPr>
      </w:pPr>
      <w:r>
        <w:rPr>
          <w:rFonts w:ascii="Arial" w:cs="Arial" w:eastAsia="Arial" w:hAnsi="Arial"/>
          <w:sz w:val="22"/>
          <w:szCs w:val="22"/>
          <w:u w:val="single" w:color="auto"/>
          <w:color w:val="auto"/>
        </w:rPr>
        <w:t>Compensation Recovery Policy</w:t>
      </w:r>
      <w:r>
        <w:rPr>
          <w:rFonts w:ascii="Arial" w:cs="Arial" w:eastAsia="Arial" w:hAnsi="Arial"/>
          <w:sz w:val="22"/>
          <w:szCs w:val="22"/>
          <w:color w:val="auto"/>
        </w:rPr>
        <w:t>. The Grant is subject to the terms of any compensation recovery policy or policies established by ALLETE as may be amended from time to time (“Compensation Recovery Policy”). ALLETE hereby incorporates into the Grant the terms of the Compensation Recovery Policy.</w:t>
      </w:r>
    </w:p>
    <w:p>
      <w:pPr>
        <w:spacing w:after="0" w:line="226" w:lineRule="exact"/>
        <w:rPr>
          <w:rFonts w:ascii="Arial" w:cs="Arial" w:eastAsia="Arial" w:hAnsi="Arial"/>
          <w:sz w:val="22"/>
          <w:szCs w:val="22"/>
          <w:color w:val="auto"/>
        </w:rPr>
      </w:pPr>
    </w:p>
    <w:p>
      <w:pPr>
        <w:ind w:left="-656" w:firstLine="656"/>
        <w:spacing w:after="0" w:line="271" w:lineRule="auto"/>
        <w:tabs>
          <w:tab w:leader="none" w:pos="370" w:val="left"/>
        </w:tabs>
        <w:numPr>
          <w:ilvl w:val="0"/>
          <w:numId w:val="74"/>
        </w:numPr>
        <w:rPr>
          <w:rFonts w:ascii="Arial" w:cs="Arial" w:eastAsia="Arial" w:hAnsi="Arial"/>
          <w:sz w:val="21"/>
          <w:szCs w:val="21"/>
          <w:color w:val="auto"/>
        </w:rPr>
      </w:pPr>
      <w:r>
        <w:rPr>
          <w:rFonts w:ascii="Arial" w:cs="Arial" w:eastAsia="Arial" w:hAnsi="Arial"/>
          <w:sz w:val="21"/>
          <w:szCs w:val="21"/>
          <w:u w:val="single" w:color="auto"/>
          <w:color w:val="auto"/>
        </w:rPr>
        <w:t>Ratification of Actions.</w:t>
      </w:r>
      <w:r>
        <w:rPr>
          <w:rFonts w:ascii="Arial" w:cs="Arial" w:eastAsia="Arial" w:hAnsi="Arial"/>
          <w:sz w:val="21"/>
          <w:szCs w:val="21"/>
          <w:color w:val="auto"/>
        </w:rPr>
        <w:t xml:space="preserve"> By receiving the Grant or other benefit under the Plan, the Participant and each person claiming under or through Participant shall be conclusively deemed to have indicated the Participant's acceptance and ratification of, and consent to, any action taken under the Plan or the Grant by ALLETE, the Board or the Committee.</w:t>
      </w:r>
    </w:p>
    <w:p>
      <w:pPr>
        <w:spacing w:after="0" w:line="208" w:lineRule="exact"/>
        <w:rPr>
          <w:rFonts w:ascii="Arial" w:cs="Arial" w:eastAsia="Arial" w:hAnsi="Arial"/>
          <w:sz w:val="21"/>
          <w:szCs w:val="21"/>
          <w:color w:val="auto"/>
        </w:rPr>
      </w:pPr>
    </w:p>
    <w:p>
      <w:pPr>
        <w:ind w:left="-656" w:right="20" w:firstLine="656"/>
        <w:spacing w:after="0" w:line="250" w:lineRule="auto"/>
        <w:tabs>
          <w:tab w:leader="none" w:pos="370" w:val="left"/>
        </w:tabs>
        <w:numPr>
          <w:ilvl w:val="0"/>
          <w:numId w:val="74"/>
        </w:numPr>
        <w:rPr>
          <w:rFonts w:ascii="Arial" w:cs="Arial" w:eastAsia="Arial" w:hAnsi="Arial"/>
          <w:sz w:val="22"/>
          <w:szCs w:val="22"/>
          <w:color w:val="auto"/>
        </w:rPr>
      </w:pPr>
      <w:r>
        <w:rPr>
          <w:rFonts w:ascii="Arial" w:cs="Arial" w:eastAsia="Arial" w:hAnsi="Arial"/>
          <w:sz w:val="22"/>
          <w:szCs w:val="22"/>
          <w:u w:val="single" w:color="auto"/>
          <w:color w:val="auto"/>
        </w:rPr>
        <w:t>Notices.</w:t>
      </w:r>
      <w:r>
        <w:rPr>
          <w:rFonts w:ascii="Arial" w:cs="Arial" w:eastAsia="Arial" w:hAnsi="Arial"/>
          <w:sz w:val="22"/>
          <w:szCs w:val="22"/>
          <w:color w:val="auto"/>
        </w:rPr>
        <w:t xml:space="preserve"> Any notice hereunder to ALLETE shall be addressed to ALLETE, 30 West Superior Street, Duluth, Minnesota 55802, Attention: Manager - Compensation and Benefits, Human Resources, and any notice hereunder to the Participant shall be directed to the Participant's address as indicated by ALLETE's records, subject to the right of either party to designate at any time hereafter in writing some other address.</w:t>
      </w:r>
    </w:p>
    <w:p>
      <w:pPr>
        <w:spacing w:after="0" w:line="228" w:lineRule="exact"/>
        <w:rPr>
          <w:rFonts w:ascii="Arial" w:cs="Arial" w:eastAsia="Arial" w:hAnsi="Arial"/>
          <w:sz w:val="22"/>
          <w:szCs w:val="22"/>
          <w:color w:val="auto"/>
        </w:rPr>
      </w:pPr>
    </w:p>
    <w:p>
      <w:pPr>
        <w:ind w:left="-656" w:right="160" w:firstLine="656"/>
        <w:spacing w:after="0" w:line="302" w:lineRule="auto"/>
        <w:tabs>
          <w:tab w:leader="none" w:pos="370" w:val="left"/>
        </w:tabs>
        <w:numPr>
          <w:ilvl w:val="0"/>
          <w:numId w:val="74"/>
        </w:numPr>
        <w:rPr>
          <w:rFonts w:ascii="Arial" w:cs="Arial" w:eastAsia="Arial" w:hAnsi="Arial"/>
          <w:sz w:val="19"/>
          <w:szCs w:val="19"/>
          <w:color w:val="auto"/>
        </w:rPr>
      </w:pPr>
      <w:r>
        <w:rPr>
          <w:rFonts w:ascii="Arial" w:cs="Arial" w:eastAsia="Arial" w:hAnsi="Arial"/>
          <w:sz w:val="19"/>
          <w:szCs w:val="19"/>
          <w:u w:val="single" w:color="auto"/>
          <w:color w:val="auto"/>
        </w:rPr>
        <w:t>Governing Law and Severability.</w:t>
      </w:r>
      <w:r>
        <w:rPr>
          <w:rFonts w:ascii="Arial" w:cs="Arial" w:eastAsia="Arial" w:hAnsi="Arial"/>
          <w:sz w:val="19"/>
          <w:szCs w:val="19"/>
          <w:color w:val="auto"/>
        </w:rPr>
        <w:t xml:space="preserve"> To the extent not preempted by the Federal law, the Grant will be governed by and construed in accordance with the laws of the State of Minnesota, without regard to its conflicts of law provisions. In the event any provision of the Grant shall be held illegal or invalid for any reason, the illegality or invalidity shall not affect the remaining parts of the Grant, and the Grant shall be construed and enforced as if the illegal or invalid provision had not been included.</w:t>
      </w:r>
    </w:p>
    <w:p>
      <w:pPr>
        <w:spacing w:after="0" w:line="183" w:lineRule="exact"/>
        <w:rPr>
          <w:rFonts w:ascii="Arial" w:cs="Arial" w:eastAsia="Arial" w:hAnsi="Arial"/>
          <w:sz w:val="19"/>
          <w:szCs w:val="19"/>
          <w:color w:val="auto"/>
        </w:rPr>
      </w:pPr>
    </w:p>
    <w:p>
      <w:pPr>
        <w:ind w:left="-656" w:right="680" w:firstLine="656"/>
        <w:spacing w:after="0" w:line="263" w:lineRule="auto"/>
        <w:tabs>
          <w:tab w:leader="none" w:pos="370" w:val="left"/>
        </w:tabs>
        <w:numPr>
          <w:ilvl w:val="0"/>
          <w:numId w:val="74"/>
        </w:numPr>
        <w:rPr>
          <w:rFonts w:ascii="Arial" w:cs="Arial" w:eastAsia="Arial" w:hAnsi="Arial"/>
          <w:sz w:val="22"/>
          <w:szCs w:val="22"/>
          <w:color w:val="auto"/>
        </w:rPr>
      </w:pPr>
      <w:r>
        <w:rPr>
          <w:rFonts w:ascii="Arial" w:cs="Arial" w:eastAsia="Arial" w:hAnsi="Arial"/>
          <w:sz w:val="22"/>
          <w:szCs w:val="22"/>
          <w:u w:val="single" w:color="auto"/>
          <w:color w:val="auto"/>
        </w:rPr>
        <w:t>Definitions.</w:t>
      </w:r>
      <w:r>
        <w:rPr>
          <w:rFonts w:ascii="Arial" w:cs="Arial" w:eastAsia="Arial" w:hAnsi="Arial"/>
          <w:sz w:val="22"/>
          <w:szCs w:val="22"/>
          <w:color w:val="auto"/>
        </w:rPr>
        <w:t xml:space="preserve"> Capitalized terms not otherwise defined herein shall have the meanings given them in the Plan. The following definitions apply to the Grant and this Annex A:</w:t>
      </w:r>
    </w:p>
    <w:p>
      <w:pPr>
        <w:sectPr>
          <w:pgSz w:w="11900" w:h="16838" w:orient="portrait"/>
          <w:cols w:equalWidth="0" w:num="1">
            <w:col w:w="10744"/>
          </w:cols>
          <w:pgMar w:left="896" w:top="591" w:right="259" w:bottom="1440" w:gutter="0" w:footer="0" w:header="0"/>
        </w:sectPr>
      </w:pPr>
    </w:p>
    <w:bookmarkStart w:id="141" w:name="page142"/>
    <w:bookmarkEnd w:id="141"/>
    <w:p>
      <w:pPr>
        <w:ind w:left="640"/>
        <w:spacing w:after="0"/>
        <w:tabs>
          <w:tab w:leader="none" w:pos="1120" w:val="left"/>
        </w:tabs>
        <w:rPr>
          <w:sz w:val="20"/>
          <w:szCs w:val="20"/>
          <w:color w:val="auto"/>
        </w:rPr>
      </w:pPr>
      <w:r>
        <w:rPr>
          <w:rFonts w:ascii="Arial" w:cs="Arial" w:eastAsia="Arial" w:hAnsi="Arial"/>
          <w:sz w:val="22"/>
          <w:szCs w:val="22"/>
          <w:color w:val="auto"/>
        </w:rPr>
        <w:t>9.1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Code</w:t>
      </w:r>
      <w:r>
        <w:rPr>
          <w:rFonts w:ascii="Arial" w:cs="Arial" w:eastAsia="Arial" w:hAnsi="Arial"/>
          <w:sz w:val="19"/>
          <w:szCs w:val="19"/>
          <w:color w:val="auto"/>
        </w:rPr>
        <w:t>” means the Internal Revenue Code of 1986, as it may be amended from time to time.</w:t>
      </w:r>
    </w:p>
    <w:p>
      <w:pPr>
        <w:spacing w:after="0" w:line="220" w:lineRule="exact"/>
        <w:rPr>
          <w:sz w:val="20"/>
          <w:szCs w:val="20"/>
          <w:color w:val="auto"/>
        </w:rPr>
      </w:pPr>
    </w:p>
    <w:p>
      <w:pPr>
        <w:ind w:left="640"/>
        <w:spacing w:after="0"/>
        <w:tabs>
          <w:tab w:leader="none" w:pos="1120" w:val="left"/>
        </w:tabs>
        <w:rPr>
          <w:sz w:val="20"/>
          <w:szCs w:val="20"/>
          <w:color w:val="auto"/>
        </w:rPr>
      </w:pPr>
      <w:r>
        <w:rPr>
          <w:rFonts w:ascii="Arial" w:cs="Arial" w:eastAsia="Arial" w:hAnsi="Arial"/>
          <w:sz w:val="22"/>
          <w:szCs w:val="22"/>
          <w:color w:val="auto"/>
        </w:rPr>
        <w:t>9.2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Disability</w:t>
      </w:r>
      <w:r>
        <w:rPr>
          <w:rFonts w:ascii="Arial" w:cs="Arial" w:eastAsia="Arial" w:hAnsi="Arial"/>
          <w:sz w:val="19"/>
          <w:szCs w:val="19"/>
          <w:color w:val="auto"/>
        </w:rPr>
        <w:t>” or “</w:t>
      </w:r>
      <w:r>
        <w:rPr>
          <w:rFonts w:ascii="Arial" w:cs="Arial" w:eastAsia="Arial" w:hAnsi="Arial"/>
          <w:sz w:val="19"/>
          <w:szCs w:val="19"/>
          <w:b w:val="1"/>
          <w:bCs w:val="1"/>
          <w:color w:val="auto"/>
        </w:rPr>
        <w:t>Disabled</w:t>
      </w:r>
      <w:r>
        <w:rPr>
          <w:rFonts w:ascii="Arial" w:cs="Arial" w:eastAsia="Arial" w:hAnsi="Arial"/>
          <w:sz w:val="19"/>
          <w:szCs w:val="19"/>
          <w:color w:val="auto"/>
        </w:rPr>
        <w:t>” means a physical or mental condition in which the Participant is:</w:t>
      </w:r>
    </w:p>
    <w:p>
      <w:pPr>
        <w:spacing w:after="0" w:line="226" w:lineRule="exact"/>
        <w:rPr>
          <w:sz w:val="20"/>
          <w:szCs w:val="20"/>
          <w:color w:val="auto"/>
        </w:rPr>
      </w:pPr>
    </w:p>
    <w:p>
      <w:pPr>
        <w:ind w:left="1620" w:right="160" w:hanging="651"/>
        <w:spacing w:after="0" w:line="249" w:lineRule="auto"/>
        <w:tabs>
          <w:tab w:leader="none" w:pos="1620" w:val="left"/>
        </w:tabs>
        <w:numPr>
          <w:ilvl w:val="0"/>
          <w:numId w:val="75"/>
        </w:numPr>
        <w:rPr>
          <w:rFonts w:ascii="Arial" w:cs="Arial" w:eastAsia="Arial" w:hAnsi="Arial"/>
          <w:sz w:val="22"/>
          <w:szCs w:val="22"/>
          <w:color w:val="auto"/>
        </w:rPr>
      </w:pPr>
      <w:r>
        <w:rPr>
          <w:rFonts w:ascii="Arial" w:cs="Arial" w:eastAsia="Arial" w:hAnsi="Arial"/>
          <w:sz w:val="22"/>
          <w:szCs w:val="22"/>
          <w:color w:val="auto"/>
        </w:rPr>
        <w:t>unable to engage in any substantial gainful activity by reason of any medically determinable physical or mental impairment that can be expected to result in death or can be expected to last for a continuous period of not less than twelve (12) months;</w:t>
      </w:r>
    </w:p>
    <w:p>
      <w:pPr>
        <w:jc w:val="both"/>
        <w:ind w:left="1620" w:right="80" w:hanging="651"/>
        <w:spacing w:after="0" w:line="243" w:lineRule="auto"/>
        <w:tabs>
          <w:tab w:leader="none" w:pos="1620" w:val="left"/>
        </w:tabs>
        <w:numPr>
          <w:ilvl w:val="0"/>
          <w:numId w:val="75"/>
        </w:numPr>
        <w:rPr>
          <w:rFonts w:ascii="Arial" w:cs="Arial" w:eastAsia="Arial" w:hAnsi="Arial"/>
          <w:sz w:val="22"/>
          <w:szCs w:val="22"/>
          <w:color w:val="auto"/>
        </w:rPr>
      </w:pPr>
      <w:r>
        <w:rPr>
          <w:rFonts w:ascii="Arial" w:cs="Arial" w:eastAsia="Arial" w:hAnsi="Arial"/>
          <w:sz w:val="22"/>
          <w:szCs w:val="22"/>
          <w:color w:val="auto"/>
        </w:rPr>
        <w:t>by reason of any medically determinable physical or mental impairment which can be expected to result in death or can be expected to last for a continuous period of not less than twelve (12) months, receiving income replacement benefits for a period of not less than three (3) months under the Employer's accident and health plan;</w:t>
      </w:r>
    </w:p>
    <w:p>
      <w:pPr>
        <w:spacing w:after="0" w:line="1" w:lineRule="exact"/>
        <w:rPr>
          <w:rFonts w:ascii="Arial" w:cs="Arial" w:eastAsia="Arial" w:hAnsi="Arial"/>
          <w:sz w:val="22"/>
          <w:szCs w:val="22"/>
          <w:color w:val="auto"/>
        </w:rPr>
      </w:pPr>
    </w:p>
    <w:p>
      <w:pPr>
        <w:ind w:left="1620" w:hanging="651"/>
        <w:spacing w:after="0"/>
        <w:tabs>
          <w:tab w:leader="none" w:pos="1620" w:val="left"/>
        </w:tabs>
        <w:numPr>
          <w:ilvl w:val="0"/>
          <w:numId w:val="75"/>
        </w:numPr>
        <w:rPr>
          <w:rFonts w:ascii="Arial" w:cs="Arial" w:eastAsia="Arial" w:hAnsi="Arial"/>
          <w:sz w:val="22"/>
          <w:szCs w:val="22"/>
          <w:color w:val="auto"/>
        </w:rPr>
      </w:pPr>
      <w:r>
        <w:rPr>
          <w:rFonts w:ascii="Arial" w:cs="Arial" w:eastAsia="Arial" w:hAnsi="Arial"/>
          <w:sz w:val="22"/>
          <w:szCs w:val="22"/>
          <w:color w:val="auto"/>
        </w:rPr>
        <w:t>determined to be totally disabled by the Social Security Administration; or</w:t>
      </w:r>
    </w:p>
    <w:p>
      <w:pPr>
        <w:spacing w:after="0" w:line="242" w:lineRule="exact"/>
        <w:rPr>
          <w:rFonts w:ascii="Arial" w:cs="Arial" w:eastAsia="Arial" w:hAnsi="Arial"/>
          <w:sz w:val="22"/>
          <w:szCs w:val="22"/>
          <w:color w:val="auto"/>
        </w:rPr>
      </w:pPr>
    </w:p>
    <w:p>
      <w:pPr>
        <w:ind w:left="1620" w:hanging="651"/>
        <w:spacing w:after="0" w:line="253" w:lineRule="auto"/>
        <w:tabs>
          <w:tab w:leader="none" w:pos="1620" w:val="left"/>
        </w:tabs>
        <w:numPr>
          <w:ilvl w:val="0"/>
          <w:numId w:val="75"/>
        </w:numPr>
        <w:rPr>
          <w:rFonts w:ascii="Arial" w:cs="Arial" w:eastAsia="Arial" w:hAnsi="Arial"/>
          <w:sz w:val="22"/>
          <w:szCs w:val="22"/>
          <w:color w:val="auto"/>
        </w:rPr>
      </w:pPr>
      <w:r>
        <w:rPr>
          <w:rFonts w:ascii="Arial" w:cs="Arial" w:eastAsia="Arial" w:hAnsi="Arial"/>
          <w:sz w:val="22"/>
          <w:szCs w:val="22"/>
          <w:color w:val="auto"/>
        </w:rPr>
        <w:t>disabled pursuant to an Employer-sponsored disability insurance arrangement provided that the definition of disability applied under such disability insurance program complies with the foregoing definition of Disability.</w:t>
      </w:r>
    </w:p>
    <w:p>
      <w:pPr>
        <w:spacing w:after="0" w:line="220" w:lineRule="exact"/>
        <w:rPr>
          <w:sz w:val="20"/>
          <w:szCs w:val="20"/>
          <w:color w:val="auto"/>
        </w:rPr>
      </w:pPr>
    </w:p>
    <w:p>
      <w:pPr>
        <w:ind w:firstLine="648"/>
        <w:spacing w:after="0" w:line="286" w:lineRule="auto"/>
        <w:rPr>
          <w:sz w:val="20"/>
          <w:szCs w:val="20"/>
          <w:color w:val="auto"/>
        </w:rPr>
      </w:pPr>
      <w:r>
        <w:rPr>
          <w:rFonts w:ascii="Arial" w:cs="Arial" w:eastAsia="Arial" w:hAnsi="Arial"/>
          <w:sz w:val="19"/>
          <w:szCs w:val="19"/>
          <w:color w:val="auto"/>
        </w:rPr>
        <w:t>9.3 “</w:t>
      </w:r>
      <w:r>
        <w:rPr>
          <w:rFonts w:ascii="Arial" w:cs="Arial" w:eastAsia="Arial" w:hAnsi="Arial"/>
          <w:sz w:val="19"/>
          <w:szCs w:val="19"/>
          <w:b w:val="1"/>
          <w:bCs w:val="1"/>
          <w:color w:val="auto"/>
        </w:rPr>
        <w:t>Related Company</w:t>
      </w:r>
      <w:r>
        <w:rPr>
          <w:rFonts w:ascii="Arial" w:cs="Arial" w:eastAsia="Arial" w:hAnsi="Arial"/>
          <w:sz w:val="19"/>
          <w:szCs w:val="19"/>
          <w:color w:val="auto"/>
        </w:rPr>
        <w:t>” means ALLETE, Inc. and all persons with whom the ALLETE, Inc. would be considered a single employer under Code section 414(b) (employees of controlled group of corporations), and all persons with whom such person would be considered a single employer under Code section 414(c) (employees of partnerships, proprietorships, etc., under common control); provided that in applying Code sections 1563(a)(1), (2), and (3) for purposes of determining a controlled group of corporations under Code section 414(b), the language “at least 50 percent” is used instead of “at least 80 percent” each place it appears in Code sections 1563(a)(1), (2), and (3), and in applying Treasury Regulations section</w:t>
      </w:r>
    </w:p>
    <w:p>
      <w:pPr>
        <w:spacing w:after="0" w:line="1" w:lineRule="exact"/>
        <w:rPr>
          <w:sz w:val="20"/>
          <w:szCs w:val="20"/>
          <w:color w:val="auto"/>
        </w:rPr>
      </w:pPr>
    </w:p>
    <w:p>
      <w:pPr>
        <w:jc w:val="both"/>
        <w:ind w:right="300"/>
        <w:spacing w:after="0" w:line="245" w:lineRule="auto"/>
        <w:rPr>
          <w:sz w:val="20"/>
          <w:szCs w:val="20"/>
          <w:color w:val="auto"/>
        </w:rPr>
      </w:pPr>
      <w:r>
        <w:rPr>
          <w:rFonts w:ascii="Arial" w:cs="Arial" w:eastAsia="Arial" w:hAnsi="Arial"/>
          <w:sz w:val="22"/>
          <w:szCs w:val="22"/>
          <w:color w:val="auto"/>
        </w:rPr>
        <w:t>1.414(c)-2 for purposes of determining trades or businesses (whether or not incorporated) that are under common control for purposes of Code section 414(c), “at least 50 percent” is used instead of “at least 80 percent” each place it appears in Treasury Regulations section 1.414(c)-2.</w:t>
      </w:r>
    </w:p>
    <w:p>
      <w:pPr>
        <w:spacing w:after="0" w:line="228" w:lineRule="exact"/>
        <w:rPr>
          <w:sz w:val="20"/>
          <w:szCs w:val="20"/>
          <w:color w:val="auto"/>
        </w:rPr>
      </w:pPr>
    </w:p>
    <w:p>
      <w:pPr>
        <w:ind w:right="20" w:firstLine="648"/>
        <w:spacing w:after="0" w:line="261" w:lineRule="auto"/>
        <w:rPr>
          <w:sz w:val="20"/>
          <w:szCs w:val="20"/>
          <w:color w:val="auto"/>
        </w:rPr>
      </w:pPr>
      <w:r>
        <w:rPr>
          <w:rFonts w:ascii="Arial" w:cs="Arial" w:eastAsia="Arial" w:hAnsi="Arial"/>
          <w:sz w:val="21"/>
          <w:szCs w:val="21"/>
          <w:color w:val="auto"/>
        </w:rPr>
        <w:t>9.4 “</w:t>
      </w:r>
      <w:r>
        <w:rPr>
          <w:rFonts w:ascii="Arial" w:cs="Arial" w:eastAsia="Arial" w:hAnsi="Arial"/>
          <w:sz w:val="21"/>
          <w:szCs w:val="21"/>
          <w:b w:val="1"/>
          <w:bCs w:val="1"/>
          <w:color w:val="auto"/>
        </w:rPr>
        <w:t>Retirement</w:t>
      </w:r>
      <w:r>
        <w:rPr>
          <w:rFonts w:ascii="Arial" w:cs="Arial" w:eastAsia="Arial" w:hAnsi="Arial"/>
          <w:sz w:val="21"/>
          <w:szCs w:val="21"/>
          <w:color w:val="auto"/>
        </w:rPr>
        <w:t>” or “</w:t>
      </w:r>
      <w:r>
        <w:rPr>
          <w:rFonts w:ascii="Arial" w:cs="Arial" w:eastAsia="Arial" w:hAnsi="Arial"/>
          <w:sz w:val="21"/>
          <w:szCs w:val="21"/>
          <w:b w:val="1"/>
          <w:bCs w:val="1"/>
          <w:color w:val="auto"/>
        </w:rPr>
        <w:t>Retires</w:t>
      </w:r>
      <w:r>
        <w:rPr>
          <w:rFonts w:ascii="Arial" w:cs="Arial" w:eastAsia="Arial" w:hAnsi="Arial"/>
          <w:sz w:val="21"/>
          <w:szCs w:val="21"/>
          <w:color w:val="auto"/>
        </w:rPr>
        <w:t>” means Separation from Service, for reasons other than death or Disability, on or after attaining normal retirement age or early retirement age as defined in the most applicable qualified retirement plan sponsored by the Related Company that employed the Participant immediately preceding the Separation from Service, without regard to whether the Participant is a participant in such plan, or if the employer Related Company does not sponsor such retirement plan, on or after attaining Normal Retirement Age or Early Retirement Age as defined in the ALLETE and Affiliated Companies Retirement Plan A, without regard to whether the Participant is a participant under the ALLETE and Affiliated Companies Retirement Plan A.</w:t>
      </w:r>
    </w:p>
    <w:p>
      <w:pPr>
        <w:spacing w:after="0" w:line="215" w:lineRule="exact"/>
        <w:rPr>
          <w:sz w:val="20"/>
          <w:szCs w:val="20"/>
          <w:color w:val="auto"/>
        </w:rPr>
      </w:pPr>
    </w:p>
    <w:p>
      <w:pPr>
        <w:ind w:right="40" w:firstLine="648"/>
        <w:spacing w:after="0" w:line="264" w:lineRule="auto"/>
        <w:rPr>
          <w:sz w:val="20"/>
          <w:szCs w:val="20"/>
          <w:color w:val="auto"/>
        </w:rPr>
      </w:pPr>
      <w:r>
        <w:rPr>
          <w:rFonts w:ascii="Arial" w:cs="Arial" w:eastAsia="Arial" w:hAnsi="Arial"/>
          <w:sz w:val="21"/>
          <w:szCs w:val="21"/>
          <w:color w:val="auto"/>
        </w:rPr>
        <w:t>9.5 “</w:t>
      </w:r>
      <w:r>
        <w:rPr>
          <w:rFonts w:ascii="Arial" w:cs="Arial" w:eastAsia="Arial" w:hAnsi="Arial"/>
          <w:sz w:val="21"/>
          <w:szCs w:val="21"/>
          <w:b w:val="1"/>
          <w:bCs w:val="1"/>
          <w:color w:val="auto"/>
        </w:rPr>
        <w:t>Separation from Service</w:t>
      </w:r>
      <w:r>
        <w:rPr>
          <w:rFonts w:ascii="Arial" w:cs="Arial" w:eastAsia="Arial" w:hAnsi="Arial"/>
          <w:sz w:val="21"/>
          <w:szCs w:val="21"/>
          <w:color w:val="auto"/>
        </w:rPr>
        <w:t>” means that the Participant terminates employment within the meaning of Treasury Regulations section 1.409A-1(h) and other applicable guidance with all Related Companies. Whether a termination of employment has occurred is determined under the facts and circumstances, and a termination of employment shall occur if all Related Companies and the Participant reasonably anticipate that no further services shall be performed after a certain date or that the level of bona fide services the Participant shall perform after such</w:t>
      </w:r>
    </w:p>
    <w:p>
      <w:pPr>
        <w:sectPr>
          <w:pgSz w:w="11900" w:h="16838" w:orient="portrait"/>
          <w:cols w:equalWidth="0" w:num="1">
            <w:col w:w="10760"/>
          </w:cols>
          <w:pgMar w:left="900" w:top="585" w:right="239" w:bottom="1440" w:gutter="0" w:footer="0" w:header="0"/>
        </w:sectPr>
      </w:pPr>
    </w:p>
    <w:bookmarkStart w:id="142" w:name="page143"/>
    <w:bookmarkEnd w:id="142"/>
    <w:p>
      <w:pPr>
        <w:spacing w:after="0" w:line="246" w:lineRule="auto"/>
        <w:rPr>
          <w:sz w:val="20"/>
          <w:szCs w:val="20"/>
          <w:color w:val="auto"/>
        </w:rPr>
      </w:pPr>
      <w:r>
        <w:rPr>
          <w:rFonts w:ascii="Arial" w:cs="Arial" w:eastAsia="Arial" w:hAnsi="Arial"/>
          <w:sz w:val="22"/>
          <w:szCs w:val="22"/>
          <w:color w:val="auto"/>
        </w:rPr>
        <w:t>date (as an employee or an independent contractor) shall permanently decrease to no more than 20 percent of the average level of bona fide services performed (whether as an employee or an independent contractor) over the immediately preceding 36-month period (or the full period of services to the Related Companies if the Participant has been providing services to the Related Companies less than 36 months). A Participant shall not be considered to separate from service during a bona fide leave of absence for less than six (6) months or longer if the Participant retains a right to reemployment with any Related Company by contract or statute. With respect to disability leave, a Participant shall not be considered to separate from service for 29 months unless the Participant otherwise terminates employment or is terminated by all Related Companies.</w:t>
      </w:r>
    </w:p>
    <w:p>
      <w:pPr>
        <w:sectPr>
          <w:pgSz w:w="11900" w:h="16838" w:orient="portrait"/>
          <w:cols w:equalWidth="0" w:num="1">
            <w:col w:w="10660"/>
          </w:cols>
          <w:pgMar w:left="900" w:top="591" w:right="339" w:bottom="1440" w:gutter="0" w:footer="0" w:header="0"/>
        </w:sectPr>
      </w:pPr>
    </w:p>
    <w:bookmarkStart w:id="143" w:name="page144"/>
    <w:bookmarkEnd w:id="143"/>
    <w:p>
      <w:pPr>
        <w:jc w:val="center"/>
        <w:ind w:right="-79"/>
        <w:spacing w:after="0"/>
        <w:rPr>
          <w:sz w:val="20"/>
          <w:szCs w:val="20"/>
          <w:color w:val="auto"/>
        </w:rPr>
      </w:pPr>
      <w:r>
        <w:rPr>
          <w:rFonts w:ascii="Arial" w:cs="Arial" w:eastAsia="Arial" w:hAnsi="Arial"/>
          <w:sz w:val="22"/>
          <w:szCs w:val="22"/>
          <w:b w:val="1"/>
          <w:bCs w:val="1"/>
          <w:color w:val="auto"/>
        </w:rPr>
        <w:t>ANNEX B</w:t>
      </w:r>
    </w:p>
    <w:p>
      <w:pPr>
        <w:spacing w:after="0" w:line="28"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TO</w:t>
      </w:r>
    </w:p>
    <w:p>
      <w:pPr>
        <w:spacing w:after="0" w:line="4"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ALLETE</w:t>
      </w:r>
    </w:p>
    <w:p>
      <w:pPr>
        <w:spacing w:after="0" w:line="4"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Executive Long Term Incentive Compensation Plan</w:t>
      </w:r>
    </w:p>
    <w:p>
      <w:pPr>
        <w:spacing w:after="0" w:line="4"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Performance Share Grant</w:t>
      </w:r>
    </w:p>
    <w:p>
      <w:pPr>
        <w:spacing w:after="0" w:line="4"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Effective 2013</w:t>
      </w:r>
    </w:p>
    <w:p>
      <w:pPr>
        <w:spacing w:after="0" w:line="4"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[Eligible Executive Employees]</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Financial Measure</w:t>
      </w:r>
      <w:r>
        <w:rPr>
          <w:rFonts w:ascii="Arial" w:cs="Arial" w:eastAsia="Arial" w:hAnsi="Arial"/>
          <w:sz w:val="22"/>
          <w:szCs w:val="22"/>
          <w:color w:val="auto"/>
        </w:rPr>
        <w:t>:</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Total Shareholder Return (TSR) computed over the three-year period.</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Performance Share Award:</w:t>
      </w:r>
    </w:p>
    <w:p>
      <w:pPr>
        <w:spacing w:after="0" w:line="22" w:lineRule="exact"/>
        <w:rPr>
          <w:sz w:val="20"/>
          <w:szCs w:val="20"/>
          <w:color w:val="auto"/>
        </w:rPr>
      </w:pPr>
    </w:p>
    <w:p>
      <w:pPr>
        <w:spacing w:after="0" w:line="228" w:lineRule="auto"/>
        <w:rPr>
          <w:sz w:val="20"/>
          <w:szCs w:val="20"/>
          <w:color w:val="auto"/>
        </w:rPr>
      </w:pPr>
      <w:r>
        <w:rPr>
          <w:rFonts w:ascii="Arial" w:cs="Arial" w:eastAsia="Arial" w:hAnsi="Arial"/>
          <w:sz w:val="21"/>
          <w:szCs w:val="21"/>
          <w:color w:val="auto"/>
        </w:rPr>
        <w:t>If ALLETE's TSR ranking is 4th or higher among a peer group of 27 companies (superior performance), 200% of the Performance Share Grant will be earned. If ALLETE's TSR performance ranks 14</w:t>
      </w:r>
      <w:r>
        <w:rPr>
          <w:rFonts w:ascii="Arial" w:cs="Arial" w:eastAsia="Arial" w:hAnsi="Arial"/>
          <w:sz w:val="27"/>
          <w:szCs w:val="27"/>
          <w:color w:val="auto"/>
          <w:vertAlign w:val="superscript"/>
        </w:rPr>
        <w:t>th</w:t>
      </w:r>
      <w:r>
        <w:rPr>
          <w:rFonts w:ascii="Arial" w:cs="Arial" w:eastAsia="Arial" w:hAnsi="Arial"/>
          <w:sz w:val="21"/>
          <w:szCs w:val="21"/>
          <w:color w:val="auto"/>
        </w:rPr>
        <w:t xml:space="preserve"> among the peer group (target performance), 100% of the Grant will be earned. If ALLETE's TSR performance ranks 19</w:t>
      </w:r>
      <w:r>
        <w:rPr>
          <w:rFonts w:ascii="Arial" w:cs="Arial" w:eastAsia="Arial" w:hAnsi="Arial"/>
          <w:sz w:val="27"/>
          <w:szCs w:val="27"/>
          <w:color w:val="auto"/>
          <w:vertAlign w:val="superscript"/>
        </w:rPr>
        <w:t>th</w:t>
      </w:r>
      <w:r>
        <w:rPr>
          <w:rFonts w:ascii="Arial" w:cs="Arial" w:eastAsia="Arial" w:hAnsi="Arial"/>
          <w:sz w:val="21"/>
          <w:szCs w:val="21"/>
          <w:color w:val="auto"/>
        </w:rPr>
        <w:t xml:space="preserve"> (threshold performance), 50% of the Grant will be earned. If TSR performance is below threshold, no Performance Shares will be earned. Straight-line interpolation will be used to determine earned awards based on the TSR ranking between threshold, target and superior.</w:t>
      </w:r>
    </w:p>
    <w:p>
      <w:pPr>
        <w:spacing w:after="0" w:line="218" w:lineRule="exact"/>
        <w:rPr>
          <w:sz w:val="20"/>
          <w:szCs w:val="20"/>
          <w:color w:val="auto"/>
        </w:rPr>
      </w:pPr>
    </w:p>
    <w:tbl>
      <w:tblPr>
        <w:tblLayout w:type="fixed"/>
        <w:tblInd w:w="1930" w:type="dxa"/>
        <w:tblCellMar>
          <w:top w:w="0" w:type="dxa"/>
          <w:left w:w="0" w:type="dxa"/>
          <w:bottom w:w="0" w:type="dxa"/>
          <w:right w:w="0" w:type="dxa"/>
        </w:tblCellMar>
      </w:tblPr>
      <w:tr>
        <w:trPr>
          <w:trHeight w:val="216"/>
        </w:trPr>
        <w:tc>
          <w:tcPr>
            <w:tcW w:w="3060" w:type="dxa"/>
            <w:vAlign w:val="bottom"/>
            <w:tcBorders>
              <w:top w:val="single" w:sz="8" w:color="008000"/>
              <w:left w:val="single" w:sz="8" w:color="008000"/>
              <w:right w:val="single" w:sz="8" w:color="008000"/>
            </w:tcBorders>
            <w:gridSpan w:val="3"/>
          </w:tcPr>
          <w:p>
            <w:pPr>
              <w:ind w:left="1120"/>
              <w:spacing w:after="0"/>
              <w:rPr>
                <w:sz w:val="20"/>
                <w:szCs w:val="20"/>
                <w:color w:val="auto"/>
              </w:rPr>
            </w:pPr>
            <w:r>
              <w:rPr>
                <w:rFonts w:ascii="Arial" w:cs="Arial" w:eastAsia="Arial" w:hAnsi="Arial"/>
                <w:sz w:val="18"/>
                <w:szCs w:val="18"/>
                <w:b w:val="1"/>
                <w:bCs w:val="1"/>
                <w:color w:val="auto"/>
              </w:rPr>
              <w:t>TSR Rank</w:t>
            </w:r>
          </w:p>
        </w:tc>
        <w:tc>
          <w:tcPr>
            <w:tcW w:w="1900" w:type="dxa"/>
            <w:vAlign w:val="bottom"/>
            <w:tcBorders>
              <w:top w:val="single" w:sz="8" w:color="008000"/>
              <w:right w:val="single" w:sz="8" w:color="008000"/>
            </w:tcBorders>
            <w:gridSpan w:val="3"/>
          </w:tcPr>
          <w:p>
            <w:pPr>
              <w:jc w:val="center"/>
              <w:ind w:right="20"/>
              <w:spacing w:after="0"/>
              <w:rPr>
                <w:sz w:val="20"/>
                <w:szCs w:val="20"/>
                <w:color w:val="auto"/>
              </w:rPr>
            </w:pPr>
            <w:r>
              <w:rPr>
                <w:rFonts w:ascii="Arial" w:cs="Arial" w:eastAsia="Arial" w:hAnsi="Arial"/>
                <w:sz w:val="18"/>
                <w:szCs w:val="18"/>
                <w:b w:val="1"/>
                <w:bCs w:val="1"/>
                <w:color w:val="auto"/>
                <w:w w:val="92"/>
              </w:rPr>
              <w:t>Perf. Level</w:t>
            </w:r>
          </w:p>
        </w:tc>
        <w:tc>
          <w:tcPr>
            <w:tcW w:w="2660" w:type="dxa"/>
            <w:vAlign w:val="bottom"/>
            <w:tcBorders>
              <w:top w:val="single" w:sz="8" w:color="008000"/>
              <w:right w:val="single" w:sz="8" w:color="008000"/>
            </w:tcBorders>
            <w:gridSpan w:val="3"/>
          </w:tcPr>
          <w:p>
            <w:pPr>
              <w:ind w:left="920"/>
              <w:spacing w:after="0"/>
              <w:rPr>
                <w:sz w:val="20"/>
                <w:szCs w:val="20"/>
                <w:color w:val="auto"/>
              </w:rPr>
            </w:pPr>
            <w:r>
              <w:rPr>
                <w:rFonts w:ascii="Arial" w:cs="Arial" w:eastAsia="Arial" w:hAnsi="Arial"/>
                <w:sz w:val="18"/>
                <w:szCs w:val="18"/>
                <w:b w:val="1"/>
                <w:bCs w:val="1"/>
                <w:color w:val="auto"/>
              </w:rPr>
              <w:t>Payout %</w:t>
            </w:r>
          </w:p>
        </w:tc>
      </w:tr>
      <w:tr>
        <w:trPr>
          <w:trHeight w:val="48"/>
        </w:trPr>
        <w:tc>
          <w:tcPr>
            <w:tcW w:w="1120" w:type="dxa"/>
            <w:vAlign w:val="bottom"/>
            <w:tcBorders>
              <w:left w:val="single" w:sz="8" w:color="008000"/>
              <w:bottom w:val="single" w:sz="8" w:color="008000"/>
            </w:tcBorders>
          </w:tcPr>
          <w:p>
            <w:pPr>
              <w:spacing w:after="0"/>
              <w:rPr>
                <w:sz w:val="4"/>
                <w:szCs w:val="4"/>
                <w:color w:val="auto"/>
              </w:rPr>
            </w:pPr>
          </w:p>
        </w:tc>
        <w:tc>
          <w:tcPr>
            <w:tcW w:w="820" w:type="dxa"/>
            <w:vAlign w:val="bottom"/>
            <w:tcBorders>
              <w:top w:val="single" w:sz="8" w:color="auto"/>
              <w:bottom w:val="single" w:sz="8" w:color="008000"/>
            </w:tcBorders>
          </w:tcPr>
          <w:p>
            <w:pPr>
              <w:spacing w:after="0"/>
              <w:rPr>
                <w:sz w:val="4"/>
                <w:szCs w:val="4"/>
                <w:color w:val="auto"/>
              </w:rPr>
            </w:pPr>
          </w:p>
        </w:tc>
        <w:tc>
          <w:tcPr>
            <w:tcW w:w="1120" w:type="dxa"/>
            <w:vAlign w:val="bottom"/>
            <w:tcBorders>
              <w:bottom w:val="single" w:sz="8" w:color="008000"/>
              <w:right w:val="single" w:sz="8" w:color="008000"/>
            </w:tcBorders>
          </w:tcPr>
          <w:p>
            <w:pPr>
              <w:spacing w:after="0"/>
              <w:rPr>
                <w:sz w:val="4"/>
                <w:szCs w:val="4"/>
                <w:color w:val="auto"/>
              </w:rPr>
            </w:pPr>
          </w:p>
        </w:tc>
        <w:tc>
          <w:tcPr>
            <w:tcW w:w="520" w:type="dxa"/>
            <w:vAlign w:val="bottom"/>
            <w:tcBorders>
              <w:bottom w:val="single" w:sz="8" w:color="008000"/>
            </w:tcBorders>
          </w:tcPr>
          <w:p>
            <w:pPr>
              <w:spacing w:after="0"/>
              <w:rPr>
                <w:sz w:val="4"/>
                <w:szCs w:val="4"/>
                <w:color w:val="auto"/>
              </w:rPr>
            </w:pPr>
          </w:p>
        </w:tc>
        <w:tc>
          <w:tcPr>
            <w:tcW w:w="840" w:type="dxa"/>
            <w:vAlign w:val="bottom"/>
            <w:tcBorders>
              <w:top w:val="single" w:sz="8" w:color="auto"/>
              <w:bottom w:val="single" w:sz="8" w:color="008000"/>
            </w:tcBorders>
          </w:tcPr>
          <w:p>
            <w:pPr>
              <w:spacing w:after="0"/>
              <w:rPr>
                <w:sz w:val="4"/>
                <w:szCs w:val="4"/>
                <w:color w:val="auto"/>
              </w:rPr>
            </w:pPr>
          </w:p>
        </w:tc>
        <w:tc>
          <w:tcPr>
            <w:tcW w:w="540" w:type="dxa"/>
            <w:vAlign w:val="bottom"/>
            <w:tcBorders>
              <w:bottom w:val="single" w:sz="8" w:color="008000"/>
              <w:right w:val="single" w:sz="8" w:color="008000"/>
            </w:tcBorders>
          </w:tcPr>
          <w:p>
            <w:pPr>
              <w:spacing w:after="0"/>
              <w:rPr>
                <w:sz w:val="4"/>
                <w:szCs w:val="4"/>
                <w:color w:val="auto"/>
              </w:rPr>
            </w:pPr>
          </w:p>
        </w:tc>
        <w:tc>
          <w:tcPr>
            <w:tcW w:w="920" w:type="dxa"/>
            <w:vAlign w:val="bottom"/>
            <w:tcBorders>
              <w:bottom w:val="single" w:sz="8" w:color="008000"/>
            </w:tcBorders>
          </w:tcPr>
          <w:p>
            <w:pPr>
              <w:spacing w:after="0"/>
              <w:rPr>
                <w:sz w:val="4"/>
                <w:szCs w:val="4"/>
                <w:color w:val="auto"/>
              </w:rPr>
            </w:pPr>
          </w:p>
        </w:tc>
        <w:tc>
          <w:tcPr>
            <w:tcW w:w="780" w:type="dxa"/>
            <w:vAlign w:val="bottom"/>
            <w:tcBorders>
              <w:top w:val="single" w:sz="8" w:color="auto"/>
              <w:bottom w:val="single" w:sz="8" w:color="008000"/>
            </w:tcBorders>
          </w:tcPr>
          <w:p>
            <w:pPr>
              <w:spacing w:after="0"/>
              <w:rPr>
                <w:sz w:val="4"/>
                <w:szCs w:val="4"/>
                <w:color w:val="auto"/>
              </w:rPr>
            </w:pPr>
          </w:p>
        </w:tc>
        <w:tc>
          <w:tcPr>
            <w:tcW w:w="960" w:type="dxa"/>
            <w:vAlign w:val="bottom"/>
            <w:tcBorders>
              <w:bottom w:val="single" w:sz="8" w:color="008000"/>
              <w:right w:val="single" w:sz="8" w:color="008000"/>
            </w:tcBorders>
          </w:tcPr>
          <w:p>
            <w:pPr>
              <w:spacing w:after="0"/>
              <w:rPr>
                <w:sz w:val="4"/>
                <w:szCs w:val="4"/>
                <w:color w:val="auto"/>
              </w:rPr>
            </w:pPr>
          </w:p>
        </w:tc>
      </w:tr>
      <w:tr>
        <w:trPr>
          <w:trHeight w:val="237"/>
        </w:trPr>
        <w:tc>
          <w:tcPr>
            <w:tcW w:w="1940" w:type="dxa"/>
            <w:vAlign w:val="bottom"/>
            <w:tcBorders>
              <w:left w:val="single" w:sz="8" w:color="008000"/>
            </w:tcBorders>
            <w:gridSpan w:val="2"/>
          </w:tcPr>
          <w:p>
            <w:pPr>
              <w:jc w:val="center"/>
              <w:ind w:left="1030"/>
              <w:spacing w:after="0"/>
              <w:rPr>
                <w:sz w:val="20"/>
                <w:szCs w:val="20"/>
                <w:color w:val="auto"/>
              </w:rPr>
            </w:pPr>
            <w:r>
              <w:rPr>
                <w:rFonts w:ascii="Arial" w:cs="Arial" w:eastAsia="Arial" w:hAnsi="Arial"/>
                <w:sz w:val="18"/>
                <w:szCs w:val="18"/>
                <w:color w:val="auto"/>
                <w:w w:val="99"/>
              </w:rPr>
              <w:t>1</w:t>
            </w:r>
          </w:p>
        </w:tc>
        <w:tc>
          <w:tcPr>
            <w:tcW w:w="1120" w:type="dxa"/>
            <w:vAlign w:val="bottom"/>
            <w:tcBorders>
              <w:right w:val="single" w:sz="8" w:color="008000"/>
            </w:tcBorders>
          </w:tcPr>
          <w:p>
            <w:pPr>
              <w:spacing w:after="0"/>
              <w:rPr>
                <w:sz w:val="20"/>
                <w:szCs w:val="20"/>
                <w:color w:val="auto"/>
              </w:rPr>
            </w:pPr>
          </w:p>
        </w:tc>
        <w:tc>
          <w:tcPr>
            <w:tcW w:w="5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40" w:type="dxa"/>
            <w:vAlign w:val="bottom"/>
            <w:tcBorders>
              <w:right w:val="single" w:sz="8" w:color="008000"/>
            </w:tcBorders>
          </w:tcPr>
          <w:p>
            <w:pPr>
              <w:spacing w:after="0"/>
              <w:rPr>
                <w:sz w:val="20"/>
                <w:szCs w:val="20"/>
                <w:color w:val="auto"/>
              </w:rPr>
            </w:pPr>
          </w:p>
        </w:tc>
        <w:tc>
          <w:tcPr>
            <w:tcW w:w="1700" w:type="dxa"/>
            <w:vAlign w:val="bottom"/>
            <w:gridSpan w:val="2"/>
          </w:tcPr>
          <w:p>
            <w:pPr>
              <w:jc w:val="center"/>
              <w:ind w:left="830"/>
              <w:spacing w:after="0"/>
              <w:rPr>
                <w:sz w:val="20"/>
                <w:szCs w:val="20"/>
                <w:color w:val="auto"/>
              </w:rPr>
            </w:pPr>
            <w:r>
              <w:rPr>
                <w:rFonts w:ascii="Arial" w:cs="Arial" w:eastAsia="Arial" w:hAnsi="Arial"/>
                <w:sz w:val="18"/>
                <w:szCs w:val="18"/>
                <w:color w:val="auto"/>
                <w:w w:val="91"/>
              </w:rPr>
              <w:t>200%</w:t>
            </w:r>
          </w:p>
        </w:tc>
        <w:tc>
          <w:tcPr>
            <w:tcW w:w="960" w:type="dxa"/>
            <w:vAlign w:val="bottom"/>
            <w:tcBorders>
              <w:right w:val="single" w:sz="8" w:color="008000"/>
            </w:tcBorders>
          </w:tcPr>
          <w:p>
            <w:pPr>
              <w:spacing w:after="0"/>
              <w:rPr>
                <w:sz w:val="20"/>
                <w:szCs w:val="20"/>
                <w:color w:val="auto"/>
              </w:rPr>
            </w:pPr>
          </w:p>
        </w:tc>
      </w:tr>
      <w:tr>
        <w:trPr>
          <w:trHeight w:val="27"/>
        </w:trPr>
        <w:tc>
          <w:tcPr>
            <w:tcW w:w="1120" w:type="dxa"/>
            <w:vAlign w:val="bottom"/>
            <w:tcBorders>
              <w:left w:val="single" w:sz="8" w:color="008000"/>
              <w:bottom w:val="single" w:sz="8" w:color="008000"/>
            </w:tcBorders>
          </w:tcPr>
          <w:p>
            <w:pPr>
              <w:spacing w:after="0"/>
              <w:rPr>
                <w:sz w:val="2"/>
                <w:szCs w:val="2"/>
                <w:color w:val="auto"/>
              </w:rPr>
            </w:pPr>
          </w:p>
        </w:tc>
        <w:tc>
          <w:tcPr>
            <w:tcW w:w="820" w:type="dxa"/>
            <w:vAlign w:val="bottom"/>
            <w:tcBorders>
              <w:bottom w:val="single" w:sz="8" w:color="008000"/>
            </w:tcBorders>
          </w:tcPr>
          <w:p>
            <w:pPr>
              <w:spacing w:after="0"/>
              <w:rPr>
                <w:sz w:val="2"/>
                <w:szCs w:val="2"/>
                <w:color w:val="auto"/>
              </w:rPr>
            </w:pPr>
          </w:p>
        </w:tc>
        <w:tc>
          <w:tcPr>
            <w:tcW w:w="1120" w:type="dxa"/>
            <w:vAlign w:val="bottom"/>
            <w:tcBorders>
              <w:bottom w:val="single" w:sz="8" w:color="008000"/>
              <w:right w:val="single" w:sz="8" w:color="008000"/>
            </w:tcBorders>
          </w:tcPr>
          <w:p>
            <w:pPr>
              <w:spacing w:after="0"/>
              <w:rPr>
                <w:sz w:val="2"/>
                <w:szCs w:val="2"/>
                <w:color w:val="auto"/>
              </w:rPr>
            </w:pPr>
          </w:p>
        </w:tc>
        <w:tc>
          <w:tcPr>
            <w:tcW w:w="520" w:type="dxa"/>
            <w:vAlign w:val="bottom"/>
            <w:tcBorders>
              <w:bottom w:val="single" w:sz="8" w:color="008000"/>
            </w:tcBorders>
          </w:tcPr>
          <w:p>
            <w:pPr>
              <w:spacing w:after="0"/>
              <w:rPr>
                <w:sz w:val="2"/>
                <w:szCs w:val="2"/>
                <w:color w:val="auto"/>
              </w:rPr>
            </w:pPr>
          </w:p>
        </w:tc>
        <w:tc>
          <w:tcPr>
            <w:tcW w:w="840" w:type="dxa"/>
            <w:vAlign w:val="bottom"/>
            <w:tcBorders>
              <w:bottom w:val="single" w:sz="8" w:color="008000"/>
            </w:tcBorders>
          </w:tcPr>
          <w:p>
            <w:pPr>
              <w:spacing w:after="0"/>
              <w:rPr>
                <w:sz w:val="2"/>
                <w:szCs w:val="2"/>
                <w:color w:val="auto"/>
              </w:rPr>
            </w:pPr>
          </w:p>
        </w:tc>
        <w:tc>
          <w:tcPr>
            <w:tcW w:w="540" w:type="dxa"/>
            <w:vAlign w:val="bottom"/>
            <w:tcBorders>
              <w:bottom w:val="single" w:sz="8" w:color="008000"/>
              <w:right w:val="single" w:sz="8" w:color="008000"/>
            </w:tcBorders>
          </w:tcPr>
          <w:p>
            <w:pPr>
              <w:spacing w:after="0"/>
              <w:rPr>
                <w:sz w:val="2"/>
                <w:szCs w:val="2"/>
                <w:color w:val="auto"/>
              </w:rPr>
            </w:pPr>
          </w:p>
        </w:tc>
        <w:tc>
          <w:tcPr>
            <w:tcW w:w="920" w:type="dxa"/>
            <w:vAlign w:val="bottom"/>
            <w:tcBorders>
              <w:bottom w:val="single" w:sz="8" w:color="008000"/>
            </w:tcBorders>
          </w:tcPr>
          <w:p>
            <w:pPr>
              <w:spacing w:after="0"/>
              <w:rPr>
                <w:sz w:val="2"/>
                <w:szCs w:val="2"/>
                <w:color w:val="auto"/>
              </w:rPr>
            </w:pPr>
          </w:p>
        </w:tc>
        <w:tc>
          <w:tcPr>
            <w:tcW w:w="780" w:type="dxa"/>
            <w:vAlign w:val="bottom"/>
            <w:tcBorders>
              <w:bottom w:val="single" w:sz="8" w:color="008000"/>
            </w:tcBorders>
          </w:tcPr>
          <w:p>
            <w:pPr>
              <w:spacing w:after="0"/>
              <w:rPr>
                <w:sz w:val="2"/>
                <w:szCs w:val="2"/>
                <w:color w:val="auto"/>
              </w:rPr>
            </w:pPr>
          </w:p>
        </w:tc>
        <w:tc>
          <w:tcPr>
            <w:tcW w:w="960" w:type="dxa"/>
            <w:vAlign w:val="bottom"/>
            <w:tcBorders>
              <w:bottom w:val="single" w:sz="8" w:color="008000"/>
              <w:right w:val="single" w:sz="8" w:color="008000"/>
            </w:tcBorders>
          </w:tcPr>
          <w:p>
            <w:pPr>
              <w:spacing w:after="0"/>
              <w:rPr>
                <w:sz w:val="2"/>
                <w:szCs w:val="2"/>
                <w:color w:val="auto"/>
              </w:rPr>
            </w:pPr>
          </w:p>
        </w:tc>
      </w:tr>
      <w:tr>
        <w:trPr>
          <w:trHeight w:val="237"/>
        </w:trPr>
        <w:tc>
          <w:tcPr>
            <w:tcW w:w="1940" w:type="dxa"/>
            <w:vAlign w:val="bottom"/>
            <w:tcBorders>
              <w:left w:val="single" w:sz="8" w:color="008000"/>
            </w:tcBorders>
            <w:gridSpan w:val="2"/>
          </w:tcPr>
          <w:p>
            <w:pPr>
              <w:jc w:val="center"/>
              <w:ind w:left="1030"/>
              <w:spacing w:after="0"/>
              <w:rPr>
                <w:sz w:val="20"/>
                <w:szCs w:val="20"/>
                <w:color w:val="auto"/>
              </w:rPr>
            </w:pPr>
            <w:r>
              <w:rPr>
                <w:rFonts w:ascii="Arial" w:cs="Arial" w:eastAsia="Arial" w:hAnsi="Arial"/>
                <w:sz w:val="18"/>
                <w:szCs w:val="18"/>
                <w:color w:val="auto"/>
                <w:w w:val="99"/>
              </w:rPr>
              <w:t>2</w:t>
            </w:r>
          </w:p>
        </w:tc>
        <w:tc>
          <w:tcPr>
            <w:tcW w:w="1120" w:type="dxa"/>
            <w:vAlign w:val="bottom"/>
            <w:tcBorders>
              <w:right w:val="single" w:sz="8" w:color="008000"/>
            </w:tcBorders>
          </w:tcPr>
          <w:p>
            <w:pPr>
              <w:spacing w:after="0"/>
              <w:rPr>
                <w:sz w:val="20"/>
                <w:szCs w:val="20"/>
                <w:color w:val="auto"/>
              </w:rPr>
            </w:pPr>
          </w:p>
        </w:tc>
        <w:tc>
          <w:tcPr>
            <w:tcW w:w="5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40" w:type="dxa"/>
            <w:vAlign w:val="bottom"/>
            <w:tcBorders>
              <w:right w:val="single" w:sz="8" w:color="008000"/>
            </w:tcBorders>
          </w:tcPr>
          <w:p>
            <w:pPr>
              <w:spacing w:after="0"/>
              <w:rPr>
                <w:sz w:val="20"/>
                <w:szCs w:val="20"/>
                <w:color w:val="auto"/>
              </w:rPr>
            </w:pPr>
          </w:p>
        </w:tc>
        <w:tc>
          <w:tcPr>
            <w:tcW w:w="1700" w:type="dxa"/>
            <w:vAlign w:val="bottom"/>
            <w:gridSpan w:val="2"/>
          </w:tcPr>
          <w:p>
            <w:pPr>
              <w:jc w:val="center"/>
              <w:ind w:left="830"/>
              <w:spacing w:after="0"/>
              <w:rPr>
                <w:sz w:val="20"/>
                <w:szCs w:val="20"/>
                <w:color w:val="auto"/>
              </w:rPr>
            </w:pPr>
            <w:r>
              <w:rPr>
                <w:rFonts w:ascii="Arial" w:cs="Arial" w:eastAsia="Arial" w:hAnsi="Arial"/>
                <w:sz w:val="18"/>
                <w:szCs w:val="18"/>
                <w:color w:val="auto"/>
                <w:w w:val="91"/>
              </w:rPr>
              <w:t>200%</w:t>
            </w:r>
          </w:p>
        </w:tc>
        <w:tc>
          <w:tcPr>
            <w:tcW w:w="960" w:type="dxa"/>
            <w:vAlign w:val="bottom"/>
            <w:tcBorders>
              <w:right w:val="single" w:sz="8" w:color="008000"/>
            </w:tcBorders>
          </w:tcPr>
          <w:p>
            <w:pPr>
              <w:spacing w:after="0"/>
              <w:rPr>
                <w:sz w:val="20"/>
                <w:szCs w:val="20"/>
                <w:color w:val="auto"/>
              </w:rPr>
            </w:pPr>
          </w:p>
        </w:tc>
      </w:tr>
      <w:tr>
        <w:trPr>
          <w:trHeight w:val="27"/>
        </w:trPr>
        <w:tc>
          <w:tcPr>
            <w:tcW w:w="1120" w:type="dxa"/>
            <w:vAlign w:val="bottom"/>
            <w:tcBorders>
              <w:left w:val="single" w:sz="8" w:color="008000"/>
              <w:bottom w:val="single" w:sz="8" w:color="008000"/>
            </w:tcBorders>
          </w:tcPr>
          <w:p>
            <w:pPr>
              <w:spacing w:after="0"/>
              <w:rPr>
                <w:sz w:val="2"/>
                <w:szCs w:val="2"/>
                <w:color w:val="auto"/>
              </w:rPr>
            </w:pPr>
          </w:p>
        </w:tc>
        <w:tc>
          <w:tcPr>
            <w:tcW w:w="820" w:type="dxa"/>
            <w:vAlign w:val="bottom"/>
            <w:tcBorders>
              <w:bottom w:val="single" w:sz="8" w:color="008000"/>
            </w:tcBorders>
          </w:tcPr>
          <w:p>
            <w:pPr>
              <w:spacing w:after="0"/>
              <w:rPr>
                <w:sz w:val="2"/>
                <w:szCs w:val="2"/>
                <w:color w:val="auto"/>
              </w:rPr>
            </w:pPr>
          </w:p>
        </w:tc>
        <w:tc>
          <w:tcPr>
            <w:tcW w:w="1120" w:type="dxa"/>
            <w:vAlign w:val="bottom"/>
            <w:tcBorders>
              <w:bottom w:val="single" w:sz="8" w:color="008000"/>
              <w:right w:val="single" w:sz="8" w:color="008000"/>
            </w:tcBorders>
          </w:tcPr>
          <w:p>
            <w:pPr>
              <w:spacing w:after="0"/>
              <w:rPr>
                <w:sz w:val="2"/>
                <w:szCs w:val="2"/>
                <w:color w:val="auto"/>
              </w:rPr>
            </w:pPr>
          </w:p>
        </w:tc>
        <w:tc>
          <w:tcPr>
            <w:tcW w:w="520" w:type="dxa"/>
            <w:vAlign w:val="bottom"/>
            <w:tcBorders>
              <w:bottom w:val="single" w:sz="8" w:color="008000"/>
            </w:tcBorders>
          </w:tcPr>
          <w:p>
            <w:pPr>
              <w:spacing w:after="0"/>
              <w:rPr>
                <w:sz w:val="2"/>
                <w:szCs w:val="2"/>
                <w:color w:val="auto"/>
              </w:rPr>
            </w:pPr>
          </w:p>
        </w:tc>
        <w:tc>
          <w:tcPr>
            <w:tcW w:w="840" w:type="dxa"/>
            <w:vAlign w:val="bottom"/>
            <w:tcBorders>
              <w:bottom w:val="single" w:sz="8" w:color="008000"/>
            </w:tcBorders>
          </w:tcPr>
          <w:p>
            <w:pPr>
              <w:spacing w:after="0"/>
              <w:rPr>
                <w:sz w:val="2"/>
                <w:szCs w:val="2"/>
                <w:color w:val="auto"/>
              </w:rPr>
            </w:pPr>
          </w:p>
        </w:tc>
        <w:tc>
          <w:tcPr>
            <w:tcW w:w="540" w:type="dxa"/>
            <w:vAlign w:val="bottom"/>
            <w:tcBorders>
              <w:bottom w:val="single" w:sz="8" w:color="008000"/>
              <w:right w:val="single" w:sz="8" w:color="008000"/>
            </w:tcBorders>
          </w:tcPr>
          <w:p>
            <w:pPr>
              <w:spacing w:after="0"/>
              <w:rPr>
                <w:sz w:val="2"/>
                <w:szCs w:val="2"/>
                <w:color w:val="auto"/>
              </w:rPr>
            </w:pPr>
          </w:p>
        </w:tc>
        <w:tc>
          <w:tcPr>
            <w:tcW w:w="920" w:type="dxa"/>
            <w:vAlign w:val="bottom"/>
            <w:tcBorders>
              <w:bottom w:val="single" w:sz="8" w:color="008000"/>
            </w:tcBorders>
          </w:tcPr>
          <w:p>
            <w:pPr>
              <w:spacing w:after="0"/>
              <w:rPr>
                <w:sz w:val="2"/>
                <w:szCs w:val="2"/>
                <w:color w:val="auto"/>
              </w:rPr>
            </w:pPr>
          </w:p>
        </w:tc>
        <w:tc>
          <w:tcPr>
            <w:tcW w:w="780" w:type="dxa"/>
            <w:vAlign w:val="bottom"/>
            <w:tcBorders>
              <w:bottom w:val="single" w:sz="8" w:color="008000"/>
            </w:tcBorders>
          </w:tcPr>
          <w:p>
            <w:pPr>
              <w:spacing w:after="0"/>
              <w:rPr>
                <w:sz w:val="2"/>
                <w:szCs w:val="2"/>
                <w:color w:val="auto"/>
              </w:rPr>
            </w:pPr>
          </w:p>
        </w:tc>
        <w:tc>
          <w:tcPr>
            <w:tcW w:w="960" w:type="dxa"/>
            <w:vAlign w:val="bottom"/>
            <w:tcBorders>
              <w:bottom w:val="single" w:sz="8" w:color="008000"/>
              <w:right w:val="single" w:sz="8" w:color="008000"/>
            </w:tcBorders>
          </w:tcPr>
          <w:p>
            <w:pPr>
              <w:spacing w:after="0"/>
              <w:rPr>
                <w:sz w:val="2"/>
                <w:szCs w:val="2"/>
                <w:color w:val="auto"/>
              </w:rPr>
            </w:pPr>
          </w:p>
        </w:tc>
      </w:tr>
      <w:tr>
        <w:trPr>
          <w:trHeight w:val="237"/>
        </w:trPr>
        <w:tc>
          <w:tcPr>
            <w:tcW w:w="1940" w:type="dxa"/>
            <w:vAlign w:val="bottom"/>
            <w:tcBorders>
              <w:left w:val="single" w:sz="8" w:color="008000"/>
            </w:tcBorders>
            <w:gridSpan w:val="2"/>
          </w:tcPr>
          <w:p>
            <w:pPr>
              <w:jc w:val="center"/>
              <w:ind w:left="1030"/>
              <w:spacing w:after="0"/>
              <w:rPr>
                <w:sz w:val="20"/>
                <w:szCs w:val="20"/>
                <w:color w:val="auto"/>
              </w:rPr>
            </w:pPr>
            <w:r>
              <w:rPr>
                <w:rFonts w:ascii="Arial" w:cs="Arial" w:eastAsia="Arial" w:hAnsi="Arial"/>
                <w:sz w:val="18"/>
                <w:szCs w:val="18"/>
                <w:color w:val="auto"/>
                <w:w w:val="99"/>
              </w:rPr>
              <w:t>3</w:t>
            </w:r>
          </w:p>
        </w:tc>
        <w:tc>
          <w:tcPr>
            <w:tcW w:w="1120" w:type="dxa"/>
            <w:vAlign w:val="bottom"/>
            <w:tcBorders>
              <w:right w:val="single" w:sz="8" w:color="008000"/>
            </w:tcBorders>
          </w:tcPr>
          <w:p>
            <w:pPr>
              <w:spacing w:after="0"/>
              <w:rPr>
                <w:sz w:val="20"/>
                <w:szCs w:val="20"/>
                <w:color w:val="auto"/>
              </w:rPr>
            </w:pPr>
          </w:p>
        </w:tc>
        <w:tc>
          <w:tcPr>
            <w:tcW w:w="5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40" w:type="dxa"/>
            <w:vAlign w:val="bottom"/>
            <w:tcBorders>
              <w:right w:val="single" w:sz="8" w:color="008000"/>
            </w:tcBorders>
          </w:tcPr>
          <w:p>
            <w:pPr>
              <w:spacing w:after="0"/>
              <w:rPr>
                <w:sz w:val="20"/>
                <w:szCs w:val="20"/>
                <w:color w:val="auto"/>
              </w:rPr>
            </w:pPr>
          </w:p>
        </w:tc>
        <w:tc>
          <w:tcPr>
            <w:tcW w:w="1700" w:type="dxa"/>
            <w:vAlign w:val="bottom"/>
            <w:gridSpan w:val="2"/>
          </w:tcPr>
          <w:p>
            <w:pPr>
              <w:jc w:val="center"/>
              <w:ind w:left="830"/>
              <w:spacing w:after="0"/>
              <w:rPr>
                <w:sz w:val="20"/>
                <w:szCs w:val="20"/>
                <w:color w:val="auto"/>
              </w:rPr>
            </w:pPr>
            <w:r>
              <w:rPr>
                <w:rFonts w:ascii="Arial" w:cs="Arial" w:eastAsia="Arial" w:hAnsi="Arial"/>
                <w:sz w:val="18"/>
                <w:szCs w:val="18"/>
                <w:color w:val="auto"/>
                <w:w w:val="91"/>
              </w:rPr>
              <w:t>200%</w:t>
            </w:r>
          </w:p>
        </w:tc>
        <w:tc>
          <w:tcPr>
            <w:tcW w:w="960" w:type="dxa"/>
            <w:vAlign w:val="bottom"/>
            <w:tcBorders>
              <w:right w:val="single" w:sz="8" w:color="008000"/>
            </w:tcBorders>
          </w:tcPr>
          <w:p>
            <w:pPr>
              <w:spacing w:after="0"/>
              <w:rPr>
                <w:sz w:val="20"/>
                <w:szCs w:val="20"/>
                <w:color w:val="auto"/>
              </w:rPr>
            </w:pPr>
          </w:p>
        </w:tc>
      </w:tr>
      <w:tr>
        <w:trPr>
          <w:trHeight w:val="27"/>
        </w:trPr>
        <w:tc>
          <w:tcPr>
            <w:tcW w:w="1120" w:type="dxa"/>
            <w:vAlign w:val="bottom"/>
            <w:tcBorders>
              <w:left w:val="single" w:sz="8" w:color="008000"/>
              <w:bottom w:val="single" w:sz="8" w:color="008000"/>
            </w:tcBorders>
          </w:tcPr>
          <w:p>
            <w:pPr>
              <w:spacing w:after="0"/>
              <w:rPr>
                <w:sz w:val="2"/>
                <w:szCs w:val="2"/>
                <w:color w:val="auto"/>
              </w:rPr>
            </w:pPr>
          </w:p>
        </w:tc>
        <w:tc>
          <w:tcPr>
            <w:tcW w:w="820" w:type="dxa"/>
            <w:vAlign w:val="bottom"/>
            <w:tcBorders>
              <w:bottom w:val="single" w:sz="8" w:color="008000"/>
            </w:tcBorders>
          </w:tcPr>
          <w:p>
            <w:pPr>
              <w:spacing w:after="0"/>
              <w:rPr>
                <w:sz w:val="2"/>
                <w:szCs w:val="2"/>
                <w:color w:val="auto"/>
              </w:rPr>
            </w:pPr>
          </w:p>
        </w:tc>
        <w:tc>
          <w:tcPr>
            <w:tcW w:w="1120" w:type="dxa"/>
            <w:vAlign w:val="bottom"/>
            <w:tcBorders>
              <w:bottom w:val="single" w:sz="8" w:color="008000"/>
              <w:right w:val="single" w:sz="8" w:color="008000"/>
            </w:tcBorders>
          </w:tcPr>
          <w:p>
            <w:pPr>
              <w:spacing w:after="0"/>
              <w:rPr>
                <w:sz w:val="2"/>
                <w:szCs w:val="2"/>
                <w:color w:val="auto"/>
              </w:rPr>
            </w:pPr>
          </w:p>
        </w:tc>
        <w:tc>
          <w:tcPr>
            <w:tcW w:w="520" w:type="dxa"/>
            <w:vAlign w:val="bottom"/>
            <w:tcBorders>
              <w:bottom w:val="single" w:sz="8" w:color="008000"/>
            </w:tcBorders>
          </w:tcPr>
          <w:p>
            <w:pPr>
              <w:spacing w:after="0"/>
              <w:rPr>
                <w:sz w:val="2"/>
                <w:szCs w:val="2"/>
                <w:color w:val="auto"/>
              </w:rPr>
            </w:pPr>
          </w:p>
        </w:tc>
        <w:tc>
          <w:tcPr>
            <w:tcW w:w="840" w:type="dxa"/>
            <w:vAlign w:val="bottom"/>
            <w:tcBorders>
              <w:bottom w:val="single" w:sz="8" w:color="008000"/>
            </w:tcBorders>
          </w:tcPr>
          <w:p>
            <w:pPr>
              <w:spacing w:after="0"/>
              <w:rPr>
                <w:sz w:val="2"/>
                <w:szCs w:val="2"/>
                <w:color w:val="auto"/>
              </w:rPr>
            </w:pPr>
          </w:p>
        </w:tc>
        <w:tc>
          <w:tcPr>
            <w:tcW w:w="540" w:type="dxa"/>
            <w:vAlign w:val="bottom"/>
            <w:tcBorders>
              <w:bottom w:val="single" w:sz="8" w:color="008000"/>
              <w:right w:val="single" w:sz="8" w:color="008000"/>
            </w:tcBorders>
          </w:tcPr>
          <w:p>
            <w:pPr>
              <w:spacing w:after="0"/>
              <w:rPr>
                <w:sz w:val="2"/>
                <w:szCs w:val="2"/>
                <w:color w:val="auto"/>
              </w:rPr>
            </w:pPr>
          </w:p>
        </w:tc>
        <w:tc>
          <w:tcPr>
            <w:tcW w:w="920" w:type="dxa"/>
            <w:vAlign w:val="bottom"/>
            <w:tcBorders>
              <w:bottom w:val="single" w:sz="8" w:color="008000"/>
            </w:tcBorders>
          </w:tcPr>
          <w:p>
            <w:pPr>
              <w:spacing w:after="0"/>
              <w:rPr>
                <w:sz w:val="2"/>
                <w:szCs w:val="2"/>
                <w:color w:val="auto"/>
              </w:rPr>
            </w:pPr>
          </w:p>
        </w:tc>
        <w:tc>
          <w:tcPr>
            <w:tcW w:w="780" w:type="dxa"/>
            <w:vAlign w:val="bottom"/>
            <w:tcBorders>
              <w:bottom w:val="single" w:sz="8" w:color="008000"/>
            </w:tcBorders>
          </w:tcPr>
          <w:p>
            <w:pPr>
              <w:spacing w:after="0"/>
              <w:rPr>
                <w:sz w:val="2"/>
                <w:szCs w:val="2"/>
                <w:color w:val="auto"/>
              </w:rPr>
            </w:pPr>
          </w:p>
        </w:tc>
        <w:tc>
          <w:tcPr>
            <w:tcW w:w="960" w:type="dxa"/>
            <w:vAlign w:val="bottom"/>
            <w:tcBorders>
              <w:bottom w:val="single" w:sz="8" w:color="008000"/>
              <w:right w:val="single" w:sz="8" w:color="008000"/>
            </w:tcBorders>
          </w:tcPr>
          <w:p>
            <w:pPr>
              <w:spacing w:after="0"/>
              <w:rPr>
                <w:sz w:val="2"/>
                <w:szCs w:val="2"/>
                <w:color w:val="auto"/>
              </w:rPr>
            </w:pPr>
          </w:p>
        </w:tc>
      </w:tr>
      <w:tr>
        <w:trPr>
          <w:trHeight w:val="237"/>
        </w:trPr>
        <w:tc>
          <w:tcPr>
            <w:tcW w:w="1940" w:type="dxa"/>
            <w:vAlign w:val="bottom"/>
            <w:tcBorders>
              <w:left w:val="single" w:sz="8" w:color="008000"/>
            </w:tcBorders>
            <w:gridSpan w:val="2"/>
          </w:tcPr>
          <w:p>
            <w:pPr>
              <w:jc w:val="center"/>
              <w:ind w:left="1030"/>
              <w:spacing w:after="0"/>
              <w:rPr>
                <w:sz w:val="20"/>
                <w:szCs w:val="20"/>
                <w:color w:val="auto"/>
              </w:rPr>
            </w:pPr>
            <w:r>
              <w:rPr>
                <w:rFonts w:ascii="Arial" w:cs="Arial" w:eastAsia="Arial" w:hAnsi="Arial"/>
                <w:sz w:val="18"/>
                <w:szCs w:val="18"/>
                <w:color w:val="auto"/>
                <w:w w:val="99"/>
              </w:rPr>
              <w:t>4</w:t>
            </w:r>
          </w:p>
        </w:tc>
        <w:tc>
          <w:tcPr>
            <w:tcW w:w="1120" w:type="dxa"/>
            <w:vAlign w:val="bottom"/>
            <w:tcBorders>
              <w:right w:val="single" w:sz="8" w:color="008000"/>
            </w:tcBorders>
          </w:tcPr>
          <w:p>
            <w:pPr>
              <w:spacing w:after="0"/>
              <w:rPr>
                <w:sz w:val="20"/>
                <w:szCs w:val="20"/>
                <w:color w:val="auto"/>
              </w:rPr>
            </w:pPr>
          </w:p>
        </w:tc>
        <w:tc>
          <w:tcPr>
            <w:tcW w:w="520" w:type="dxa"/>
            <w:vAlign w:val="bottom"/>
          </w:tcPr>
          <w:p>
            <w:pPr>
              <w:spacing w:after="0"/>
              <w:rPr>
                <w:sz w:val="20"/>
                <w:szCs w:val="20"/>
                <w:color w:val="auto"/>
              </w:rPr>
            </w:pPr>
          </w:p>
        </w:tc>
        <w:tc>
          <w:tcPr>
            <w:tcW w:w="1380" w:type="dxa"/>
            <w:vAlign w:val="bottom"/>
            <w:tcBorders>
              <w:right w:val="single" w:sz="8" w:color="008000"/>
            </w:tcBorders>
            <w:gridSpan w:val="2"/>
          </w:tcPr>
          <w:p>
            <w:pPr>
              <w:jc w:val="center"/>
              <w:ind w:right="560"/>
              <w:spacing w:after="0"/>
              <w:rPr>
                <w:sz w:val="20"/>
                <w:szCs w:val="20"/>
                <w:color w:val="auto"/>
              </w:rPr>
            </w:pPr>
            <w:r>
              <w:rPr>
                <w:rFonts w:ascii="Arial" w:cs="Arial" w:eastAsia="Arial" w:hAnsi="Arial"/>
                <w:sz w:val="18"/>
                <w:szCs w:val="18"/>
                <w:color w:val="auto"/>
                <w:w w:val="91"/>
              </w:rPr>
              <w:t>Superior</w:t>
            </w:r>
          </w:p>
        </w:tc>
        <w:tc>
          <w:tcPr>
            <w:tcW w:w="1700" w:type="dxa"/>
            <w:vAlign w:val="bottom"/>
            <w:gridSpan w:val="2"/>
          </w:tcPr>
          <w:p>
            <w:pPr>
              <w:jc w:val="center"/>
              <w:ind w:left="830"/>
              <w:spacing w:after="0"/>
              <w:rPr>
                <w:sz w:val="20"/>
                <w:szCs w:val="20"/>
                <w:color w:val="auto"/>
              </w:rPr>
            </w:pPr>
            <w:r>
              <w:rPr>
                <w:rFonts w:ascii="Arial" w:cs="Arial" w:eastAsia="Arial" w:hAnsi="Arial"/>
                <w:sz w:val="18"/>
                <w:szCs w:val="18"/>
                <w:color w:val="auto"/>
                <w:w w:val="91"/>
              </w:rPr>
              <w:t>200%</w:t>
            </w:r>
          </w:p>
        </w:tc>
        <w:tc>
          <w:tcPr>
            <w:tcW w:w="960" w:type="dxa"/>
            <w:vAlign w:val="bottom"/>
            <w:tcBorders>
              <w:right w:val="single" w:sz="8" w:color="008000"/>
            </w:tcBorders>
          </w:tcPr>
          <w:p>
            <w:pPr>
              <w:spacing w:after="0"/>
              <w:rPr>
                <w:sz w:val="20"/>
                <w:szCs w:val="20"/>
                <w:color w:val="auto"/>
              </w:rPr>
            </w:pPr>
          </w:p>
        </w:tc>
      </w:tr>
      <w:tr>
        <w:trPr>
          <w:trHeight w:val="27"/>
        </w:trPr>
        <w:tc>
          <w:tcPr>
            <w:tcW w:w="1120" w:type="dxa"/>
            <w:vAlign w:val="bottom"/>
            <w:tcBorders>
              <w:left w:val="single" w:sz="8" w:color="008000"/>
              <w:bottom w:val="single" w:sz="8" w:color="008000"/>
            </w:tcBorders>
          </w:tcPr>
          <w:p>
            <w:pPr>
              <w:spacing w:after="0"/>
              <w:rPr>
                <w:sz w:val="2"/>
                <w:szCs w:val="2"/>
                <w:color w:val="auto"/>
              </w:rPr>
            </w:pPr>
          </w:p>
        </w:tc>
        <w:tc>
          <w:tcPr>
            <w:tcW w:w="820" w:type="dxa"/>
            <w:vAlign w:val="bottom"/>
            <w:tcBorders>
              <w:bottom w:val="single" w:sz="8" w:color="008000"/>
            </w:tcBorders>
          </w:tcPr>
          <w:p>
            <w:pPr>
              <w:spacing w:after="0"/>
              <w:rPr>
                <w:sz w:val="2"/>
                <w:szCs w:val="2"/>
                <w:color w:val="auto"/>
              </w:rPr>
            </w:pPr>
          </w:p>
        </w:tc>
        <w:tc>
          <w:tcPr>
            <w:tcW w:w="1120" w:type="dxa"/>
            <w:vAlign w:val="bottom"/>
            <w:tcBorders>
              <w:bottom w:val="single" w:sz="8" w:color="008000"/>
              <w:right w:val="single" w:sz="8" w:color="008000"/>
            </w:tcBorders>
          </w:tcPr>
          <w:p>
            <w:pPr>
              <w:spacing w:after="0"/>
              <w:rPr>
                <w:sz w:val="2"/>
                <w:szCs w:val="2"/>
                <w:color w:val="auto"/>
              </w:rPr>
            </w:pPr>
          </w:p>
        </w:tc>
        <w:tc>
          <w:tcPr>
            <w:tcW w:w="520" w:type="dxa"/>
            <w:vAlign w:val="bottom"/>
            <w:tcBorders>
              <w:bottom w:val="single" w:sz="8" w:color="008000"/>
            </w:tcBorders>
          </w:tcPr>
          <w:p>
            <w:pPr>
              <w:spacing w:after="0"/>
              <w:rPr>
                <w:sz w:val="2"/>
                <w:szCs w:val="2"/>
                <w:color w:val="auto"/>
              </w:rPr>
            </w:pPr>
          </w:p>
        </w:tc>
        <w:tc>
          <w:tcPr>
            <w:tcW w:w="840" w:type="dxa"/>
            <w:vAlign w:val="bottom"/>
            <w:tcBorders>
              <w:bottom w:val="single" w:sz="8" w:color="008000"/>
            </w:tcBorders>
          </w:tcPr>
          <w:p>
            <w:pPr>
              <w:spacing w:after="0"/>
              <w:rPr>
                <w:sz w:val="2"/>
                <w:szCs w:val="2"/>
                <w:color w:val="auto"/>
              </w:rPr>
            </w:pPr>
          </w:p>
        </w:tc>
        <w:tc>
          <w:tcPr>
            <w:tcW w:w="540" w:type="dxa"/>
            <w:vAlign w:val="bottom"/>
            <w:tcBorders>
              <w:bottom w:val="single" w:sz="8" w:color="008000"/>
              <w:right w:val="single" w:sz="8" w:color="008000"/>
            </w:tcBorders>
          </w:tcPr>
          <w:p>
            <w:pPr>
              <w:spacing w:after="0"/>
              <w:rPr>
                <w:sz w:val="2"/>
                <w:szCs w:val="2"/>
                <w:color w:val="auto"/>
              </w:rPr>
            </w:pPr>
          </w:p>
        </w:tc>
        <w:tc>
          <w:tcPr>
            <w:tcW w:w="920" w:type="dxa"/>
            <w:vAlign w:val="bottom"/>
            <w:tcBorders>
              <w:bottom w:val="single" w:sz="8" w:color="008000"/>
            </w:tcBorders>
          </w:tcPr>
          <w:p>
            <w:pPr>
              <w:spacing w:after="0"/>
              <w:rPr>
                <w:sz w:val="2"/>
                <w:szCs w:val="2"/>
                <w:color w:val="auto"/>
              </w:rPr>
            </w:pPr>
          </w:p>
        </w:tc>
        <w:tc>
          <w:tcPr>
            <w:tcW w:w="780" w:type="dxa"/>
            <w:vAlign w:val="bottom"/>
            <w:tcBorders>
              <w:bottom w:val="single" w:sz="8" w:color="008000"/>
            </w:tcBorders>
          </w:tcPr>
          <w:p>
            <w:pPr>
              <w:spacing w:after="0"/>
              <w:rPr>
                <w:sz w:val="2"/>
                <w:szCs w:val="2"/>
                <w:color w:val="auto"/>
              </w:rPr>
            </w:pPr>
          </w:p>
        </w:tc>
        <w:tc>
          <w:tcPr>
            <w:tcW w:w="960" w:type="dxa"/>
            <w:vAlign w:val="bottom"/>
            <w:tcBorders>
              <w:bottom w:val="single" w:sz="8" w:color="008000"/>
              <w:right w:val="single" w:sz="8" w:color="008000"/>
            </w:tcBorders>
          </w:tcPr>
          <w:p>
            <w:pPr>
              <w:spacing w:after="0"/>
              <w:rPr>
                <w:sz w:val="2"/>
                <w:szCs w:val="2"/>
                <w:color w:val="auto"/>
              </w:rPr>
            </w:pPr>
          </w:p>
        </w:tc>
      </w:tr>
      <w:tr>
        <w:trPr>
          <w:trHeight w:val="237"/>
        </w:trPr>
        <w:tc>
          <w:tcPr>
            <w:tcW w:w="1940" w:type="dxa"/>
            <w:vAlign w:val="bottom"/>
            <w:tcBorders>
              <w:left w:val="single" w:sz="8" w:color="008000"/>
            </w:tcBorders>
            <w:gridSpan w:val="2"/>
          </w:tcPr>
          <w:p>
            <w:pPr>
              <w:jc w:val="center"/>
              <w:ind w:left="1030"/>
              <w:spacing w:after="0"/>
              <w:rPr>
                <w:sz w:val="20"/>
                <w:szCs w:val="20"/>
                <w:color w:val="auto"/>
              </w:rPr>
            </w:pPr>
            <w:r>
              <w:rPr>
                <w:rFonts w:ascii="Arial" w:cs="Arial" w:eastAsia="Arial" w:hAnsi="Arial"/>
                <w:sz w:val="18"/>
                <w:szCs w:val="18"/>
                <w:color w:val="auto"/>
                <w:w w:val="99"/>
              </w:rPr>
              <w:t>5</w:t>
            </w:r>
          </w:p>
        </w:tc>
        <w:tc>
          <w:tcPr>
            <w:tcW w:w="1120" w:type="dxa"/>
            <w:vAlign w:val="bottom"/>
            <w:tcBorders>
              <w:right w:val="single" w:sz="8" w:color="008000"/>
            </w:tcBorders>
          </w:tcPr>
          <w:p>
            <w:pPr>
              <w:spacing w:after="0"/>
              <w:rPr>
                <w:sz w:val="20"/>
                <w:szCs w:val="20"/>
                <w:color w:val="auto"/>
              </w:rPr>
            </w:pPr>
          </w:p>
        </w:tc>
        <w:tc>
          <w:tcPr>
            <w:tcW w:w="5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40" w:type="dxa"/>
            <w:vAlign w:val="bottom"/>
            <w:tcBorders>
              <w:right w:val="single" w:sz="8" w:color="008000"/>
            </w:tcBorders>
          </w:tcPr>
          <w:p>
            <w:pPr>
              <w:spacing w:after="0"/>
              <w:rPr>
                <w:sz w:val="20"/>
                <w:szCs w:val="20"/>
                <w:color w:val="auto"/>
              </w:rPr>
            </w:pPr>
          </w:p>
        </w:tc>
        <w:tc>
          <w:tcPr>
            <w:tcW w:w="1700" w:type="dxa"/>
            <w:vAlign w:val="bottom"/>
            <w:gridSpan w:val="2"/>
          </w:tcPr>
          <w:p>
            <w:pPr>
              <w:jc w:val="center"/>
              <w:ind w:left="830"/>
              <w:spacing w:after="0"/>
              <w:rPr>
                <w:sz w:val="20"/>
                <w:szCs w:val="20"/>
                <w:color w:val="auto"/>
              </w:rPr>
            </w:pPr>
            <w:r>
              <w:rPr>
                <w:rFonts w:ascii="Arial" w:cs="Arial" w:eastAsia="Arial" w:hAnsi="Arial"/>
                <w:sz w:val="18"/>
                <w:szCs w:val="18"/>
                <w:color w:val="auto"/>
                <w:w w:val="91"/>
              </w:rPr>
              <w:t>190%</w:t>
            </w:r>
          </w:p>
        </w:tc>
        <w:tc>
          <w:tcPr>
            <w:tcW w:w="960" w:type="dxa"/>
            <w:vAlign w:val="bottom"/>
            <w:tcBorders>
              <w:right w:val="single" w:sz="8" w:color="008000"/>
            </w:tcBorders>
          </w:tcPr>
          <w:p>
            <w:pPr>
              <w:spacing w:after="0"/>
              <w:rPr>
                <w:sz w:val="20"/>
                <w:szCs w:val="20"/>
                <w:color w:val="auto"/>
              </w:rPr>
            </w:pPr>
          </w:p>
        </w:tc>
      </w:tr>
      <w:tr>
        <w:trPr>
          <w:trHeight w:val="27"/>
        </w:trPr>
        <w:tc>
          <w:tcPr>
            <w:tcW w:w="1120" w:type="dxa"/>
            <w:vAlign w:val="bottom"/>
            <w:tcBorders>
              <w:left w:val="single" w:sz="8" w:color="008000"/>
              <w:bottom w:val="single" w:sz="8" w:color="008000"/>
            </w:tcBorders>
          </w:tcPr>
          <w:p>
            <w:pPr>
              <w:spacing w:after="0"/>
              <w:rPr>
                <w:sz w:val="2"/>
                <w:szCs w:val="2"/>
                <w:color w:val="auto"/>
              </w:rPr>
            </w:pPr>
          </w:p>
        </w:tc>
        <w:tc>
          <w:tcPr>
            <w:tcW w:w="820" w:type="dxa"/>
            <w:vAlign w:val="bottom"/>
            <w:tcBorders>
              <w:bottom w:val="single" w:sz="8" w:color="008000"/>
            </w:tcBorders>
          </w:tcPr>
          <w:p>
            <w:pPr>
              <w:spacing w:after="0"/>
              <w:rPr>
                <w:sz w:val="2"/>
                <w:szCs w:val="2"/>
                <w:color w:val="auto"/>
              </w:rPr>
            </w:pPr>
          </w:p>
        </w:tc>
        <w:tc>
          <w:tcPr>
            <w:tcW w:w="1120" w:type="dxa"/>
            <w:vAlign w:val="bottom"/>
            <w:tcBorders>
              <w:bottom w:val="single" w:sz="8" w:color="008000"/>
              <w:right w:val="single" w:sz="8" w:color="008000"/>
            </w:tcBorders>
          </w:tcPr>
          <w:p>
            <w:pPr>
              <w:spacing w:after="0"/>
              <w:rPr>
                <w:sz w:val="2"/>
                <w:szCs w:val="2"/>
                <w:color w:val="auto"/>
              </w:rPr>
            </w:pPr>
          </w:p>
        </w:tc>
        <w:tc>
          <w:tcPr>
            <w:tcW w:w="520" w:type="dxa"/>
            <w:vAlign w:val="bottom"/>
            <w:tcBorders>
              <w:bottom w:val="single" w:sz="8" w:color="008000"/>
            </w:tcBorders>
          </w:tcPr>
          <w:p>
            <w:pPr>
              <w:spacing w:after="0"/>
              <w:rPr>
                <w:sz w:val="2"/>
                <w:szCs w:val="2"/>
                <w:color w:val="auto"/>
              </w:rPr>
            </w:pPr>
          </w:p>
        </w:tc>
        <w:tc>
          <w:tcPr>
            <w:tcW w:w="840" w:type="dxa"/>
            <w:vAlign w:val="bottom"/>
            <w:tcBorders>
              <w:bottom w:val="single" w:sz="8" w:color="008000"/>
            </w:tcBorders>
          </w:tcPr>
          <w:p>
            <w:pPr>
              <w:spacing w:after="0"/>
              <w:rPr>
                <w:sz w:val="2"/>
                <w:szCs w:val="2"/>
                <w:color w:val="auto"/>
              </w:rPr>
            </w:pPr>
          </w:p>
        </w:tc>
        <w:tc>
          <w:tcPr>
            <w:tcW w:w="540" w:type="dxa"/>
            <w:vAlign w:val="bottom"/>
            <w:tcBorders>
              <w:bottom w:val="single" w:sz="8" w:color="008000"/>
              <w:right w:val="single" w:sz="8" w:color="008000"/>
            </w:tcBorders>
          </w:tcPr>
          <w:p>
            <w:pPr>
              <w:spacing w:after="0"/>
              <w:rPr>
                <w:sz w:val="2"/>
                <w:szCs w:val="2"/>
                <w:color w:val="auto"/>
              </w:rPr>
            </w:pPr>
          </w:p>
        </w:tc>
        <w:tc>
          <w:tcPr>
            <w:tcW w:w="920" w:type="dxa"/>
            <w:vAlign w:val="bottom"/>
            <w:tcBorders>
              <w:bottom w:val="single" w:sz="8" w:color="008000"/>
            </w:tcBorders>
          </w:tcPr>
          <w:p>
            <w:pPr>
              <w:spacing w:after="0"/>
              <w:rPr>
                <w:sz w:val="2"/>
                <w:szCs w:val="2"/>
                <w:color w:val="auto"/>
              </w:rPr>
            </w:pPr>
          </w:p>
        </w:tc>
        <w:tc>
          <w:tcPr>
            <w:tcW w:w="780" w:type="dxa"/>
            <w:vAlign w:val="bottom"/>
            <w:tcBorders>
              <w:bottom w:val="single" w:sz="8" w:color="008000"/>
            </w:tcBorders>
          </w:tcPr>
          <w:p>
            <w:pPr>
              <w:spacing w:after="0"/>
              <w:rPr>
                <w:sz w:val="2"/>
                <w:szCs w:val="2"/>
                <w:color w:val="auto"/>
              </w:rPr>
            </w:pPr>
          </w:p>
        </w:tc>
        <w:tc>
          <w:tcPr>
            <w:tcW w:w="960" w:type="dxa"/>
            <w:vAlign w:val="bottom"/>
            <w:tcBorders>
              <w:bottom w:val="single" w:sz="8" w:color="008000"/>
              <w:right w:val="single" w:sz="8" w:color="008000"/>
            </w:tcBorders>
          </w:tcPr>
          <w:p>
            <w:pPr>
              <w:spacing w:after="0"/>
              <w:rPr>
                <w:sz w:val="2"/>
                <w:szCs w:val="2"/>
                <w:color w:val="auto"/>
              </w:rPr>
            </w:pPr>
          </w:p>
        </w:tc>
      </w:tr>
      <w:tr>
        <w:trPr>
          <w:trHeight w:val="237"/>
        </w:trPr>
        <w:tc>
          <w:tcPr>
            <w:tcW w:w="1940" w:type="dxa"/>
            <w:vAlign w:val="bottom"/>
            <w:tcBorders>
              <w:left w:val="single" w:sz="8" w:color="008000"/>
            </w:tcBorders>
            <w:gridSpan w:val="2"/>
          </w:tcPr>
          <w:p>
            <w:pPr>
              <w:jc w:val="center"/>
              <w:ind w:left="1030"/>
              <w:spacing w:after="0"/>
              <w:rPr>
                <w:sz w:val="20"/>
                <w:szCs w:val="20"/>
                <w:color w:val="auto"/>
              </w:rPr>
            </w:pPr>
            <w:r>
              <w:rPr>
                <w:rFonts w:ascii="Arial" w:cs="Arial" w:eastAsia="Arial" w:hAnsi="Arial"/>
                <w:sz w:val="18"/>
                <w:szCs w:val="18"/>
                <w:color w:val="auto"/>
                <w:w w:val="99"/>
              </w:rPr>
              <w:t>6</w:t>
            </w:r>
          </w:p>
        </w:tc>
        <w:tc>
          <w:tcPr>
            <w:tcW w:w="1120" w:type="dxa"/>
            <w:vAlign w:val="bottom"/>
            <w:tcBorders>
              <w:right w:val="single" w:sz="8" w:color="008000"/>
            </w:tcBorders>
          </w:tcPr>
          <w:p>
            <w:pPr>
              <w:spacing w:after="0"/>
              <w:rPr>
                <w:sz w:val="20"/>
                <w:szCs w:val="20"/>
                <w:color w:val="auto"/>
              </w:rPr>
            </w:pPr>
          </w:p>
        </w:tc>
        <w:tc>
          <w:tcPr>
            <w:tcW w:w="5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40" w:type="dxa"/>
            <w:vAlign w:val="bottom"/>
            <w:tcBorders>
              <w:right w:val="single" w:sz="8" w:color="008000"/>
            </w:tcBorders>
          </w:tcPr>
          <w:p>
            <w:pPr>
              <w:spacing w:after="0"/>
              <w:rPr>
                <w:sz w:val="20"/>
                <w:szCs w:val="20"/>
                <w:color w:val="auto"/>
              </w:rPr>
            </w:pPr>
          </w:p>
        </w:tc>
        <w:tc>
          <w:tcPr>
            <w:tcW w:w="1700" w:type="dxa"/>
            <w:vAlign w:val="bottom"/>
            <w:gridSpan w:val="2"/>
          </w:tcPr>
          <w:p>
            <w:pPr>
              <w:jc w:val="center"/>
              <w:ind w:left="830"/>
              <w:spacing w:after="0"/>
              <w:rPr>
                <w:sz w:val="20"/>
                <w:szCs w:val="20"/>
                <w:color w:val="auto"/>
              </w:rPr>
            </w:pPr>
            <w:r>
              <w:rPr>
                <w:rFonts w:ascii="Arial" w:cs="Arial" w:eastAsia="Arial" w:hAnsi="Arial"/>
                <w:sz w:val="18"/>
                <w:szCs w:val="18"/>
                <w:color w:val="auto"/>
                <w:w w:val="91"/>
              </w:rPr>
              <w:t>180%</w:t>
            </w:r>
          </w:p>
        </w:tc>
        <w:tc>
          <w:tcPr>
            <w:tcW w:w="960" w:type="dxa"/>
            <w:vAlign w:val="bottom"/>
            <w:tcBorders>
              <w:right w:val="single" w:sz="8" w:color="008000"/>
            </w:tcBorders>
          </w:tcPr>
          <w:p>
            <w:pPr>
              <w:spacing w:after="0"/>
              <w:rPr>
                <w:sz w:val="20"/>
                <w:szCs w:val="20"/>
                <w:color w:val="auto"/>
              </w:rPr>
            </w:pPr>
          </w:p>
        </w:tc>
      </w:tr>
      <w:tr>
        <w:trPr>
          <w:trHeight w:val="27"/>
        </w:trPr>
        <w:tc>
          <w:tcPr>
            <w:tcW w:w="1120" w:type="dxa"/>
            <w:vAlign w:val="bottom"/>
            <w:tcBorders>
              <w:left w:val="single" w:sz="8" w:color="008000"/>
              <w:bottom w:val="single" w:sz="8" w:color="008000"/>
            </w:tcBorders>
          </w:tcPr>
          <w:p>
            <w:pPr>
              <w:spacing w:after="0"/>
              <w:rPr>
                <w:sz w:val="2"/>
                <w:szCs w:val="2"/>
                <w:color w:val="auto"/>
              </w:rPr>
            </w:pPr>
          </w:p>
        </w:tc>
        <w:tc>
          <w:tcPr>
            <w:tcW w:w="820" w:type="dxa"/>
            <w:vAlign w:val="bottom"/>
            <w:tcBorders>
              <w:bottom w:val="single" w:sz="8" w:color="008000"/>
            </w:tcBorders>
          </w:tcPr>
          <w:p>
            <w:pPr>
              <w:spacing w:after="0"/>
              <w:rPr>
                <w:sz w:val="2"/>
                <w:szCs w:val="2"/>
                <w:color w:val="auto"/>
              </w:rPr>
            </w:pPr>
          </w:p>
        </w:tc>
        <w:tc>
          <w:tcPr>
            <w:tcW w:w="1120" w:type="dxa"/>
            <w:vAlign w:val="bottom"/>
            <w:tcBorders>
              <w:bottom w:val="single" w:sz="8" w:color="008000"/>
              <w:right w:val="single" w:sz="8" w:color="008000"/>
            </w:tcBorders>
          </w:tcPr>
          <w:p>
            <w:pPr>
              <w:spacing w:after="0"/>
              <w:rPr>
                <w:sz w:val="2"/>
                <w:szCs w:val="2"/>
                <w:color w:val="auto"/>
              </w:rPr>
            </w:pPr>
          </w:p>
        </w:tc>
        <w:tc>
          <w:tcPr>
            <w:tcW w:w="520" w:type="dxa"/>
            <w:vAlign w:val="bottom"/>
            <w:tcBorders>
              <w:bottom w:val="single" w:sz="8" w:color="008000"/>
            </w:tcBorders>
          </w:tcPr>
          <w:p>
            <w:pPr>
              <w:spacing w:after="0"/>
              <w:rPr>
                <w:sz w:val="2"/>
                <w:szCs w:val="2"/>
                <w:color w:val="auto"/>
              </w:rPr>
            </w:pPr>
          </w:p>
        </w:tc>
        <w:tc>
          <w:tcPr>
            <w:tcW w:w="840" w:type="dxa"/>
            <w:vAlign w:val="bottom"/>
            <w:tcBorders>
              <w:bottom w:val="single" w:sz="8" w:color="008000"/>
            </w:tcBorders>
          </w:tcPr>
          <w:p>
            <w:pPr>
              <w:spacing w:after="0"/>
              <w:rPr>
                <w:sz w:val="2"/>
                <w:szCs w:val="2"/>
                <w:color w:val="auto"/>
              </w:rPr>
            </w:pPr>
          </w:p>
        </w:tc>
        <w:tc>
          <w:tcPr>
            <w:tcW w:w="540" w:type="dxa"/>
            <w:vAlign w:val="bottom"/>
            <w:tcBorders>
              <w:bottom w:val="single" w:sz="8" w:color="008000"/>
              <w:right w:val="single" w:sz="8" w:color="008000"/>
            </w:tcBorders>
          </w:tcPr>
          <w:p>
            <w:pPr>
              <w:spacing w:after="0"/>
              <w:rPr>
                <w:sz w:val="2"/>
                <w:szCs w:val="2"/>
                <w:color w:val="auto"/>
              </w:rPr>
            </w:pPr>
          </w:p>
        </w:tc>
        <w:tc>
          <w:tcPr>
            <w:tcW w:w="920" w:type="dxa"/>
            <w:vAlign w:val="bottom"/>
            <w:tcBorders>
              <w:bottom w:val="single" w:sz="8" w:color="008000"/>
            </w:tcBorders>
          </w:tcPr>
          <w:p>
            <w:pPr>
              <w:spacing w:after="0"/>
              <w:rPr>
                <w:sz w:val="2"/>
                <w:szCs w:val="2"/>
                <w:color w:val="auto"/>
              </w:rPr>
            </w:pPr>
          </w:p>
        </w:tc>
        <w:tc>
          <w:tcPr>
            <w:tcW w:w="780" w:type="dxa"/>
            <w:vAlign w:val="bottom"/>
            <w:tcBorders>
              <w:bottom w:val="single" w:sz="8" w:color="008000"/>
            </w:tcBorders>
          </w:tcPr>
          <w:p>
            <w:pPr>
              <w:spacing w:after="0"/>
              <w:rPr>
                <w:sz w:val="2"/>
                <w:szCs w:val="2"/>
                <w:color w:val="auto"/>
              </w:rPr>
            </w:pPr>
          </w:p>
        </w:tc>
        <w:tc>
          <w:tcPr>
            <w:tcW w:w="960" w:type="dxa"/>
            <w:vAlign w:val="bottom"/>
            <w:tcBorders>
              <w:bottom w:val="single" w:sz="8" w:color="008000"/>
              <w:right w:val="single" w:sz="8" w:color="008000"/>
            </w:tcBorders>
          </w:tcPr>
          <w:p>
            <w:pPr>
              <w:spacing w:after="0"/>
              <w:rPr>
                <w:sz w:val="2"/>
                <w:szCs w:val="2"/>
                <w:color w:val="auto"/>
              </w:rPr>
            </w:pPr>
          </w:p>
        </w:tc>
      </w:tr>
      <w:tr>
        <w:trPr>
          <w:trHeight w:val="237"/>
        </w:trPr>
        <w:tc>
          <w:tcPr>
            <w:tcW w:w="1940" w:type="dxa"/>
            <w:vAlign w:val="bottom"/>
            <w:tcBorders>
              <w:left w:val="single" w:sz="8" w:color="008000"/>
            </w:tcBorders>
            <w:gridSpan w:val="2"/>
          </w:tcPr>
          <w:p>
            <w:pPr>
              <w:jc w:val="center"/>
              <w:ind w:left="1030"/>
              <w:spacing w:after="0"/>
              <w:rPr>
                <w:sz w:val="20"/>
                <w:szCs w:val="20"/>
                <w:color w:val="auto"/>
              </w:rPr>
            </w:pPr>
            <w:r>
              <w:rPr>
                <w:rFonts w:ascii="Arial" w:cs="Arial" w:eastAsia="Arial" w:hAnsi="Arial"/>
                <w:sz w:val="18"/>
                <w:szCs w:val="18"/>
                <w:color w:val="auto"/>
                <w:w w:val="99"/>
              </w:rPr>
              <w:t>7</w:t>
            </w:r>
          </w:p>
        </w:tc>
        <w:tc>
          <w:tcPr>
            <w:tcW w:w="1120" w:type="dxa"/>
            <w:vAlign w:val="bottom"/>
            <w:tcBorders>
              <w:right w:val="single" w:sz="8" w:color="008000"/>
            </w:tcBorders>
          </w:tcPr>
          <w:p>
            <w:pPr>
              <w:spacing w:after="0"/>
              <w:rPr>
                <w:sz w:val="20"/>
                <w:szCs w:val="20"/>
                <w:color w:val="auto"/>
              </w:rPr>
            </w:pPr>
          </w:p>
        </w:tc>
        <w:tc>
          <w:tcPr>
            <w:tcW w:w="5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40" w:type="dxa"/>
            <w:vAlign w:val="bottom"/>
            <w:tcBorders>
              <w:right w:val="single" w:sz="8" w:color="008000"/>
            </w:tcBorders>
          </w:tcPr>
          <w:p>
            <w:pPr>
              <w:spacing w:after="0"/>
              <w:rPr>
                <w:sz w:val="20"/>
                <w:szCs w:val="20"/>
                <w:color w:val="auto"/>
              </w:rPr>
            </w:pPr>
          </w:p>
        </w:tc>
        <w:tc>
          <w:tcPr>
            <w:tcW w:w="1700" w:type="dxa"/>
            <w:vAlign w:val="bottom"/>
            <w:gridSpan w:val="2"/>
          </w:tcPr>
          <w:p>
            <w:pPr>
              <w:jc w:val="center"/>
              <w:ind w:left="830"/>
              <w:spacing w:after="0"/>
              <w:rPr>
                <w:sz w:val="20"/>
                <w:szCs w:val="20"/>
                <w:color w:val="auto"/>
              </w:rPr>
            </w:pPr>
            <w:r>
              <w:rPr>
                <w:rFonts w:ascii="Arial" w:cs="Arial" w:eastAsia="Arial" w:hAnsi="Arial"/>
                <w:sz w:val="18"/>
                <w:szCs w:val="18"/>
                <w:color w:val="auto"/>
                <w:w w:val="91"/>
              </w:rPr>
              <w:t>170%</w:t>
            </w:r>
          </w:p>
        </w:tc>
        <w:tc>
          <w:tcPr>
            <w:tcW w:w="960" w:type="dxa"/>
            <w:vAlign w:val="bottom"/>
            <w:tcBorders>
              <w:right w:val="single" w:sz="8" w:color="008000"/>
            </w:tcBorders>
          </w:tcPr>
          <w:p>
            <w:pPr>
              <w:spacing w:after="0"/>
              <w:rPr>
                <w:sz w:val="20"/>
                <w:szCs w:val="20"/>
                <w:color w:val="auto"/>
              </w:rPr>
            </w:pPr>
          </w:p>
        </w:tc>
      </w:tr>
      <w:tr>
        <w:trPr>
          <w:trHeight w:val="27"/>
        </w:trPr>
        <w:tc>
          <w:tcPr>
            <w:tcW w:w="1120" w:type="dxa"/>
            <w:vAlign w:val="bottom"/>
            <w:tcBorders>
              <w:left w:val="single" w:sz="8" w:color="008000"/>
              <w:bottom w:val="single" w:sz="8" w:color="008000"/>
            </w:tcBorders>
          </w:tcPr>
          <w:p>
            <w:pPr>
              <w:spacing w:after="0"/>
              <w:rPr>
                <w:sz w:val="2"/>
                <w:szCs w:val="2"/>
                <w:color w:val="auto"/>
              </w:rPr>
            </w:pPr>
          </w:p>
        </w:tc>
        <w:tc>
          <w:tcPr>
            <w:tcW w:w="820" w:type="dxa"/>
            <w:vAlign w:val="bottom"/>
            <w:tcBorders>
              <w:bottom w:val="single" w:sz="8" w:color="008000"/>
            </w:tcBorders>
          </w:tcPr>
          <w:p>
            <w:pPr>
              <w:spacing w:after="0"/>
              <w:rPr>
                <w:sz w:val="2"/>
                <w:szCs w:val="2"/>
                <w:color w:val="auto"/>
              </w:rPr>
            </w:pPr>
          </w:p>
        </w:tc>
        <w:tc>
          <w:tcPr>
            <w:tcW w:w="1120" w:type="dxa"/>
            <w:vAlign w:val="bottom"/>
            <w:tcBorders>
              <w:bottom w:val="single" w:sz="8" w:color="008000"/>
              <w:right w:val="single" w:sz="8" w:color="008000"/>
            </w:tcBorders>
          </w:tcPr>
          <w:p>
            <w:pPr>
              <w:spacing w:after="0"/>
              <w:rPr>
                <w:sz w:val="2"/>
                <w:szCs w:val="2"/>
                <w:color w:val="auto"/>
              </w:rPr>
            </w:pPr>
          </w:p>
        </w:tc>
        <w:tc>
          <w:tcPr>
            <w:tcW w:w="520" w:type="dxa"/>
            <w:vAlign w:val="bottom"/>
            <w:tcBorders>
              <w:bottom w:val="single" w:sz="8" w:color="008000"/>
            </w:tcBorders>
          </w:tcPr>
          <w:p>
            <w:pPr>
              <w:spacing w:after="0"/>
              <w:rPr>
                <w:sz w:val="2"/>
                <w:szCs w:val="2"/>
                <w:color w:val="auto"/>
              </w:rPr>
            </w:pPr>
          </w:p>
        </w:tc>
        <w:tc>
          <w:tcPr>
            <w:tcW w:w="840" w:type="dxa"/>
            <w:vAlign w:val="bottom"/>
            <w:tcBorders>
              <w:bottom w:val="single" w:sz="8" w:color="008000"/>
            </w:tcBorders>
          </w:tcPr>
          <w:p>
            <w:pPr>
              <w:spacing w:after="0"/>
              <w:rPr>
                <w:sz w:val="2"/>
                <w:szCs w:val="2"/>
                <w:color w:val="auto"/>
              </w:rPr>
            </w:pPr>
          </w:p>
        </w:tc>
        <w:tc>
          <w:tcPr>
            <w:tcW w:w="540" w:type="dxa"/>
            <w:vAlign w:val="bottom"/>
            <w:tcBorders>
              <w:bottom w:val="single" w:sz="8" w:color="008000"/>
              <w:right w:val="single" w:sz="8" w:color="008000"/>
            </w:tcBorders>
          </w:tcPr>
          <w:p>
            <w:pPr>
              <w:spacing w:after="0"/>
              <w:rPr>
                <w:sz w:val="2"/>
                <w:szCs w:val="2"/>
                <w:color w:val="auto"/>
              </w:rPr>
            </w:pPr>
          </w:p>
        </w:tc>
        <w:tc>
          <w:tcPr>
            <w:tcW w:w="920" w:type="dxa"/>
            <w:vAlign w:val="bottom"/>
            <w:tcBorders>
              <w:bottom w:val="single" w:sz="8" w:color="008000"/>
            </w:tcBorders>
          </w:tcPr>
          <w:p>
            <w:pPr>
              <w:spacing w:after="0"/>
              <w:rPr>
                <w:sz w:val="2"/>
                <w:szCs w:val="2"/>
                <w:color w:val="auto"/>
              </w:rPr>
            </w:pPr>
          </w:p>
        </w:tc>
        <w:tc>
          <w:tcPr>
            <w:tcW w:w="780" w:type="dxa"/>
            <w:vAlign w:val="bottom"/>
            <w:tcBorders>
              <w:bottom w:val="single" w:sz="8" w:color="008000"/>
            </w:tcBorders>
          </w:tcPr>
          <w:p>
            <w:pPr>
              <w:spacing w:after="0"/>
              <w:rPr>
                <w:sz w:val="2"/>
                <w:szCs w:val="2"/>
                <w:color w:val="auto"/>
              </w:rPr>
            </w:pPr>
          </w:p>
        </w:tc>
        <w:tc>
          <w:tcPr>
            <w:tcW w:w="960" w:type="dxa"/>
            <w:vAlign w:val="bottom"/>
            <w:tcBorders>
              <w:bottom w:val="single" w:sz="8" w:color="008000"/>
              <w:right w:val="single" w:sz="8" w:color="008000"/>
            </w:tcBorders>
          </w:tcPr>
          <w:p>
            <w:pPr>
              <w:spacing w:after="0"/>
              <w:rPr>
                <w:sz w:val="2"/>
                <w:szCs w:val="2"/>
                <w:color w:val="auto"/>
              </w:rPr>
            </w:pPr>
          </w:p>
        </w:tc>
      </w:tr>
      <w:tr>
        <w:trPr>
          <w:trHeight w:val="237"/>
        </w:trPr>
        <w:tc>
          <w:tcPr>
            <w:tcW w:w="1940" w:type="dxa"/>
            <w:vAlign w:val="bottom"/>
            <w:tcBorders>
              <w:left w:val="single" w:sz="8" w:color="008000"/>
            </w:tcBorders>
            <w:gridSpan w:val="2"/>
          </w:tcPr>
          <w:p>
            <w:pPr>
              <w:jc w:val="center"/>
              <w:ind w:left="1030"/>
              <w:spacing w:after="0"/>
              <w:rPr>
                <w:sz w:val="20"/>
                <w:szCs w:val="20"/>
                <w:color w:val="auto"/>
              </w:rPr>
            </w:pPr>
            <w:r>
              <w:rPr>
                <w:rFonts w:ascii="Arial" w:cs="Arial" w:eastAsia="Arial" w:hAnsi="Arial"/>
                <w:sz w:val="18"/>
                <w:szCs w:val="18"/>
                <w:color w:val="auto"/>
                <w:w w:val="99"/>
              </w:rPr>
              <w:t>8</w:t>
            </w:r>
          </w:p>
        </w:tc>
        <w:tc>
          <w:tcPr>
            <w:tcW w:w="1120" w:type="dxa"/>
            <w:vAlign w:val="bottom"/>
            <w:tcBorders>
              <w:right w:val="single" w:sz="8" w:color="008000"/>
            </w:tcBorders>
          </w:tcPr>
          <w:p>
            <w:pPr>
              <w:spacing w:after="0"/>
              <w:rPr>
                <w:sz w:val="20"/>
                <w:szCs w:val="20"/>
                <w:color w:val="auto"/>
              </w:rPr>
            </w:pPr>
          </w:p>
        </w:tc>
        <w:tc>
          <w:tcPr>
            <w:tcW w:w="5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40" w:type="dxa"/>
            <w:vAlign w:val="bottom"/>
            <w:tcBorders>
              <w:right w:val="single" w:sz="8" w:color="008000"/>
            </w:tcBorders>
          </w:tcPr>
          <w:p>
            <w:pPr>
              <w:spacing w:after="0"/>
              <w:rPr>
                <w:sz w:val="20"/>
                <w:szCs w:val="20"/>
                <w:color w:val="auto"/>
              </w:rPr>
            </w:pPr>
          </w:p>
        </w:tc>
        <w:tc>
          <w:tcPr>
            <w:tcW w:w="1700" w:type="dxa"/>
            <w:vAlign w:val="bottom"/>
            <w:gridSpan w:val="2"/>
          </w:tcPr>
          <w:p>
            <w:pPr>
              <w:jc w:val="center"/>
              <w:ind w:left="830"/>
              <w:spacing w:after="0"/>
              <w:rPr>
                <w:sz w:val="20"/>
                <w:szCs w:val="20"/>
                <w:color w:val="auto"/>
              </w:rPr>
            </w:pPr>
            <w:r>
              <w:rPr>
                <w:rFonts w:ascii="Arial" w:cs="Arial" w:eastAsia="Arial" w:hAnsi="Arial"/>
                <w:sz w:val="18"/>
                <w:szCs w:val="18"/>
                <w:color w:val="auto"/>
                <w:w w:val="91"/>
              </w:rPr>
              <w:t>160%</w:t>
            </w:r>
          </w:p>
        </w:tc>
        <w:tc>
          <w:tcPr>
            <w:tcW w:w="960" w:type="dxa"/>
            <w:vAlign w:val="bottom"/>
            <w:tcBorders>
              <w:right w:val="single" w:sz="8" w:color="008000"/>
            </w:tcBorders>
          </w:tcPr>
          <w:p>
            <w:pPr>
              <w:spacing w:after="0"/>
              <w:rPr>
                <w:sz w:val="20"/>
                <w:szCs w:val="20"/>
                <w:color w:val="auto"/>
              </w:rPr>
            </w:pPr>
          </w:p>
        </w:tc>
      </w:tr>
      <w:tr>
        <w:trPr>
          <w:trHeight w:val="27"/>
        </w:trPr>
        <w:tc>
          <w:tcPr>
            <w:tcW w:w="1120" w:type="dxa"/>
            <w:vAlign w:val="bottom"/>
            <w:tcBorders>
              <w:left w:val="single" w:sz="8" w:color="008000"/>
              <w:bottom w:val="single" w:sz="8" w:color="008000"/>
            </w:tcBorders>
          </w:tcPr>
          <w:p>
            <w:pPr>
              <w:spacing w:after="0"/>
              <w:rPr>
                <w:sz w:val="2"/>
                <w:szCs w:val="2"/>
                <w:color w:val="auto"/>
              </w:rPr>
            </w:pPr>
          </w:p>
        </w:tc>
        <w:tc>
          <w:tcPr>
            <w:tcW w:w="820" w:type="dxa"/>
            <w:vAlign w:val="bottom"/>
            <w:tcBorders>
              <w:bottom w:val="single" w:sz="8" w:color="008000"/>
            </w:tcBorders>
          </w:tcPr>
          <w:p>
            <w:pPr>
              <w:spacing w:after="0"/>
              <w:rPr>
                <w:sz w:val="2"/>
                <w:szCs w:val="2"/>
                <w:color w:val="auto"/>
              </w:rPr>
            </w:pPr>
          </w:p>
        </w:tc>
        <w:tc>
          <w:tcPr>
            <w:tcW w:w="1120" w:type="dxa"/>
            <w:vAlign w:val="bottom"/>
            <w:tcBorders>
              <w:bottom w:val="single" w:sz="8" w:color="008000"/>
              <w:right w:val="single" w:sz="8" w:color="008000"/>
            </w:tcBorders>
          </w:tcPr>
          <w:p>
            <w:pPr>
              <w:spacing w:after="0"/>
              <w:rPr>
                <w:sz w:val="2"/>
                <w:szCs w:val="2"/>
                <w:color w:val="auto"/>
              </w:rPr>
            </w:pPr>
          </w:p>
        </w:tc>
        <w:tc>
          <w:tcPr>
            <w:tcW w:w="520" w:type="dxa"/>
            <w:vAlign w:val="bottom"/>
            <w:tcBorders>
              <w:bottom w:val="single" w:sz="8" w:color="008000"/>
            </w:tcBorders>
          </w:tcPr>
          <w:p>
            <w:pPr>
              <w:spacing w:after="0"/>
              <w:rPr>
                <w:sz w:val="2"/>
                <w:szCs w:val="2"/>
                <w:color w:val="auto"/>
              </w:rPr>
            </w:pPr>
          </w:p>
        </w:tc>
        <w:tc>
          <w:tcPr>
            <w:tcW w:w="840" w:type="dxa"/>
            <w:vAlign w:val="bottom"/>
            <w:tcBorders>
              <w:bottom w:val="single" w:sz="8" w:color="008000"/>
            </w:tcBorders>
          </w:tcPr>
          <w:p>
            <w:pPr>
              <w:spacing w:after="0"/>
              <w:rPr>
                <w:sz w:val="2"/>
                <w:szCs w:val="2"/>
                <w:color w:val="auto"/>
              </w:rPr>
            </w:pPr>
          </w:p>
        </w:tc>
        <w:tc>
          <w:tcPr>
            <w:tcW w:w="540" w:type="dxa"/>
            <w:vAlign w:val="bottom"/>
            <w:tcBorders>
              <w:bottom w:val="single" w:sz="8" w:color="008000"/>
              <w:right w:val="single" w:sz="8" w:color="008000"/>
            </w:tcBorders>
          </w:tcPr>
          <w:p>
            <w:pPr>
              <w:spacing w:after="0"/>
              <w:rPr>
                <w:sz w:val="2"/>
                <w:szCs w:val="2"/>
                <w:color w:val="auto"/>
              </w:rPr>
            </w:pPr>
          </w:p>
        </w:tc>
        <w:tc>
          <w:tcPr>
            <w:tcW w:w="920" w:type="dxa"/>
            <w:vAlign w:val="bottom"/>
            <w:tcBorders>
              <w:bottom w:val="single" w:sz="8" w:color="008000"/>
            </w:tcBorders>
          </w:tcPr>
          <w:p>
            <w:pPr>
              <w:spacing w:after="0"/>
              <w:rPr>
                <w:sz w:val="2"/>
                <w:szCs w:val="2"/>
                <w:color w:val="auto"/>
              </w:rPr>
            </w:pPr>
          </w:p>
        </w:tc>
        <w:tc>
          <w:tcPr>
            <w:tcW w:w="780" w:type="dxa"/>
            <w:vAlign w:val="bottom"/>
            <w:tcBorders>
              <w:bottom w:val="single" w:sz="8" w:color="008000"/>
            </w:tcBorders>
          </w:tcPr>
          <w:p>
            <w:pPr>
              <w:spacing w:after="0"/>
              <w:rPr>
                <w:sz w:val="2"/>
                <w:szCs w:val="2"/>
                <w:color w:val="auto"/>
              </w:rPr>
            </w:pPr>
          </w:p>
        </w:tc>
        <w:tc>
          <w:tcPr>
            <w:tcW w:w="960" w:type="dxa"/>
            <w:vAlign w:val="bottom"/>
            <w:tcBorders>
              <w:bottom w:val="single" w:sz="8" w:color="008000"/>
              <w:right w:val="single" w:sz="8" w:color="008000"/>
            </w:tcBorders>
          </w:tcPr>
          <w:p>
            <w:pPr>
              <w:spacing w:after="0"/>
              <w:rPr>
                <w:sz w:val="2"/>
                <w:szCs w:val="2"/>
                <w:color w:val="auto"/>
              </w:rPr>
            </w:pPr>
          </w:p>
        </w:tc>
      </w:tr>
      <w:tr>
        <w:trPr>
          <w:trHeight w:val="237"/>
        </w:trPr>
        <w:tc>
          <w:tcPr>
            <w:tcW w:w="1940" w:type="dxa"/>
            <w:vAlign w:val="bottom"/>
            <w:tcBorders>
              <w:left w:val="single" w:sz="8" w:color="008000"/>
            </w:tcBorders>
            <w:gridSpan w:val="2"/>
          </w:tcPr>
          <w:p>
            <w:pPr>
              <w:jc w:val="center"/>
              <w:ind w:left="1030"/>
              <w:spacing w:after="0"/>
              <w:rPr>
                <w:sz w:val="20"/>
                <w:szCs w:val="20"/>
                <w:color w:val="auto"/>
              </w:rPr>
            </w:pPr>
            <w:r>
              <w:rPr>
                <w:rFonts w:ascii="Arial" w:cs="Arial" w:eastAsia="Arial" w:hAnsi="Arial"/>
                <w:sz w:val="18"/>
                <w:szCs w:val="18"/>
                <w:color w:val="auto"/>
                <w:w w:val="99"/>
              </w:rPr>
              <w:t>9</w:t>
            </w:r>
          </w:p>
        </w:tc>
        <w:tc>
          <w:tcPr>
            <w:tcW w:w="1120" w:type="dxa"/>
            <w:vAlign w:val="bottom"/>
            <w:tcBorders>
              <w:right w:val="single" w:sz="8" w:color="008000"/>
            </w:tcBorders>
          </w:tcPr>
          <w:p>
            <w:pPr>
              <w:spacing w:after="0"/>
              <w:rPr>
                <w:sz w:val="20"/>
                <w:szCs w:val="20"/>
                <w:color w:val="auto"/>
              </w:rPr>
            </w:pPr>
          </w:p>
        </w:tc>
        <w:tc>
          <w:tcPr>
            <w:tcW w:w="5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40" w:type="dxa"/>
            <w:vAlign w:val="bottom"/>
            <w:tcBorders>
              <w:right w:val="single" w:sz="8" w:color="008000"/>
            </w:tcBorders>
          </w:tcPr>
          <w:p>
            <w:pPr>
              <w:spacing w:after="0"/>
              <w:rPr>
                <w:sz w:val="20"/>
                <w:szCs w:val="20"/>
                <w:color w:val="auto"/>
              </w:rPr>
            </w:pPr>
          </w:p>
        </w:tc>
        <w:tc>
          <w:tcPr>
            <w:tcW w:w="1700" w:type="dxa"/>
            <w:vAlign w:val="bottom"/>
            <w:gridSpan w:val="2"/>
          </w:tcPr>
          <w:p>
            <w:pPr>
              <w:jc w:val="center"/>
              <w:ind w:left="830"/>
              <w:spacing w:after="0"/>
              <w:rPr>
                <w:sz w:val="20"/>
                <w:szCs w:val="20"/>
                <w:color w:val="auto"/>
              </w:rPr>
            </w:pPr>
            <w:r>
              <w:rPr>
                <w:rFonts w:ascii="Arial" w:cs="Arial" w:eastAsia="Arial" w:hAnsi="Arial"/>
                <w:sz w:val="18"/>
                <w:szCs w:val="18"/>
                <w:color w:val="auto"/>
                <w:w w:val="91"/>
              </w:rPr>
              <w:t>150%</w:t>
            </w:r>
          </w:p>
        </w:tc>
        <w:tc>
          <w:tcPr>
            <w:tcW w:w="960" w:type="dxa"/>
            <w:vAlign w:val="bottom"/>
            <w:tcBorders>
              <w:right w:val="single" w:sz="8" w:color="008000"/>
            </w:tcBorders>
          </w:tcPr>
          <w:p>
            <w:pPr>
              <w:spacing w:after="0"/>
              <w:rPr>
                <w:sz w:val="20"/>
                <w:szCs w:val="20"/>
                <w:color w:val="auto"/>
              </w:rPr>
            </w:pPr>
          </w:p>
        </w:tc>
      </w:tr>
      <w:tr>
        <w:trPr>
          <w:trHeight w:val="27"/>
        </w:trPr>
        <w:tc>
          <w:tcPr>
            <w:tcW w:w="1120" w:type="dxa"/>
            <w:vAlign w:val="bottom"/>
            <w:tcBorders>
              <w:left w:val="single" w:sz="8" w:color="008000"/>
              <w:bottom w:val="single" w:sz="8" w:color="008000"/>
            </w:tcBorders>
          </w:tcPr>
          <w:p>
            <w:pPr>
              <w:spacing w:after="0"/>
              <w:rPr>
                <w:sz w:val="2"/>
                <w:szCs w:val="2"/>
                <w:color w:val="auto"/>
              </w:rPr>
            </w:pPr>
          </w:p>
        </w:tc>
        <w:tc>
          <w:tcPr>
            <w:tcW w:w="820" w:type="dxa"/>
            <w:vAlign w:val="bottom"/>
            <w:tcBorders>
              <w:bottom w:val="single" w:sz="8" w:color="008000"/>
            </w:tcBorders>
          </w:tcPr>
          <w:p>
            <w:pPr>
              <w:spacing w:after="0"/>
              <w:rPr>
                <w:sz w:val="2"/>
                <w:szCs w:val="2"/>
                <w:color w:val="auto"/>
              </w:rPr>
            </w:pPr>
          </w:p>
        </w:tc>
        <w:tc>
          <w:tcPr>
            <w:tcW w:w="1120" w:type="dxa"/>
            <w:vAlign w:val="bottom"/>
            <w:tcBorders>
              <w:bottom w:val="single" w:sz="8" w:color="008000"/>
              <w:right w:val="single" w:sz="8" w:color="008000"/>
            </w:tcBorders>
          </w:tcPr>
          <w:p>
            <w:pPr>
              <w:spacing w:after="0"/>
              <w:rPr>
                <w:sz w:val="2"/>
                <w:szCs w:val="2"/>
                <w:color w:val="auto"/>
              </w:rPr>
            </w:pPr>
          </w:p>
        </w:tc>
        <w:tc>
          <w:tcPr>
            <w:tcW w:w="520" w:type="dxa"/>
            <w:vAlign w:val="bottom"/>
            <w:tcBorders>
              <w:bottom w:val="single" w:sz="8" w:color="008000"/>
            </w:tcBorders>
          </w:tcPr>
          <w:p>
            <w:pPr>
              <w:spacing w:after="0"/>
              <w:rPr>
                <w:sz w:val="2"/>
                <w:szCs w:val="2"/>
                <w:color w:val="auto"/>
              </w:rPr>
            </w:pPr>
          </w:p>
        </w:tc>
        <w:tc>
          <w:tcPr>
            <w:tcW w:w="840" w:type="dxa"/>
            <w:vAlign w:val="bottom"/>
            <w:tcBorders>
              <w:bottom w:val="single" w:sz="8" w:color="008000"/>
            </w:tcBorders>
          </w:tcPr>
          <w:p>
            <w:pPr>
              <w:spacing w:after="0"/>
              <w:rPr>
                <w:sz w:val="2"/>
                <w:szCs w:val="2"/>
                <w:color w:val="auto"/>
              </w:rPr>
            </w:pPr>
          </w:p>
        </w:tc>
        <w:tc>
          <w:tcPr>
            <w:tcW w:w="540" w:type="dxa"/>
            <w:vAlign w:val="bottom"/>
            <w:tcBorders>
              <w:bottom w:val="single" w:sz="8" w:color="008000"/>
              <w:right w:val="single" w:sz="8" w:color="008000"/>
            </w:tcBorders>
          </w:tcPr>
          <w:p>
            <w:pPr>
              <w:spacing w:after="0"/>
              <w:rPr>
                <w:sz w:val="2"/>
                <w:szCs w:val="2"/>
                <w:color w:val="auto"/>
              </w:rPr>
            </w:pPr>
          </w:p>
        </w:tc>
        <w:tc>
          <w:tcPr>
            <w:tcW w:w="920" w:type="dxa"/>
            <w:vAlign w:val="bottom"/>
            <w:tcBorders>
              <w:bottom w:val="single" w:sz="8" w:color="008000"/>
            </w:tcBorders>
          </w:tcPr>
          <w:p>
            <w:pPr>
              <w:spacing w:after="0"/>
              <w:rPr>
                <w:sz w:val="2"/>
                <w:szCs w:val="2"/>
                <w:color w:val="auto"/>
              </w:rPr>
            </w:pPr>
          </w:p>
        </w:tc>
        <w:tc>
          <w:tcPr>
            <w:tcW w:w="780" w:type="dxa"/>
            <w:vAlign w:val="bottom"/>
            <w:tcBorders>
              <w:bottom w:val="single" w:sz="8" w:color="008000"/>
            </w:tcBorders>
          </w:tcPr>
          <w:p>
            <w:pPr>
              <w:spacing w:after="0"/>
              <w:rPr>
                <w:sz w:val="2"/>
                <w:szCs w:val="2"/>
                <w:color w:val="auto"/>
              </w:rPr>
            </w:pPr>
          </w:p>
        </w:tc>
        <w:tc>
          <w:tcPr>
            <w:tcW w:w="960" w:type="dxa"/>
            <w:vAlign w:val="bottom"/>
            <w:tcBorders>
              <w:bottom w:val="single" w:sz="8" w:color="008000"/>
              <w:right w:val="single" w:sz="8" w:color="008000"/>
            </w:tcBorders>
          </w:tcPr>
          <w:p>
            <w:pPr>
              <w:spacing w:after="0"/>
              <w:rPr>
                <w:sz w:val="2"/>
                <w:szCs w:val="2"/>
                <w:color w:val="auto"/>
              </w:rPr>
            </w:pPr>
          </w:p>
        </w:tc>
      </w:tr>
      <w:tr>
        <w:trPr>
          <w:trHeight w:val="237"/>
        </w:trPr>
        <w:tc>
          <w:tcPr>
            <w:tcW w:w="1940" w:type="dxa"/>
            <w:vAlign w:val="bottom"/>
            <w:tcBorders>
              <w:left w:val="single" w:sz="8" w:color="008000"/>
            </w:tcBorders>
            <w:gridSpan w:val="2"/>
          </w:tcPr>
          <w:p>
            <w:pPr>
              <w:jc w:val="center"/>
              <w:ind w:left="1030"/>
              <w:spacing w:after="0"/>
              <w:rPr>
                <w:sz w:val="20"/>
                <w:szCs w:val="20"/>
                <w:color w:val="auto"/>
              </w:rPr>
            </w:pPr>
            <w:r>
              <w:rPr>
                <w:rFonts w:ascii="Arial" w:cs="Arial" w:eastAsia="Arial" w:hAnsi="Arial"/>
                <w:sz w:val="18"/>
                <w:szCs w:val="18"/>
                <w:color w:val="auto"/>
                <w:w w:val="89"/>
              </w:rPr>
              <w:t>10</w:t>
            </w:r>
          </w:p>
        </w:tc>
        <w:tc>
          <w:tcPr>
            <w:tcW w:w="1120" w:type="dxa"/>
            <w:vAlign w:val="bottom"/>
            <w:tcBorders>
              <w:right w:val="single" w:sz="8" w:color="008000"/>
            </w:tcBorders>
          </w:tcPr>
          <w:p>
            <w:pPr>
              <w:spacing w:after="0"/>
              <w:rPr>
                <w:sz w:val="20"/>
                <w:szCs w:val="20"/>
                <w:color w:val="auto"/>
              </w:rPr>
            </w:pPr>
          </w:p>
        </w:tc>
        <w:tc>
          <w:tcPr>
            <w:tcW w:w="5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40" w:type="dxa"/>
            <w:vAlign w:val="bottom"/>
            <w:tcBorders>
              <w:right w:val="single" w:sz="8" w:color="008000"/>
            </w:tcBorders>
          </w:tcPr>
          <w:p>
            <w:pPr>
              <w:spacing w:after="0"/>
              <w:rPr>
                <w:sz w:val="20"/>
                <w:szCs w:val="20"/>
                <w:color w:val="auto"/>
              </w:rPr>
            </w:pPr>
          </w:p>
        </w:tc>
        <w:tc>
          <w:tcPr>
            <w:tcW w:w="1700" w:type="dxa"/>
            <w:vAlign w:val="bottom"/>
            <w:gridSpan w:val="2"/>
          </w:tcPr>
          <w:p>
            <w:pPr>
              <w:jc w:val="center"/>
              <w:ind w:left="830"/>
              <w:spacing w:after="0"/>
              <w:rPr>
                <w:sz w:val="20"/>
                <w:szCs w:val="20"/>
                <w:color w:val="auto"/>
              </w:rPr>
            </w:pPr>
            <w:r>
              <w:rPr>
                <w:rFonts w:ascii="Arial" w:cs="Arial" w:eastAsia="Arial" w:hAnsi="Arial"/>
                <w:sz w:val="18"/>
                <w:szCs w:val="18"/>
                <w:color w:val="auto"/>
                <w:w w:val="91"/>
              </w:rPr>
              <w:t>140%</w:t>
            </w:r>
          </w:p>
        </w:tc>
        <w:tc>
          <w:tcPr>
            <w:tcW w:w="960" w:type="dxa"/>
            <w:vAlign w:val="bottom"/>
            <w:tcBorders>
              <w:right w:val="single" w:sz="8" w:color="008000"/>
            </w:tcBorders>
          </w:tcPr>
          <w:p>
            <w:pPr>
              <w:spacing w:after="0"/>
              <w:rPr>
                <w:sz w:val="20"/>
                <w:szCs w:val="20"/>
                <w:color w:val="auto"/>
              </w:rPr>
            </w:pPr>
          </w:p>
        </w:tc>
      </w:tr>
      <w:tr>
        <w:trPr>
          <w:trHeight w:val="27"/>
        </w:trPr>
        <w:tc>
          <w:tcPr>
            <w:tcW w:w="1120" w:type="dxa"/>
            <w:vAlign w:val="bottom"/>
            <w:tcBorders>
              <w:left w:val="single" w:sz="8" w:color="008000"/>
              <w:bottom w:val="single" w:sz="8" w:color="008000"/>
            </w:tcBorders>
          </w:tcPr>
          <w:p>
            <w:pPr>
              <w:spacing w:after="0"/>
              <w:rPr>
                <w:sz w:val="2"/>
                <w:szCs w:val="2"/>
                <w:color w:val="auto"/>
              </w:rPr>
            </w:pPr>
          </w:p>
        </w:tc>
        <w:tc>
          <w:tcPr>
            <w:tcW w:w="820" w:type="dxa"/>
            <w:vAlign w:val="bottom"/>
            <w:tcBorders>
              <w:bottom w:val="single" w:sz="8" w:color="008000"/>
            </w:tcBorders>
          </w:tcPr>
          <w:p>
            <w:pPr>
              <w:spacing w:after="0"/>
              <w:rPr>
                <w:sz w:val="2"/>
                <w:szCs w:val="2"/>
                <w:color w:val="auto"/>
              </w:rPr>
            </w:pPr>
          </w:p>
        </w:tc>
        <w:tc>
          <w:tcPr>
            <w:tcW w:w="1120" w:type="dxa"/>
            <w:vAlign w:val="bottom"/>
            <w:tcBorders>
              <w:bottom w:val="single" w:sz="8" w:color="008000"/>
              <w:right w:val="single" w:sz="8" w:color="008000"/>
            </w:tcBorders>
          </w:tcPr>
          <w:p>
            <w:pPr>
              <w:spacing w:after="0"/>
              <w:rPr>
                <w:sz w:val="2"/>
                <w:szCs w:val="2"/>
                <w:color w:val="auto"/>
              </w:rPr>
            </w:pPr>
          </w:p>
        </w:tc>
        <w:tc>
          <w:tcPr>
            <w:tcW w:w="520" w:type="dxa"/>
            <w:vAlign w:val="bottom"/>
            <w:tcBorders>
              <w:bottom w:val="single" w:sz="8" w:color="008000"/>
            </w:tcBorders>
          </w:tcPr>
          <w:p>
            <w:pPr>
              <w:spacing w:after="0"/>
              <w:rPr>
                <w:sz w:val="2"/>
                <w:szCs w:val="2"/>
                <w:color w:val="auto"/>
              </w:rPr>
            </w:pPr>
          </w:p>
        </w:tc>
        <w:tc>
          <w:tcPr>
            <w:tcW w:w="840" w:type="dxa"/>
            <w:vAlign w:val="bottom"/>
            <w:tcBorders>
              <w:bottom w:val="single" w:sz="8" w:color="008000"/>
            </w:tcBorders>
          </w:tcPr>
          <w:p>
            <w:pPr>
              <w:spacing w:after="0"/>
              <w:rPr>
                <w:sz w:val="2"/>
                <w:szCs w:val="2"/>
                <w:color w:val="auto"/>
              </w:rPr>
            </w:pPr>
          </w:p>
        </w:tc>
        <w:tc>
          <w:tcPr>
            <w:tcW w:w="540" w:type="dxa"/>
            <w:vAlign w:val="bottom"/>
            <w:tcBorders>
              <w:bottom w:val="single" w:sz="8" w:color="008000"/>
              <w:right w:val="single" w:sz="8" w:color="008000"/>
            </w:tcBorders>
          </w:tcPr>
          <w:p>
            <w:pPr>
              <w:spacing w:after="0"/>
              <w:rPr>
                <w:sz w:val="2"/>
                <w:szCs w:val="2"/>
                <w:color w:val="auto"/>
              </w:rPr>
            </w:pPr>
          </w:p>
        </w:tc>
        <w:tc>
          <w:tcPr>
            <w:tcW w:w="920" w:type="dxa"/>
            <w:vAlign w:val="bottom"/>
            <w:tcBorders>
              <w:bottom w:val="single" w:sz="8" w:color="008000"/>
            </w:tcBorders>
          </w:tcPr>
          <w:p>
            <w:pPr>
              <w:spacing w:after="0"/>
              <w:rPr>
                <w:sz w:val="2"/>
                <w:szCs w:val="2"/>
                <w:color w:val="auto"/>
              </w:rPr>
            </w:pPr>
          </w:p>
        </w:tc>
        <w:tc>
          <w:tcPr>
            <w:tcW w:w="780" w:type="dxa"/>
            <w:vAlign w:val="bottom"/>
            <w:tcBorders>
              <w:bottom w:val="single" w:sz="8" w:color="008000"/>
            </w:tcBorders>
          </w:tcPr>
          <w:p>
            <w:pPr>
              <w:spacing w:after="0"/>
              <w:rPr>
                <w:sz w:val="2"/>
                <w:szCs w:val="2"/>
                <w:color w:val="auto"/>
              </w:rPr>
            </w:pPr>
          </w:p>
        </w:tc>
        <w:tc>
          <w:tcPr>
            <w:tcW w:w="960" w:type="dxa"/>
            <w:vAlign w:val="bottom"/>
            <w:tcBorders>
              <w:bottom w:val="single" w:sz="8" w:color="008000"/>
              <w:right w:val="single" w:sz="8" w:color="008000"/>
            </w:tcBorders>
          </w:tcPr>
          <w:p>
            <w:pPr>
              <w:spacing w:after="0"/>
              <w:rPr>
                <w:sz w:val="2"/>
                <w:szCs w:val="2"/>
                <w:color w:val="auto"/>
              </w:rPr>
            </w:pPr>
          </w:p>
        </w:tc>
      </w:tr>
      <w:tr>
        <w:trPr>
          <w:trHeight w:val="237"/>
        </w:trPr>
        <w:tc>
          <w:tcPr>
            <w:tcW w:w="1940" w:type="dxa"/>
            <w:vAlign w:val="bottom"/>
            <w:tcBorders>
              <w:left w:val="single" w:sz="8" w:color="008000"/>
            </w:tcBorders>
            <w:gridSpan w:val="2"/>
          </w:tcPr>
          <w:p>
            <w:pPr>
              <w:jc w:val="center"/>
              <w:ind w:left="1030"/>
              <w:spacing w:after="0"/>
              <w:rPr>
                <w:sz w:val="20"/>
                <w:szCs w:val="20"/>
                <w:color w:val="auto"/>
              </w:rPr>
            </w:pPr>
            <w:r>
              <w:rPr>
                <w:rFonts w:ascii="Arial" w:cs="Arial" w:eastAsia="Arial" w:hAnsi="Arial"/>
                <w:sz w:val="18"/>
                <w:szCs w:val="18"/>
                <w:color w:val="auto"/>
                <w:w w:val="89"/>
              </w:rPr>
              <w:t>11</w:t>
            </w:r>
          </w:p>
        </w:tc>
        <w:tc>
          <w:tcPr>
            <w:tcW w:w="1120" w:type="dxa"/>
            <w:vAlign w:val="bottom"/>
            <w:tcBorders>
              <w:right w:val="single" w:sz="8" w:color="008000"/>
            </w:tcBorders>
          </w:tcPr>
          <w:p>
            <w:pPr>
              <w:spacing w:after="0"/>
              <w:rPr>
                <w:sz w:val="20"/>
                <w:szCs w:val="20"/>
                <w:color w:val="auto"/>
              </w:rPr>
            </w:pPr>
          </w:p>
        </w:tc>
        <w:tc>
          <w:tcPr>
            <w:tcW w:w="5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40" w:type="dxa"/>
            <w:vAlign w:val="bottom"/>
            <w:tcBorders>
              <w:right w:val="single" w:sz="8" w:color="008000"/>
            </w:tcBorders>
          </w:tcPr>
          <w:p>
            <w:pPr>
              <w:spacing w:after="0"/>
              <w:rPr>
                <w:sz w:val="20"/>
                <w:szCs w:val="20"/>
                <w:color w:val="auto"/>
              </w:rPr>
            </w:pPr>
          </w:p>
        </w:tc>
        <w:tc>
          <w:tcPr>
            <w:tcW w:w="1700" w:type="dxa"/>
            <w:vAlign w:val="bottom"/>
            <w:gridSpan w:val="2"/>
          </w:tcPr>
          <w:p>
            <w:pPr>
              <w:jc w:val="center"/>
              <w:ind w:left="830"/>
              <w:spacing w:after="0"/>
              <w:rPr>
                <w:sz w:val="20"/>
                <w:szCs w:val="20"/>
                <w:color w:val="auto"/>
              </w:rPr>
            </w:pPr>
            <w:r>
              <w:rPr>
                <w:rFonts w:ascii="Arial" w:cs="Arial" w:eastAsia="Arial" w:hAnsi="Arial"/>
                <w:sz w:val="18"/>
                <w:szCs w:val="18"/>
                <w:color w:val="auto"/>
                <w:w w:val="91"/>
              </w:rPr>
              <w:t>130%</w:t>
            </w:r>
          </w:p>
        </w:tc>
        <w:tc>
          <w:tcPr>
            <w:tcW w:w="960" w:type="dxa"/>
            <w:vAlign w:val="bottom"/>
            <w:tcBorders>
              <w:right w:val="single" w:sz="8" w:color="008000"/>
            </w:tcBorders>
          </w:tcPr>
          <w:p>
            <w:pPr>
              <w:spacing w:after="0"/>
              <w:rPr>
                <w:sz w:val="20"/>
                <w:szCs w:val="20"/>
                <w:color w:val="auto"/>
              </w:rPr>
            </w:pPr>
          </w:p>
        </w:tc>
      </w:tr>
      <w:tr>
        <w:trPr>
          <w:trHeight w:val="27"/>
        </w:trPr>
        <w:tc>
          <w:tcPr>
            <w:tcW w:w="1120" w:type="dxa"/>
            <w:vAlign w:val="bottom"/>
            <w:tcBorders>
              <w:left w:val="single" w:sz="8" w:color="008000"/>
              <w:bottom w:val="single" w:sz="8" w:color="008000"/>
            </w:tcBorders>
          </w:tcPr>
          <w:p>
            <w:pPr>
              <w:spacing w:after="0"/>
              <w:rPr>
                <w:sz w:val="2"/>
                <w:szCs w:val="2"/>
                <w:color w:val="auto"/>
              </w:rPr>
            </w:pPr>
          </w:p>
        </w:tc>
        <w:tc>
          <w:tcPr>
            <w:tcW w:w="820" w:type="dxa"/>
            <w:vAlign w:val="bottom"/>
            <w:tcBorders>
              <w:bottom w:val="single" w:sz="8" w:color="008000"/>
            </w:tcBorders>
          </w:tcPr>
          <w:p>
            <w:pPr>
              <w:spacing w:after="0"/>
              <w:rPr>
                <w:sz w:val="2"/>
                <w:szCs w:val="2"/>
                <w:color w:val="auto"/>
              </w:rPr>
            </w:pPr>
          </w:p>
        </w:tc>
        <w:tc>
          <w:tcPr>
            <w:tcW w:w="1120" w:type="dxa"/>
            <w:vAlign w:val="bottom"/>
            <w:tcBorders>
              <w:bottom w:val="single" w:sz="8" w:color="008000"/>
              <w:right w:val="single" w:sz="8" w:color="008000"/>
            </w:tcBorders>
          </w:tcPr>
          <w:p>
            <w:pPr>
              <w:spacing w:after="0"/>
              <w:rPr>
                <w:sz w:val="2"/>
                <w:szCs w:val="2"/>
                <w:color w:val="auto"/>
              </w:rPr>
            </w:pPr>
          </w:p>
        </w:tc>
        <w:tc>
          <w:tcPr>
            <w:tcW w:w="520" w:type="dxa"/>
            <w:vAlign w:val="bottom"/>
            <w:tcBorders>
              <w:bottom w:val="single" w:sz="8" w:color="008000"/>
            </w:tcBorders>
          </w:tcPr>
          <w:p>
            <w:pPr>
              <w:spacing w:after="0"/>
              <w:rPr>
                <w:sz w:val="2"/>
                <w:szCs w:val="2"/>
                <w:color w:val="auto"/>
              </w:rPr>
            </w:pPr>
          </w:p>
        </w:tc>
        <w:tc>
          <w:tcPr>
            <w:tcW w:w="840" w:type="dxa"/>
            <w:vAlign w:val="bottom"/>
            <w:tcBorders>
              <w:bottom w:val="single" w:sz="8" w:color="008000"/>
            </w:tcBorders>
          </w:tcPr>
          <w:p>
            <w:pPr>
              <w:spacing w:after="0"/>
              <w:rPr>
                <w:sz w:val="2"/>
                <w:szCs w:val="2"/>
                <w:color w:val="auto"/>
              </w:rPr>
            </w:pPr>
          </w:p>
        </w:tc>
        <w:tc>
          <w:tcPr>
            <w:tcW w:w="540" w:type="dxa"/>
            <w:vAlign w:val="bottom"/>
            <w:tcBorders>
              <w:bottom w:val="single" w:sz="8" w:color="008000"/>
              <w:right w:val="single" w:sz="8" w:color="008000"/>
            </w:tcBorders>
          </w:tcPr>
          <w:p>
            <w:pPr>
              <w:spacing w:after="0"/>
              <w:rPr>
                <w:sz w:val="2"/>
                <w:szCs w:val="2"/>
                <w:color w:val="auto"/>
              </w:rPr>
            </w:pPr>
          </w:p>
        </w:tc>
        <w:tc>
          <w:tcPr>
            <w:tcW w:w="920" w:type="dxa"/>
            <w:vAlign w:val="bottom"/>
            <w:tcBorders>
              <w:bottom w:val="single" w:sz="8" w:color="008000"/>
            </w:tcBorders>
          </w:tcPr>
          <w:p>
            <w:pPr>
              <w:spacing w:after="0"/>
              <w:rPr>
                <w:sz w:val="2"/>
                <w:szCs w:val="2"/>
                <w:color w:val="auto"/>
              </w:rPr>
            </w:pPr>
          </w:p>
        </w:tc>
        <w:tc>
          <w:tcPr>
            <w:tcW w:w="780" w:type="dxa"/>
            <w:vAlign w:val="bottom"/>
            <w:tcBorders>
              <w:bottom w:val="single" w:sz="8" w:color="008000"/>
            </w:tcBorders>
          </w:tcPr>
          <w:p>
            <w:pPr>
              <w:spacing w:after="0"/>
              <w:rPr>
                <w:sz w:val="2"/>
                <w:szCs w:val="2"/>
                <w:color w:val="auto"/>
              </w:rPr>
            </w:pPr>
          </w:p>
        </w:tc>
        <w:tc>
          <w:tcPr>
            <w:tcW w:w="960" w:type="dxa"/>
            <w:vAlign w:val="bottom"/>
            <w:tcBorders>
              <w:bottom w:val="single" w:sz="8" w:color="008000"/>
              <w:right w:val="single" w:sz="8" w:color="008000"/>
            </w:tcBorders>
          </w:tcPr>
          <w:p>
            <w:pPr>
              <w:spacing w:after="0"/>
              <w:rPr>
                <w:sz w:val="2"/>
                <w:szCs w:val="2"/>
                <w:color w:val="auto"/>
              </w:rPr>
            </w:pPr>
          </w:p>
        </w:tc>
      </w:tr>
      <w:tr>
        <w:trPr>
          <w:trHeight w:val="237"/>
        </w:trPr>
        <w:tc>
          <w:tcPr>
            <w:tcW w:w="1940" w:type="dxa"/>
            <w:vAlign w:val="bottom"/>
            <w:tcBorders>
              <w:left w:val="single" w:sz="8" w:color="008000"/>
            </w:tcBorders>
            <w:gridSpan w:val="2"/>
          </w:tcPr>
          <w:p>
            <w:pPr>
              <w:jc w:val="center"/>
              <w:ind w:left="1030"/>
              <w:spacing w:after="0"/>
              <w:rPr>
                <w:sz w:val="20"/>
                <w:szCs w:val="20"/>
                <w:color w:val="auto"/>
              </w:rPr>
            </w:pPr>
            <w:r>
              <w:rPr>
                <w:rFonts w:ascii="Arial" w:cs="Arial" w:eastAsia="Arial" w:hAnsi="Arial"/>
                <w:sz w:val="18"/>
                <w:szCs w:val="18"/>
                <w:color w:val="auto"/>
                <w:w w:val="89"/>
              </w:rPr>
              <w:t>12</w:t>
            </w:r>
          </w:p>
        </w:tc>
        <w:tc>
          <w:tcPr>
            <w:tcW w:w="1120" w:type="dxa"/>
            <w:vAlign w:val="bottom"/>
            <w:tcBorders>
              <w:right w:val="single" w:sz="8" w:color="008000"/>
            </w:tcBorders>
          </w:tcPr>
          <w:p>
            <w:pPr>
              <w:spacing w:after="0"/>
              <w:rPr>
                <w:sz w:val="20"/>
                <w:szCs w:val="20"/>
                <w:color w:val="auto"/>
              </w:rPr>
            </w:pPr>
          </w:p>
        </w:tc>
        <w:tc>
          <w:tcPr>
            <w:tcW w:w="5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40" w:type="dxa"/>
            <w:vAlign w:val="bottom"/>
            <w:tcBorders>
              <w:right w:val="single" w:sz="8" w:color="008000"/>
            </w:tcBorders>
          </w:tcPr>
          <w:p>
            <w:pPr>
              <w:spacing w:after="0"/>
              <w:rPr>
                <w:sz w:val="20"/>
                <w:szCs w:val="20"/>
                <w:color w:val="auto"/>
              </w:rPr>
            </w:pPr>
          </w:p>
        </w:tc>
        <w:tc>
          <w:tcPr>
            <w:tcW w:w="1700" w:type="dxa"/>
            <w:vAlign w:val="bottom"/>
            <w:gridSpan w:val="2"/>
          </w:tcPr>
          <w:p>
            <w:pPr>
              <w:jc w:val="center"/>
              <w:ind w:left="830"/>
              <w:spacing w:after="0"/>
              <w:rPr>
                <w:sz w:val="20"/>
                <w:szCs w:val="20"/>
                <w:color w:val="auto"/>
              </w:rPr>
            </w:pPr>
            <w:r>
              <w:rPr>
                <w:rFonts w:ascii="Arial" w:cs="Arial" w:eastAsia="Arial" w:hAnsi="Arial"/>
                <w:sz w:val="18"/>
                <w:szCs w:val="18"/>
                <w:color w:val="auto"/>
                <w:w w:val="91"/>
              </w:rPr>
              <w:t>120%</w:t>
            </w:r>
          </w:p>
        </w:tc>
        <w:tc>
          <w:tcPr>
            <w:tcW w:w="960" w:type="dxa"/>
            <w:vAlign w:val="bottom"/>
            <w:tcBorders>
              <w:right w:val="single" w:sz="8" w:color="008000"/>
            </w:tcBorders>
          </w:tcPr>
          <w:p>
            <w:pPr>
              <w:spacing w:after="0"/>
              <w:rPr>
                <w:sz w:val="20"/>
                <w:szCs w:val="20"/>
                <w:color w:val="auto"/>
              </w:rPr>
            </w:pPr>
          </w:p>
        </w:tc>
      </w:tr>
      <w:tr>
        <w:trPr>
          <w:trHeight w:val="27"/>
        </w:trPr>
        <w:tc>
          <w:tcPr>
            <w:tcW w:w="1120" w:type="dxa"/>
            <w:vAlign w:val="bottom"/>
            <w:tcBorders>
              <w:left w:val="single" w:sz="8" w:color="008000"/>
              <w:bottom w:val="single" w:sz="8" w:color="008000"/>
            </w:tcBorders>
          </w:tcPr>
          <w:p>
            <w:pPr>
              <w:spacing w:after="0"/>
              <w:rPr>
                <w:sz w:val="2"/>
                <w:szCs w:val="2"/>
                <w:color w:val="auto"/>
              </w:rPr>
            </w:pPr>
          </w:p>
        </w:tc>
        <w:tc>
          <w:tcPr>
            <w:tcW w:w="820" w:type="dxa"/>
            <w:vAlign w:val="bottom"/>
            <w:tcBorders>
              <w:bottom w:val="single" w:sz="8" w:color="008000"/>
            </w:tcBorders>
          </w:tcPr>
          <w:p>
            <w:pPr>
              <w:spacing w:after="0"/>
              <w:rPr>
                <w:sz w:val="2"/>
                <w:szCs w:val="2"/>
                <w:color w:val="auto"/>
              </w:rPr>
            </w:pPr>
          </w:p>
        </w:tc>
        <w:tc>
          <w:tcPr>
            <w:tcW w:w="1120" w:type="dxa"/>
            <w:vAlign w:val="bottom"/>
            <w:tcBorders>
              <w:bottom w:val="single" w:sz="8" w:color="008000"/>
              <w:right w:val="single" w:sz="8" w:color="008000"/>
            </w:tcBorders>
          </w:tcPr>
          <w:p>
            <w:pPr>
              <w:spacing w:after="0"/>
              <w:rPr>
                <w:sz w:val="2"/>
                <w:szCs w:val="2"/>
                <w:color w:val="auto"/>
              </w:rPr>
            </w:pPr>
          </w:p>
        </w:tc>
        <w:tc>
          <w:tcPr>
            <w:tcW w:w="520" w:type="dxa"/>
            <w:vAlign w:val="bottom"/>
            <w:tcBorders>
              <w:bottom w:val="single" w:sz="8" w:color="008000"/>
            </w:tcBorders>
          </w:tcPr>
          <w:p>
            <w:pPr>
              <w:spacing w:after="0"/>
              <w:rPr>
                <w:sz w:val="2"/>
                <w:szCs w:val="2"/>
                <w:color w:val="auto"/>
              </w:rPr>
            </w:pPr>
          </w:p>
        </w:tc>
        <w:tc>
          <w:tcPr>
            <w:tcW w:w="840" w:type="dxa"/>
            <w:vAlign w:val="bottom"/>
            <w:tcBorders>
              <w:bottom w:val="single" w:sz="8" w:color="008000"/>
            </w:tcBorders>
          </w:tcPr>
          <w:p>
            <w:pPr>
              <w:spacing w:after="0"/>
              <w:rPr>
                <w:sz w:val="2"/>
                <w:szCs w:val="2"/>
                <w:color w:val="auto"/>
              </w:rPr>
            </w:pPr>
          </w:p>
        </w:tc>
        <w:tc>
          <w:tcPr>
            <w:tcW w:w="540" w:type="dxa"/>
            <w:vAlign w:val="bottom"/>
            <w:tcBorders>
              <w:bottom w:val="single" w:sz="8" w:color="008000"/>
              <w:right w:val="single" w:sz="8" w:color="008000"/>
            </w:tcBorders>
          </w:tcPr>
          <w:p>
            <w:pPr>
              <w:spacing w:after="0"/>
              <w:rPr>
                <w:sz w:val="2"/>
                <w:szCs w:val="2"/>
                <w:color w:val="auto"/>
              </w:rPr>
            </w:pPr>
          </w:p>
        </w:tc>
        <w:tc>
          <w:tcPr>
            <w:tcW w:w="920" w:type="dxa"/>
            <w:vAlign w:val="bottom"/>
            <w:tcBorders>
              <w:bottom w:val="single" w:sz="8" w:color="008000"/>
            </w:tcBorders>
          </w:tcPr>
          <w:p>
            <w:pPr>
              <w:spacing w:after="0"/>
              <w:rPr>
                <w:sz w:val="2"/>
                <w:szCs w:val="2"/>
                <w:color w:val="auto"/>
              </w:rPr>
            </w:pPr>
          </w:p>
        </w:tc>
        <w:tc>
          <w:tcPr>
            <w:tcW w:w="780" w:type="dxa"/>
            <w:vAlign w:val="bottom"/>
            <w:tcBorders>
              <w:bottom w:val="single" w:sz="8" w:color="008000"/>
            </w:tcBorders>
          </w:tcPr>
          <w:p>
            <w:pPr>
              <w:spacing w:after="0"/>
              <w:rPr>
                <w:sz w:val="2"/>
                <w:szCs w:val="2"/>
                <w:color w:val="auto"/>
              </w:rPr>
            </w:pPr>
          </w:p>
        </w:tc>
        <w:tc>
          <w:tcPr>
            <w:tcW w:w="960" w:type="dxa"/>
            <w:vAlign w:val="bottom"/>
            <w:tcBorders>
              <w:bottom w:val="single" w:sz="8" w:color="008000"/>
              <w:right w:val="single" w:sz="8" w:color="008000"/>
            </w:tcBorders>
          </w:tcPr>
          <w:p>
            <w:pPr>
              <w:spacing w:after="0"/>
              <w:rPr>
                <w:sz w:val="2"/>
                <w:szCs w:val="2"/>
                <w:color w:val="auto"/>
              </w:rPr>
            </w:pPr>
          </w:p>
        </w:tc>
      </w:tr>
      <w:tr>
        <w:trPr>
          <w:trHeight w:val="237"/>
        </w:trPr>
        <w:tc>
          <w:tcPr>
            <w:tcW w:w="1940" w:type="dxa"/>
            <w:vAlign w:val="bottom"/>
            <w:tcBorders>
              <w:left w:val="single" w:sz="8" w:color="008000"/>
            </w:tcBorders>
            <w:gridSpan w:val="2"/>
          </w:tcPr>
          <w:p>
            <w:pPr>
              <w:jc w:val="center"/>
              <w:ind w:left="1030"/>
              <w:spacing w:after="0"/>
              <w:rPr>
                <w:sz w:val="20"/>
                <w:szCs w:val="20"/>
                <w:color w:val="auto"/>
              </w:rPr>
            </w:pPr>
            <w:r>
              <w:rPr>
                <w:rFonts w:ascii="Arial" w:cs="Arial" w:eastAsia="Arial" w:hAnsi="Arial"/>
                <w:sz w:val="18"/>
                <w:szCs w:val="18"/>
                <w:color w:val="auto"/>
                <w:w w:val="89"/>
              </w:rPr>
              <w:t>13</w:t>
            </w:r>
          </w:p>
        </w:tc>
        <w:tc>
          <w:tcPr>
            <w:tcW w:w="1120" w:type="dxa"/>
            <w:vAlign w:val="bottom"/>
            <w:tcBorders>
              <w:right w:val="single" w:sz="8" w:color="008000"/>
            </w:tcBorders>
          </w:tcPr>
          <w:p>
            <w:pPr>
              <w:spacing w:after="0"/>
              <w:rPr>
                <w:sz w:val="20"/>
                <w:szCs w:val="20"/>
                <w:color w:val="auto"/>
              </w:rPr>
            </w:pPr>
          </w:p>
        </w:tc>
        <w:tc>
          <w:tcPr>
            <w:tcW w:w="5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40" w:type="dxa"/>
            <w:vAlign w:val="bottom"/>
            <w:tcBorders>
              <w:right w:val="single" w:sz="8" w:color="008000"/>
            </w:tcBorders>
          </w:tcPr>
          <w:p>
            <w:pPr>
              <w:spacing w:after="0"/>
              <w:rPr>
                <w:sz w:val="20"/>
                <w:szCs w:val="20"/>
                <w:color w:val="auto"/>
              </w:rPr>
            </w:pPr>
          </w:p>
        </w:tc>
        <w:tc>
          <w:tcPr>
            <w:tcW w:w="1700" w:type="dxa"/>
            <w:vAlign w:val="bottom"/>
            <w:gridSpan w:val="2"/>
          </w:tcPr>
          <w:p>
            <w:pPr>
              <w:jc w:val="center"/>
              <w:ind w:left="830"/>
              <w:spacing w:after="0"/>
              <w:rPr>
                <w:sz w:val="20"/>
                <w:szCs w:val="20"/>
                <w:color w:val="auto"/>
              </w:rPr>
            </w:pPr>
            <w:r>
              <w:rPr>
                <w:rFonts w:ascii="Arial" w:cs="Arial" w:eastAsia="Arial" w:hAnsi="Arial"/>
                <w:sz w:val="18"/>
                <w:szCs w:val="18"/>
                <w:color w:val="auto"/>
                <w:w w:val="91"/>
              </w:rPr>
              <w:t>110%</w:t>
            </w:r>
          </w:p>
        </w:tc>
        <w:tc>
          <w:tcPr>
            <w:tcW w:w="960" w:type="dxa"/>
            <w:vAlign w:val="bottom"/>
            <w:tcBorders>
              <w:right w:val="single" w:sz="8" w:color="008000"/>
            </w:tcBorders>
          </w:tcPr>
          <w:p>
            <w:pPr>
              <w:spacing w:after="0"/>
              <w:rPr>
                <w:sz w:val="20"/>
                <w:szCs w:val="20"/>
                <w:color w:val="auto"/>
              </w:rPr>
            </w:pPr>
          </w:p>
        </w:tc>
      </w:tr>
      <w:tr>
        <w:trPr>
          <w:trHeight w:val="27"/>
        </w:trPr>
        <w:tc>
          <w:tcPr>
            <w:tcW w:w="1120" w:type="dxa"/>
            <w:vAlign w:val="bottom"/>
            <w:tcBorders>
              <w:left w:val="single" w:sz="8" w:color="008000"/>
              <w:bottom w:val="single" w:sz="8" w:color="008000"/>
            </w:tcBorders>
          </w:tcPr>
          <w:p>
            <w:pPr>
              <w:spacing w:after="0"/>
              <w:rPr>
                <w:sz w:val="2"/>
                <w:szCs w:val="2"/>
                <w:color w:val="auto"/>
              </w:rPr>
            </w:pPr>
          </w:p>
        </w:tc>
        <w:tc>
          <w:tcPr>
            <w:tcW w:w="820" w:type="dxa"/>
            <w:vAlign w:val="bottom"/>
            <w:tcBorders>
              <w:bottom w:val="single" w:sz="8" w:color="008000"/>
            </w:tcBorders>
          </w:tcPr>
          <w:p>
            <w:pPr>
              <w:spacing w:after="0"/>
              <w:rPr>
                <w:sz w:val="2"/>
                <w:szCs w:val="2"/>
                <w:color w:val="auto"/>
              </w:rPr>
            </w:pPr>
          </w:p>
        </w:tc>
        <w:tc>
          <w:tcPr>
            <w:tcW w:w="1120" w:type="dxa"/>
            <w:vAlign w:val="bottom"/>
            <w:tcBorders>
              <w:bottom w:val="single" w:sz="8" w:color="008000"/>
              <w:right w:val="single" w:sz="8" w:color="008000"/>
            </w:tcBorders>
          </w:tcPr>
          <w:p>
            <w:pPr>
              <w:spacing w:after="0"/>
              <w:rPr>
                <w:sz w:val="2"/>
                <w:szCs w:val="2"/>
                <w:color w:val="auto"/>
              </w:rPr>
            </w:pPr>
          </w:p>
        </w:tc>
        <w:tc>
          <w:tcPr>
            <w:tcW w:w="520" w:type="dxa"/>
            <w:vAlign w:val="bottom"/>
            <w:tcBorders>
              <w:bottom w:val="single" w:sz="8" w:color="008000"/>
            </w:tcBorders>
          </w:tcPr>
          <w:p>
            <w:pPr>
              <w:spacing w:after="0"/>
              <w:rPr>
                <w:sz w:val="2"/>
                <w:szCs w:val="2"/>
                <w:color w:val="auto"/>
              </w:rPr>
            </w:pPr>
          </w:p>
        </w:tc>
        <w:tc>
          <w:tcPr>
            <w:tcW w:w="840" w:type="dxa"/>
            <w:vAlign w:val="bottom"/>
            <w:tcBorders>
              <w:bottom w:val="single" w:sz="8" w:color="008000"/>
            </w:tcBorders>
          </w:tcPr>
          <w:p>
            <w:pPr>
              <w:spacing w:after="0"/>
              <w:rPr>
                <w:sz w:val="2"/>
                <w:szCs w:val="2"/>
                <w:color w:val="auto"/>
              </w:rPr>
            </w:pPr>
          </w:p>
        </w:tc>
        <w:tc>
          <w:tcPr>
            <w:tcW w:w="540" w:type="dxa"/>
            <w:vAlign w:val="bottom"/>
            <w:tcBorders>
              <w:bottom w:val="single" w:sz="8" w:color="008000"/>
              <w:right w:val="single" w:sz="8" w:color="008000"/>
            </w:tcBorders>
          </w:tcPr>
          <w:p>
            <w:pPr>
              <w:spacing w:after="0"/>
              <w:rPr>
                <w:sz w:val="2"/>
                <w:szCs w:val="2"/>
                <w:color w:val="auto"/>
              </w:rPr>
            </w:pPr>
          </w:p>
        </w:tc>
        <w:tc>
          <w:tcPr>
            <w:tcW w:w="920" w:type="dxa"/>
            <w:vAlign w:val="bottom"/>
            <w:tcBorders>
              <w:bottom w:val="single" w:sz="8" w:color="008000"/>
            </w:tcBorders>
          </w:tcPr>
          <w:p>
            <w:pPr>
              <w:spacing w:after="0"/>
              <w:rPr>
                <w:sz w:val="2"/>
                <w:szCs w:val="2"/>
                <w:color w:val="auto"/>
              </w:rPr>
            </w:pPr>
          </w:p>
        </w:tc>
        <w:tc>
          <w:tcPr>
            <w:tcW w:w="780" w:type="dxa"/>
            <w:vAlign w:val="bottom"/>
            <w:tcBorders>
              <w:bottom w:val="single" w:sz="8" w:color="008000"/>
            </w:tcBorders>
          </w:tcPr>
          <w:p>
            <w:pPr>
              <w:spacing w:after="0"/>
              <w:rPr>
                <w:sz w:val="2"/>
                <w:szCs w:val="2"/>
                <w:color w:val="auto"/>
              </w:rPr>
            </w:pPr>
          </w:p>
        </w:tc>
        <w:tc>
          <w:tcPr>
            <w:tcW w:w="960" w:type="dxa"/>
            <w:vAlign w:val="bottom"/>
            <w:tcBorders>
              <w:bottom w:val="single" w:sz="8" w:color="008000"/>
              <w:right w:val="single" w:sz="8" w:color="008000"/>
            </w:tcBorders>
          </w:tcPr>
          <w:p>
            <w:pPr>
              <w:spacing w:after="0"/>
              <w:rPr>
                <w:sz w:val="2"/>
                <w:szCs w:val="2"/>
                <w:color w:val="auto"/>
              </w:rPr>
            </w:pPr>
          </w:p>
        </w:tc>
      </w:tr>
      <w:tr>
        <w:trPr>
          <w:trHeight w:val="237"/>
        </w:trPr>
        <w:tc>
          <w:tcPr>
            <w:tcW w:w="1940" w:type="dxa"/>
            <w:vAlign w:val="bottom"/>
            <w:tcBorders>
              <w:left w:val="single" w:sz="8" w:color="008000"/>
            </w:tcBorders>
            <w:gridSpan w:val="2"/>
          </w:tcPr>
          <w:p>
            <w:pPr>
              <w:jc w:val="center"/>
              <w:ind w:left="1030"/>
              <w:spacing w:after="0"/>
              <w:rPr>
                <w:sz w:val="20"/>
                <w:szCs w:val="20"/>
                <w:color w:val="auto"/>
              </w:rPr>
            </w:pPr>
            <w:r>
              <w:rPr>
                <w:rFonts w:ascii="Arial" w:cs="Arial" w:eastAsia="Arial" w:hAnsi="Arial"/>
                <w:sz w:val="18"/>
                <w:szCs w:val="18"/>
                <w:color w:val="auto"/>
                <w:w w:val="89"/>
              </w:rPr>
              <w:t>14</w:t>
            </w:r>
          </w:p>
        </w:tc>
        <w:tc>
          <w:tcPr>
            <w:tcW w:w="1120" w:type="dxa"/>
            <w:vAlign w:val="bottom"/>
            <w:tcBorders>
              <w:right w:val="single" w:sz="8" w:color="008000"/>
            </w:tcBorders>
          </w:tcPr>
          <w:p>
            <w:pPr>
              <w:spacing w:after="0"/>
              <w:rPr>
                <w:sz w:val="20"/>
                <w:szCs w:val="20"/>
                <w:color w:val="auto"/>
              </w:rPr>
            </w:pPr>
          </w:p>
        </w:tc>
        <w:tc>
          <w:tcPr>
            <w:tcW w:w="520" w:type="dxa"/>
            <w:vAlign w:val="bottom"/>
          </w:tcPr>
          <w:p>
            <w:pPr>
              <w:spacing w:after="0"/>
              <w:rPr>
                <w:sz w:val="20"/>
                <w:szCs w:val="20"/>
                <w:color w:val="auto"/>
              </w:rPr>
            </w:pPr>
          </w:p>
        </w:tc>
        <w:tc>
          <w:tcPr>
            <w:tcW w:w="1380" w:type="dxa"/>
            <w:vAlign w:val="bottom"/>
            <w:tcBorders>
              <w:right w:val="single" w:sz="8" w:color="008000"/>
            </w:tcBorders>
            <w:gridSpan w:val="2"/>
          </w:tcPr>
          <w:p>
            <w:pPr>
              <w:jc w:val="center"/>
              <w:ind w:right="560"/>
              <w:spacing w:after="0"/>
              <w:rPr>
                <w:sz w:val="20"/>
                <w:szCs w:val="20"/>
                <w:color w:val="auto"/>
              </w:rPr>
            </w:pPr>
            <w:r>
              <w:rPr>
                <w:rFonts w:ascii="Arial" w:cs="Arial" w:eastAsia="Arial" w:hAnsi="Arial"/>
                <w:sz w:val="18"/>
                <w:szCs w:val="18"/>
                <w:color w:val="auto"/>
                <w:w w:val="88"/>
              </w:rPr>
              <w:t>Target</w:t>
            </w:r>
          </w:p>
        </w:tc>
        <w:tc>
          <w:tcPr>
            <w:tcW w:w="1700" w:type="dxa"/>
            <w:vAlign w:val="bottom"/>
            <w:gridSpan w:val="2"/>
          </w:tcPr>
          <w:p>
            <w:pPr>
              <w:jc w:val="center"/>
              <w:ind w:left="830"/>
              <w:spacing w:after="0"/>
              <w:rPr>
                <w:sz w:val="20"/>
                <w:szCs w:val="20"/>
                <w:color w:val="auto"/>
              </w:rPr>
            </w:pPr>
            <w:r>
              <w:rPr>
                <w:rFonts w:ascii="Arial" w:cs="Arial" w:eastAsia="Arial" w:hAnsi="Arial"/>
                <w:sz w:val="18"/>
                <w:szCs w:val="18"/>
                <w:color w:val="auto"/>
                <w:w w:val="91"/>
              </w:rPr>
              <w:t>100%</w:t>
            </w:r>
          </w:p>
        </w:tc>
        <w:tc>
          <w:tcPr>
            <w:tcW w:w="960" w:type="dxa"/>
            <w:vAlign w:val="bottom"/>
            <w:tcBorders>
              <w:right w:val="single" w:sz="8" w:color="008000"/>
            </w:tcBorders>
          </w:tcPr>
          <w:p>
            <w:pPr>
              <w:spacing w:after="0"/>
              <w:rPr>
                <w:sz w:val="20"/>
                <w:szCs w:val="20"/>
                <w:color w:val="auto"/>
              </w:rPr>
            </w:pPr>
          </w:p>
        </w:tc>
      </w:tr>
      <w:tr>
        <w:trPr>
          <w:trHeight w:val="27"/>
        </w:trPr>
        <w:tc>
          <w:tcPr>
            <w:tcW w:w="1120" w:type="dxa"/>
            <w:vAlign w:val="bottom"/>
            <w:tcBorders>
              <w:left w:val="single" w:sz="8" w:color="008000"/>
              <w:bottom w:val="single" w:sz="8" w:color="008000"/>
            </w:tcBorders>
          </w:tcPr>
          <w:p>
            <w:pPr>
              <w:spacing w:after="0"/>
              <w:rPr>
                <w:sz w:val="2"/>
                <w:szCs w:val="2"/>
                <w:color w:val="auto"/>
              </w:rPr>
            </w:pPr>
          </w:p>
        </w:tc>
        <w:tc>
          <w:tcPr>
            <w:tcW w:w="820" w:type="dxa"/>
            <w:vAlign w:val="bottom"/>
            <w:tcBorders>
              <w:bottom w:val="single" w:sz="8" w:color="008000"/>
            </w:tcBorders>
          </w:tcPr>
          <w:p>
            <w:pPr>
              <w:spacing w:after="0"/>
              <w:rPr>
                <w:sz w:val="2"/>
                <w:szCs w:val="2"/>
                <w:color w:val="auto"/>
              </w:rPr>
            </w:pPr>
          </w:p>
        </w:tc>
        <w:tc>
          <w:tcPr>
            <w:tcW w:w="1120" w:type="dxa"/>
            <w:vAlign w:val="bottom"/>
            <w:tcBorders>
              <w:bottom w:val="single" w:sz="8" w:color="008000"/>
              <w:right w:val="single" w:sz="8" w:color="008000"/>
            </w:tcBorders>
          </w:tcPr>
          <w:p>
            <w:pPr>
              <w:spacing w:after="0"/>
              <w:rPr>
                <w:sz w:val="2"/>
                <w:szCs w:val="2"/>
                <w:color w:val="auto"/>
              </w:rPr>
            </w:pPr>
          </w:p>
        </w:tc>
        <w:tc>
          <w:tcPr>
            <w:tcW w:w="520" w:type="dxa"/>
            <w:vAlign w:val="bottom"/>
            <w:tcBorders>
              <w:bottom w:val="single" w:sz="8" w:color="008000"/>
            </w:tcBorders>
          </w:tcPr>
          <w:p>
            <w:pPr>
              <w:spacing w:after="0"/>
              <w:rPr>
                <w:sz w:val="2"/>
                <w:szCs w:val="2"/>
                <w:color w:val="auto"/>
              </w:rPr>
            </w:pPr>
          </w:p>
        </w:tc>
        <w:tc>
          <w:tcPr>
            <w:tcW w:w="840" w:type="dxa"/>
            <w:vAlign w:val="bottom"/>
            <w:tcBorders>
              <w:bottom w:val="single" w:sz="8" w:color="008000"/>
            </w:tcBorders>
          </w:tcPr>
          <w:p>
            <w:pPr>
              <w:spacing w:after="0"/>
              <w:rPr>
                <w:sz w:val="2"/>
                <w:szCs w:val="2"/>
                <w:color w:val="auto"/>
              </w:rPr>
            </w:pPr>
          </w:p>
        </w:tc>
        <w:tc>
          <w:tcPr>
            <w:tcW w:w="540" w:type="dxa"/>
            <w:vAlign w:val="bottom"/>
            <w:tcBorders>
              <w:bottom w:val="single" w:sz="8" w:color="008000"/>
              <w:right w:val="single" w:sz="8" w:color="008000"/>
            </w:tcBorders>
          </w:tcPr>
          <w:p>
            <w:pPr>
              <w:spacing w:after="0"/>
              <w:rPr>
                <w:sz w:val="2"/>
                <w:szCs w:val="2"/>
                <w:color w:val="auto"/>
              </w:rPr>
            </w:pPr>
          </w:p>
        </w:tc>
        <w:tc>
          <w:tcPr>
            <w:tcW w:w="920" w:type="dxa"/>
            <w:vAlign w:val="bottom"/>
            <w:tcBorders>
              <w:bottom w:val="single" w:sz="8" w:color="008000"/>
            </w:tcBorders>
          </w:tcPr>
          <w:p>
            <w:pPr>
              <w:spacing w:after="0"/>
              <w:rPr>
                <w:sz w:val="2"/>
                <w:szCs w:val="2"/>
                <w:color w:val="auto"/>
              </w:rPr>
            </w:pPr>
          </w:p>
        </w:tc>
        <w:tc>
          <w:tcPr>
            <w:tcW w:w="780" w:type="dxa"/>
            <w:vAlign w:val="bottom"/>
            <w:tcBorders>
              <w:bottom w:val="single" w:sz="8" w:color="008000"/>
            </w:tcBorders>
          </w:tcPr>
          <w:p>
            <w:pPr>
              <w:spacing w:after="0"/>
              <w:rPr>
                <w:sz w:val="2"/>
                <w:szCs w:val="2"/>
                <w:color w:val="auto"/>
              </w:rPr>
            </w:pPr>
          </w:p>
        </w:tc>
        <w:tc>
          <w:tcPr>
            <w:tcW w:w="960" w:type="dxa"/>
            <w:vAlign w:val="bottom"/>
            <w:tcBorders>
              <w:bottom w:val="single" w:sz="8" w:color="008000"/>
              <w:right w:val="single" w:sz="8" w:color="008000"/>
            </w:tcBorders>
          </w:tcPr>
          <w:p>
            <w:pPr>
              <w:spacing w:after="0"/>
              <w:rPr>
                <w:sz w:val="2"/>
                <w:szCs w:val="2"/>
                <w:color w:val="auto"/>
              </w:rPr>
            </w:pPr>
          </w:p>
        </w:tc>
      </w:tr>
      <w:tr>
        <w:trPr>
          <w:trHeight w:val="237"/>
        </w:trPr>
        <w:tc>
          <w:tcPr>
            <w:tcW w:w="1940" w:type="dxa"/>
            <w:vAlign w:val="bottom"/>
            <w:tcBorders>
              <w:left w:val="single" w:sz="8" w:color="008000"/>
            </w:tcBorders>
            <w:gridSpan w:val="2"/>
          </w:tcPr>
          <w:p>
            <w:pPr>
              <w:jc w:val="center"/>
              <w:ind w:left="1030"/>
              <w:spacing w:after="0"/>
              <w:rPr>
                <w:sz w:val="20"/>
                <w:szCs w:val="20"/>
                <w:color w:val="auto"/>
              </w:rPr>
            </w:pPr>
            <w:r>
              <w:rPr>
                <w:rFonts w:ascii="Arial" w:cs="Arial" w:eastAsia="Arial" w:hAnsi="Arial"/>
                <w:sz w:val="18"/>
                <w:szCs w:val="18"/>
                <w:color w:val="auto"/>
                <w:w w:val="89"/>
              </w:rPr>
              <w:t>15</w:t>
            </w:r>
          </w:p>
        </w:tc>
        <w:tc>
          <w:tcPr>
            <w:tcW w:w="1120" w:type="dxa"/>
            <w:vAlign w:val="bottom"/>
            <w:tcBorders>
              <w:right w:val="single" w:sz="8" w:color="008000"/>
            </w:tcBorders>
          </w:tcPr>
          <w:p>
            <w:pPr>
              <w:spacing w:after="0"/>
              <w:rPr>
                <w:sz w:val="20"/>
                <w:szCs w:val="20"/>
                <w:color w:val="auto"/>
              </w:rPr>
            </w:pPr>
          </w:p>
        </w:tc>
        <w:tc>
          <w:tcPr>
            <w:tcW w:w="5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40" w:type="dxa"/>
            <w:vAlign w:val="bottom"/>
            <w:tcBorders>
              <w:right w:val="single" w:sz="8" w:color="008000"/>
            </w:tcBorders>
          </w:tcPr>
          <w:p>
            <w:pPr>
              <w:spacing w:after="0"/>
              <w:rPr>
                <w:sz w:val="20"/>
                <w:szCs w:val="20"/>
                <w:color w:val="auto"/>
              </w:rPr>
            </w:pPr>
          </w:p>
        </w:tc>
        <w:tc>
          <w:tcPr>
            <w:tcW w:w="1700" w:type="dxa"/>
            <w:vAlign w:val="bottom"/>
            <w:gridSpan w:val="2"/>
          </w:tcPr>
          <w:p>
            <w:pPr>
              <w:jc w:val="center"/>
              <w:ind w:left="830"/>
              <w:spacing w:after="0"/>
              <w:rPr>
                <w:sz w:val="20"/>
                <w:szCs w:val="20"/>
                <w:color w:val="auto"/>
              </w:rPr>
            </w:pPr>
            <w:r>
              <w:rPr>
                <w:rFonts w:ascii="Arial" w:cs="Arial" w:eastAsia="Arial" w:hAnsi="Arial"/>
                <w:sz w:val="18"/>
                <w:szCs w:val="18"/>
                <w:color w:val="auto"/>
                <w:w w:val="94"/>
              </w:rPr>
              <w:t>90%</w:t>
            </w:r>
          </w:p>
        </w:tc>
        <w:tc>
          <w:tcPr>
            <w:tcW w:w="960" w:type="dxa"/>
            <w:vAlign w:val="bottom"/>
            <w:tcBorders>
              <w:right w:val="single" w:sz="8" w:color="008000"/>
            </w:tcBorders>
          </w:tcPr>
          <w:p>
            <w:pPr>
              <w:spacing w:after="0"/>
              <w:rPr>
                <w:sz w:val="20"/>
                <w:szCs w:val="20"/>
                <w:color w:val="auto"/>
              </w:rPr>
            </w:pPr>
          </w:p>
        </w:tc>
      </w:tr>
      <w:tr>
        <w:trPr>
          <w:trHeight w:val="27"/>
        </w:trPr>
        <w:tc>
          <w:tcPr>
            <w:tcW w:w="1120" w:type="dxa"/>
            <w:vAlign w:val="bottom"/>
            <w:tcBorders>
              <w:left w:val="single" w:sz="8" w:color="008000"/>
              <w:bottom w:val="single" w:sz="8" w:color="008000"/>
            </w:tcBorders>
          </w:tcPr>
          <w:p>
            <w:pPr>
              <w:spacing w:after="0"/>
              <w:rPr>
                <w:sz w:val="2"/>
                <w:szCs w:val="2"/>
                <w:color w:val="auto"/>
              </w:rPr>
            </w:pPr>
          </w:p>
        </w:tc>
        <w:tc>
          <w:tcPr>
            <w:tcW w:w="820" w:type="dxa"/>
            <w:vAlign w:val="bottom"/>
            <w:tcBorders>
              <w:bottom w:val="single" w:sz="8" w:color="008000"/>
            </w:tcBorders>
          </w:tcPr>
          <w:p>
            <w:pPr>
              <w:spacing w:after="0"/>
              <w:rPr>
                <w:sz w:val="2"/>
                <w:szCs w:val="2"/>
                <w:color w:val="auto"/>
              </w:rPr>
            </w:pPr>
          </w:p>
        </w:tc>
        <w:tc>
          <w:tcPr>
            <w:tcW w:w="1120" w:type="dxa"/>
            <w:vAlign w:val="bottom"/>
            <w:tcBorders>
              <w:bottom w:val="single" w:sz="8" w:color="008000"/>
              <w:right w:val="single" w:sz="8" w:color="008000"/>
            </w:tcBorders>
          </w:tcPr>
          <w:p>
            <w:pPr>
              <w:spacing w:after="0"/>
              <w:rPr>
                <w:sz w:val="2"/>
                <w:szCs w:val="2"/>
                <w:color w:val="auto"/>
              </w:rPr>
            </w:pPr>
          </w:p>
        </w:tc>
        <w:tc>
          <w:tcPr>
            <w:tcW w:w="520" w:type="dxa"/>
            <w:vAlign w:val="bottom"/>
            <w:tcBorders>
              <w:bottom w:val="single" w:sz="8" w:color="008000"/>
            </w:tcBorders>
          </w:tcPr>
          <w:p>
            <w:pPr>
              <w:spacing w:after="0"/>
              <w:rPr>
                <w:sz w:val="2"/>
                <w:szCs w:val="2"/>
                <w:color w:val="auto"/>
              </w:rPr>
            </w:pPr>
          </w:p>
        </w:tc>
        <w:tc>
          <w:tcPr>
            <w:tcW w:w="840" w:type="dxa"/>
            <w:vAlign w:val="bottom"/>
            <w:tcBorders>
              <w:bottom w:val="single" w:sz="8" w:color="008000"/>
            </w:tcBorders>
          </w:tcPr>
          <w:p>
            <w:pPr>
              <w:spacing w:after="0"/>
              <w:rPr>
                <w:sz w:val="2"/>
                <w:szCs w:val="2"/>
                <w:color w:val="auto"/>
              </w:rPr>
            </w:pPr>
          </w:p>
        </w:tc>
        <w:tc>
          <w:tcPr>
            <w:tcW w:w="540" w:type="dxa"/>
            <w:vAlign w:val="bottom"/>
            <w:tcBorders>
              <w:bottom w:val="single" w:sz="8" w:color="008000"/>
              <w:right w:val="single" w:sz="8" w:color="008000"/>
            </w:tcBorders>
          </w:tcPr>
          <w:p>
            <w:pPr>
              <w:spacing w:after="0"/>
              <w:rPr>
                <w:sz w:val="2"/>
                <w:szCs w:val="2"/>
                <w:color w:val="auto"/>
              </w:rPr>
            </w:pPr>
          </w:p>
        </w:tc>
        <w:tc>
          <w:tcPr>
            <w:tcW w:w="920" w:type="dxa"/>
            <w:vAlign w:val="bottom"/>
            <w:tcBorders>
              <w:bottom w:val="single" w:sz="8" w:color="008000"/>
            </w:tcBorders>
          </w:tcPr>
          <w:p>
            <w:pPr>
              <w:spacing w:after="0"/>
              <w:rPr>
                <w:sz w:val="2"/>
                <w:szCs w:val="2"/>
                <w:color w:val="auto"/>
              </w:rPr>
            </w:pPr>
          </w:p>
        </w:tc>
        <w:tc>
          <w:tcPr>
            <w:tcW w:w="780" w:type="dxa"/>
            <w:vAlign w:val="bottom"/>
            <w:tcBorders>
              <w:bottom w:val="single" w:sz="8" w:color="008000"/>
            </w:tcBorders>
          </w:tcPr>
          <w:p>
            <w:pPr>
              <w:spacing w:after="0"/>
              <w:rPr>
                <w:sz w:val="2"/>
                <w:szCs w:val="2"/>
                <w:color w:val="auto"/>
              </w:rPr>
            </w:pPr>
          </w:p>
        </w:tc>
        <w:tc>
          <w:tcPr>
            <w:tcW w:w="960" w:type="dxa"/>
            <w:vAlign w:val="bottom"/>
            <w:tcBorders>
              <w:bottom w:val="single" w:sz="8" w:color="008000"/>
              <w:right w:val="single" w:sz="8" w:color="008000"/>
            </w:tcBorders>
          </w:tcPr>
          <w:p>
            <w:pPr>
              <w:spacing w:after="0"/>
              <w:rPr>
                <w:sz w:val="2"/>
                <w:szCs w:val="2"/>
                <w:color w:val="auto"/>
              </w:rPr>
            </w:pPr>
          </w:p>
        </w:tc>
      </w:tr>
      <w:tr>
        <w:trPr>
          <w:trHeight w:val="237"/>
        </w:trPr>
        <w:tc>
          <w:tcPr>
            <w:tcW w:w="1940" w:type="dxa"/>
            <w:vAlign w:val="bottom"/>
            <w:tcBorders>
              <w:left w:val="single" w:sz="8" w:color="008000"/>
            </w:tcBorders>
            <w:gridSpan w:val="2"/>
          </w:tcPr>
          <w:p>
            <w:pPr>
              <w:jc w:val="center"/>
              <w:ind w:left="1030"/>
              <w:spacing w:after="0"/>
              <w:rPr>
                <w:sz w:val="20"/>
                <w:szCs w:val="20"/>
                <w:color w:val="auto"/>
              </w:rPr>
            </w:pPr>
            <w:r>
              <w:rPr>
                <w:rFonts w:ascii="Arial" w:cs="Arial" w:eastAsia="Arial" w:hAnsi="Arial"/>
                <w:sz w:val="18"/>
                <w:szCs w:val="18"/>
                <w:color w:val="auto"/>
                <w:w w:val="89"/>
              </w:rPr>
              <w:t>16</w:t>
            </w:r>
          </w:p>
        </w:tc>
        <w:tc>
          <w:tcPr>
            <w:tcW w:w="1120" w:type="dxa"/>
            <w:vAlign w:val="bottom"/>
            <w:tcBorders>
              <w:right w:val="single" w:sz="8" w:color="008000"/>
            </w:tcBorders>
          </w:tcPr>
          <w:p>
            <w:pPr>
              <w:spacing w:after="0"/>
              <w:rPr>
                <w:sz w:val="20"/>
                <w:szCs w:val="20"/>
                <w:color w:val="auto"/>
              </w:rPr>
            </w:pPr>
          </w:p>
        </w:tc>
        <w:tc>
          <w:tcPr>
            <w:tcW w:w="5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40" w:type="dxa"/>
            <w:vAlign w:val="bottom"/>
            <w:tcBorders>
              <w:right w:val="single" w:sz="8" w:color="008000"/>
            </w:tcBorders>
          </w:tcPr>
          <w:p>
            <w:pPr>
              <w:spacing w:after="0"/>
              <w:rPr>
                <w:sz w:val="20"/>
                <w:szCs w:val="20"/>
                <w:color w:val="auto"/>
              </w:rPr>
            </w:pPr>
          </w:p>
        </w:tc>
        <w:tc>
          <w:tcPr>
            <w:tcW w:w="1700" w:type="dxa"/>
            <w:vAlign w:val="bottom"/>
            <w:gridSpan w:val="2"/>
          </w:tcPr>
          <w:p>
            <w:pPr>
              <w:jc w:val="center"/>
              <w:ind w:left="830"/>
              <w:spacing w:after="0"/>
              <w:rPr>
                <w:sz w:val="20"/>
                <w:szCs w:val="20"/>
                <w:color w:val="auto"/>
              </w:rPr>
            </w:pPr>
            <w:r>
              <w:rPr>
                <w:rFonts w:ascii="Arial" w:cs="Arial" w:eastAsia="Arial" w:hAnsi="Arial"/>
                <w:sz w:val="18"/>
                <w:szCs w:val="18"/>
                <w:color w:val="auto"/>
                <w:w w:val="94"/>
              </w:rPr>
              <w:t>80%</w:t>
            </w:r>
          </w:p>
        </w:tc>
        <w:tc>
          <w:tcPr>
            <w:tcW w:w="960" w:type="dxa"/>
            <w:vAlign w:val="bottom"/>
            <w:tcBorders>
              <w:right w:val="single" w:sz="8" w:color="008000"/>
            </w:tcBorders>
          </w:tcPr>
          <w:p>
            <w:pPr>
              <w:spacing w:after="0"/>
              <w:rPr>
                <w:sz w:val="20"/>
                <w:szCs w:val="20"/>
                <w:color w:val="auto"/>
              </w:rPr>
            </w:pPr>
          </w:p>
        </w:tc>
      </w:tr>
      <w:tr>
        <w:trPr>
          <w:trHeight w:val="27"/>
        </w:trPr>
        <w:tc>
          <w:tcPr>
            <w:tcW w:w="1120" w:type="dxa"/>
            <w:vAlign w:val="bottom"/>
            <w:tcBorders>
              <w:left w:val="single" w:sz="8" w:color="008000"/>
              <w:bottom w:val="single" w:sz="8" w:color="008000"/>
            </w:tcBorders>
          </w:tcPr>
          <w:p>
            <w:pPr>
              <w:spacing w:after="0"/>
              <w:rPr>
                <w:sz w:val="2"/>
                <w:szCs w:val="2"/>
                <w:color w:val="auto"/>
              </w:rPr>
            </w:pPr>
          </w:p>
        </w:tc>
        <w:tc>
          <w:tcPr>
            <w:tcW w:w="820" w:type="dxa"/>
            <w:vAlign w:val="bottom"/>
            <w:tcBorders>
              <w:bottom w:val="single" w:sz="8" w:color="008000"/>
            </w:tcBorders>
          </w:tcPr>
          <w:p>
            <w:pPr>
              <w:spacing w:after="0"/>
              <w:rPr>
                <w:sz w:val="2"/>
                <w:szCs w:val="2"/>
                <w:color w:val="auto"/>
              </w:rPr>
            </w:pPr>
          </w:p>
        </w:tc>
        <w:tc>
          <w:tcPr>
            <w:tcW w:w="1120" w:type="dxa"/>
            <w:vAlign w:val="bottom"/>
            <w:tcBorders>
              <w:bottom w:val="single" w:sz="8" w:color="008000"/>
              <w:right w:val="single" w:sz="8" w:color="008000"/>
            </w:tcBorders>
          </w:tcPr>
          <w:p>
            <w:pPr>
              <w:spacing w:after="0"/>
              <w:rPr>
                <w:sz w:val="2"/>
                <w:szCs w:val="2"/>
                <w:color w:val="auto"/>
              </w:rPr>
            </w:pPr>
          </w:p>
        </w:tc>
        <w:tc>
          <w:tcPr>
            <w:tcW w:w="520" w:type="dxa"/>
            <w:vAlign w:val="bottom"/>
            <w:tcBorders>
              <w:bottom w:val="single" w:sz="8" w:color="008000"/>
            </w:tcBorders>
          </w:tcPr>
          <w:p>
            <w:pPr>
              <w:spacing w:after="0"/>
              <w:rPr>
                <w:sz w:val="2"/>
                <w:szCs w:val="2"/>
                <w:color w:val="auto"/>
              </w:rPr>
            </w:pPr>
          </w:p>
        </w:tc>
        <w:tc>
          <w:tcPr>
            <w:tcW w:w="840" w:type="dxa"/>
            <w:vAlign w:val="bottom"/>
            <w:tcBorders>
              <w:bottom w:val="single" w:sz="8" w:color="008000"/>
            </w:tcBorders>
          </w:tcPr>
          <w:p>
            <w:pPr>
              <w:spacing w:after="0"/>
              <w:rPr>
                <w:sz w:val="2"/>
                <w:szCs w:val="2"/>
                <w:color w:val="auto"/>
              </w:rPr>
            </w:pPr>
          </w:p>
        </w:tc>
        <w:tc>
          <w:tcPr>
            <w:tcW w:w="540" w:type="dxa"/>
            <w:vAlign w:val="bottom"/>
            <w:tcBorders>
              <w:bottom w:val="single" w:sz="8" w:color="008000"/>
              <w:right w:val="single" w:sz="8" w:color="008000"/>
            </w:tcBorders>
          </w:tcPr>
          <w:p>
            <w:pPr>
              <w:spacing w:after="0"/>
              <w:rPr>
                <w:sz w:val="2"/>
                <w:szCs w:val="2"/>
                <w:color w:val="auto"/>
              </w:rPr>
            </w:pPr>
          </w:p>
        </w:tc>
        <w:tc>
          <w:tcPr>
            <w:tcW w:w="920" w:type="dxa"/>
            <w:vAlign w:val="bottom"/>
            <w:tcBorders>
              <w:bottom w:val="single" w:sz="8" w:color="008000"/>
            </w:tcBorders>
          </w:tcPr>
          <w:p>
            <w:pPr>
              <w:spacing w:after="0"/>
              <w:rPr>
                <w:sz w:val="2"/>
                <w:szCs w:val="2"/>
                <w:color w:val="auto"/>
              </w:rPr>
            </w:pPr>
          </w:p>
        </w:tc>
        <w:tc>
          <w:tcPr>
            <w:tcW w:w="780" w:type="dxa"/>
            <w:vAlign w:val="bottom"/>
            <w:tcBorders>
              <w:bottom w:val="single" w:sz="8" w:color="008000"/>
            </w:tcBorders>
          </w:tcPr>
          <w:p>
            <w:pPr>
              <w:spacing w:after="0"/>
              <w:rPr>
                <w:sz w:val="2"/>
                <w:szCs w:val="2"/>
                <w:color w:val="auto"/>
              </w:rPr>
            </w:pPr>
          </w:p>
        </w:tc>
        <w:tc>
          <w:tcPr>
            <w:tcW w:w="960" w:type="dxa"/>
            <w:vAlign w:val="bottom"/>
            <w:tcBorders>
              <w:bottom w:val="single" w:sz="8" w:color="008000"/>
              <w:right w:val="single" w:sz="8" w:color="008000"/>
            </w:tcBorders>
          </w:tcPr>
          <w:p>
            <w:pPr>
              <w:spacing w:after="0"/>
              <w:rPr>
                <w:sz w:val="2"/>
                <w:szCs w:val="2"/>
                <w:color w:val="auto"/>
              </w:rPr>
            </w:pPr>
          </w:p>
        </w:tc>
      </w:tr>
      <w:tr>
        <w:trPr>
          <w:trHeight w:val="237"/>
        </w:trPr>
        <w:tc>
          <w:tcPr>
            <w:tcW w:w="1940" w:type="dxa"/>
            <w:vAlign w:val="bottom"/>
            <w:tcBorders>
              <w:left w:val="single" w:sz="8" w:color="008000"/>
            </w:tcBorders>
            <w:gridSpan w:val="2"/>
          </w:tcPr>
          <w:p>
            <w:pPr>
              <w:jc w:val="center"/>
              <w:ind w:left="1030"/>
              <w:spacing w:after="0"/>
              <w:rPr>
                <w:sz w:val="20"/>
                <w:szCs w:val="20"/>
                <w:color w:val="auto"/>
              </w:rPr>
            </w:pPr>
            <w:r>
              <w:rPr>
                <w:rFonts w:ascii="Arial" w:cs="Arial" w:eastAsia="Arial" w:hAnsi="Arial"/>
                <w:sz w:val="18"/>
                <w:szCs w:val="18"/>
                <w:color w:val="auto"/>
                <w:w w:val="89"/>
              </w:rPr>
              <w:t>17</w:t>
            </w:r>
          </w:p>
        </w:tc>
        <w:tc>
          <w:tcPr>
            <w:tcW w:w="1120" w:type="dxa"/>
            <w:vAlign w:val="bottom"/>
            <w:tcBorders>
              <w:right w:val="single" w:sz="8" w:color="008000"/>
            </w:tcBorders>
          </w:tcPr>
          <w:p>
            <w:pPr>
              <w:spacing w:after="0"/>
              <w:rPr>
                <w:sz w:val="20"/>
                <w:szCs w:val="20"/>
                <w:color w:val="auto"/>
              </w:rPr>
            </w:pPr>
          </w:p>
        </w:tc>
        <w:tc>
          <w:tcPr>
            <w:tcW w:w="5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40" w:type="dxa"/>
            <w:vAlign w:val="bottom"/>
            <w:tcBorders>
              <w:right w:val="single" w:sz="8" w:color="008000"/>
            </w:tcBorders>
          </w:tcPr>
          <w:p>
            <w:pPr>
              <w:spacing w:after="0"/>
              <w:rPr>
                <w:sz w:val="20"/>
                <w:szCs w:val="20"/>
                <w:color w:val="auto"/>
              </w:rPr>
            </w:pPr>
          </w:p>
        </w:tc>
        <w:tc>
          <w:tcPr>
            <w:tcW w:w="1700" w:type="dxa"/>
            <w:vAlign w:val="bottom"/>
            <w:gridSpan w:val="2"/>
          </w:tcPr>
          <w:p>
            <w:pPr>
              <w:jc w:val="center"/>
              <w:ind w:left="830"/>
              <w:spacing w:after="0"/>
              <w:rPr>
                <w:sz w:val="20"/>
                <w:szCs w:val="20"/>
                <w:color w:val="auto"/>
              </w:rPr>
            </w:pPr>
            <w:r>
              <w:rPr>
                <w:rFonts w:ascii="Arial" w:cs="Arial" w:eastAsia="Arial" w:hAnsi="Arial"/>
                <w:sz w:val="18"/>
                <w:szCs w:val="18"/>
                <w:color w:val="auto"/>
                <w:w w:val="94"/>
              </w:rPr>
              <w:t>70%</w:t>
            </w:r>
          </w:p>
        </w:tc>
        <w:tc>
          <w:tcPr>
            <w:tcW w:w="960" w:type="dxa"/>
            <w:vAlign w:val="bottom"/>
            <w:tcBorders>
              <w:right w:val="single" w:sz="8" w:color="008000"/>
            </w:tcBorders>
          </w:tcPr>
          <w:p>
            <w:pPr>
              <w:spacing w:after="0"/>
              <w:rPr>
                <w:sz w:val="20"/>
                <w:szCs w:val="20"/>
                <w:color w:val="auto"/>
              </w:rPr>
            </w:pPr>
          </w:p>
        </w:tc>
      </w:tr>
      <w:tr>
        <w:trPr>
          <w:trHeight w:val="27"/>
        </w:trPr>
        <w:tc>
          <w:tcPr>
            <w:tcW w:w="1120" w:type="dxa"/>
            <w:vAlign w:val="bottom"/>
            <w:tcBorders>
              <w:left w:val="single" w:sz="8" w:color="008000"/>
              <w:bottom w:val="single" w:sz="8" w:color="008000"/>
            </w:tcBorders>
          </w:tcPr>
          <w:p>
            <w:pPr>
              <w:spacing w:after="0"/>
              <w:rPr>
                <w:sz w:val="2"/>
                <w:szCs w:val="2"/>
                <w:color w:val="auto"/>
              </w:rPr>
            </w:pPr>
          </w:p>
        </w:tc>
        <w:tc>
          <w:tcPr>
            <w:tcW w:w="820" w:type="dxa"/>
            <w:vAlign w:val="bottom"/>
            <w:tcBorders>
              <w:bottom w:val="single" w:sz="8" w:color="008000"/>
            </w:tcBorders>
          </w:tcPr>
          <w:p>
            <w:pPr>
              <w:spacing w:after="0"/>
              <w:rPr>
                <w:sz w:val="2"/>
                <w:szCs w:val="2"/>
                <w:color w:val="auto"/>
              </w:rPr>
            </w:pPr>
          </w:p>
        </w:tc>
        <w:tc>
          <w:tcPr>
            <w:tcW w:w="1120" w:type="dxa"/>
            <w:vAlign w:val="bottom"/>
            <w:tcBorders>
              <w:bottom w:val="single" w:sz="8" w:color="008000"/>
              <w:right w:val="single" w:sz="8" w:color="008000"/>
            </w:tcBorders>
          </w:tcPr>
          <w:p>
            <w:pPr>
              <w:spacing w:after="0"/>
              <w:rPr>
                <w:sz w:val="2"/>
                <w:szCs w:val="2"/>
                <w:color w:val="auto"/>
              </w:rPr>
            </w:pPr>
          </w:p>
        </w:tc>
        <w:tc>
          <w:tcPr>
            <w:tcW w:w="520" w:type="dxa"/>
            <w:vAlign w:val="bottom"/>
            <w:tcBorders>
              <w:bottom w:val="single" w:sz="8" w:color="008000"/>
            </w:tcBorders>
          </w:tcPr>
          <w:p>
            <w:pPr>
              <w:spacing w:after="0"/>
              <w:rPr>
                <w:sz w:val="2"/>
                <w:szCs w:val="2"/>
                <w:color w:val="auto"/>
              </w:rPr>
            </w:pPr>
          </w:p>
        </w:tc>
        <w:tc>
          <w:tcPr>
            <w:tcW w:w="840" w:type="dxa"/>
            <w:vAlign w:val="bottom"/>
            <w:tcBorders>
              <w:bottom w:val="single" w:sz="8" w:color="008000"/>
            </w:tcBorders>
          </w:tcPr>
          <w:p>
            <w:pPr>
              <w:spacing w:after="0"/>
              <w:rPr>
                <w:sz w:val="2"/>
                <w:szCs w:val="2"/>
                <w:color w:val="auto"/>
              </w:rPr>
            </w:pPr>
          </w:p>
        </w:tc>
        <w:tc>
          <w:tcPr>
            <w:tcW w:w="540" w:type="dxa"/>
            <w:vAlign w:val="bottom"/>
            <w:tcBorders>
              <w:bottom w:val="single" w:sz="8" w:color="008000"/>
              <w:right w:val="single" w:sz="8" w:color="008000"/>
            </w:tcBorders>
          </w:tcPr>
          <w:p>
            <w:pPr>
              <w:spacing w:after="0"/>
              <w:rPr>
                <w:sz w:val="2"/>
                <w:szCs w:val="2"/>
                <w:color w:val="auto"/>
              </w:rPr>
            </w:pPr>
          </w:p>
        </w:tc>
        <w:tc>
          <w:tcPr>
            <w:tcW w:w="920" w:type="dxa"/>
            <w:vAlign w:val="bottom"/>
            <w:tcBorders>
              <w:bottom w:val="single" w:sz="8" w:color="008000"/>
            </w:tcBorders>
          </w:tcPr>
          <w:p>
            <w:pPr>
              <w:spacing w:after="0"/>
              <w:rPr>
                <w:sz w:val="2"/>
                <w:szCs w:val="2"/>
                <w:color w:val="auto"/>
              </w:rPr>
            </w:pPr>
          </w:p>
        </w:tc>
        <w:tc>
          <w:tcPr>
            <w:tcW w:w="780" w:type="dxa"/>
            <w:vAlign w:val="bottom"/>
            <w:tcBorders>
              <w:bottom w:val="single" w:sz="8" w:color="008000"/>
            </w:tcBorders>
          </w:tcPr>
          <w:p>
            <w:pPr>
              <w:spacing w:after="0"/>
              <w:rPr>
                <w:sz w:val="2"/>
                <w:szCs w:val="2"/>
                <w:color w:val="auto"/>
              </w:rPr>
            </w:pPr>
          </w:p>
        </w:tc>
        <w:tc>
          <w:tcPr>
            <w:tcW w:w="960" w:type="dxa"/>
            <w:vAlign w:val="bottom"/>
            <w:tcBorders>
              <w:bottom w:val="single" w:sz="8" w:color="008000"/>
              <w:right w:val="single" w:sz="8" w:color="008000"/>
            </w:tcBorders>
          </w:tcPr>
          <w:p>
            <w:pPr>
              <w:spacing w:after="0"/>
              <w:rPr>
                <w:sz w:val="2"/>
                <w:szCs w:val="2"/>
                <w:color w:val="auto"/>
              </w:rPr>
            </w:pPr>
          </w:p>
        </w:tc>
      </w:tr>
      <w:tr>
        <w:trPr>
          <w:trHeight w:val="237"/>
        </w:trPr>
        <w:tc>
          <w:tcPr>
            <w:tcW w:w="1940" w:type="dxa"/>
            <w:vAlign w:val="bottom"/>
            <w:tcBorders>
              <w:left w:val="single" w:sz="8" w:color="008000"/>
            </w:tcBorders>
            <w:gridSpan w:val="2"/>
          </w:tcPr>
          <w:p>
            <w:pPr>
              <w:jc w:val="center"/>
              <w:ind w:left="1030"/>
              <w:spacing w:after="0"/>
              <w:rPr>
                <w:sz w:val="20"/>
                <w:szCs w:val="20"/>
                <w:color w:val="auto"/>
              </w:rPr>
            </w:pPr>
            <w:r>
              <w:rPr>
                <w:rFonts w:ascii="Arial" w:cs="Arial" w:eastAsia="Arial" w:hAnsi="Arial"/>
                <w:sz w:val="18"/>
                <w:szCs w:val="18"/>
                <w:color w:val="auto"/>
                <w:w w:val="89"/>
              </w:rPr>
              <w:t>18</w:t>
            </w:r>
          </w:p>
        </w:tc>
        <w:tc>
          <w:tcPr>
            <w:tcW w:w="1120" w:type="dxa"/>
            <w:vAlign w:val="bottom"/>
            <w:tcBorders>
              <w:right w:val="single" w:sz="8" w:color="008000"/>
            </w:tcBorders>
          </w:tcPr>
          <w:p>
            <w:pPr>
              <w:spacing w:after="0"/>
              <w:rPr>
                <w:sz w:val="20"/>
                <w:szCs w:val="20"/>
                <w:color w:val="auto"/>
              </w:rPr>
            </w:pPr>
          </w:p>
        </w:tc>
        <w:tc>
          <w:tcPr>
            <w:tcW w:w="5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40" w:type="dxa"/>
            <w:vAlign w:val="bottom"/>
            <w:tcBorders>
              <w:right w:val="single" w:sz="8" w:color="008000"/>
            </w:tcBorders>
          </w:tcPr>
          <w:p>
            <w:pPr>
              <w:spacing w:after="0"/>
              <w:rPr>
                <w:sz w:val="20"/>
                <w:szCs w:val="20"/>
                <w:color w:val="auto"/>
              </w:rPr>
            </w:pPr>
          </w:p>
        </w:tc>
        <w:tc>
          <w:tcPr>
            <w:tcW w:w="1700" w:type="dxa"/>
            <w:vAlign w:val="bottom"/>
            <w:gridSpan w:val="2"/>
          </w:tcPr>
          <w:p>
            <w:pPr>
              <w:jc w:val="center"/>
              <w:ind w:left="830"/>
              <w:spacing w:after="0"/>
              <w:rPr>
                <w:sz w:val="20"/>
                <w:szCs w:val="20"/>
                <w:color w:val="auto"/>
              </w:rPr>
            </w:pPr>
            <w:r>
              <w:rPr>
                <w:rFonts w:ascii="Arial" w:cs="Arial" w:eastAsia="Arial" w:hAnsi="Arial"/>
                <w:sz w:val="18"/>
                <w:szCs w:val="18"/>
                <w:color w:val="auto"/>
                <w:w w:val="94"/>
              </w:rPr>
              <w:t>60%</w:t>
            </w:r>
          </w:p>
        </w:tc>
        <w:tc>
          <w:tcPr>
            <w:tcW w:w="960" w:type="dxa"/>
            <w:vAlign w:val="bottom"/>
            <w:tcBorders>
              <w:right w:val="single" w:sz="8" w:color="008000"/>
            </w:tcBorders>
          </w:tcPr>
          <w:p>
            <w:pPr>
              <w:spacing w:after="0"/>
              <w:rPr>
                <w:sz w:val="20"/>
                <w:szCs w:val="20"/>
                <w:color w:val="auto"/>
              </w:rPr>
            </w:pPr>
          </w:p>
        </w:tc>
      </w:tr>
      <w:tr>
        <w:trPr>
          <w:trHeight w:val="27"/>
        </w:trPr>
        <w:tc>
          <w:tcPr>
            <w:tcW w:w="1120" w:type="dxa"/>
            <w:vAlign w:val="bottom"/>
            <w:tcBorders>
              <w:left w:val="single" w:sz="8" w:color="008000"/>
              <w:bottom w:val="single" w:sz="8" w:color="008000"/>
            </w:tcBorders>
          </w:tcPr>
          <w:p>
            <w:pPr>
              <w:spacing w:after="0"/>
              <w:rPr>
                <w:sz w:val="2"/>
                <w:szCs w:val="2"/>
                <w:color w:val="auto"/>
              </w:rPr>
            </w:pPr>
          </w:p>
        </w:tc>
        <w:tc>
          <w:tcPr>
            <w:tcW w:w="820" w:type="dxa"/>
            <w:vAlign w:val="bottom"/>
            <w:tcBorders>
              <w:bottom w:val="single" w:sz="8" w:color="008000"/>
            </w:tcBorders>
          </w:tcPr>
          <w:p>
            <w:pPr>
              <w:spacing w:after="0"/>
              <w:rPr>
                <w:sz w:val="2"/>
                <w:szCs w:val="2"/>
                <w:color w:val="auto"/>
              </w:rPr>
            </w:pPr>
          </w:p>
        </w:tc>
        <w:tc>
          <w:tcPr>
            <w:tcW w:w="1120" w:type="dxa"/>
            <w:vAlign w:val="bottom"/>
            <w:tcBorders>
              <w:bottom w:val="single" w:sz="8" w:color="008000"/>
              <w:right w:val="single" w:sz="8" w:color="008000"/>
            </w:tcBorders>
          </w:tcPr>
          <w:p>
            <w:pPr>
              <w:spacing w:after="0"/>
              <w:rPr>
                <w:sz w:val="2"/>
                <w:szCs w:val="2"/>
                <w:color w:val="auto"/>
              </w:rPr>
            </w:pPr>
          </w:p>
        </w:tc>
        <w:tc>
          <w:tcPr>
            <w:tcW w:w="520" w:type="dxa"/>
            <w:vAlign w:val="bottom"/>
            <w:tcBorders>
              <w:bottom w:val="single" w:sz="8" w:color="008000"/>
            </w:tcBorders>
          </w:tcPr>
          <w:p>
            <w:pPr>
              <w:spacing w:after="0"/>
              <w:rPr>
                <w:sz w:val="2"/>
                <w:szCs w:val="2"/>
                <w:color w:val="auto"/>
              </w:rPr>
            </w:pPr>
          </w:p>
        </w:tc>
        <w:tc>
          <w:tcPr>
            <w:tcW w:w="840" w:type="dxa"/>
            <w:vAlign w:val="bottom"/>
            <w:tcBorders>
              <w:bottom w:val="single" w:sz="8" w:color="008000"/>
            </w:tcBorders>
          </w:tcPr>
          <w:p>
            <w:pPr>
              <w:spacing w:after="0"/>
              <w:rPr>
                <w:sz w:val="2"/>
                <w:szCs w:val="2"/>
                <w:color w:val="auto"/>
              </w:rPr>
            </w:pPr>
          </w:p>
        </w:tc>
        <w:tc>
          <w:tcPr>
            <w:tcW w:w="540" w:type="dxa"/>
            <w:vAlign w:val="bottom"/>
            <w:tcBorders>
              <w:bottom w:val="single" w:sz="8" w:color="008000"/>
              <w:right w:val="single" w:sz="8" w:color="008000"/>
            </w:tcBorders>
          </w:tcPr>
          <w:p>
            <w:pPr>
              <w:spacing w:after="0"/>
              <w:rPr>
                <w:sz w:val="2"/>
                <w:szCs w:val="2"/>
                <w:color w:val="auto"/>
              </w:rPr>
            </w:pPr>
          </w:p>
        </w:tc>
        <w:tc>
          <w:tcPr>
            <w:tcW w:w="920" w:type="dxa"/>
            <w:vAlign w:val="bottom"/>
            <w:tcBorders>
              <w:bottom w:val="single" w:sz="8" w:color="008000"/>
            </w:tcBorders>
          </w:tcPr>
          <w:p>
            <w:pPr>
              <w:spacing w:after="0"/>
              <w:rPr>
                <w:sz w:val="2"/>
                <w:szCs w:val="2"/>
                <w:color w:val="auto"/>
              </w:rPr>
            </w:pPr>
          </w:p>
        </w:tc>
        <w:tc>
          <w:tcPr>
            <w:tcW w:w="780" w:type="dxa"/>
            <w:vAlign w:val="bottom"/>
            <w:tcBorders>
              <w:bottom w:val="single" w:sz="8" w:color="008000"/>
            </w:tcBorders>
          </w:tcPr>
          <w:p>
            <w:pPr>
              <w:spacing w:after="0"/>
              <w:rPr>
                <w:sz w:val="2"/>
                <w:szCs w:val="2"/>
                <w:color w:val="auto"/>
              </w:rPr>
            </w:pPr>
          </w:p>
        </w:tc>
        <w:tc>
          <w:tcPr>
            <w:tcW w:w="960" w:type="dxa"/>
            <w:vAlign w:val="bottom"/>
            <w:tcBorders>
              <w:bottom w:val="single" w:sz="8" w:color="008000"/>
              <w:right w:val="single" w:sz="8" w:color="008000"/>
            </w:tcBorders>
          </w:tcPr>
          <w:p>
            <w:pPr>
              <w:spacing w:after="0"/>
              <w:rPr>
                <w:sz w:val="2"/>
                <w:szCs w:val="2"/>
                <w:color w:val="auto"/>
              </w:rPr>
            </w:pPr>
          </w:p>
        </w:tc>
      </w:tr>
      <w:tr>
        <w:trPr>
          <w:trHeight w:val="237"/>
        </w:trPr>
        <w:tc>
          <w:tcPr>
            <w:tcW w:w="1940" w:type="dxa"/>
            <w:vAlign w:val="bottom"/>
            <w:tcBorders>
              <w:left w:val="single" w:sz="8" w:color="008000"/>
            </w:tcBorders>
            <w:gridSpan w:val="2"/>
          </w:tcPr>
          <w:p>
            <w:pPr>
              <w:jc w:val="center"/>
              <w:ind w:left="1030"/>
              <w:spacing w:after="0"/>
              <w:rPr>
                <w:sz w:val="20"/>
                <w:szCs w:val="20"/>
                <w:color w:val="auto"/>
              </w:rPr>
            </w:pPr>
            <w:r>
              <w:rPr>
                <w:rFonts w:ascii="Arial" w:cs="Arial" w:eastAsia="Arial" w:hAnsi="Arial"/>
                <w:sz w:val="18"/>
                <w:szCs w:val="18"/>
                <w:color w:val="auto"/>
                <w:w w:val="89"/>
              </w:rPr>
              <w:t>19</w:t>
            </w:r>
          </w:p>
        </w:tc>
        <w:tc>
          <w:tcPr>
            <w:tcW w:w="1120" w:type="dxa"/>
            <w:vAlign w:val="bottom"/>
            <w:tcBorders>
              <w:right w:val="single" w:sz="8" w:color="008000"/>
            </w:tcBorders>
          </w:tcPr>
          <w:p>
            <w:pPr>
              <w:spacing w:after="0"/>
              <w:rPr>
                <w:sz w:val="20"/>
                <w:szCs w:val="20"/>
                <w:color w:val="auto"/>
              </w:rPr>
            </w:pPr>
          </w:p>
        </w:tc>
        <w:tc>
          <w:tcPr>
            <w:tcW w:w="520" w:type="dxa"/>
            <w:vAlign w:val="bottom"/>
          </w:tcPr>
          <w:p>
            <w:pPr>
              <w:spacing w:after="0"/>
              <w:rPr>
                <w:sz w:val="20"/>
                <w:szCs w:val="20"/>
                <w:color w:val="auto"/>
              </w:rPr>
            </w:pPr>
          </w:p>
        </w:tc>
        <w:tc>
          <w:tcPr>
            <w:tcW w:w="1380" w:type="dxa"/>
            <w:vAlign w:val="bottom"/>
            <w:tcBorders>
              <w:right w:val="single" w:sz="8" w:color="008000"/>
            </w:tcBorders>
            <w:gridSpan w:val="2"/>
          </w:tcPr>
          <w:p>
            <w:pPr>
              <w:jc w:val="center"/>
              <w:ind w:right="540"/>
              <w:spacing w:after="0"/>
              <w:rPr>
                <w:sz w:val="20"/>
                <w:szCs w:val="20"/>
                <w:color w:val="auto"/>
              </w:rPr>
            </w:pPr>
            <w:r>
              <w:rPr>
                <w:rFonts w:ascii="Arial" w:cs="Arial" w:eastAsia="Arial" w:hAnsi="Arial"/>
                <w:sz w:val="18"/>
                <w:szCs w:val="18"/>
                <w:color w:val="auto"/>
                <w:w w:val="89"/>
              </w:rPr>
              <w:t>Threshold</w:t>
            </w:r>
          </w:p>
        </w:tc>
        <w:tc>
          <w:tcPr>
            <w:tcW w:w="1700" w:type="dxa"/>
            <w:vAlign w:val="bottom"/>
            <w:gridSpan w:val="2"/>
          </w:tcPr>
          <w:p>
            <w:pPr>
              <w:jc w:val="center"/>
              <w:ind w:left="830"/>
              <w:spacing w:after="0"/>
              <w:rPr>
                <w:sz w:val="20"/>
                <w:szCs w:val="20"/>
                <w:color w:val="auto"/>
              </w:rPr>
            </w:pPr>
            <w:r>
              <w:rPr>
                <w:rFonts w:ascii="Arial" w:cs="Arial" w:eastAsia="Arial" w:hAnsi="Arial"/>
                <w:sz w:val="18"/>
                <w:szCs w:val="18"/>
                <w:color w:val="auto"/>
                <w:w w:val="94"/>
              </w:rPr>
              <w:t>50%</w:t>
            </w:r>
          </w:p>
        </w:tc>
        <w:tc>
          <w:tcPr>
            <w:tcW w:w="960" w:type="dxa"/>
            <w:vAlign w:val="bottom"/>
            <w:tcBorders>
              <w:right w:val="single" w:sz="8" w:color="008000"/>
            </w:tcBorders>
          </w:tcPr>
          <w:p>
            <w:pPr>
              <w:spacing w:after="0"/>
              <w:rPr>
                <w:sz w:val="20"/>
                <w:szCs w:val="20"/>
                <w:color w:val="auto"/>
              </w:rPr>
            </w:pPr>
          </w:p>
        </w:tc>
      </w:tr>
      <w:tr>
        <w:trPr>
          <w:trHeight w:val="27"/>
        </w:trPr>
        <w:tc>
          <w:tcPr>
            <w:tcW w:w="1120" w:type="dxa"/>
            <w:vAlign w:val="bottom"/>
            <w:tcBorders>
              <w:left w:val="single" w:sz="8" w:color="008000"/>
              <w:bottom w:val="single" w:sz="8" w:color="008000"/>
            </w:tcBorders>
          </w:tcPr>
          <w:p>
            <w:pPr>
              <w:spacing w:after="0"/>
              <w:rPr>
                <w:sz w:val="2"/>
                <w:szCs w:val="2"/>
                <w:color w:val="auto"/>
              </w:rPr>
            </w:pPr>
          </w:p>
        </w:tc>
        <w:tc>
          <w:tcPr>
            <w:tcW w:w="820" w:type="dxa"/>
            <w:vAlign w:val="bottom"/>
            <w:tcBorders>
              <w:bottom w:val="single" w:sz="8" w:color="008000"/>
            </w:tcBorders>
          </w:tcPr>
          <w:p>
            <w:pPr>
              <w:spacing w:after="0"/>
              <w:rPr>
                <w:sz w:val="2"/>
                <w:szCs w:val="2"/>
                <w:color w:val="auto"/>
              </w:rPr>
            </w:pPr>
          </w:p>
        </w:tc>
        <w:tc>
          <w:tcPr>
            <w:tcW w:w="1120" w:type="dxa"/>
            <w:vAlign w:val="bottom"/>
            <w:tcBorders>
              <w:bottom w:val="single" w:sz="8" w:color="008000"/>
              <w:right w:val="single" w:sz="8" w:color="008000"/>
            </w:tcBorders>
          </w:tcPr>
          <w:p>
            <w:pPr>
              <w:spacing w:after="0"/>
              <w:rPr>
                <w:sz w:val="2"/>
                <w:szCs w:val="2"/>
                <w:color w:val="auto"/>
              </w:rPr>
            </w:pPr>
          </w:p>
        </w:tc>
        <w:tc>
          <w:tcPr>
            <w:tcW w:w="520" w:type="dxa"/>
            <w:vAlign w:val="bottom"/>
            <w:tcBorders>
              <w:bottom w:val="single" w:sz="8" w:color="008000"/>
            </w:tcBorders>
          </w:tcPr>
          <w:p>
            <w:pPr>
              <w:spacing w:after="0"/>
              <w:rPr>
                <w:sz w:val="2"/>
                <w:szCs w:val="2"/>
                <w:color w:val="auto"/>
              </w:rPr>
            </w:pPr>
          </w:p>
        </w:tc>
        <w:tc>
          <w:tcPr>
            <w:tcW w:w="840" w:type="dxa"/>
            <w:vAlign w:val="bottom"/>
            <w:tcBorders>
              <w:bottom w:val="single" w:sz="8" w:color="008000"/>
            </w:tcBorders>
          </w:tcPr>
          <w:p>
            <w:pPr>
              <w:spacing w:after="0"/>
              <w:rPr>
                <w:sz w:val="2"/>
                <w:szCs w:val="2"/>
                <w:color w:val="auto"/>
              </w:rPr>
            </w:pPr>
          </w:p>
        </w:tc>
        <w:tc>
          <w:tcPr>
            <w:tcW w:w="540" w:type="dxa"/>
            <w:vAlign w:val="bottom"/>
            <w:tcBorders>
              <w:bottom w:val="single" w:sz="8" w:color="008000"/>
              <w:right w:val="single" w:sz="8" w:color="008000"/>
            </w:tcBorders>
          </w:tcPr>
          <w:p>
            <w:pPr>
              <w:spacing w:after="0"/>
              <w:rPr>
                <w:sz w:val="2"/>
                <w:szCs w:val="2"/>
                <w:color w:val="auto"/>
              </w:rPr>
            </w:pPr>
          </w:p>
        </w:tc>
        <w:tc>
          <w:tcPr>
            <w:tcW w:w="920" w:type="dxa"/>
            <w:vAlign w:val="bottom"/>
            <w:tcBorders>
              <w:bottom w:val="single" w:sz="8" w:color="008000"/>
            </w:tcBorders>
          </w:tcPr>
          <w:p>
            <w:pPr>
              <w:spacing w:after="0"/>
              <w:rPr>
                <w:sz w:val="2"/>
                <w:szCs w:val="2"/>
                <w:color w:val="auto"/>
              </w:rPr>
            </w:pPr>
          </w:p>
        </w:tc>
        <w:tc>
          <w:tcPr>
            <w:tcW w:w="780" w:type="dxa"/>
            <w:vAlign w:val="bottom"/>
            <w:tcBorders>
              <w:bottom w:val="single" w:sz="8" w:color="008000"/>
            </w:tcBorders>
          </w:tcPr>
          <w:p>
            <w:pPr>
              <w:spacing w:after="0"/>
              <w:rPr>
                <w:sz w:val="2"/>
                <w:szCs w:val="2"/>
                <w:color w:val="auto"/>
              </w:rPr>
            </w:pPr>
          </w:p>
        </w:tc>
        <w:tc>
          <w:tcPr>
            <w:tcW w:w="960" w:type="dxa"/>
            <w:vAlign w:val="bottom"/>
            <w:tcBorders>
              <w:bottom w:val="single" w:sz="8" w:color="008000"/>
              <w:right w:val="single" w:sz="8" w:color="008000"/>
            </w:tcBorders>
          </w:tcPr>
          <w:p>
            <w:pPr>
              <w:spacing w:after="0"/>
              <w:rPr>
                <w:sz w:val="2"/>
                <w:szCs w:val="2"/>
                <w:color w:val="auto"/>
              </w:rPr>
            </w:pPr>
          </w:p>
        </w:tc>
      </w:tr>
      <w:tr>
        <w:trPr>
          <w:trHeight w:val="237"/>
        </w:trPr>
        <w:tc>
          <w:tcPr>
            <w:tcW w:w="1940" w:type="dxa"/>
            <w:vAlign w:val="bottom"/>
            <w:tcBorders>
              <w:left w:val="single" w:sz="8" w:color="008000"/>
            </w:tcBorders>
            <w:gridSpan w:val="2"/>
          </w:tcPr>
          <w:p>
            <w:pPr>
              <w:jc w:val="center"/>
              <w:ind w:left="1030"/>
              <w:spacing w:after="0"/>
              <w:rPr>
                <w:sz w:val="20"/>
                <w:szCs w:val="20"/>
                <w:color w:val="auto"/>
              </w:rPr>
            </w:pPr>
            <w:r>
              <w:rPr>
                <w:rFonts w:ascii="Arial" w:cs="Arial" w:eastAsia="Arial" w:hAnsi="Arial"/>
                <w:sz w:val="18"/>
                <w:szCs w:val="18"/>
                <w:color w:val="auto"/>
                <w:w w:val="89"/>
              </w:rPr>
              <w:t>20</w:t>
            </w:r>
          </w:p>
        </w:tc>
        <w:tc>
          <w:tcPr>
            <w:tcW w:w="1120" w:type="dxa"/>
            <w:vAlign w:val="bottom"/>
            <w:tcBorders>
              <w:right w:val="single" w:sz="8" w:color="008000"/>
            </w:tcBorders>
          </w:tcPr>
          <w:p>
            <w:pPr>
              <w:spacing w:after="0"/>
              <w:rPr>
                <w:sz w:val="20"/>
                <w:szCs w:val="20"/>
                <w:color w:val="auto"/>
              </w:rPr>
            </w:pPr>
          </w:p>
        </w:tc>
        <w:tc>
          <w:tcPr>
            <w:tcW w:w="5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40" w:type="dxa"/>
            <w:vAlign w:val="bottom"/>
            <w:tcBorders>
              <w:right w:val="single" w:sz="8" w:color="008000"/>
            </w:tcBorders>
          </w:tcPr>
          <w:p>
            <w:pPr>
              <w:spacing w:after="0"/>
              <w:rPr>
                <w:sz w:val="20"/>
                <w:szCs w:val="20"/>
                <w:color w:val="auto"/>
              </w:rPr>
            </w:pPr>
          </w:p>
        </w:tc>
        <w:tc>
          <w:tcPr>
            <w:tcW w:w="920" w:type="dxa"/>
            <w:vAlign w:val="bottom"/>
          </w:tcPr>
          <w:p>
            <w:pPr>
              <w:spacing w:after="0"/>
              <w:rPr>
                <w:sz w:val="20"/>
                <w:szCs w:val="20"/>
                <w:color w:val="auto"/>
              </w:rPr>
            </w:pPr>
          </w:p>
        </w:tc>
        <w:tc>
          <w:tcPr>
            <w:tcW w:w="1740" w:type="dxa"/>
            <w:vAlign w:val="bottom"/>
            <w:tcBorders>
              <w:right w:val="single" w:sz="8" w:color="008000"/>
            </w:tcBorders>
            <w:gridSpan w:val="2"/>
          </w:tcPr>
          <w:p>
            <w:pPr>
              <w:jc w:val="center"/>
              <w:ind w:right="960"/>
              <w:spacing w:after="0"/>
              <w:rPr>
                <w:sz w:val="20"/>
                <w:szCs w:val="20"/>
                <w:color w:val="auto"/>
              </w:rPr>
            </w:pPr>
            <w:r>
              <w:rPr>
                <w:rFonts w:ascii="Arial" w:cs="Arial" w:eastAsia="Arial" w:hAnsi="Arial"/>
                <w:sz w:val="18"/>
                <w:szCs w:val="18"/>
                <w:color w:val="auto"/>
                <w:w w:val="99"/>
              </w:rPr>
              <w:t>—%</w:t>
            </w:r>
          </w:p>
        </w:tc>
      </w:tr>
      <w:tr>
        <w:trPr>
          <w:trHeight w:val="27"/>
        </w:trPr>
        <w:tc>
          <w:tcPr>
            <w:tcW w:w="1120" w:type="dxa"/>
            <w:vAlign w:val="bottom"/>
            <w:tcBorders>
              <w:left w:val="single" w:sz="8" w:color="008000"/>
              <w:bottom w:val="single" w:sz="8" w:color="008000"/>
            </w:tcBorders>
          </w:tcPr>
          <w:p>
            <w:pPr>
              <w:spacing w:after="0"/>
              <w:rPr>
                <w:sz w:val="2"/>
                <w:szCs w:val="2"/>
                <w:color w:val="auto"/>
              </w:rPr>
            </w:pPr>
          </w:p>
        </w:tc>
        <w:tc>
          <w:tcPr>
            <w:tcW w:w="820" w:type="dxa"/>
            <w:vAlign w:val="bottom"/>
            <w:tcBorders>
              <w:bottom w:val="single" w:sz="8" w:color="008000"/>
            </w:tcBorders>
          </w:tcPr>
          <w:p>
            <w:pPr>
              <w:spacing w:after="0"/>
              <w:rPr>
                <w:sz w:val="2"/>
                <w:szCs w:val="2"/>
                <w:color w:val="auto"/>
              </w:rPr>
            </w:pPr>
          </w:p>
        </w:tc>
        <w:tc>
          <w:tcPr>
            <w:tcW w:w="1120" w:type="dxa"/>
            <w:vAlign w:val="bottom"/>
            <w:tcBorders>
              <w:bottom w:val="single" w:sz="8" w:color="008000"/>
              <w:right w:val="single" w:sz="8" w:color="008000"/>
            </w:tcBorders>
          </w:tcPr>
          <w:p>
            <w:pPr>
              <w:spacing w:after="0"/>
              <w:rPr>
                <w:sz w:val="2"/>
                <w:szCs w:val="2"/>
                <w:color w:val="auto"/>
              </w:rPr>
            </w:pPr>
          </w:p>
        </w:tc>
        <w:tc>
          <w:tcPr>
            <w:tcW w:w="520" w:type="dxa"/>
            <w:vAlign w:val="bottom"/>
            <w:tcBorders>
              <w:bottom w:val="single" w:sz="8" w:color="008000"/>
            </w:tcBorders>
          </w:tcPr>
          <w:p>
            <w:pPr>
              <w:spacing w:after="0"/>
              <w:rPr>
                <w:sz w:val="2"/>
                <w:szCs w:val="2"/>
                <w:color w:val="auto"/>
              </w:rPr>
            </w:pPr>
          </w:p>
        </w:tc>
        <w:tc>
          <w:tcPr>
            <w:tcW w:w="840" w:type="dxa"/>
            <w:vAlign w:val="bottom"/>
            <w:tcBorders>
              <w:bottom w:val="single" w:sz="8" w:color="008000"/>
            </w:tcBorders>
          </w:tcPr>
          <w:p>
            <w:pPr>
              <w:spacing w:after="0"/>
              <w:rPr>
                <w:sz w:val="2"/>
                <w:szCs w:val="2"/>
                <w:color w:val="auto"/>
              </w:rPr>
            </w:pPr>
          </w:p>
        </w:tc>
        <w:tc>
          <w:tcPr>
            <w:tcW w:w="540" w:type="dxa"/>
            <w:vAlign w:val="bottom"/>
            <w:tcBorders>
              <w:bottom w:val="single" w:sz="8" w:color="008000"/>
              <w:right w:val="single" w:sz="8" w:color="008000"/>
            </w:tcBorders>
          </w:tcPr>
          <w:p>
            <w:pPr>
              <w:spacing w:after="0"/>
              <w:rPr>
                <w:sz w:val="2"/>
                <w:szCs w:val="2"/>
                <w:color w:val="auto"/>
              </w:rPr>
            </w:pPr>
          </w:p>
        </w:tc>
        <w:tc>
          <w:tcPr>
            <w:tcW w:w="920" w:type="dxa"/>
            <w:vAlign w:val="bottom"/>
            <w:tcBorders>
              <w:bottom w:val="single" w:sz="8" w:color="008000"/>
            </w:tcBorders>
          </w:tcPr>
          <w:p>
            <w:pPr>
              <w:spacing w:after="0"/>
              <w:rPr>
                <w:sz w:val="2"/>
                <w:szCs w:val="2"/>
                <w:color w:val="auto"/>
              </w:rPr>
            </w:pPr>
          </w:p>
        </w:tc>
        <w:tc>
          <w:tcPr>
            <w:tcW w:w="780" w:type="dxa"/>
            <w:vAlign w:val="bottom"/>
            <w:tcBorders>
              <w:bottom w:val="single" w:sz="8" w:color="008000"/>
            </w:tcBorders>
          </w:tcPr>
          <w:p>
            <w:pPr>
              <w:spacing w:after="0"/>
              <w:rPr>
                <w:sz w:val="2"/>
                <w:szCs w:val="2"/>
                <w:color w:val="auto"/>
              </w:rPr>
            </w:pPr>
          </w:p>
        </w:tc>
        <w:tc>
          <w:tcPr>
            <w:tcW w:w="960" w:type="dxa"/>
            <w:vAlign w:val="bottom"/>
            <w:tcBorders>
              <w:bottom w:val="single" w:sz="8" w:color="008000"/>
              <w:right w:val="single" w:sz="8" w:color="008000"/>
            </w:tcBorders>
          </w:tcPr>
          <w:p>
            <w:pPr>
              <w:spacing w:after="0"/>
              <w:rPr>
                <w:sz w:val="2"/>
                <w:szCs w:val="2"/>
                <w:color w:val="auto"/>
              </w:rPr>
            </w:pPr>
          </w:p>
        </w:tc>
      </w:tr>
      <w:tr>
        <w:trPr>
          <w:trHeight w:val="237"/>
        </w:trPr>
        <w:tc>
          <w:tcPr>
            <w:tcW w:w="1940" w:type="dxa"/>
            <w:vAlign w:val="bottom"/>
            <w:tcBorders>
              <w:left w:val="single" w:sz="8" w:color="008000"/>
            </w:tcBorders>
            <w:gridSpan w:val="2"/>
          </w:tcPr>
          <w:p>
            <w:pPr>
              <w:jc w:val="center"/>
              <w:ind w:left="1030"/>
              <w:spacing w:after="0"/>
              <w:rPr>
                <w:sz w:val="20"/>
                <w:szCs w:val="20"/>
                <w:color w:val="auto"/>
              </w:rPr>
            </w:pPr>
            <w:r>
              <w:rPr>
                <w:rFonts w:ascii="Arial" w:cs="Arial" w:eastAsia="Arial" w:hAnsi="Arial"/>
                <w:sz w:val="18"/>
                <w:szCs w:val="18"/>
                <w:color w:val="auto"/>
                <w:w w:val="89"/>
              </w:rPr>
              <w:t>21</w:t>
            </w:r>
          </w:p>
        </w:tc>
        <w:tc>
          <w:tcPr>
            <w:tcW w:w="1120" w:type="dxa"/>
            <w:vAlign w:val="bottom"/>
            <w:tcBorders>
              <w:right w:val="single" w:sz="8" w:color="008000"/>
            </w:tcBorders>
          </w:tcPr>
          <w:p>
            <w:pPr>
              <w:spacing w:after="0"/>
              <w:rPr>
                <w:sz w:val="20"/>
                <w:szCs w:val="20"/>
                <w:color w:val="auto"/>
              </w:rPr>
            </w:pPr>
          </w:p>
        </w:tc>
        <w:tc>
          <w:tcPr>
            <w:tcW w:w="5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40" w:type="dxa"/>
            <w:vAlign w:val="bottom"/>
            <w:tcBorders>
              <w:right w:val="single" w:sz="8" w:color="008000"/>
            </w:tcBorders>
          </w:tcPr>
          <w:p>
            <w:pPr>
              <w:spacing w:after="0"/>
              <w:rPr>
                <w:sz w:val="20"/>
                <w:szCs w:val="20"/>
                <w:color w:val="auto"/>
              </w:rPr>
            </w:pPr>
          </w:p>
        </w:tc>
        <w:tc>
          <w:tcPr>
            <w:tcW w:w="920" w:type="dxa"/>
            <w:vAlign w:val="bottom"/>
          </w:tcPr>
          <w:p>
            <w:pPr>
              <w:spacing w:after="0"/>
              <w:rPr>
                <w:sz w:val="20"/>
                <w:szCs w:val="20"/>
                <w:color w:val="auto"/>
              </w:rPr>
            </w:pPr>
          </w:p>
        </w:tc>
        <w:tc>
          <w:tcPr>
            <w:tcW w:w="1740" w:type="dxa"/>
            <w:vAlign w:val="bottom"/>
            <w:tcBorders>
              <w:right w:val="single" w:sz="8" w:color="008000"/>
            </w:tcBorders>
            <w:gridSpan w:val="2"/>
          </w:tcPr>
          <w:p>
            <w:pPr>
              <w:jc w:val="center"/>
              <w:ind w:right="960"/>
              <w:spacing w:after="0"/>
              <w:rPr>
                <w:sz w:val="20"/>
                <w:szCs w:val="20"/>
                <w:color w:val="auto"/>
              </w:rPr>
            </w:pPr>
            <w:r>
              <w:rPr>
                <w:rFonts w:ascii="Arial" w:cs="Arial" w:eastAsia="Arial" w:hAnsi="Arial"/>
                <w:sz w:val="18"/>
                <w:szCs w:val="18"/>
                <w:color w:val="auto"/>
                <w:w w:val="99"/>
              </w:rPr>
              <w:t>—%</w:t>
            </w:r>
          </w:p>
        </w:tc>
      </w:tr>
      <w:tr>
        <w:trPr>
          <w:trHeight w:val="27"/>
        </w:trPr>
        <w:tc>
          <w:tcPr>
            <w:tcW w:w="1120" w:type="dxa"/>
            <w:vAlign w:val="bottom"/>
            <w:tcBorders>
              <w:left w:val="single" w:sz="8" w:color="008000"/>
              <w:bottom w:val="single" w:sz="8" w:color="008000"/>
            </w:tcBorders>
          </w:tcPr>
          <w:p>
            <w:pPr>
              <w:spacing w:after="0"/>
              <w:rPr>
                <w:sz w:val="2"/>
                <w:szCs w:val="2"/>
                <w:color w:val="auto"/>
              </w:rPr>
            </w:pPr>
          </w:p>
        </w:tc>
        <w:tc>
          <w:tcPr>
            <w:tcW w:w="820" w:type="dxa"/>
            <w:vAlign w:val="bottom"/>
            <w:tcBorders>
              <w:bottom w:val="single" w:sz="8" w:color="008000"/>
            </w:tcBorders>
          </w:tcPr>
          <w:p>
            <w:pPr>
              <w:spacing w:after="0"/>
              <w:rPr>
                <w:sz w:val="2"/>
                <w:szCs w:val="2"/>
                <w:color w:val="auto"/>
              </w:rPr>
            </w:pPr>
          </w:p>
        </w:tc>
        <w:tc>
          <w:tcPr>
            <w:tcW w:w="1120" w:type="dxa"/>
            <w:vAlign w:val="bottom"/>
            <w:tcBorders>
              <w:bottom w:val="single" w:sz="8" w:color="008000"/>
              <w:right w:val="single" w:sz="8" w:color="008000"/>
            </w:tcBorders>
          </w:tcPr>
          <w:p>
            <w:pPr>
              <w:spacing w:after="0"/>
              <w:rPr>
                <w:sz w:val="2"/>
                <w:szCs w:val="2"/>
                <w:color w:val="auto"/>
              </w:rPr>
            </w:pPr>
          </w:p>
        </w:tc>
        <w:tc>
          <w:tcPr>
            <w:tcW w:w="520" w:type="dxa"/>
            <w:vAlign w:val="bottom"/>
            <w:tcBorders>
              <w:bottom w:val="single" w:sz="8" w:color="008000"/>
            </w:tcBorders>
          </w:tcPr>
          <w:p>
            <w:pPr>
              <w:spacing w:after="0"/>
              <w:rPr>
                <w:sz w:val="2"/>
                <w:szCs w:val="2"/>
                <w:color w:val="auto"/>
              </w:rPr>
            </w:pPr>
          </w:p>
        </w:tc>
        <w:tc>
          <w:tcPr>
            <w:tcW w:w="840" w:type="dxa"/>
            <w:vAlign w:val="bottom"/>
            <w:tcBorders>
              <w:bottom w:val="single" w:sz="8" w:color="008000"/>
            </w:tcBorders>
          </w:tcPr>
          <w:p>
            <w:pPr>
              <w:spacing w:after="0"/>
              <w:rPr>
                <w:sz w:val="2"/>
                <w:szCs w:val="2"/>
                <w:color w:val="auto"/>
              </w:rPr>
            </w:pPr>
          </w:p>
        </w:tc>
        <w:tc>
          <w:tcPr>
            <w:tcW w:w="540" w:type="dxa"/>
            <w:vAlign w:val="bottom"/>
            <w:tcBorders>
              <w:bottom w:val="single" w:sz="8" w:color="008000"/>
              <w:right w:val="single" w:sz="8" w:color="008000"/>
            </w:tcBorders>
          </w:tcPr>
          <w:p>
            <w:pPr>
              <w:spacing w:after="0"/>
              <w:rPr>
                <w:sz w:val="2"/>
                <w:szCs w:val="2"/>
                <w:color w:val="auto"/>
              </w:rPr>
            </w:pPr>
          </w:p>
        </w:tc>
        <w:tc>
          <w:tcPr>
            <w:tcW w:w="920" w:type="dxa"/>
            <w:vAlign w:val="bottom"/>
            <w:tcBorders>
              <w:bottom w:val="single" w:sz="8" w:color="008000"/>
            </w:tcBorders>
          </w:tcPr>
          <w:p>
            <w:pPr>
              <w:spacing w:after="0"/>
              <w:rPr>
                <w:sz w:val="2"/>
                <w:szCs w:val="2"/>
                <w:color w:val="auto"/>
              </w:rPr>
            </w:pPr>
          </w:p>
        </w:tc>
        <w:tc>
          <w:tcPr>
            <w:tcW w:w="780" w:type="dxa"/>
            <w:vAlign w:val="bottom"/>
            <w:tcBorders>
              <w:bottom w:val="single" w:sz="8" w:color="008000"/>
            </w:tcBorders>
          </w:tcPr>
          <w:p>
            <w:pPr>
              <w:spacing w:after="0"/>
              <w:rPr>
                <w:sz w:val="2"/>
                <w:szCs w:val="2"/>
                <w:color w:val="auto"/>
              </w:rPr>
            </w:pPr>
          </w:p>
        </w:tc>
        <w:tc>
          <w:tcPr>
            <w:tcW w:w="960" w:type="dxa"/>
            <w:vAlign w:val="bottom"/>
            <w:tcBorders>
              <w:bottom w:val="single" w:sz="8" w:color="008000"/>
              <w:right w:val="single" w:sz="8" w:color="008000"/>
            </w:tcBorders>
          </w:tcPr>
          <w:p>
            <w:pPr>
              <w:spacing w:after="0"/>
              <w:rPr>
                <w:sz w:val="2"/>
                <w:szCs w:val="2"/>
                <w:color w:val="auto"/>
              </w:rPr>
            </w:pPr>
          </w:p>
        </w:tc>
      </w:tr>
      <w:tr>
        <w:trPr>
          <w:trHeight w:val="237"/>
        </w:trPr>
        <w:tc>
          <w:tcPr>
            <w:tcW w:w="1940" w:type="dxa"/>
            <w:vAlign w:val="bottom"/>
            <w:tcBorders>
              <w:left w:val="single" w:sz="8" w:color="008000"/>
            </w:tcBorders>
            <w:gridSpan w:val="2"/>
          </w:tcPr>
          <w:p>
            <w:pPr>
              <w:jc w:val="center"/>
              <w:ind w:left="1030"/>
              <w:spacing w:after="0"/>
              <w:rPr>
                <w:sz w:val="20"/>
                <w:szCs w:val="20"/>
                <w:color w:val="auto"/>
              </w:rPr>
            </w:pPr>
            <w:r>
              <w:rPr>
                <w:rFonts w:ascii="Arial" w:cs="Arial" w:eastAsia="Arial" w:hAnsi="Arial"/>
                <w:sz w:val="18"/>
                <w:szCs w:val="18"/>
                <w:color w:val="auto"/>
                <w:w w:val="89"/>
              </w:rPr>
              <w:t>22</w:t>
            </w:r>
          </w:p>
        </w:tc>
        <w:tc>
          <w:tcPr>
            <w:tcW w:w="1120" w:type="dxa"/>
            <w:vAlign w:val="bottom"/>
            <w:tcBorders>
              <w:right w:val="single" w:sz="8" w:color="008000"/>
            </w:tcBorders>
          </w:tcPr>
          <w:p>
            <w:pPr>
              <w:spacing w:after="0"/>
              <w:rPr>
                <w:sz w:val="20"/>
                <w:szCs w:val="20"/>
                <w:color w:val="auto"/>
              </w:rPr>
            </w:pPr>
          </w:p>
        </w:tc>
        <w:tc>
          <w:tcPr>
            <w:tcW w:w="5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40" w:type="dxa"/>
            <w:vAlign w:val="bottom"/>
            <w:tcBorders>
              <w:right w:val="single" w:sz="8" w:color="008000"/>
            </w:tcBorders>
          </w:tcPr>
          <w:p>
            <w:pPr>
              <w:spacing w:after="0"/>
              <w:rPr>
                <w:sz w:val="20"/>
                <w:szCs w:val="20"/>
                <w:color w:val="auto"/>
              </w:rPr>
            </w:pPr>
          </w:p>
        </w:tc>
        <w:tc>
          <w:tcPr>
            <w:tcW w:w="920" w:type="dxa"/>
            <w:vAlign w:val="bottom"/>
          </w:tcPr>
          <w:p>
            <w:pPr>
              <w:spacing w:after="0"/>
              <w:rPr>
                <w:sz w:val="20"/>
                <w:szCs w:val="20"/>
                <w:color w:val="auto"/>
              </w:rPr>
            </w:pPr>
          </w:p>
        </w:tc>
        <w:tc>
          <w:tcPr>
            <w:tcW w:w="1740" w:type="dxa"/>
            <w:vAlign w:val="bottom"/>
            <w:tcBorders>
              <w:right w:val="single" w:sz="8" w:color="008000"/>
            </w:tcBorders>
            <w:gridSpan w:val="2"/>
          </w:tcPr>
          <w:p>
            <w:pPr>
              <w:jc w:val="center"/>
              <w:ind w:right="960"/>
              <w:spacing w:after="0"/>
              <w:rPr>
                <w:sz w:val="20"/>
                <w:szCs w:val="20"/>
                <w:color w:val="auto"/>
              </w:rPr>
            </w:pPr>
            <w:r>
              <w:rPr>
                <w:rFonts w:ascii="Arial" w:cs="Arial" w:eastAsia="Arial" w:hAnsi="Arial"/>
                <w:sz w:val="18"/>
                <w:szCs w:val="18"/>
                <w:color w:val="auto"/>
                <w:w w:val="99"/>
              </w:rPr>
              <w:t>—%</w:t>
            </w:r>
          </w:p>
        </w:tc>
      </w:tr>
      <w:tr>
        <w:trPr>
          <w:trHeight w:val="27"/>
        </w:trPr>
        <w:tc>
          <w:tcPr>
            <w:tcW w:w="1120" w:type="dxa"/>
            <w:vAlign w:val="bottom"/>
            <w:tcBorders>
              <w:left w:val="single" w:sz="8" w:color="008000"/>
              <w:bottom w:val="single" w:sz="8" w:color="008000"/>
            </w:tcBorders>
          </w:tcPr>
          <w:p>
            <w:pPr>
              <w:spacing w:after="0"/>
              <w:rPr>
                <w:sz w:val="2"/>
                <w:szCs w:val="2"/>
                <w:color w:val="auto"/>
              </w:rPr>
            </w:pPr>
          </w:p>
        </w:tc>
        <w:tc>
          <w:tcPr>
            <w:tcW w:w="820" w:type="dxa"/>
            <w:vAlign w:val="bottom"/>
            <w:tcBorders>
              <w:bottom w:val="single" w:sz="8" w:color="008000"/>
            </w:tcBorders>
          </w:tcPr>
          <w:p>
            <w:pPr>
              <w:spacing w:after="0"/>
              <w:rPr>
                <w:sz w:val="2"/>
                <w:szCs w:val="2"/>
                <w:color w:val="auto"/>
              </w:rPr>
            </w:pPr>
          </w:p>
        </w:tc>
        <w:tc>
          <w:tcPr>
            <w:tcW w:w="1120" w:type="dxa"/>
            <w:vAlign w:val="bottom"/>
            <w:tcBorders>
              <w:bottom w:val="single" w:sz="8" w:color="008000"/>
              <w:right w:val="single" w:sz="8" w:color="008000"/>
            </w:tcBorders>
          </w:tcPr>
          <w:p>
            <w:pPr>
              <w:spacing w:after="0"/>
              <w:rPr>
                <w:sz w:val="2"/>
                <w:szCs w:val="2"/>
                <w:color w:val="auto"/>
              </w:rPr>
            </w:pPr>
          </w:p>
        </w:tc>
        <w:tc>
          <w:tcPr>
            <w:tcW w:w="520" w:type="dxa"/>
            <w:vAlign w:val="bottom"/>
            <w:tcBorders>
              <w:bottom w:val="single" w:sz="8" w:color="008000"/>
            </w:tcBorders>
          </w:tcPr>
          <w:p>
            <w:pPr>
              <w:spacing w:after="0"/>
              <w:rPr>
                <w:sz w:val="2"/>
                <w:szCs w:val="2"/>
                <w:color w:val="auto"/>
              </w:rPr>
            </w:pPr>
          </w:p>
        </w:tc>
        <w:tc>
          <w:tcPr>
            <w:tcW w:w="840" w:type="dxa"/>
            <w:vAlign w:val="bottom"/>
            <w:tcBorders>
              <w:bottom w:val="single" w:sz="8" w:color="008000"/>
            </w:tcBorders>
          </w:tcPr>
          <w:p>
            <w:pPr>
              <w:spacing w:after="0"/>
              <w:rPr>
                <w:sz w:val="2"/>
                <w:szCs w:val="2"/>
                <w:color w:val="auto"/>
              </w:rPr>
            </w:pPr>
          </w:p>
        </w:tc>
        <w:tc>
          <w:tcPr>
            <w:tcW w:w="540" w:type="dxa"/>
            <w:vAlign w:val="bottom"/>
            <w:tcBorders>
              <w:bottom w:val="single" w:sz="8" w:color="008000"/>
              <w:right w:val="single" w:sz="8" w:color="008000"/>
            </w:tcBorders>
          </w:tcPr>
          <w:p>
            <w:pPr>
              <w:spacing w:after="0"/>
              <w:rPr>
                <w:sz w:val="2"/>
                <w:szCs w:val="2"/>
                <w:color w:val="auto"/>
              </w:rPr>
            </w:pPr>
          </w:p>
        </w:tc>
        <w:tc>
          <w:tcPr>
            <w:tcW w:w="920" w:type="dxa"/>
            <w:vAlign w:val="bottom"/>
            <w:tcBorders>
              <w:bottom w:val="single" w:sz="8" w:color="008000"/>
            </w:tcBorders>
          </w:tcPr>
          <w:p>
            <w:pPr>
              <w:spacing w:after="0"/>
              <w:rPr>
                <w:sz w:val="2"/>
                <w:szCs w:val="2"/>
                <w:color w:val="auto"/>
              </w:rPr>
            </w:pPr>
          </w:p>
        </w:tc>
        <w:tc>
          <w:tcPr>
            <w:tcW w:w="780" w:type="dxa"/>
            <w:vAlign w:val="bottom"/>
            <w:tcBorders>
              <w:bottom w:val="single" w:sz="8" w:color="008000"/>
            </w:tcBorders>
          </w:tcPr>
          <w:p>
            <w:pPr>
              <w:spacing w:after="0"/>
              <w:rPr>
                <w:sz w:val="2"/>
                <w:szCs w:val="2"/>
                <w:color w:val="auto"/>
              </w:rPr>
            </w:pPr>
          </w:p>
        </w:tc>
        <w:tc>
          <w:tcPr>
            <w:tcW w:w="960" w:type="dxa"/>
            <w:vAlign w:val="bottom"/>
            <w:tcBorders>
              <w:bottom w:val="single" w:sz="8" w:color="008000"/>
              <w:right w:val="single" w:sz="8" w:color="008000"/>
            </w:tcBorders>
          </w:tcPr>
          <w:p>
            <w:pPr>
              <w:spacing w:after="0"/>
              <w:rPr>
                <w:sz w:val="2"/>
                <w:szCs w:val="2"/>
                <w:color w:val="auto"/>
              </w:rPr>
            </w:pPr>
          </w:p>
        </w:tc>
      </w:tr>
      <w:tr>
        <w:trPr>
          <w:trHeight w:val="237"/>
        </w:trPr>
        <w:tc>
          <w:tcPr>
            <w:tcW w:w="1940" w:type="dxa"/>
            <w:vAlign w:val="bottom"/>
            <w:tcBorders>
              <w:left w:val="single" w:sz="8" w:color="008000"/>
            </w:tcBorders>
            <w:gridSpan w:val="2"/>
          </w:tcPr>
          <w:p>
            <w:pPr>
              <w:jc w:val="center"/>
              <w:ind w:left="1030"/>
              <w:spacing w:after="0"/>
              <w:rPr>
                <w:sz w:val="20"/>
                <w:szCs w:val="20"/>
                <w:color w:val="auto"/>
              </w:rPr>
            </w:pPr>
            <w:r>
              <w:rPr>
                <w:rFonts w:ascii="Arial" w:cs="Arial" w:eastAsia="Arial" w:hAnsi="Arial"/>
                <w:sz w:val="18"/>
                <w:szCs w:val="18"/>
                <w:color w:val="auto"/>
                <w:w w:val="89"/>
              </w:rPr>
              <w:t>23</w:t>
            </w:r>
          </w:p>
        </w:tc>
        <w:tc>
          <w:tcPr>
            <w:tcW w:w="1120" w:type="dxa"/>
            <w:vAlign w:val="bottom"/>
            <w:tcBorders>
              <w:right w:val="single" w:sz="8" w:color="008000"/>
            </w:tcBorders>
          </w:tcPr>
          <w:p>
            <w:pPr>
              <w:spacing w:after="0"/>
              <w:rPr>
                <w:sz w:val="20"/>
                <w:szCs w:val="20"/>
                <w:color w:val="auto"/>
              </w:rPr>
            </w:pPr>
          </w:p>
        </w:tc>
        <w:tc>
          <w:tcPr>
            <w:tcW w:w="5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40" w:type="dxa"/>
            <w:vAlign w:val="bottom"/>
            <w:tcBorders>
              <w:right w:val="single" w:sz="8" w:color="008000"/>
            </w:tcBorders>
          </w:tcPr>
          <w:p>
            <w:pPr>
              <w:spacing w:after="0"/>
              <w:rPr>
                <w:sz w:val="20"/>
                <w:szCs w:val="20"/>
                <w:color w:val="auto"/>
              </w:rPr>
            </w:pPr>
          </w:p>
        </w:tc>
        <w:tc>
          <w:tcPr>
            <w:tcW w:w="920" w:type="dxa"/>
            <w:vAlign w:val="bottom"/>
          </w:tcPr>
          <w:p>
            <w:pPr>
              <w:spacing w:after="0"/>
              <w:rPr>
                <w:sz w:val="20"/>
                <w:szCs w:val="20"/>
                <w:color w:val="auto"/>
              </w:rPr>
            </w:pPr>
          </w:p>
        </w:tc>
        <w:tc>
          <w:tcPr>
            <w:tcW w:w="1740" w:type="dxa"/>
            <w:vAlign w:val="bottom"/>
            <w:tcBorders>
              <w:right w:val="single" w:sz="8" w:color="008000"/>
            </w:tcBorders>
            <w:gridSpan w:val="2"/>
          </w:tcPr>
          <w:p>
            <w:pPr>
              <w:jc w:val="center"/>
              <w:ind w:right="960"/>
              <w:spacing w:after="0"/>
              <w:rPr>
                <w:sz w:val="20"/>
                <w:szCs w:val="20"/>
                <w:color w:val="auto"/>
              </w:rPr>
            </w:pPr>
            <w:r>
              <w:rPr>
                <w:rFonts w:ascii="Arial" w:cs="Arial" w:eastAsia="Arial" w:hAnsi="Arial"/>
                <w:sz w:val="18"/>
                <w:szCs w:val="18"/>
                <w:color w:val="auto"/>
                <w:w w:val="99"/>
              </w:rPr>
              <w:t>—%</w:t>
            </w:r>
          </w:p>
        </w:tc>
      </w:tr>
      <w:tr>
        <w:trPr>
          <w:trHeight w:val="27"/>
        </w:trPr>
        <w:tc>
          <w:tcPr>
            <w:tcW w:w="1120" w:type="dxa"/>
            <w:vAlign w:val="bottom"/>
            <w:tcBorders>
              <w:left w:val="single" w:sz="8" w:color="008000"/>
              <w:bottom w:val="single" w:sz="8" w:color="008000"/>
            </w:tcBorders>
          </w:tcPr>
          <w:p>
            <w:pPr>
              <w:spacing w:after="0"/>
              <w:rPr>
                <w:sz w:val="2"/>
                <w:szCs w:val="2"/>
                <w:color w:val="auto"/>
              </w:rPr>
            </w:pPr>
          </w:p>
        </w:tc>
        <w:tc>
          <w:tcPr>
            <w:tcW w:w="820" w:type="dxa"/>
            <w:vAlign w:val="bottom"/>
            <w:tcBorders>
              <w:bottom w:val="single" w:sz="8" w:color="008000"/>
            </w:tcBorders>
          </w:tcPr>
          <w:p>
            <w:pPr>
              <w:spacing w:after="0"/>
              <w:rPr>
                <w:sz w:val="2"/>
                <w:szCs w:val="2"/>
                <w:color w:val="auto"/>
              </w:rPr>
            </w:pPr>
          </w:p>
        </w:tc>
        <w:tc>
          <w:tcPr>
            <w:tcW w:w="1120" w:type="dxa"/>
            <w:vAlign w:val="bottom"/>
            <w:tcBorders>
              <w:bottom w:val="single" w:sz="8" w:color="008000"/>
              <w:right w:val="single" w:sz="8" w:color="008000"/>
            </w:tcBorders>
          </w:tcPr>
          <w:p>
            <w:pPr>
              <w:spacing w:after="0"/>
              <w:rPr>
                <w:sz w:val="2"/>
                <w:szCs w:val="2"/>
                <w:color w:val="auto"/>
              </w:rPr>
            </w:pPr>
          </w:p>
        </w:tc>
        <w:tc>
          <w:tcPr>
            <w:tcW w:w="520" w:type="dxa"/>
            <w:vAlign w:val="bottom"/>
            <w:tcBorders>
              <w:bottom w:val="single" w:sz="8" w:color="008000"/>
            </w:tcBorders>
          </w:tcPr>
          <w:p>
            <w:pPr>
              <w:spacing w:after="0"/>
              <w:rPr>
                <w:sz w:val="2"/>
                <w:szCs w:val="2"/>
                <w:color w:val="auto"/>
              </w:rPr>
            </w:pPr>
          </w:p>
        </w:tc>
        <w:tc>
          <w:tcPr>
            <w:tcW w:w="840" w:type="dxa"/>
            <w:vAlign w:val="bottom"/>
            <w:tcBorders>
              <w:bottom w:val="single" w:sz="8" w:color="008000"/>
            </w:tcBorders>
          </w:tcPr>
          <w:p>
            <w:pPr>
              <w:spacing w:after="0"/>
              <w:rPr>
                <w:sz w:val="2"/>
                <w:szCs w:val="2"/>
                <w:color w:val="auto"/>
              </w:rPr>
            </w:pPr>
          </w:p>
        </w:tc>
        <w:tc>
          <w:tcPr>
            <w:tcW w:w="540" w:type="dxa"/>
            <w:vAlign w:val="bottom"/>
            <w:tcBorders>
              <w:bottom w:val="single" w:sz="8" w:color="008000"/>
              <w:right w:val="single" w:sz="8" w:color="008000"/>
            </w:tcBorders>
          </w:tcPr>
          <w:p>
            <w:pPr>
              <w:spacing w:after="0"/>
              <w:rPr>
                <w:sz w:val="2"/>
                <w:szCs w:val="2"/>
                <w:color w:val="auto"/>
              </w:rPr>
            </w:pPr>
          </w:p>
        </w:tc>
        <w:tc>
          <w:tcPr>
            <w:tcW w:w="920" w:type="dxa"/>
            <w:vAlign w:val="bottom"/>
            <w:tcBorders>
              <w:bottom w:val="single" w:sz="8" w:color="008000"/>
            </w:tcBorders>
          </w:tcPr>
          <w:p>
            <w:pPr>
              <w:spacing w:after="0"/>
              <w:rPr>
                <w:sz w:val="2"/>
                <w:szCs w:val="2"/>
                <w:color w:val="auto"/>
              </w:rPr>
            </w:pPr>
          </w:p>
        </w:tc>
        <w:tc>
          <w:tcPr>
            <w:tcW w:w="780" w:type="dxa"/>
            <w:vAlign w:val="bottom"/>
            <w:tcBorders>
              <w:bottom w:val="single" w:sz="8" w:color="008000"/>
            </w:tcBorders>
          </w:tcPr>
          <w:p>
            <w:pPr>
              <w:spacing w:after="0"/>
              <w:rPr>
                <w:sz w:val="2"/>
                <w:szCs w:val="2"/>
                <w:color w:val="auto"/>
              </w:rPr>
            </w:pPr>
          </w:p>
        </w:tc>
        <w:tc>
          <w:tcPr>
            <w:tcW w:w="960" w:type="dxa"/>
            <w:vAlign w:val="bottom"/>
            <w:tcBorders>
              <w:bottom w:val="single" w:sz="8" w:color="008000"/>
              <w:right w:val="single" w:sz="8" w:color="008000"/>
            </w:tcBorders>
          </w:tcPr>
          <w:p>
            <w:pPr>
              <w:spacing w:after="0"/>
              <w:rPr>
                <w:sz w:val="2"/>
                <w:szCs w:val="2"/>
                <w:color w:val="auto"/>
              </w:rPr>
            </w:pPr>
          </w:p>
        </w:tc>
      </w:tr>
      <w:tr>
        <w:trPr>
          <w:trHeight w:val="237"/>
        </w:trPr>
        <w:tc>
          <w:tcPr>
            <w:tcW w:w="1940" w:type="dxa"/>
            <w:vAlign w:val="bottom"/>
            <w:tcBorders>
              <w:left w:val="single" w:sz="8" w:color="008000"/>
            </w:tcBorders>
            <w:gridSpan w:val="2"/>
          </w:tcPr>
          <w:p>
            <w:pPr>
              <w:jc w:val="center"/>
              <w:ind w:left="1030"/>
              <w:spacing w:after="0"/>
              <w:rPr>
                <w:sz w:val="20"/>
                <w:szCs w:val="20"/>
                <w:color w:val="auto"/>
              </w:rPr>
            </w:pPr>
            <w:r>
              <w:rPr>
                <w:rFonts w:ascii="Arial" w:cs="Arial" w:eastAsia="Arial" w:hAnsi="Arial"/>
                <w:sz w:val="18"/>
                <w:szCs w:val="18"/>
                <w:color w:val="auto"/>
                <w:w w:val="89"/>
              </w:rPr>
              <w:t>24</w:t>
            </w:r>
          </w:p>
        </w:tc>
        <w:tc>
          <w:tcPr>
            <w:tcW w:w="1120" w:type="dxa"/>
            <w:vAlign w:val="bottom"/>
            <w:tcBorders>
              <w:right w:val="single" w:sz="8" w:color="008000"/>
            </w:tcBorders>
          </w:tcPr>
          <w:p>
            <w:pPr>
              <w:spacing w:after="0"/>
              <w:rPr>
                <w:sz w:val="20"/>
                <w:szCs w:val="20"/>
                <w:color w:val="auto"/>
              </w:rPr>
            </w:pPr>
          </w:p>
        </w:tc>
        <w:tc>
          <w:tcPr>
            <w:tcW w:w="5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40" w:type="dxa"/>
            <w:vAlign w:val="bottom"/>
            <w:tcBorders>
              <w:right w:val="single" w:sz="8" w:color="008000"/>
            </w:tcBorders>
          </w:tcPr>
          <w:p>
            <w:pPr>
              <w:spacing w:after="0"/>
              <w:rPr>
                <w:sz w:val="20"/>
                <w:szCs w:val="20"/>
                <w:color w:val="auto"/>
              </w:rPr>
            </w:pPr>
          </w:p>
        </w:tc>
        <w:tc>
          <w:tcPr>
            <w:tcW w:w="920" w:type="dxa"/>
            <w:vAlign w:val="bottom"/>
          </w:tcPr>
          <w:p>
            <w:pPr>
              <w:spacing w:after="0"/>
              <w:rPr>
                <w:sz w:val="20"/>
                <w:szCs w:val="20"/>
                <w:color w:val="auto"/>
              </w:rPr>
            </w:pPr>
          </w:p>
        </w:tc>
        <w:tc>
          <w:tcPr>
            <w:tcW w:w="1740" w:type="dxa"/>
            <w:vAlign w:val="bottom"/>
            <w:tcBorders>
              <w:right w:val="single" w:sz="8" w:color="008000"/>
            </w:tcBorders>
            <w:gridSpan w:val="2"/>
          </w:tcPr>
          <w:p>
            <w:pPr>
              <w:jc w:val="center"/>
              <w:ind w:right="960"/>
              <w:spacing w:after="0"/>
              <w:rPr>
                <w:sz w:val="20"/>
                <w:szCs w:val="20"/>
                <w:color w:val="auto"/>
              </w:rPr>
            </w:pPr>
            <w:r>
              <w:rPr>
                <w:rFonts w:ascii="Arial" w:cs="Arial" w:eastAsia="Arial" w:hAnsi="Arial"/>
                <w:sz w:val="18"/>
                <w:szCs w:val="18"/>
                <w:color w:val="auto"/>
                <w:w w:val="99"/>
              </w:rPr>
              <w:t>—%</w:t>
            </w:r>
          </w:p>
        </w:tc>
      </w:tr>
      <w:tr>
        <w:trPr>
          <w:trHeight w:val="27"/>
        </w:trPr>
        <w:tc>
          <w:tcPr>
            <w:tcW w:w="1120" w:type="dxa"/>
            <w:vAlign w:val="bottom"/>
            <w:tcBorders>
              <w:left w:val="single" w:sz="8" w:color="008000"/>
              <w:bottom w:val="single" w:sz="8" w:color="008000"/>
            </w:tcBorders>
          </w:tcPr>
          <w:p>
            <w:pPr>
              <w:spacing w:after="0"/>
              <w:rPr>
                <w:sz w:val="2"/>
                <w:szCs w:val="2"/>
                <w:color w:val="auto"/>
              </w:rPr>
            </w:pPr>
          </w:p>
        </w:tc>
        <w:tc>
          <w:tcPr>
            <w:tcW w:w="820" w:type="dxa"/>
            <w:vAlign w:val="bottom"/>
            <w:tcBorders>
              <w:bottom w:val="single" w:sz="8" w:color="008000"/>
            </w:tcBorders>
          </w:tcPr>
          <w:p>
            <w:pPr>
              <w:spacing w:after="0"/>
              <w:rPr>
                <w:sz w:val="2"/>
                <w:szCs w:val="2"/>
                <w:color w:val="auto"/>
              </w:rPr>
            </w:pPr>
          </w:p>
        </w:tc>
        <w:tc>
          <w:tcPr>
            <w:tcW w:w="1120" w:type="dxa"/>
            <w:vAlign w:val="bottom"/>
            <w:tcBorders>
              <w:bottom w:val="single" w:sz="8" w:color="008000"/>
              <w:right w:val="single" w:sz="8" w:color="008000"/>
            </w:tcBorders>
          </w:tcPr>
          <w:p>
            <w:pPr>
              <w:spacing w:after="0"/>
              <w:rPr>
                <w:sz w:val="2"/>
                <w:szCs w:val="2"/>
                <w:color w:val="auto"/>
              </w:rPr>
            </w:pPr>
          </w:p>
        </w:tc>
        <w:tc>
          <w:tcPr>
            <w:tcW w:w="520" w:type="dxa"/>
            <w:vAlign w:val="bottom"/>
            <w:tcBorders>
              <w:bottom w:val="single" w:sz="8" w:color="008000"/>
            </w:tcBorders>
          </w:tcPr>
          <w:p>
            <w:pPr>
              <w:spacing w:after="0"/>
              <w:rPr>
                <w:sz w:val="2"/>
                <w:szCs w:val="2"/>
                <w:color w:val="auto"/>
              </w:rPr>
            </w:pPr>
          </w:p>
        </w:tc>
        <w:tc>
          <w:tcPr>
            <w:tcW w:w="840" w:type="dxa"/>
            <w:vAlign w:val="bottom"/>
            <w:tcBorders>
              <w:bottom w:val="single" w:sz="8" w:color="008000"/>
            </w:tcBorders>
          </w:tcPr>
          <w:p>
            <w:pPr>
              <w:spacing w:after="0"/>
              <w:rPr>
                <w:sz w:val="2"/>
                <w:szCs w:val="2"/>
                <w:color w:val="auto"/>
              </w:rPr>
            </w:pPr>
          </w:p>
        </w:tc>
        <w:tc>
          <w:tcPr>
            <w:tcW w:w="540" w:type="dxa"/>
            <w:vAlign w:val="bottom"/>
            <w:tcBorders>
              <w:bottom w:val="single" w:sz="8" w:color="008000"/>
              <w:right w:val="single" w:sz="8" w:color="008000"/>
            </w:tcBorders>
          </w:tcPr>
          <w:p>
            <w:pPr>
              <w:spacing w:after="0"/>
              <w:rPr>
                <w:sz w:val="2"/>
                <w:szCs w:val="2"/>
                <w:color w:val="auto"/>
              </w:rPr>
            </w:pPr>
          </w:p>
        </w:tc>
        <w:tc>
          <w:tcPr>
            <w:tcW w:w="920" w:type="dxa"/>
            <w:vAlign w:val="bottom"/>
            <w:tcBorders>
              <w:bottom w:val="single" w:sz="8" w:color="008000"/>
            </w:tcBorders>
          </w:tcPr>
          <w:p>
            <w:pPr>
              <w:spacing w:after="0"/>
              <w:rPr>
                <w:sz w:val="2"/>
                <w:szCs w:val="2"/>
                <w:color w:val="auto"/>
              </w:rPr>
            </w:pPr>
          </w:p>
        </w:tc>
        <w:tc>
          <w:tcPr>
            <w:tcW w:w="780" w:type="dxa"/>
            <w:vAlign w:val="bottom"/>
            <w:tcBorders>
              <w:bottom w:val="single" w:sz="8" w:color="008000"/>
            </w:tcBorders>
          </w:tcPr>
          <w:p>
            <w:pPr>
              <w:spacing w:after="0"/>
              <w:rPr>
                <w:sz w:val="2"/>
                <w:szCs w:val="2"/>
                <w:color w:val="auto"/>
              </w:rPr>
            </w:pPr>
          </w:p>
        </w:tc>
        <w:tc>
          <w:tcPr>
            <w:tcW w:w="960" w:type="dxa"/>
            <w:vAlign w:val="bottom"/>
            <w:tcBorders>
              <w:bottom w:val="single" w:sz="8" w:color="008000"/>
              <w:right w:val="single" w:sz="8" w:color="008000"/>
            </w:tcBorders>
          </w:tcPr>
          <w:p>
            <w:pPr>
              <w:spacing w:after="0"/>
              <w:rPr>
                <w:sz w:val="2"/>
                <w:szCs w:val="2"/>
                <w:color w:val="auto"/>
              </w:rPr>
            </w:pPr>
          </w:p>
        </w:tc>
      </w:tr>
      <w:tr>
        <w:trPr>
          <w:trHeight w:val="237"/>
        </w:trPr>
        <w:tc>
          <w:tcPr>
            <w:tcW w:w="1940" w:type="dxa"/>
            <w:vAlign w:val="bottom"/>
            <w:tcBorders>
              <w:left w:val="single" w:sz="8" w:color="008000"/>
            </w:tcBorders>
            <w:gridSpan w:val="2"/>
          </w:tcPr>
          <w:p>
            <w:pPr>
              <w:jc w:val="center"/>
              <w:ind w:left="1030"/>
              <w:spacing w:after="0"/>
              <w:rPr>
                <w:sz w:val="20"/>
                <w:szCs w:val="20"/>
                <w:color w:val="auto"/>
              </w:rPr>
            </w:pPr>
            <w:r>
              <w:rPr>
                <w:rFonts w:ascii="Arial" w:cs="Arial" w:eastAsia="Arial" w:hAnsi="Arial"/>
                <w:sz w:val="18"/>
                <w:szCs w:val="18"/>
                <w:color w:val="auto"/>
                <w:w w:val="89"/>
              </w:rPr>
              <w:t>25</w:t>
            </w:r>
          </w:p>
        </w:tc>
        <w:tc>
          <w:tcPr>
            <w:tcW w:w="1120" w:type="dxa"/>
            <w:vAlign w:val="bottom"/>
            <w:tcBorders>
              <w:right w:val="single" w:sz="8" w:color="008000"/>
            </w:tcBorders>
          </w:tcPr>
          <w:p>
            <w:pPr>
              <w:spacing w:after="0"/>
              <w:rPr>
                <w:sz w:val="20"/>
                <w:szCs w:val="20"/>
                <w:color w:val="auto"/>
              </w:rPr>
            </w:pPr>
          </w:p>
        </w:tc>
        <w:tc>
          <w:tcPr>
            <w:tcW w:w="5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40" w:type="dxa"/>
            <w:vAlign w:val="bottom"/>
            <w:tcBorders>
              <w:right w:val="single" w:sz="8" w:color="008000"/>
            </w:tcBorders>
          </w:tcPr>
          <w:p>
            <w:pPr>
              <w:spacing w:after="0"/>
              <w:rPr>
                <w:sz w:val="20"/>
                <w:szCs w:val="20"/>
                <w:color w:val="auto"/>
              </w:rPr>
            </w:pPr>
          </w:p>
        </w:tc>
        <w:tc>
          <w:tcPr>
            <w:tcW w:w="920" w:type="dxa"/>
            <w:vAlign w:val="bottom"/>
          </w:tcPr>
          <w:p>
            <w:pPr>
              <w:spacing w:after="0"/>
              <w:rPr>
                <w:sz w:val="20"/>
                <w:szCs w:val="20"/>
                <w:color w:val="auto"/>
              </w:rPr>
            </w:pPr>
          </w:p>
        </w:tc>
        <w:tc>
          <w:tcPr>
            <w:tcW w:w="1740" w:type="dxa"/>
            <w:vAlign w:val="bottom"/>
            <w:tcBorders>
              <w:right w:val="single" w:sz="8" w:color="008000"/>
            </w:tcBorders>
            <w:gridSpan w:val="2"/>
          </w:tcPr>
          <w:p>
            <w:pPr>
              <w:jc w:val="center"/>
              <w:ind w:right="960"/>
              <w:spacing w:after="0"/>
              <w:rPr>
                <w:sz w:val="20"/>
                <w:szCs w:val="20"/>
                <w:color w:val="auto"/>
              </w:rPr>
            </w:pPr>
            <w:r>
              <w:rPr>
                <w:rFonts w:ascii="Arial" w:cs="Arial" w:eastAsia="Arial" w:hAnsi="Arial"/>
                <w:sz w:val="18"/>
                <w:szCs w:val="18"/>
                <w:color w:val="auto"/>
                <w:w w:val="99"/>
              </w:rPr>
              <w:t>—%</w:t>
            </w:r>
          </w:p>
        </w:tc>
      </w:tr>
      <w:tr>
        <w:trPr>
          <w:trHeight w:val="27"/>
        </w:trPr>
        <w:tc>
          <w:tcPr>
            <w:tcW w:w="1120" w:type="dxa"/>
            <w:vAlign w:val="bottom"/>
            <w:tcBorders>
              <w:left w:val="single" w:sz="8" w:color="008000"/>
              <w:bottom w:val="single" w:sz="8" w:color="008000"/>
            </w:tcBorders>
          </w:tcPr>
          <w:p>
            <w:pPr>
              <w:spacing w:after="0"/>
              <w:rPr>
                <w:sz w:val="2"/>
                <w:szCs w:val="2"/>
                <w:color w:val="auto"/>
              </w:rPr>
            </w:pPr>
          </w:p>
        </w:tc>
        <w:tc>
          <w:tcPr>
            <w:tcW w:w="820" w:type="dxa"/>
            <w:vAlign w:val="bottom"/>
            <w:tcBorders>
              <w:bottom w:val="single" w:sz="8" w:color="008000"/>
            </w:tcBorders>
          </w:tcPr>
          <w:p>
            <w:pPr>
              <w:spacing w:after="0"/>
              <w:rPr>
                <w:sz w:val="2"/>
                <w:szCs w:val="2"/>
                <w:color w:val="auto"/>
              </w:rPr>
            </w:pPr>
          </w:p>
        </w:tc>
        <w:tc>
          <w:tcPr>
            <w:tcW w:w="1120" w:type="dxa"/>
            <w:vAlign w:val="bottom"/>
            <w:tcBorders>
              <w:bottom w:val="single" w:sz="8" w:color="008000"/>
              <w:right w:val="single" w:sz="8" w:color="008000"/>
            </w:tcBorders>
          </w:tcPr>
          <w:p>
            <w:pPr>
              <w:spacing w:after="0"/>
              <w:rPr>
                <w:sz w:val="2"/>
                <w:szCs w:val="2"/>
                <w:color w:val="auto"/>
              </w:rPr>
            </w:pPr>
          </w:p>
        </w:tc>
        <w:tc>
          <w:tcPr>
            <w:tcW w:w="520" w:type="dxa"/>
            <w:vAlign w:val="bottom"/>
            <w:tcBorders>
              <w:bottom w:val="single" w:sz="8" w:color="008000"/>
            </w:tcBorders>
          </w:tcPr>
          <w:p>
            <w:pPr>
              <w:spacing w:after="0"/>
              <w:rPr>
                <w:sz w:val="2"/>
                <w:szCs w:val="2"/>
                <w:color w:val="auto"/>
              </w:rPr>
            </w:pPr>
          </w:p>
        </w:tc>
        <w:tc>
          <w:tcPr>
            <w:tcW w:w="840" w:type="dxa"/>
            <w:vAlign w:val="bottom"/>
            <w:tcBorders>
              <w:bottom w:val="single" w:sz="8" w:color="008000"/>
            </w:tcBorders>
          </w:tcPr>
          <w:p>
            <w:pPr>
              <w:spacing w:after="0"/>
              <w:rPr>
                <w:sz w:val="2"/>
                <w:szCs w:val="2"/>
                <w:color w:val="auto"/>
              </w:rPr>
            </w:pPr>
          </w:p>
        </w:tc>
        <w:tc>
          <w:tcPr>
            <w:tcW w:w="540" w:type="dxa"/>
            <w:vAlign w:val="bottom"/>
            <w:tcBorders>
              <w:bottom w:val="single" w:sz="8" w:color="008000"/>
              <w:right w:val="single" w:sz="8" w:color="008000"/>
            </w:tcBorders>
          </w:tcPr>
          <w:p>
            <w:pPr>
              <w:spacing w:after="0"/>
              <w:rPr>
                <w:sz w:val="2"/>
                <w:szCs w:val="2"/>
                <w:color w:val="auto"/>
              </w:rPr>
            </w:pPr>
          </w:p>
        </w:tc>
        <w:tc>
          <w:tcPr>
            <w:tcW w:w="920" w:type="dxa"/>
            <w:vAlign w:val="bottom"/>
            <w:tcBorders>
              <w:bottom w:val="single" w:sz="8" w:color="008000"/>
            </w:tcBorders>
          </w:tcPr>
          <w:p>
            <w:pPr>
              <w:spacing w:after="0"/>
              <w:rPr>
                <w:sz w:val="2"/>
                <w:szCs w:val="2"/>
                <w:color w:val="auto"/>
              </w:rPr>
            </w:pPr>
          </w:p>
        </w:tc>
        <w:tc>
          <w:tcPr>
            <w:tcW w:w="780" w:type="dxa"/>
            <w:vAlign w:val="bottom"/>
            <w:tcBorders>
              <w:bottom w:val="single" w:sz="8" w:color="008000"/>
            </w:tcBorders>
          </w:tcPr>
          <w:p>
            <w:pPr>
              <w:spacing w:after="0"/>
              <w:rPr>
                <w:sz w:val="2"/>
                <w:szCs w:val="2"/>
                <w:color w:val="auto"/>
              </w:rPr>
            </w:pPr>
          </w:p>
        </w:tc>
        <w:tc>
          <w:tcPr>
            <w:tcW w:w="960" w:type="dxa"/>
            <w:vAlign w:val="bottom"/>
            <w:tcBorders>
              <w:bottom w:val="single" w:sz="8" w:color="008000"/>
              <w:right w:val="single" w:sz="8" w:color="008000"/>
            </w:tcBorders>
          </w:tcPr>
          <w:p>
            <w:pPr>
              <w:spacing w:after="0"/>
              <w:rPr>
                <w:sz w:val="2"/>
                <w:szCs w:val="2"/>
                <w:color w:val="auto"/>
              </w:rPr>
            </w:pPr>
          </w:p>
        </w:tc>
      </w:tr>
      <w:tr>
        <w:trPr>
          <w:trHeight w:val="237"/>
        </w:trPr>
        <w:tc>
          <w:tcPr>
            <w:tcW w:w="1940" w:type="dxa"/>
            <w:vAlign w:val="bottom"/>
            <w:tcBorders>
              <w:left w:val="single" w:sz="8" w:color="008000"/>
            </w:tcBorders>
            <w:gridSpan w:val="2"/>
          </w:tcPr>
          <w:p>
            <w:pPr>
              <w:jc w:val="center"/>
              <w:ind w:left="1030"/>
              <w:spacing w:after="0"/>
              <w:rPr>
                <w:sz w:val="20"/>
                <w:szCs w:val="20"/>
                <w:color w:val="auto"/>
              </w:rPr>
            </w:pPr>
            <w:r>
              <w:rPr>
                <w:rFonts w:ascii="Arial" w:cs="Arial" w:eastAsia="Arial" w:hAnsi="Arial"/>
                <w:sz w:val="18"/>
                <w:szCs w:val="18"/>
                <w:color w:val="auto"/>
                <w:w w:val="89"/>
              </w:rPr>
              <w:t>26</w:t>
            </w:r>
          </w:p>
        </w:tc>
        <w:tc>
          <w:tcPr>
            <w:tcW w:w="1120" w:type="dxa"/>
            <w:vAlign w:val="bottom"/>
            <w:tcBorders>
              <w:right w:val="single" w:sz="8" w:color="008000"/>
            </w:tcBorders>
          </w:tcPr>
          <w:p>
            <w:pPr>
              <w:spacing w:after="0"/>
              <w:rPr>
                <w:sz w:val="20"/>
                <w:szCs w:val="20"/>
                <w:color w:val="auto"/>
              </w:rPr>
            </w:pPr>
          </w:p>
        </w:tc>
        <w:tc>
          <w:tcPr>
            <w:tcW w:w="5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40" w:type="dxa"/>
            <w:vAlign w:val="bottom"/>
            <w:tcBorders>
              <w:right w:val="single" w:sz="8" w:color="008000"/>
            </w:tcBorders>
          </w:tcPr>
          <w:p>
            <w:pPr>
              <w:spacing w:after="0"/>
              <w:rPr>
                <w:sz w:val="20"/>
                <w:szCs w:val="20"/>
                <w:color w:val="auto"/>
              </w:rPr>
            </w:pPr>
          </w:p>
        </w:tc>
        <w:tc>
          <w:tcPr>
            <w:tcW w:w="920" w:type="dxa"/>
            <w:vAlign w:val="bottom"/>
          </w:tcPr>
          <w:p>
            <w:pPr>
              <w:spacing w:after="0"/>
              <w:rPr>
                <w:sz w:val="20"/>
                <w:szCs w:val="20"/>
                <w:color w:val="auto"/>
              </w:rPr>
            </w:pPr>
          </w:p>
        </w:tc>
        <w:tc>
          <w:tcPr>
            <w:tcW w:w="1740" w:type="dxa"/>
            <w:vAlign w:val="bottom"/>
            <w:tcBorders>
              <w:right w:val="single" w:sz="8" w:color="008000"/>
            </w:tcBorders>
            <w:gridSpan w:val="2"/>
          </w:tcPr>
          <w:p>
            <w:pPr>
              <w:jc w:val="center"/>
              <w:ind w:right="960"/>
              <w:spacing w:after="0"/>
              <w:rPr>
                <w:sz w:val="20"/>
                <w:szCs w:val="20"/>
                <w:color w:val="auto"/>
              </w:rPr>
            </w:pPr>
            <w:r>
              <w:rPr>
                <w:rFonts w:ascii="Arial" w:cs="Arial" w:eastAsia="Arial" w:hAnsi="Arial"/>
                <w:sz w:val="18"/>
                <w:szCs w:val="18"/>
                <w:color w:val="auto"/>
                <w:w w:val="99"/>
              </w:rPr>
              <w:t>—%</w:t>
            </w:r>
          </w:p>
        </w:tc>
      </w:tr>
      <w:tr>
        <w:trPr>
          <w:trHeight w:val="27"/>
        </w:trPr>
        <w:tc>
          <w:tcPr>
            <w:tcW w:w="1120" w:type="dxa"/>
            <w:vAlign w:val="bottom"/>
            <w:tcBorders>
              <w:left w:val="single" w:sz="8" w:color="008000"/>
              <w:bottom w:val="single" w:sz="8" w:color="008000"/>
            </w:tcBorders>
          </w:tcPr>
          <w:p>
            <w:pPr>
              <w:spacing w:after="0"/>
              <w:rPr>
                <w:sz w:val="2"/>
                <w:szCs w:val="2"/>
                <w:color w:val="auto"/>
              </w:rPr>
            </w:pPr>
          </w:p>
        </w:tc>
        <w:tc>
          <w:tcPr>
            <w:tcW w:w="820" w:type="dxa"/>
            <w:vAlign w:val="bottom"/>
            <w:tcBorders>
              <w:bottom w:val="single" w:sz="8" w:color="008000"/>
            </w:tcBorders>
          </w:tcPr>
          <w:p>
            <w:pPr>
              <w:spacing w:after="0"/>
              <w:rPr>
                <w:sz w:val="2"/>
                <w:szCs w:val="2"/>
                <w:color w:val="auto"/>
              </w:rPr>
            </w:pPr>
          </w:p>
        </w:tc>
        <w:tc>
          <w:tcPr>
            <w:tcW w:w="1120" w:type="dxa"/>
            <w:vAlign w:val="bottom"/>
            <w:tcBorders>
              <w:bottom w:val="single" w:sz="8" w:color="008000"/>
              <w:right w:val="single" w:sz="8" w:color="008000"/>
            </w:tcBorders>
          </w:tcPr>
          <w:p>
            <w:pPr>
              <w:spacing w:after="0"/>
              <w:rPr>
                <w:sz w:val="2"/>
                <w:szCs w:val="2"/>
                <w:color w:val="auto"/>
              </w:rPr>
            </w:pPr>
          </w:p>
        </w:tc>
        <w:tc>
          <w:tcPr>
            <w:tcW w:w="520" w:type="dxa"/>
            <w:vAlign w:val="bottom"/>
            <w:tcBorders>
              <w:bottom w:val="single" w:sz="8" w:color="008000"/>
            </w:tcBorders>
          </w:tcPr>
          <w:p>
            <w:pPr>
              <w:spacing w:after="0"/>
              <w:rPr>
                <w:sz w:val="2"/>
                <w:szCs w:val="2"/>
                <w:color w:val="auto"/>
              </w:rPr>
            </w:pPr>
          </w:p>
        </w:tc>
        <w:tc>
          <w:tcPr>
            <w:tcW w:w="840" w:type="dxa"/>
            <w:vAlign w:val="bottom"/>
            <w:tcBorders>
              <w:bottom w:val="single" w:sz="8" w:color="008000"/>
            </w:tcBorders>
          </w:tcPr>
          <w:p>
            <w:pPr>
              <w:spacing w:after="0"/>
              <w:rPr>
                <w:sz w:val="2"/>
                <w:szCs w:val="2"/>
                <w:color w:val="auto"/>
              </w:rPr>
            </w:pPr>
          </w:p>
        </w:tc>
        <w:tc>
          <w:tcPr>
            <w:tcW w:w="540" w:type="dxa"/>
            <w:vAlign w:val="bottom"/>
            <w:tcBorders>
              <w:bottom w:val="single" w:sz="8" w:color="008000"/>
              <w:right w:val="single" w:sz="8" w:color="008000"/>
            </w:tcBorders>
          </w:tcPr>
          <w:p>
            <w:pPr>
              <w:spacing w:after="0"/>
              <w:rPr>
                <w:sz w:val="2"/>
                <w:szCs w:val="2"/>
                <w:color w:val="auto"/>
              </w:rPr>
            </w:pPr>
          </w:p>
        </w:tc>
        <w:tc>
          <w:tcPr>
            <w:tcW w:w="920" w:type="dxa"/>
            <w:vAlign w:val="bottom"/>
            <w:tcBorders>
              <w:bottom w:val="single" w:sz="8" w:color="008000"/>
            </w:tcBorders>
          </w:tcPr>
          <w:p>
            <w:pPr>
              <w:spacing w:after="0"/>
              <w:rPr>
                <w:sz w:val="2"/>
                <w:szCs w:val="2"/>
                <w:color w:val="auto"/>
              </w:rPr>
            </w:pPr>
          </w:p>
        </w:tc>
        <w:tc>
          <w:tcPr>
            <w:tcW w:w="780" w:type="dxa"/>
            <w:vAlign w:val="bottom"/>
            <w:tcBorders>
              <w:bottom w:val="single" w:sz="8" w:color="008000"/>
            </w:tcBorders>
          </w:tcPr>
          <w:p>
            <w:pPr>
              <w:spacing w:after="0"/>
              <w:rPr>
                <w:sz w:val="2"/>
                <w:szCs w:val="2"/>
                <w:color w:val="auto"/>
              </w:rPr>
            </w:pPr>
          </w:p>
        </w:tc>
        <w:tc>
          <w:tcPr>
            <w:tcW w:w="960" w:type="dxa"/>
            <w:vAlign w:val="bottom"/>
            <w:tcBorders>
              <w:bottom w:val="single" w:sz="8" w:color="008000"/>
              <w:right w:val="single" w:sz="8" w:color="008000"/>
            </w:tcBorders>
          </w:tcPr>
          <w:p>
            <w:pPr>
              <w:spacing w:after="0"/>
              <w:rPr>
                <w:sz w:val="2"/>
                <w:szCs w:val="2"/>
                <w:color w:val="auto"/>
              </w:rPr>
            </w:pPr>
          </w:p>
        </w:tc>
      </w:tr>
      <w:tr>
        <w:trPr>
          <w:trHeight w:val="237"/>
        </w:trPr>
        <w:tc>
          <w:tcPr>
            <w:tcW w:w="1940" w:type="dxa"/>
            <w:vAlign w:val="bottom"/>
            <w:tcBorders>
              <w:left w:val="single" w:sz="8" w:color="008000"/>
            </w:tcBorders>
            <w:gridSpan w:val="2"/>
          </w:tcPr>
          <w:p>
            <w:pPr>
              <w:jc w:val="center"/>
              <w:ind w:left="1030"/>
              <w:spacing w:after="0"/>
              <w:rPr>
                <w:sz w:val="20"/>
                <w:szCs w:val="20"/>
                <w:color w:val="auto"/>
              </w:rPr>
            </w:pPr>
            <w:r>
              <w:rPr>
                <w:rFonts w:ascii="Arial" w:cs="Arial" w:eastAsia="Arial" w:hAnsi="Arial"/>
                <w:sz w:val="18"/>
                <w:szCs w:val="18"/>
                <w:color w:val="auto"/>
                <w:w w:val="89"/>
              </w:rPr>
              <w:t>27</w:t>
            </w:r>
          </w:p>
        </w:tc>
        <w:tc>
          <w:tcPr>
            <w:tcW w:w="1120" w:type="dxa"/>
            <w:vAlign w:val="bottom"/>
            <w:tcBorders>
              <w:right w:val="single" w:sz="8" w:color="008000"/>
            </w:tcBorders>
          </w:tcPr>
          <w:p>
            <w:pPr>
              <w:spacing w:after="0"/>
              <w:rPr>
                <w:sz w:val="20"/>
                <w:szCs w:val="20"/>
                <w:color w:val="auto"/>
              </w:rPr>
            </w:pPr>
          </w:p>
        </w:tc>
        <w:tc>
          <w:tcPr>
            <w:tcW w:w="5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40" w:type="dxa"/>
            <w:vAlign w:val="bottom"/>
            <w:tcBorders>
              <w:right w:val="single" w:sz="8" w:color="008000"/>
            </w:tcBorders>
          </w:tcPr>
          <w:p>
            <w:pPr>
              <w:spacing w:after="0"/>
              <w:rPr>
                <w:sz w:val="20"/>
                <w:szCs w:val="20"/>
                <w:color w:val="auto"/>
              </w:rPr>
            </w:pPr>
          </w:p>
        </w:tc>
        <w:tc>
          <w:tcPr>
            <w:tcW w:w="920" w:type="dxa"/>
            <w:vAlign w:val="bottom"/>
          </w:tcPr>
          <w:p>
            <w:pPr>
              <w:spacing w:after="0"/>
              <w:rPr>
                <w:sz w:val="20"/>
                <w:szCs w:val="20"/>
                <w:color w:val="auto"/>
              </w:rPr>
            </w:pPr>
          </w:p>
        </w:tc>
        <w:tc>
          <w:tcPr>
            <w:tcW w:w="1740" w:type="dxa"/>
            <w:vAlign w:val="bottom"/>
            <w:tcBorders>
              <w:right w:val="single" w:sz="8" w:color="008000"/>
            </w:tcBorders>
            <w:gridSpan w:val="2"/>
          </w:tcPr>
          <w:p>
            <w:pPr>
              <w:jc w:val="center"/>
              <w:ind w:right="960"/>
              <w:spacing w:after="0"/>
              <w:rPr>
                <w:sz w:val="20"/>
                <w:szCs w:val="20"/>
                <w:color w:val="auto"/>
              </w:rPr>
            </w:pPr>
            <w:r>
              <w:rPr>
                <w:rFonts w:ascii="Arial" w:cs="Arial" w:eastAsia="Arial" w:hAnsi="Arial"/>
                <w:sz w:val="18"/>
                <w:szCs w:val="18"/>
                <w:color w:val="auto"/>
                <w:w w:val="99"/>
              </w:rPr>
              <w:t>—%</w:t>
            </w:r>
          </w:p>
        </w:tc>
      </w:tr>
      <w:tr>
        <w:trPr>
          <w:trHeight w:val="27"/>
        </w:trPr>
        <w:tc>
          <w:tcPr>
            <w:tcW w:w="1120" w:type="dxa"/>
            <w:vAlign w:val="bottom"/>
            <w:tcBorders>
              <w:left w:val="single" w:sz="8" w:color="008000"/>
              <w:bottom w:val="single" w:sz="8" w:color="008000"/>
            </w:tcBorders>
          </w:tcPr>
          <w:p>
            <w:pPr>
              <w:spacing w:after="0"/>
              <w:rPr>
                <w:sz w:val="2"/>
                <w:szCs w:val="2"/>
                <w:color w:val="auto"/>
              </w:rPr>
            </w:pPr>
          </w:p>
        </w:tc>
        <w:tc>
          <w:tcPr>
            <w:tcW w:w="820" w:type="dxa"/>
            <w:vAlign w:val="bottom"/>
            <w:tcBorders>
              <w:bottom w:val="single" w:sz="8" w:color="008000"/>
            </w:tcBorders>
          </w:tcPr>
          <w:p>
            <w:pPr>
              <w:spacing w:after="0"/>
              <w:rPr>
                <w:sz w:val="2"/>
                <w:szCs w:val="2"/>
                <w:color w:val="auto"/>
              </w:rPr>
            </w:pPr>
          </w:p>
        </w:tc>
        <w:tc>
          <w:tcPr>
            <w:tcW w:w="1120" w:type="dxa"/>
            <w:vAlign w:val="bottom"/>
            <w:tcBorders>
              <w:bottom w:val="single" w:sz="8" w:color="008000"/>
              <w:right w:val="single" w:sz="8" w:color="008000"/>
            </w:tcBorders>
          </w:tcPr>
          <w:p>
            <w:pPr>
              <w:spacing w:after="0"/>
              <w:rPr>
                <w:sz w:val="2"/>
                <w:szCs w:val="2"/>
                <w:color w:val="auto"/>
              </w:rPr>
            </w:pPr>
          </w:p>
        </w:tc>
        <w:tc>
          <w:tcPr>
            <w:tcW w:w="520" w:type="dxa"/>
            <w:vAlign w:val="bottom"/>
            <w:tcBorders>
              <w:bottom w:val="single" w:sz="8" w:color="008000"/>
            </w:tcBorders>
          </w:tcPr>
          <w:p>
            <w:pPr>
              <w:spacing w:after="0"/>
              <w:rPr>
                <w:sz w:val="2"/>
                <w:szCs w:val="2"/>
                <w:color w:val="auto"/>
              </w:rPr>
            </w:pPr>
          </w:p>
        </w:tc>
        <w:tc>
          <w:tcPr>
            <w:tcW w:w="840" w:type="dxa"/>
            <w:vAlign w:val="bottom"/>
            <w:tcBorders>
              <w:bottom w:val="single" w:sz="8" w:color="008000"/>
            </w:tcBorders>
          </w:tcPr>
          <w:p>
            <w:pPr>
              <w:spacing w:after="0"/>
              <w:rPr>
                <w:sz w:val="2"/>
                <w:szCs w:val="2"/>
                <w:color w:val="auto"/>
              </w:rPr>
            </w:pPr>
          </w:p>
        </w:tc>
        <w:tc>
          <w:tcPr>
            <w:tcW w:w="540" w:type="dxa"/>
            <w:vAlign w:val="bottom"/>
            <w:tcBorders>
              <w:bottom w:val="single" w:sz="8" w:color="008000"/>
              <w:right w:val="single" w:sz="8" w:color="008000"/>
            </w:tcBorders>
          </w:tcPr>
          <w:p>
            <w:pPr>
              <w:spacing w:after="0"/>
              <w:rPr>
                <w:sz w:val="2"/>
                <w:szCs w:val="2"/>
                <w:color w:val="auto"/>
              </w:rPr>
            </w:pPr>
          </w:p>
        </w:tc>
        <w:tc>
          <w:tcPr>
            <w:tcW w:w="920" w:type="dxa"/>
            <w:vAlign w:val="bottom"/>
            <w:tcBorders>
              <w:bottom w:val="single" w:sz="8" w:color="008000"/>
            </w:tcBorders>
          </w:tcPr>
          <w:p>
            <w:pPr>
              <w:spacing w:after="0"/>
              <w:rPr>
                <w:sz w:val="2"/>
                <w:szCs w:val="2"/>
                <w:color w:val="auto"/>
              </w:rPr>
            </w:pPr>
          </w:p>
        </w:tc>
        <w:tc>
          <w:tcPr>
            <w:tcW w:w="780" w:type="dxa"/>
            <w:vAlign w:val="bottom"/>
            <w:tcBorders>
              <w:bottom w:val="single" w:sz="8" w:color="008000"/>
            </w:tcBorders>
          </w:tcPr>
          <w:p>
            <w:pPr>
              <w:spacing w:after="0"/>
              <w:rPr>
                <w:sz w:val="2"/>
                <w:szCs w:val="2"/>
                <w:color w:val="auto"/>
              </w:rPr>
            </w:pPr>
          </w:p>
        </w:tc>
        <w:tc>
          <w:tcPr>
            <w:tcW w:w="960" w:type="dxa"/>
            <w:vAlign w:val="bottom"/>
            <w:tcBorders>
              <w:bottom w:val="single" w:sz="8" w:color="008000"/>
              <w:right w:val="single" w:sz="8" w:color="008000"/>
            </w:tcBorders>
          </w:tcPr>
          <w:p>
            <w:pPr>
              <w:spacing w:after="0"/>
              <w:rPr>
                <w:sz w:val="2"/>
                <w:szCs w:val="2"/>
                <w:color w:val="auto"/>
              </w:rPr>
            </w:pPr>
          </w:p>
        </w:tc>
      </w:tr>
      <w:tr>
        <w:trPr>
          <w:trHeight w:val="237"/>
        </w:trPr>
        <w:tc>
          <w:tcPr>
            <w:tcW w:w="1940" w:type="dxa"/>
            <w:vAlign w:val="bottom"/>
            <w:tcBorders>
              <w:left w:val="single" w:sz="8" w:color="008000"/>
            </w:tcBorders>
            <w:gridSpan w:val="2"/>
          </w:tcPr>
          <w:p>
            <w:pPr>
              <w:jc w:val="center"/>
              <w:ind w:left="1030"/>
              <w:spacing w:after="0"/>
              <w:rPr>
                <w:sz w:val="20"/>
                <w:szCs w:val="20"/>
                <w:color w:val="auto"/>
              </w:rPr>
            </w:pPr>
            <w:r>
              <w:rPr>
                <w:rFonts w:ascii="Arial" w:cs="Arial" w:eastAsia="Arial" w:hAnsi="Arial"/>
                <w:sz w:val="18"/>
                <w:szCs w:val="18"/>
                <w:color w:val="auto"/>
                <w:w w:val="89"/>
              </w:rPr>
              <w:t>28</w:t>
            </w:r>
          </w:p>
        </w:tc>
        <w:tc>
          <w:tcPr>
            <w:tcW w:w="1120" w:type="dxa"/>
            <w:vAlign w:val="bottom"/>
            <w:tcBorders>
              <w:right w:val="single" w:sz="8" w:color="008000"/>
            </w:tcBorders>
          </w:tcPr>
          <w:p>
            <w:pPr>
              <w:spacing w:after="0"/>
              <w:rPr>
                <w:sz w:val="20"/>
                <w:szCs w:val="20"/>
                <w:color w:val="auto"/>
              </w:rPr>
            </w:pPr>
          </w:p>
        </w:tc>
        <w:tc>
          <w:tcPr>
            <w:tcW w:w="5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40" w:type="dxa"/>
            <w:vAlign w:val="bottom"/>
            <w:tcBorders>
              <w:right w:val="single" w:sz="8" w:color="008000"/>
            </w:tcBorders>
          </w:tcPr>
          <w:p>
            <w:pPr>
              <w:spacing w:after="0"/>
              <w:rPr>
                <w:sz w:val="20"/>
                <w:szCs w:val="20"/>
                <w:color w:val="auto"/>
              </w:rPr>
            </w:pPr>
          </w:p>
        </w:tc>
        <w:tc>
          <w:tcPr>
            <w:tcW w:w="920" w:type="dxa"/>
            <w:vAlign w:val="bottom"/>
          </w:tcPr>
          <w:p>
            <w:pPr>
              <w:spacing w:after="0"/>
              <w:rPr>
                <w:sz w:val="20"/>
                <w:szCs w:val="20"/>
                <w:color w:val="auto"/>
              </w:rPr>
            </w:pPr>
          </w:p>
        </w:tc>
        <w:tc>
          <w:tcPr>
            <w:tcW w:w="1740" w:type="dxa"/>
            <w:vAlign w:val="bottom"/>
            <w:tcBorders>
              <w:right w:val="single" w:sz="8" w:color="008000"/>
            </w:tcBorders>
            <w:gridSpan w:val="2"/>
          </w:tcPr>
          <w:p>
            <w:pPr>
              <w:jc w:val="center"/>
              <w:ind w:right="960"/>
              <w:spacing w:after="0"/>
              <w:rPr>
                <w:sz w:val="20"/>
                <w:szCs w:val="20"/>
                <w:color w:val="auto"/>
              </w:rPr>
            </w:pPr>
            <w:r>
              <w:rPr>
                <w:rFonts w:ascii="Arial" w:cs="Arial" w:eastAsia="Arial" w:hAnsi="Arial"/>
                <w:sz w:val="18"/>
                <w:szCs w:val="18"/>
                <w:color w:val="auto"/>
                <w:w w:val="99"/>
              </w:rPr>
              <w:t>—%</w:t>
            </w:r>
          </w:p>
        </w:tc>
      </w:tr>
      <w:tr>
        <w:trPr>
          <w:trHeight w:val="27"/>
        </w:trPr>
        <w:tc>
          <w:tcPr>
            <w:tcW w:w="1120" w:type="dxa"/>
            <w:vAlign w:val="bottom"/>
            <w:tcBorders>
              <w:left w:val="single" w:sz="8" w:color="008000"/>
              <w:bottom w:val="single" w:sz="8" w:color="008000"/>
            </w:tcBorders>
          </w:tcPr>
          <w:p>
            <w:pPr>
              <w:spacing w:after="0"/>
              <w:rPr>
                <w:sz w:val="2"/>
                <w:szCs w:val="2"/>
                <w:color w:val="auto"/>
              </w:rPr>
            </w:pPr>
          </w:p>
        </w:tc>
        <w:tc>
          <w:tcPr>
            <w:tcW w:w="820" w:type="dxa"/>
            <w:vAlign w:val="bottom"/>
            <w:tcBorders>
              <w:bottom w:val="single" w:sz="8" w:color="008000"/>
            </w:tcBorders>
          </w:tcPr>
          <w:p>
            <w:pPr>
              <w:spacing w:after="0"/>
              <w:rPr>
                <w:sz w:val="2"/>
                <w:szCs w:val="2"/>
                <w:color w:val="auto"/>
              </w:rPr>
            </w:pPr>
          </w:p>
        </w:tc>
        <w:tc>
          <w:tcPr>
            <w:tcW w:w="1120" w:type="dxa"/>
            <w:vAlign w:val="bottom"/>
            <w:tcBorders>
              <w:bottom w:val="single" w:sz="8" w:color="008000"/>
              <w:right w:val="single" w:sz="8" w:color="008000"/>
            </w:tcBorders>
          </w:tcPr>
          <w:p>
            <w:pPr>
              <w:spacing w:after="0"/>
              <w:rPr>
                <w:sz w:val="2"/>
                <w:szCs w:val="2"/>
                <w:color w:val="auto"/>
              </w:rPr>
            </w:pPr>
          </w:p>
        </w:tc>
        <w:tc>
          <w:tcPr>
            <w:tcW w:w="520" w:type="dxa"/>
            <w:vAlign w:val="bottom"/>
            <w:tcBorders>
              <w:bottom w:val="single" w:sz="8" w:color="008000"/>
            </w:tcBorders>
          </w:tcPr>
          <w:p>
            <w:pPr>
              <w:spacing w:after="0"/>
              <w:rPr>
                <w:sz w:val="2"/>
                <w:szCs w:val="2"/>
                <w:color w:val="auto"/>
              </w:rPr>
            </w:pPr>
          </w:p>
        </w:tc>
        <w:tc>
          <w:tcPr>
            <w:tcW w:w="840" w:type="dxa"/>
            <w:vAlign w:val="bottom"/>
            <w:tcBorders>
              <w:bottom w:val="single" w:sz="8" w:color="008000"/>
            </w:tcBorders>
          </w:tcPr>
          <w:p>
            <w:pPr>
              <w:spacing w:after="0"/>
              <w:rPr>
                <w:sz w:val="2"/>
                <w:szCs w:val="2"/>
                <w:color w:val="auto"/>
              </w:rPr>
            </w:pPr>
          </w:p>
        </w:tc>
        <w:tc>
          <w:tcPr>
            <w:tcW w:w="540" w:type="dxa"/>
            <w:vAlign w:val="bottom"/>
            <w:tcBorders>
              <w:bottom w:val="single" w:sz="8" w:color="008000"/>
              <w:right w:val="single" w:sz="8" w:color="008000"/>
            </w:tcBorders>
          </w:tcPr>
          <w:p>
            <w:pPr>
              <w:spacing w:after="0"/>
              <w:rPr>
                <w:sz w:val="2"/>
                <w:szCs w:val="2"/>
                <w:color w:val="auto"/>
              </w:rPr>
            </w:pPr>
          </w:p>
        </w:tc>
        <w:tc>
          <w:tcPr>
            <w:tcW w:w="920" w:type="dxa"/>
            <w:vAlign w:val="bottom"/>
            <w:tcBorders>
              <w:bottom w:val="single" w:sz="8" w:color="008000"/>
            </w:tcBorders>
          </w:tcPr>
          <w:p>
            <w:pPr>
              <w:spacing w:after="0"/>
              <w:rPr>
                <w:sz w:val="2"/>
                <w:szCs w:val="2"/>
                <w:color w:val="auto"/>
              </w:rPr>
            </w:pPr>
          </w:p>
        </w:tc>
        <w:tc>
          <w:tcPr>
            <w:tcW w:w="780" w:type="dxa"/>
            <w:vAlign w:val="bottom"/>
            <w:tcBorders>
              <w:bottom w:val="single" w:sz="8" w:color="008000"/>
            </w:tcBorders>
          </w:tcPr>
          <w:p>
            <w:pPr>
              <w:spacing w:after="0"/>
              <w:rPr>
                <w:sz w:val="2"/>
                <w:szCs w:val="2"/>
                <w:color w:val="auto"/>
              </w:rPr>
            </w:pPr>
          </w:p>
        </w:tc>
        <w:tc>
          <w:tcPr>
            <w:tcW w:w="960" w:type="dxa"/>
            <w:vAlign w:val="bottom"/>
            <w:tcBorders>
              <w:bottom w:val="single" w:sz="8" w:color="008000"/>
              <w:right w:val="single" w:sz="8" w:color="008000"/>
            </w:tcBorders>
          </w:tcPr>
          <w:p>
            <w:pPr>
              <w:spacing w:after="0"/>
              <w:rPr>
                <w:sz w:val="2"/>
                <w:szCs w:val="2"/>
                <w:color w:val="auto"/>
              </w:rPr>
            </w:pPr>
          </w:p>
        </w:tc>
      </w:tr>
    </w:tbl>
    <w:p>
      <w:pPr>
        <w:sectPr>
          <w:pgSz w:w="11900" w:h="16838" w:orient="portrait"/>
          <w:cols w:equalWidth="0" w:num="1">
            <w:col w:w="11340"/>
          </w:cols>
          <w:pgMar w:left="240" w:top="585" w:right="319" w:bottom="1440" w:gutter="0" w:footer="0" w:header="0"/>
        </w:sectPr>
      </w:pPr>
    </w:p>
    <w:bookmarkStart w:id="144" w:name="page145"/>
    <w:bookmarkEnd w:id="144"/>
    <w:p>
      <w:pPr>
        <w:jc w:val="right"/>
        <w:spacing w:after="0"/>
        <w:rPr>
          <w:sz w:val="20"/>
          <w:szCs w:val="20"/>
          <w:color w:val="auto"/>
        </w:rPr>
      </w:pPr>
      <w:r>
        <w:rPr>
          <w:rFonts w:ascii="Arial" w:cs="Arial" w:eastAsia="Arial" w:hAnsi="Arial"/>
          <w:sz w:val="18"/>
          <w:szCs w:val="18"/>
          <w:b w:val="1"/>
          <w:bCs w:val="1"/>
          <w:color w:val="auto"/>
        </w:rPr>
        <w:t>Exhibit 10(k)15</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ALLETE</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EXECUTIVE LONG-TERM INCENTIVE COMPENSATION PLAN</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RESTRICTED STOCK UNIT GRANT</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Effective 2013</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[Eligible Executive Employees]</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22"/>
          <w:szCs w:val="22"/>
          <w:color w:val="auto"/>
        </w:rPr>
        <w:t>Name</w:t>
      </w:r>
    </w:p>
    <w:p>
      <w:pPr>
        <w:spacing w:after="0" w:line="200" w:lineRule="exact"/>
        <w:rPr>
          <w:sz w:val="20"/>
          <w:szCs w:val="20"/>
          <w:color w:val="auto"/>
        </w:rPr>
      </w:pPr>
    </w:p>
    <w:p>
      <w:pPr>
        <w:spacing w:after="0" w:line="317" w:lineRule="exact"/>
        <w:rPr>
          <w:sz w:val="20"/>
          <w:szCs w:val="20"/>
          <w:color w:val="auto"/>
        </w:rPr>
      </w:pPr>
    </w:p>
    <w:p>
      <w:pPr>
        <w:ind w:right="260"/>
        <w:spacing w:after="0" w:line="248" w:lineRule="auto"/>
        <w:rPr>
          <w:sz w:val="20"/>
          <w:szCs w:val="20"/>
          <w:color w:val="auto"/>
        </w:rPr>
      </w:pPr>
      <w:r>
        <w:rPr>
          <w:rFonts w:ascii="Arial" w:cs="Arial" w:eastAsia="Arial" w:hAnsi="Arial"/>
          <w:sz w:val="22"/>
          <w:szCs w:val="22"/>
          <w:color w:val="auto"/>
        </w:rPr>
        <w:t>In accordance with the terms of ALLETE's Executive Long-Term Incentive Compensation Plan, as amended (the "Plan"), as determined by and through the Executive Compensation Committee of ALLETE's Board of Directors, ALLETE hereby grants to you (the "Participant") Restricted Stock Units (“RSU's”) as set forth below, payable in the form of ALLETE Common Stock, subject to the terms and conditions set forth in this Grant, including Annex A hereto, and all documents incorporated herein by reference:</w:t>
      </w:r>
    </w:p>
    <w:p>
      <w:pPr>
        <w:spacing w:after="0" w:line="200" w:lineRule="exact"/>
        <w:rPr>
          <w:sz w:val="20"/>
          <w:szCs w:val="20"/>
          <w:color w:val="auto"/>
        </w:rPr>
      </w:pPr>
    </w:p>
    <w:p>
      <w:pPr>
        <w:spacing w:after="0" w:line="28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Number of Restricted Stock Units:</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Date of Grant:</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Vesting Period:</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This Grant is made in accordance with the Plan.</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Further terms and conditions of the Grant are set forth in Annex A hereto, which is an integral part of this Grant.</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All terms, provisions and conditions set forth in the Plan and not set forth herein are incorporated by reference.</w:t>
      </w:r>
    </w:p>
    <w:p>
      <w:pPr>
        <w:spacing w:after="0" w:line="200" w:lineRule="exact"/>
        <w:rPr>
          <w:sz w:val="20"/>
          <w:szCs w:val="20"/>
          <w:color w:val="auto"/>
        </w:rPr>
      </w:pPr>
    </w:p>
    <w:p>
      <w:pPr>
        <w:spacing w:after="0" w:line="317" w:lineRule="exact"/>
        <w:rPr>
          <w:sz w:val="20"/>
          <w:szCs w:val="20"/>
          <w:color w:val="auto"/>
        </w:rPr>
      </w:pPr>
    </w:p>
    <w:p>
      <w:pPr>
        <w:ind w:right="160"/>
        <w:spacing w:after="0" w:line="263" w:lineRule="auto"/>
        <w:rPr>
          <w:sz w:val="20"/>
          <w:szCs w:val="20"/>
          <w:color w:val="auto"/>
        </w:rPr>
      </w:pPr>
      <w:r>
        <w:rPr>
          <w:rFonts w:ascii="Arial" w:cs="Arial" w:eastAsia="Arial" w:hAnsi="Arial"/>
          <w:sz w:val="22"/>
          <w:szCs w:val="22"/>
          <w:color w:val="auto"/>
        </w:rPr>
        <w:t>IN WITNESS WHEREOF, ALLETE has caused this Grant to be executed by its Chairman, President and Chief Executive Officer as of the date and year first above written.</w:t>
      </w:r>
    </w:p>
    <w:p>
      <w:pPr>
        <w:spacing w:after="0" w:line="175"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ALLETE</w:t>
      </w:r>
    </w:p>
    <w:p>
      <w:pPr>
        <w:spacing w:after="0" w:line="200" w:lineRule="exact"/>
        <w:rPr>
          <w:sz w:val="20"/>
          <w:szCs w:val="20"/>
          <w:color w:val="auto"/>
        </w:rPr>
      </w:pPr>
    </w:p>
    <w:p>
      <w:pPr>
        <w:spacing w:after="0" w:line="384" w:lineRule="exact"/>
        <w:rPr>
          <w:sz w:val="20"/>
          <w:szCs w:val="20"/>
          <w:color w:val="auto"/>
        </w:rPr>
      </w:pPr>
    </w:p>
    <w:p>
      <w:pPr>
        <w:ind w:left="458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3195320</wp:posOffset>
            </wp:positionH>
            <wp:positionV relativeFrom="paragraph">
              <wp:posOffset>24765</wp:posOffset>
            </wp:positionV>
            <wp:extent cx="220408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204085" cy="8890"/>
                    </a:xfrm>
                    <a:prstGeom prst="rect">
                      <a:avLst/>
                    </a:prstGeom>
                    <a:noFill/>
                  </pic:spPr>
                </pic:pic>
              </a:graphicData>
            </a:graphic>
          </wp:anchor>
        </w:drawing>
      </w:r>
    </w:p>
    <w:p>
      <w:pPr>
        <w:spacing w:after="0" w:line="38" w:lineRule="exact"/>
        <w:rPr>
          <w:sz w:val="20"/>
          <w:szCs w:val="20"/>
          <w:color w:val="auto"/>
        </w:rPr>
      </w:pPr>
    </w:p>
    <w:p>
      <w:pPr>
        <w:ind w:left="5060"/>
        <w:spacing w:after="0"/>
        <w:rPr>
          <w:sz w:val="20"/>
          <w:szCs w:val="20"/>
          <w:color w:val="auto"/>
        </w:rPr>
      </w:pPr>
      <w:r>
        <w:rPr>
          <w:rFonts w:ascii="Arial" w:cs="Arial" w:eastAsia="Arial" w:hAnsi="Arial"/>
          <w:sz w:val="22"/>
          <w:szCs w:val="22"/>
          <w:color w:val="auto"/>
        </w:rPr>
        <w:t>Chairman, President &amp; CEO</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Attachment: Annex A</w:t>
      </w:r>
    </w:p>
    <w:p>
      <w:pPr>
        <w:sectPr>
          <w:pgSz w:w="11900" w:h="16838" w:orient="portrait"/>
          <w:cols w:equalWidth="0" w:num="1">
            <w:col w:w="11420"/>
          </w:cols>
          <w:pgMar w:left="240" w:top="580" w:right="239" w:bottom="1440" w:gutter="0" w:footer="0" w:header="0"/>
        </w:sectPr>
      </w:pPr>
    </w:p>
    <w:bookmarkStart w:id="145" w:name="page146"/>
    <w:bookmarkEnd w:id="145"/>
    <w:p>
      <w:pPr>
        <w:jc w:val="center"/>
        <w:ind w:right="-39"/>
        <w:spacing w:after="0"/>
        <w:rPr>
          <w:sz w:val="20"/>
          <w:szCs w:val="20"/>
          <w:color w:val="auto"/>
        </w:rPr>
      </w:pPr>
      <w:r>
        <w:rPr>
          <w:rFonts w:ascii="Arial" w:cs="Arial" w:eastAsia="Arial" w:hAnsi="Arial"/>
          <w:sz w:val="22"/>
          <w:szCs w:val="22"/>
          <w:b w:val="1"/>
          <w:bCs w:val="1"/>
          <w:color w:val="auto"/>
        </w:rPr>
        <w:t>ANNEX A</w:t>
      </w:r>
    </w:p>
    <w:p>
      <w:pPr>
        <w:spacing w:after="0" w:line="28"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TO</w:t>
      </w:r>
    </w:p>
    <w:p>
      <w:pPr>
        <w:spacing w:after="0" w:line="4"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ALLETE</w:t>
      </w:r>
    </w:p>
    <w:p>
      <w:pPr>
        <w:spacing w:after="0" w:line="4"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EXECUTIVE LONG-TERM INCENTIVE COMPENSATION PLAN</w:t>
      </w:r>
    </w:p>
    <w:p>
      <w:pPr>
        <w:spacing w:after="0" w:line="4"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RESTRICTED STOCK UNIT GRANT</w:t>
      </w:r>
    </w:p>
    <w:p>
      <w:pPr>
        <w:spacing w:after="0" w:line="202" w:lineRule="exact"/>
        <w:rPr>
          <w:sz w:val="20"/>
          <w:szCs w:val="20"/>
          <w:color w:val="auto"/>
        </w:rPr>
      </w:pPr>
    </w:p>
    <w:p>
      <w:pPr>
        <w:ind w:firstLine="648"/>
        <w:spacing w:after="0" w:line="343" w:lineRule="auto"/>
        <w:rPr>
          <w:sz w:val="20"/>
          <w:szCs w:val="20"/>
          <w:color w:val="auto"/>
        </w:rPr>
      </w:pPr>
      <w:r>
        <w:rPr>
          <w:rFonts w:ascii="Arial" w:cs="Arial" w:eastAsia="Arial" w:hAnsi="Arial"/>
          <w:sz w:val="19"/>
          <w:szCs w:val="19"/>
          <w:color w:val="auto"/>
        </w:rPr>
        <w:t>The grant of restricted stock units (each , a “RSU”) under the ALLETE Executive Long-Term Incentive Compensation Plan (the “Plan”), evidenced by the Grant to which this is annexed, is subject to the following additional terms and conditions:</w:t>
      </w:r>
    </w:p>
    <w:p>
      <w:pPr>
        <w:spacing w:after="0" w:line="105" w:lineRule="exact"/>
        <w:rPr>
          <w:sz w:val="20"/>
          <w:szCs w:val="20"/>
          <w:color w:val="auto"/>
        </w:rPr>
      </w:pPr>
    </w:p>
    <w:p>
      <w:pPr>
        <w:ind w:right="40" w:firstLine="8"/>
        <w:spacing w:after="0" w:line="250" w:lineRule="auto"/>
        <w:tabs>
          <w:tab w:leader="none" w:pos="342" w:val="left"/>
        </w:tabs>
        <w:numPr>
          <w:ilvl w:val="0"/>
          <w:numId w:val="76"/>
        </w:numPr>
        <w:rPr>
          <w:rFonts w:ascii="Arial" w:cs="Arial" w:eastAsia="Arial" w:hAnsi="Arial"/>
          <w:sz w:val="22"/>
          <w:szCs w:val="22"/>
          <w:color w:val="auto"/>
        </w:rPr>
      </w:pPr>
      <w:r>
        <w:rPr>
          <w:rFonts w:ascii="Arial" w:cs="Arial" w:eastAsia="Arial" w:hAnsi="Arial"/>
          <w:sz w:val="22"/>
          <w:szCs w:val="22"/>
          <w:u w:val="single" w:color="auto"/>
          <w:color w:val="auto"/>
        </w:rPr>
        <w:t>Form and Timing of Payment.</w:t>
      </w:r>
      <w:r>
        <w:rPr>
          <w:rFonts w:ascii="Arial" w:cs="Arial" w:eastAsia="Arial" w:hAnsi="Arial"/>
          <w:sz w:val="22"/>
          <w:szCs w:val="22"/>
          <w:color w:val="auto"/>
        </w:rPr>
        <w:t xml:space="preserve"> Subject to the provisions hereof, each RSU will be paid in the form of one share of ALLETE common stock (each, a “Share”), plus accrued dividend equivalents, which shares will be deposited into an account for the Participant in the ALLETE Invest Direct plan. Except as otherwise provided in sections 3 and 4, below, payment will be made during the period ending sixty days after the end of the vesting period; provided, however, the Participant will not be permitted, directly or indirectly, to designate the taxable year of the distribution. Payment will be subject to withholding Shares equal in value to the Participant's income tax obligation.</w:t>
      </w:r>
    </w:p>
    <w:p>
      <w:pPr>
        <w:spacing w:after="0" w:line="188" w:lineRule="exact"/>
        <w:rPr>
          <w:rFonts w:ascii="Arial" w:cs="Arial" w:eastAsia="Arial" w:hAnsi="Arial"/>
          <w:sz w:val="22"/>
          <w:szCs w:val="22"/>
          <w:color w:val="auto"/>
        </w:rPr>
      </w:pPr>
    </w:p>
    <w:p>
      <w:pPr>
        <w:ind w:firstLine="8"/>
        <w:spacing w:after="0" w:line="264" w:lineRule="auto"/>
        <w:tabs>
          <w:tab w:leader="none" w:pos="342" w:val="left"/>
        </w:tabs>
        <w:numPr>
          <w:ilvl w:val="0"/>
          <w:numId w:val="76"/>
        </w:numPr>
        <w:rPr>
          <w:rFonts w:ascii="Arial" w:cs="Arial" w:eastAsia="Arial" w:hAnsi="Arial"/>
          <w:sz w:val="21"/>
          <w:szCs w:val="21"/>
          <w:color w:val="auto"/>
        </w:rPr>
      </w:pPr>
      <w:r>
        <w:rPr>
          <w:rFonts w:ascii="Arial" w:cs="Arial" w:eastAsia="Arial" w:hAnsi="Arial"/>
          <w:sz w:val="21"/>
          <w:szCs w:val="21"/>
          <w:u w:val="single" w:color="auto"/>
          <w:color w:val="auto"/>
        </w:rPr>
        <w:t>Dividend Equivalents</w:t>
      </w:r>
      <w:r>
        <w:rPr>
          <w:rFonts w:ascii="Arial" w:cs="Arial" w:eastAsia="Arial" w:hAnsi="Arial"/>
          <w:sz w:val="21"/>
          <w:szCs w:val="21"/>
          <w:color w:val="auto"/>
        </w:rPr>
        <w:t>. The Participant will receive Dividend Equivalents in connection with the RSU's granted. Dividend Equivalents will be calculated and credited to the Participant at the time the underlying RSU's are paid. Dividend Equivalents shall be in the form of additional RSU's, which shall be added to the number of RSU's subject to the grant, and which shall equal the number of Shares (including fractional Shares) that could have been purchased on the dividend payment dates based on the closing price as reported in the consolidated transaction reporting system on that date with cash dividends that would have been paid on the RSU's, if such RSU's were Shares.</w:t>
      </w:r>
    </w:p>
    <w:p>
      <w:pPr>
        <w:spacing w:after="0" w:line="175" w:lineRule="exact"/>
        <w:rPr>
          <w:rFonts w:ascii="Arial" w:cs="Arial" w:eastAsia="Arial" w:hAnsi="Arial"/>
          <w:sz w:val="21"/>
          <w:szCs w:val="21"/>
          <w:color w:val="auto"/>
        </w:rPr>
      </w:pPr>
    </w:p>
    <w:p>
      <w:pPr>
        <w:ind w:right="480" w:firstLine="8"/>
        <w:spacing w:after="0" w:line="276" w:lineRule="auto"/>
        <w:tabs>
          <w:tab w:leader="none" w:pos="342" w:val="left"/>
        </w:tabs>
        <w:numPr>
          <w:ilvl w:val="0"/>
          <w:numId w:val="76"/>
        </w:numPr>
        <w:rPr>
          <w:rFonts w:ascii="Arial" w:cs="Arial" w:eastAsia="Arial" w:hAnsi="Arial"/>
          <w:sz w:val="22"/>
          <w:szCs w:val="22"/>
          <w:color w:val="auto"/>
        </w:rPr>
      </w:pPr>
      <w:r>
        <w:rPr>
          <w:rFonts w:ascii="Arial" w:cs="Arial" w:eastAsia="Arial" w:hAnsi="Arial"/>
          <w:sz w:val="22"/>
          <w:szCs w:val="22"/>
          <w:u w:val="single" w:color="auto"/>
          <w:color w:val="auto"/>
        </w:rPr>
        <w:t>Payment Upon Retirement, Death or Disability; Forfeiture Upon Other Termination of Employment or Unsatisfactory Job Performance</w:t>
      </w:r>
      <w:r>
        <w:rPr>
          <w:rFonts w:ascii="Arial" w:cs="Arial" w:eastAsia="Arial" w:hAnsi="Arial"/>
          <w:sz w:val="22"/>
          <w:szCs w:val="22"/>
          <w:color w:val="auto"/>
        </w:rPr>
        <w:t>.</w:t>
      </w:r>
    </w:p>
    <w:p>
      <w:pPr>
        <w:spacing w:after="0" w:line="161" w:lineRule="exact"/>
        <w:rPr>
          <w:sz w:val="20"/>
          <w:szCs w:val="20"/>
          <w:color w:val="auto"/>
        </w:rPr>
      </w:pPr>
    </w:p>
    <w:p>
      <w:pPr>
        <w:ind w:left="660"/>
        <w:spacing w:after="0" w:line="262" w:lineRule="auto"/>
        <w:rPr>
          <w:sz w:val="20"/>
          <w:szCs w:val="20"/>
          <w:color w:val="auto"/>
        </w:rPr>
      </w:pPr>
      <w:r>
        <w:rPr>
          <w:rFonts w:ascii="Arial" w:cs="Arial" w:eastAsia="Arial" w:hAnsi="Arial"/>
          <w:sz w:val="21"/>
          <w:szCs w:val="21"/>
          <w:color w:val="auto"/>
        </w:rPr>
        <w:t>3.1 Subject to Section 3.4 below, if during the vesting period the Participant (i) Retires, (ii) dies while employed by ALLETE or any Related Company, or (iii) becomes Disabled, a portion of the unvested RSU's subject to the Grant will vest and be paid to the Participant (or the Participant's beneficiary or estate) during the period ending sixty days after such event; provided, however, the Participant will not be permitted, directly or indirectly, to designate the taxable year of the distribution. Except as otherwise provided in Section 4, Payment pursuant to this Section 3.1 shall be prorated, after giving effect to the accumulation of Dividend Equivalents, based on the number of whole calendar months within the vesting period that had elapsed as of the date of Retirement, death or Disability in relation to the number of calendar months in the vesting period. For purposes of this calculation, the Participant will be credited with a whole month if the Participant was employed on the 15</w:t>
      </w:r>
      <w:r>
        <w:rPr>
          <w:rFonts w:ascii="Arial" w:cs="Arial" w:eastAsia="Arial" w:hAnsi="Arial"/>
          <w:sz w:val="27"/>
          <w:szCs w:val="27"/>
          <w:color w:val="auto"/>
          <w:vertAlign w:val="superscript"/>
        </w:rPr>
        <w:t>th</w:t>
      </w:r>
      <w:r>
        <w:rPr>
          <w:rFonts w:ascii="Arial" w:cs="Arial" w:eastAsia="Arial" w:hAnsi="Arial"/>
          <w:sz w:val="21"/>
          <w:szCs w:val="21"/>
          <w:color w:val="auto"/>
        </w:rPr>
        <w:t xml:space="preserve"> of the month.</w:t>
      </w:r>
    </w:p>
    <w:p>
      <w:pPr>
        <w:sectPr>
          <w:pgSz w:w="11900" w:h="16838" w:orient="portrait"/>
          <w:cols w:equalWidth="0" w:num="1">
            <w:col w:w="11380"/>
          </w:cols>
          <w:pgMar w:left="240" w:top="585" w:right="279" w:bottom="1440" w:gutter="0" w:footer="0" w:header="0"/>
        </w:sectPr>
      </w:pPr>
    </w:p>
    <w:bookmarkStart w:id="146" w:name="page147"/>
    <w:bookmarkEnd w:id="146"/>
    <w:p>
      <w:pPr>
        <w:ind w:left="652" w:right="20"/>
        <w:spacing w:after="0" w:line="260" w:lineRule="auto"/>
        <w:rPr>
          <w:sz w:val="20"/>
          <w:szCs w:val="20"/>
          <w:color w:val="auto"/>
        </w:rPr>
      </w:pPr>
      <w:r>
        <w:rPr>
          <w:rFonts w:ascii="Arial" w:cs="Arial" w:eastAsia="Arial" w:hAnsi="Arial"/>
          <w:sz w:val="22"/>
          <w:szCs w:val="22"/>
          <w:color w:val="auto"/>
        </w:rPr>
        <w:t>3.2 Except as otherwise provided in Section 4, if during the vesting period or prior to payment of all RSU's the Participant has a Separation from Service for any reason other than those specified in Section 3.1 above, all unvested or unpaid RSU's subject to the Grant will be forfeited on the date of such Separation from Service.</w:t>
      </w:r>
    </w:p>
    <w:p>
      <w:pPr>
        <w:spacing w:after="0" w:line="177" w:lineRule="exact"/>
        <w:rPr>
          <w:sz w:val="20"/>
          <w:szCs w:val="20"/>
          <w:color w:val="auto"/>
        </w:rPr>
      </w:pPr>
    </w:p>
    <w:p>
      <w:pPr>
        <w:jc w:val="both"/>
        <w:ind w:left="652" w:right="160"/>
        <w:spacing w:after="0" w:line="320" w:lineRule="auto"/>
        <w:rPr>
          <w:sz w:val="20"/>
          <w:szCs w:val="20"/>
          <w:color w:val="auto"/>
        </w:rPr>
      </w:pPr>
      <w:r>
        <w:rPr>
          <w:rFonts w:ascii="Arial" w:cs="Arial" w:eastAsia="Arial" w:hAnsi="Arial"/>
          <w:sz w:val="19"/>
          <w:szCs w:val="19"/>
          <w:color w:val="auto"/>
        </w:rPr>
        <w:t>3.3 If during the vesting period or prior to payment of all Shares the Participant is demoted, or if ALLETE determines, in its sole discretion, that the Participant's job performance is unsatisfactory, ALLETE may cancel or amend the Participant's grant relating to any unpaid RSU's, resulting in the forfeiture of some portion or all of the Participant's unpaid RSU's.</w:t>
      </w:r>
    </w:p>
    <w:p>
      <w:pPr>
        <w:spacing w:after="0" w:line="125" w:lineRule="exact"/>
        <w:rPr>
          <w:sz w:val="20"/>
          <w:szCs w:val="20"/>
          <w:color w:val="auto"/>
        </w:rPr>
      </w:pPr>
    </w:p>
    <w:p>
      <w:pPr>
        <w:ind w:left="652"/>
        <w:spacing w:after="0" w:line="248" w:lineRule="auto"/>
        <w:rPr>
          <w:sz w:val="20"/>
          <w:szCs w:val="20"/>
          <w:color w:val="auto"/>
        </w:rPr>
      </w:pPr>
      <w:r>
        <w:rPr>
          <w:rFonts w:ascii="Arial" w:cs="Arial" w:eastAsia="Arial" w:hAnsi="Arial"/>
          <w:sz w:val="22"/>
          <w:szCs w:val="22"/>
          <w:color w:val="auto"/>
        </w:rPr>
        <w:t>3.4 Notwithstanding anything herein to the contrary, if the Participant becomes entitled to a payment of the RSU's by reason of the Participant's Retirement and if the Participant is a Specified Employee on the date of such Retirement, payment shall not be made until the earlier of: (i) the expiration of the six-month period beginning on the date of Participant's Retirement, or (ii) the date of the Participant's death. The payment to which a Specified Employee would otherwise be entitled during this six-month period shall be paid, together with dividend equivalents that have accrued during this six-month delay, during the seventh month following the date of the Participant's Retirement, or, if earlier, the date of the Participant's death.</w:t>
      </w:r>
    </w:p>
    <w:p>
      <w:pPr>
        <w:spacing w:after="0" w:line="196" w:lineRule="exact"/>
        <w:rPr>
          <w:sz w:val="20"/>
          <w:szCs w:val="20"/>
          <w:color w:val="auto"/>
        </w:rPr>
      </w:pPr>
    </w:p>
    <w:p>
      <w:pPr>
        <w:ind w:left="-8" w:right="20" w:firstLine="8"/>
        <w:spacing w:after="0" w:line="266" w:lineRule="auto"/>
        <w:tabs>
          <w:tab w:leader="none" w:pos="334" w:val="left"/>
        </w:tabs>
        <w:numPr>
          <w:ilvl w:val="0"/>
          <w:numId w:val="77"/>
        </w:numPr>
        <w:rPr>
          <w:rFonts w:ascii="Arial" w:cs="Arial" w:eastAsia="Arial" w:hAnsi="Arial"/>
          <w:sz w:val="20"/>
          <w:szCs w:val="20"/>
          <w:color w:val="auto"/>
        </w:rPr>
      </w:pPr>
      <w:r>
        <w:rPr>
          <w:rFonts w:ascii="Arial" w:cs="Arial" w:eastAsia="Arial" w:hAnsi="Arial"/>
          <w:sz w:val="20"/>
          <w:szCs w:val="20"/>
          <w:u w:val="single" w:color="auto"/>
          <w:color w:val="auto"/>
        </w:rPr>
        <w:t>Change in Control</w:t>
      </w:r>
      <w:r>
        <w:rPr>
          <w:rFonts w:ascii="Arial" w:cs="Arial" w:eastAsia="Arial" w:hAnsi="Arial"/>
          <w:sz w:val="20"/>
          <w:szCs w:val="20"/>
          <w:color w:val="auto"/>
        </w:rPr>
        <w:t>. Upon a Change in Control, unless the Committee provides otherwise prior to the Change in Control, outstanding unvested RSU's shall be prorated (as described below) and such prorated RSU's shall immediately vest and be payable to the Participant during the period ending sixty days after the Change in Control. The RSU's will not be subject to proration and immediately vest, however, if and to the extent that the Grant is, in connection with the Change in Control, fully assumed by the successor corporation or parent thereof; in such case, the RSU's shall be prorated and immediately vest upon a Participant's termination of employment by the successor corporation for reasons other than cause within 18 months following the Change in Control and be payable to the Participant during the period ending sixty days after the termination of employment. Any payment on account of or in connection with a Change in Control will be prorated, after giving effect to the accumulation of Dividend Equivalents, based on the number of whole calendar months within the three-year vesting period that had elapsed as of the date of the Change in Control or termination of employment, as applicable, in relation to the number of calendar months in the three-year vesting period. For purposes of this calculation, the Participant will be credited with a whole month if the Participant was employed on the 15</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of the month. In no event will the Participant be permitted, directly or indirectly, to designate the taxable year of the distribution on account of or in connection with a Change in Control.</w:t>
      </w:r>
    </w:p>
    <w:p>
      <w:pPr>
        <w:spacing w:after="0" w:line="175" w:lineRule="exact"/>
        <w:rPr>
          <w:rFonts w:ascii="Arial" w:cs="Arial" w:eastAsia="Arial" w:hAnsi="Arial"/>
          <w:sz w:val="20"/>
          <w:szCs w:val="20"/>
          <w:color w:val="auto"/>
        </w:rPr>
      </w:pPr>
    </w:p>
    <w:p>
      <w:pPr>
        <w:ind w:left="-8" w:right="180" w:firstLine="8"/>
        <w:spacing w:after="0" w:line="260" w:lineRule="auto"/>
        <w:tabs>
          <w:tab w:leader="none" w:pos="334" w:val="left"/>
        </w:tabs>
        <w:numPr>
          <w:ilvl w:val="0"/>
          <w:numId w:val="77"/>
        </w:numPr>
        <w:rPr>
          <w:rFonts w:ascii="Arial" w:cs="Arial" w:eastAsia="Arial" w:hAnsi="Arial"/>
          <w:sz w:val="22"/>
          <w:szCs w:val="22"/>
          <w:color w:val="auto"/>
        </w:rPr>
      </w:pPr>
      <w:r>
        <w:rPr>
          <w:rFonts w:ascii="Arial" w:cs="Arial" w:eastAsia="Arial" w:hAnsi="Arial"/>
          <w:sz w:val="22"/>
          <w:szCs w:val="22"/>
          <w:u w:val="single" w:color="auto"/>
          <w:color w:val="auto"/>
        </w:rPr>
        <w:t>Compensation Recovery Policy</w:t>
      </w:r>
      <w:r>
        <w:rPr>
          <w:rFonts w:ascii="Arial" w:cs="Arial" w:eastAsia="Arial" w:hAnsi="Arial"/>
          <w:sz w:val="22"/>
          <w:szCs w:val="22"/>
          <w:color w:val="auto"/>
        </w:rPr>
        <w:t>. The Grant is subject to the terms of any compensation recovery policy or policies established by ALLETE as may be amended from time to time (“Compensation Recovery Policy”). ALLETE hereby incorporates into the Grant the terms of the Compensation Recovery Policy.</w:t>
      </w:r>
    </w:p>
    <w:p>
      <w:pPr>
        <w:sectPr>
          <w:pgSz w:w="11900" w:h="16838" w:orient="portrait"/>
          <w:cols w:equalWidth="0" w:num="1">
            <w:col w:w="11412"/>
          </w:cols>
          <w:pgMar w:left="248" w:top="591" w:right="239" w:bottom="1440" w:gutter="0" w:footer="0" w:header="0"/>
        </w:sectPr>
      </w:pPr>
    </w:p>
    <w:bookmarkStart w:id="147" w:name="page148"/>
    <w:bookmarkEnd w:id="147"/>
    <w:p>
      <w:pPr>
        <w:ind w:left="-8" w:right="40" w:firstLine="8"/>
        <w:spacing w:after="0" w:line="320" w:lineRule="auto"/>
        <w:tabs>
          <w:tab w:leader="none" w:pos="388" w:val="left"/>
        </w:tabs>
        <w:numPr>
          <w:ilvl w:val="0"/>
          <w:numId w:val="78"/>
        </w:numPr>
        <w:rPr>
          <w:rFonts w:ascii="Arial" w:cs="Arial" w:eastAsia="Arial" w:hAnsi="Arial"/>
          <w:sz w:val="19"/>
          <w:szCs w:val="19"/>
          <w:color w:val="auto"/>
        </w:rPr>
      </w:pPr>
      <w:r>
        <w:rPr>
          <w:rFonts w:ascii="Arial" w:cs="Arial" w:eastAsia="Arial" w:hAnsi="Arial"/>
          <w:sz w:val="19"/>
          <w:szCs w:val="19"/>
          <w:u w:val="single" w:color="auto"/>
          <w:color w:val="auto"/>
        </w:rPr>
        <w:t>Section 409A Compliance.</w:t>
      </w:r>
      <w:r>
        <w:rPr>
          <w:rFonts w:ascii="Arial" w:cs="Arial" w:eastAsia="Arial" w:hAnsi="Arial"/>
          <w:sz w:val="19"/>
          <w:szCs w:val="19"/>
          <w:color w:val="auto"/>
        </w:rPr>
        <w:t xml:space="preserve"> To the extent that any provision of the Grant would cause a conflict with the requirements of Section 409A or would cause the administration of the Grant to fail to satisfy Section 409A, such provision shall be deemed null and void to the extent permitted by applicable law. Nothing herein shall be construed as a guarantee of any particular tax treatment.</w:t>
      </w:r>
    </w:p>
    <w:p>
      <w:pPr>
        <w:spacing w:after="0" w:line="138" w:lineRule="exact"/>
        <w:rPr>
          <w:rFonts w:ascii="Arial" w:cs="Arial" w:eastAsia="Arial" w:hAnsi="Arial"/>
          <w:sz w:val="19"/>
          <w:szCs w:val="19"/>
          <w:color w:val="auto"/>
        </w:rPr>
      </w:pPr>
    </w:p>
    <w:p>
      <w:pPr>
        <w:ind w:left="-8" w:right="80" w:firstLine="8"/>
        <w:spacing w:after="0" w:line="278" w:lineRule="auto"/>
        <w:tabs>
          <w:tab w:leader="none" w:pos="388" w:val="left"/>
        </w:tabs>
        <w:numPr>
          <w:ilvl w:val="0"/>
          <w:numId w:val="78"/>
        </w:numPr>
        <w:rPr>
          <w:rFonts w:ascii="Arial" w:cs="Arial" w:eastAsia="Arial" w:hAnsi="Arial"/>
          <w:sz w:val="21"/>
          <w:szCs w:val="21"/>
          <w:color w:val="auto"/>
        </w:rPr>
      </w:pPr>
      <w:r>
        <w:rPr>
          <w:rFonts w:ascii="Arial" w:cs="Arial" w:eastAsia="Arial" w:hAnsi="Arial"/>
          <w:sz w:val="21"/>
          <w:szCs w:val="21"/>
          <w:u w:val="single" w:color="auto"/>
          <w:color w:val="auto"/>
        </w:rPr>
        <w:t>Ratification of Actions.</w:t>
      </w:r>
      <w:r>
        <w:rPr>
          <w:rFonts w:ascii="Arial" w:cs="Arial" w:eastAsia="Arial" w:hAnsi="Arial"/>
          <w:sz w:val="21"/>
          <w:szCs w:val="21"/>
          <w:color w:val="auto"/>
        </w:rPr>
        <w:t xml:space="preserve"> By receiving the Grant or other benefit under the Plan, the Participant and each person claiming under or through Participant shall be conclusively deemed to have indicated the Participant's acceptance and ratification of, and consent to, any action taken under the Plan or the Grant by ALLETE, the Board, or the Committee.</w:t>
      </w:r>
    </w:p>
    <w:p>
      <w:pPr>
        <w:spacing w:after="0" w:line="160" w:lineRule="exact"/>
        <w:rPr>
          <w:rFonts w:ascii="Arial" w:cs="Arial" w:eastAsia="Arial" w:hAnsi="Arial"/>
          <w:sz w:val="21"/>
          <w:szCs w:val="21"/>
          <w:color w:val="auto"/>
        </w:rPr>
      </w:pPr>
    </w:p>
    <w:p>
      <w:pPr>
        <w:ind w:left="-8" w:right="60" w:firstLine="8"/>
        <w:spacing w:after="0" w:line="254" w:lineRule="auto"/>
        <w:tabs>
          <w:tab w:leader="none" w:pos="334" w:val="left"/>
        </w:tabs>
        <w:numPr>
          <w:ilvl w:val="0"/>
          <w:numId w:val="78"/>
        </w:numPr>
        <w:rPr>
          <w:rFonts w:ascii="Arial" w:cs="Arial" w:eastAsia="Arial" w:hAnsi="Arial"/>
          <w:sz w:val="22"/>
          <w:szCs w:val="22"/>
          <w:color w:val="auto"/>
        </w:rPr>
      </w:pPr>
      <w:r>
        <w:rPr>
          <w:rFonts w:ascii="Arial" w:cs="Arial" w:eastAsia="Arial" w:hAnsi="Arial"/>
          <w:sz w:val="22"/>
          <w:szCs w:val="22"/>
          <w:u w:val="single" w:color="auto"/>
          <w:color w:val="auto"/>
        </w:rPr>
        <w:t>Notices.</w:t>
      </w:r>
      <w:r>
        <w:rPr>
          <w:rFonts w:ascii="Arial" w:cs="Arial" w:eastAsia="Arial" w:hAnsi="Arial"/>
          <w:sz w:val="22"/>
          <w:szCs w:val="22"/>
          <w:color w:val="auto"/>
        </w:rPr>
        <w:t xml:space="preserve"> Any notice hereunder to ALLETE shall be addressed to ALLETE, 30 West Superior Street, Duluth, Minnesota 55802, Attention: Manager - Compensation and Benefits, Human Resources, and any notice hereunder to the Participant shall be directed to the Participant's address as indicated by ALLETE's records, subject to the right of either party to designate at any time hereafter in writing some other address.</w:t>
      </w:r>
    </w:p>
    <w:p>
      <w:pPr>
        <w:spacing w:after="0" w:line="185" w:lineRule="exact"/>
        <w:rPr>
          <w:rFonts w:ascii="Arial" w:cs="Arial" w:eastAsia="Arial" w:hAnsi="Arial"/>
          <w:sz w:val="22"/>
          <w:szCs w:val="22"/>
          <w:color w:val="auto"/>
        </w:rPr>
      </w:pPr>
    </w:p>
    <w:p>
      <w:pPr>
        <w:jc w:val="both"/>
        <w:ind w:left="-8" w:right="120" w:firstLine="8"/>
        <w:spacing w:after="0" w:line="307" w:lineRule="auto"/>
        <w:tabs>
          <w:tab w:leader="none" w:pos="334" w:val="left"/>
        </w:tabs>
        <w:numPr>
          <w:ilvl w:val="0"/>
          <w:numId w:val="78"/>
        </w:numPr>
        <w:rPr>
          <w:rFonts w:ascii="Arial" w:cs="Arial" w:eastAsia="Arial" w:hAnsi="Arial"/>
          <w:sz w:val="19"/>
          <w:szCs w:val="19"/>
          <w:color w:val="auto"/>
        </w:rPr>
      </w:pPr>
      <w:r>
        <w:rPr>
          <w:rFonts w:ascii="Arial" w:cs="Arial" w:eastAsia="Arial" w:hAnsi="Arial"/>
          <w:sz w:val="19"/>
          <w:szCs w:val="19"/>
          <w:u w:val="single" w:color="auto"/>
          <w:color w:val="auto"/>
        </w:rPr>
        <w:t>Governing Law and Severability.</w:t>
      </w:r>
      <w:r>
        <w:rPr>
          <w:rFonts w:ascii="Arial" w:cs="Arial" w:eastAsia="Arial" w:hAnsi="Arial"/>
          <w:sz w:val="19"/>
          <w:szCs w:val="19"/>
          <w:color w:val="auto"/>
        </w:rPr>
        <w:t xml:space="preserve"> To the extent not preempted by the Federal law, the Grant will be governed by and construed in accordance with the laws of the State of Minnesota, without regard to its conflicts of law provisions. In the event any provision of the Grant shall be held illegal or invalid for any reason, the illegality or invalidity shall not affect the remaining parts of the Grant, and the Grant shall be construed and enforced as if the illegal or invalid provision had not been included.</w:t>
      </w:r>
    </w:p>
    <w:p>
      <w:pPr>
        <w:spacing w:after="0" w:line="138" w:lineRule="exact"/>
        <w:rPr>
          <w:rFonts w:ascii="Arial" w:cs="Arial" w:eastAsia="Arial" w:hAnsi="Arial"/>
          <w:sz w:val="19"/>
          <w:szCs w:val="19"/>
          <w:color w:val="auto"/>
        </w:rPr>
      </w:pPr>
    </w:p>
    <w:p>
      <w:pPr>
        <w:ind w:left="-8" w:right="360" w:firstLine="8"/>
        <w:spacing w:after="0" w:line="276" w:lineRule="auto"/>
        <w:tabs>
          <w:tab w:leader="none" w:pos="442" w:val="left"/>
        </w:tabs>
        <w:numPr>
          <w:ilvl w:val="0"/>
          <w:numId w:val="78"/>
        </w:numPr>
        <w:rPr>
          <w:rFonts w:ascii="Arial" w:cs="Arial" w:eastAsia="Arial" w:hAnsi="Arial"/>
          <w:sz w:val="22"/>
          <w:szCs w:val="22"/>
          <w:color w:val="auto"/>
        </w:rPr>
      </w:pPr>
      <w:r>
        <w:rPr>
          <w:rFonts w:ascii="Arial" w:cs="Arial" w:eastAsia="Arial" w:hAnsi="Arial"/>
          <w:sz w:val="22"/>
          <w:szCs w:val="22"/>
          <w:u w:val="single" w:color="auto"/>
          <w:color w:val="auto"/>
        </w:rPr>
        <w:t>Definitions.</w:t>
      </w:r>
      <w:r>
        <w:rPr>
          <w:rFonts w:ascii="Arial" w:cs="Arial" w:eastAsia="Arial" w:hAnsi="Arial"/>
          <w:sz w:val="22"/>
          <w:szCs w:val="22"/>
          <w:color w:val="auto"/>
        </w:rPr>
        <w:t xml:space="preserve"> Capitalized terms not otherwise defined herein shall have the meanings given them in the Plan. The following definitions apply to the Grant and this Annex A:</w:t>
      </w:r>
    </w:p>
    <w:p>
      <w:pPr>
        <w:spacing w:after="0" w:line="155" w:lineRule="exact"/>
        <w:rPr>
          <w:sz w:val="20"/>
          <w:szCs w:val="20"/>
          <w:color w:val="auto"/>
        </w:rPr>
      </w:pPr>
    </w:p>
    <w:p>
      <w:pPr>
        <w:ind w:left="712"/>
        <w:spacing w:after="0"/>
        <w:tabs>
          <w:tab w:leader="none" w:pos="1252" w:val="left"/>
        </w:tabs>
        <w:rPr>
          <w:sz w:val="20"/>
          <w:szCs w:val="20"/>
          <w:color w:val="auto"/>
        </w:rPr>
      </w:pPr>
      <w:r>
        <w:rPr>
          <w:rFonts w:ascii="Arial" w:cs="Arial" w:eastAsia="Arial" w:hAnsi="Arial"/>
          <w:sz w:val="22"/>
          <w:szCs w:val="22"/>
          <w:color w:val="auto"/>
        </w:rPr>
        <w:t>10.1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Change in Control</w:t>
      </w:r>
      <w:r>
        <w:rPr>
          <w:rFonts w:ascii="Arial" w:cs="Arial" w:eastAsia="Arial" w:hAnsi="Arial"/>
          <w:sz w:val="19"/>
          <w:szCs w:val="19"/>
          <w:color w:val="auto"/>
        </w:rPr>
        <w:t>” means the earliest of:</w:t>
      </w:r>
    </w:p>
    <w:p>
      <w:pPr>
        <w:spacing w:after="0" w:line="239" w:lineRule="exact"/>
        <w:rPr>
          <w:sz w:val="20"/>
          <w:szCs w:val="20"/>
          <w:color w:val="auto"/>
        </w:rPr>
      </w:pPr>
    </w:p>
    <w:p>
      <w:pPr>
        <w:ind w:left="1792" w:hanging="658"/>
        <w:spacing w:after="0" w:line="257" w:lineRule="auto"/>
        <w:tabs>
          <w:tab w:leader="none" w:pos="1792" w:val="left"/>
        </w:tabs>
        <w:numPr>
          <w:ilvl w:val="0"/>
          <w:numId w:val="79"/>
        </w:numPr>
        <w:rPr>
          <w:rFonts w:ascii="Arial" w:cs="Arial" w:eastAsia="Arial" w:hAnsi="Arial"/>
          <w:sz w:val="21"/>
          <w:szCs w:val="21"/>
          <w:color w:val="auto"/>
        </w:rPr>
      </w:pPr>
      <w:r>
        <w:rPr>
          <w:rFonts w:ascii="Arial" w:cs="Arial" w:eastAsia="Arial" w:hAnsi="Arial"/>
          <w:sz w:val="21"/>
          <w:szCs w:val="21"/>
          <w:color w:val="auto"/>
        </w:rPr>
        <w:t>the date any one Person, or more than one Person acting as a group (as the term “group” is used in Treasury Regulations section 1.409A-3(i)(5)(v)(B)), acquires ownership of stock of the Company that, together with stock previously held by the acquirer, constitutes more than fifty (50%) percent of the total fair market value or total voting power of Company stock. If any one Person, or more than one Person acting as a group, is considered to own more than fifty (50%) percent of the total fair market value or total voting power of Company stock, the acquisition of additional stock by the same Person or Persons acting as a group does not cause a Change in Control. An increase in the percentage of stock owned by any one Person, or Persons acting as a group, as a result of a transaction in which Company acquires its stock in exchange for property, is treated as an acquisition of stock;</w:t>
      </w:r>
    </w:p>
    <w:p>
      <w:pPr>
        <w:ind w:left="1792" w:right="300" w:hanging="658"/>
        <w:spacing w:after="0" w:line="295" w:lineRule="auto"/>
        <w:tabs>
          <w:tab w:leader="none" w:pos="1792" w:val="left"/>
        </w:tabs>
        <w:numPr>
          <w:ilvl w:val="0"/>
          <w:numId w:val="79"/>
        </w:numPr>
        <w:rPr>
          <w:rFonts w:ascii="Arial" w:cs="Arial" w:eastAsia="Arial" w:hAnsi="Arial"/>
          <w:sz w:val="19"/>
          <w:szCs w:val="19"/>
          <w:color w:val="auto"/>
        </w:rPr>
      </w:pPr>
      <w:r>
        <w:rPr>
          <w:rFonts w:ascii="Arial" w:cs="Arial" w:eastAsia="Arial" w:hAnsi="Arial"/>
          <w:sz w:val="19"/>
          <w:szCs w:val="19"/>
          <w:color w:val="auto"/>
        </w:rPr>
        <w:t>the date any one Person, or more than one Person acting as a group (as the term “group” is used in Treasury Regulations section 1.409A-3(i)(5)(v)(B)), acquires (or has acquired during the twelve (12) month period ending on the date of the most recent acquisition by that Person or Persons) ownership of Company stock possessing at least thirty (30%) percent of the total voting power of Company stock;</w:t>
      </w:r>
    </w:p>
    <w:p>
      <w:pPr>
        <w:sectPr>
          <w:pgSz w:w="11900" w:h="16838" w:orient="portrait"/>
          <w:cols w:equalWidth="0" w:num="1">
            <w:col w:w="11392"/>
          </w:cols>
          <w:pgMar w:left="248" w:top="591" w:right="259" w:bottom="1440" w:gutter="0" w:footer="0" w:header="0"/>
        </w:sectPr>
      </w:pPr>
    </w:p>
    <w:bookmarkStart w:id="148" w:name="page149"/>
    <w:bookmarkEnd w:id="148"/>
    <w:p>
      <w:pPr>
        <w:ind w:left="1240" w:right="140" w:hanging="658"/>
        <w:spacing w:after="0" w:line="253" w:lineRule="auto"/>
        <w:tabs>
          <w:tab w:leader="none" w:pos="1240" w:val="left"/>
        </w:tabs>
        <w:numPr>
          <w:ilvl w:val="0"/>
          <w:numId w:val="80"/>
        </w:numPr>
        <w:rPr>
          <w:rFonts w:ascii="Arial" w:cs="Arial" w:eastAsia="Arial" w:hAnsi="Arial"/>
          <w:sz w:val="22"/>
          <w:szCs w:val="22"/>
          <w:color w:val="auto"/>
        </w:rPr>
      </w:pPr>
      <w:r>
        <w:rPr>
          <w:rFonts w:ascii="Arial" w:cs="Arial" w:eastAsia="Arial" w:hAnsi="Arial"/>
          <w:sz w:val="22"/>
          <w:szCs w:val="22"/>
          <w:color w:val="auto"/>
        </w:rPr>
        <w:t>the date a majority of the members of the Company's board of directors is replaced during any twelve (12) month period by directors whose appointment or election is not endorsed by a majority of the members of the board of directors prior to the date of appointment or election; or</w:t>
      </w:r>
    </w:p>
    <w:p>
      <w:pPr>
        <w:spacing w:after="0" w:line="226" w:lineRule="exact"/>
        <w:rPr>
          <w:rFonts w:ascii="Arial" w:cs="Arial" w:eastAsia="Arial" w:hAnsi="Arial"/>
          <w:sz w:val="22"/>
          <w:szCs w:val="22"/>
          <w:color w:val="auto"/>
        </w:rPr>
      </w:pPr>
    </w:p>
    <w:p>
      <w:pPr>
        <w:ind w:left="1240" w:hanging="658"/>
        <w:spacing w:after="0" w:line="260" w:lineRule="auto"/>
        <w:tabs>
          <w:tab w:leader="none" w:pos="1240" w:val="left"/>
        </w:tabs>
        <w:numPr>
          <w:ilvl w:val="0"/>
          <w:numId w:val="80"/>
        </w:numPr>
        <w:rPr>
          <w:rFonts w:ascii="Arial" w:cs="Arial" w:eastAsia="Arial" w:hAnsi="Arial"/>
          <w:sz w:val="21"/>
          <w:szCs w:val="21"/>
          <w:color w:val="auto"/>
        </w:rPr>
      </w:pPr>
      <w:r>
        <w:rPr>
          <w:rFonts w:ascii="Arial" w:cs="Arial" w:eastAsia="Arial" w:hAnsi="Arial"/>
          <w:sz w:val="21"/>
          <w:szCs w:val="21"/>
          <w:color w:val="auto"/>
        </w:rPr>
        <w:t>the date any one Person, or more than one Person acting as a group (as the term “group” is used in Treasury Regulations section 1.409A-3(i)(5)(v)(B)), acquires (or has acquired during the twelve (12) month period ending on the date of the most recent acquisition by that Person or Persons) assets from the Company that have a total gross fair market value equal to at least forty (40%) percent of the total gross fair market value of all the Company's assets immediately prior to the acquisition or acquisitions. For this purpose, “gross fair market value” means the value of the corporation's assets, or the value of the assets being disposed of, without regard to any liabilities associated with these assets.</w:t>
      </w:r>
    </w:p>
    <w:p>
      <w:pPr>
        <w:spacing w:after="0" w:line="222" w:lineRule="exact"/>
        <w:rPr>
          <w:sz w:val="20"/>
          <w:szCs w:val="20"/>
          <w:color w:val="auto"/>
        </w:rPr>
      </w:pPr>
    </w:p>
    <w:p>
      <w:pPr>
        <w:ind w:right="60"/>
        <w:spacing w:after="0" w:line="294" w:lineRule="auto"/>
        <w:rPr>
          <w:sz w:val="20"/>
          <w:szCs w:val="20"/>
          <w:color w:val="auto"/>
        </w:rPr>
      </w:pPr>
      <w:r>
        <w:rPr>
          <w:rFonts w:ascii="Arial" w:cs="Arial" w:eastAsia="Arial" w:hAnsi="Arial"/>
          <w:sz w:val="19"/>
          <w:szCs w:val="19"/>
          <w:color w:val="auto"/>
        </w:rPr>
        <w:t>In determining whether a Change in Control occurs, the attribution rules of Code section 318 apply to determine stock ownership. The stock underlying a vested option is treated as owned by the individual who holds the vested option, and the stock underlying an unvested option is not treated as owned by the individual who holds the unvested option. The term “Person” used in this definition means any individual, corporation (including any non-profit corporation), general, limited or limited liability partnership, limited liability company, joint venture, estate, trust, firm, association, organization or other entity or any governmental or quasi-governmental authority, organization, agency or body.</w:t>
      </w:r>
    </w:p>
    <w:p>
      <w:pPr>
        <w:spacing w:after="0" w:line="144" w:lineRule="exact"/>
        <w:rPr>
          <w:sz w:val="20"/>
          <w:szCs w:val="20"/>
          <w:color w:val="auto"/>
        </w:rPr>
      </w:pPr>
    </w:p>
    <w:p>
      <w:pPr>
        <w:spacing w:after="0"/>
        <w:tabs>
          <w:tab w:leader="none" w:pos="540" w:val="left"/>
        </w:tabs>
        <w:rPr>
          <w:sz w:val="20"/>
          <w:szCs w:val="20"/>
          <w:color w:val="auto"/>
        </w:rPr>
      </w:pPr>
      <w:r>
        <w:rPr>
          <w:rFonts w:ascii="Arial" w:cs="Arial" w:eastAsia="Arial" w:hAnsi="Arial"/>
          <w:sz w:val="22"/>
          <w:szCs w:val="22"/>
          <w:color w:val="auto"/>
        </w:rPr>
        <w:t>10.2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Code</w:t>
      </w:r>
      <w:r>
        <w:rPr>
          <w:rFonts w:ascii="Arial" w:cs="Arial" w:eastAsia="Arial" w:hAnsi="Arial"/>
          <w:sz w:val="19"/>
          <w:szCs w:val="19"/>
          <w:color w:val="auto"/>
        </w:rPr>
        <w:t>” means the Internal Revenue Code of 1986, as it may be amended from time to time</w:t>
      </w:r>
    </w:p>
    <w:p>
      <w:pPr>
        <w:spacing w:after="0" w:line="233" w:lineRule="exact"/>
        <w:rPr>
          <w:sz w:val="20"/>
          <w:szCs w:val="20"/>
          <w:color w:val="auto"/>
        </w:rPr>
      </w:pPr>
    </w:p>
    <w:p>
      <w:pPr>
        <w:spacing w:after="0"/>
        <w:tabs>
          <w:tab w:leader="none" w:pos="540" w:val="left"/>
        </w:tabs>
        <w:rPr>
          <w:sz w:val="20"/>
          <w:szCs w:val="20"/>
          <w:color w:val="auto"/>
        </w:rPr>
      </w:pPr>
      <w:r>
        <w:rPr>
          <w:rFonts w:ascii="Arial" w:cs="Arial" w:eastAsia="Arial" w:hAnsi="Arial"/>
          <w:sz w:val="22"/>
          <w:szCs w:val="22"/>
          <w:color w:val="auto"/>
        </w:rPr>
        <w:t>10.3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Disability</w:t>
      </w:r>
      <w:r>
        <w:rPr>
          <w:rFonts w:ascii="Arial" w:cs="Arial" w:eastAsia="Arial" w:hAnsi="Arial"/>
          <w:sz w:val="19"/>
          <w:szCs w:val="19"/>
          <w:color w:val="auto"/>
        </w:rPr>
        <w:t>” or “</w:t>
      </w:r>
      <w:r>
        <w:rPr>
          <w:rFonts w:ascii="Arial" w:cs="Arial" w:eastAsia="Arial" w:hAnsi="Arial"/>
          <w:sz w:val="19"/>
          <w:szCs w:val="19"/>
          <w:b w:val="1"/>
          <w:bCs w:val="1"/>
          <w:color w:val="auto"/>
        </w:rPr>
        <w:t>Disabled</w:t>
      </w:r>
      <w:r>
        <w:rPr>
          <w:rFonts w:ascii="Arial" w:cs="Arial" w:eastAsia="Arial" w:hAnsi="Arial"/>
          <w:sz w:val="19"/>
          <w:szCs w:val="19"/>
          <w:color w:val="auto"/>
        </w:rPr>
        <w:t>” means a physical or mental condition in which the Participant is:</w:t>
      </w:r>
    </w:p>
    <w:p>
      <w:pPr>
        <w:spacing w:after="0" w:line="239" w:lineRule="exact"/>
        <w:rPr>
          <w:sz w:val="20"/>
          <w:szCs w:val="20"/>
          <w:color w:val="auto"/>
        </w:rPr>
      </w:pPr>
    </w:p>
    <w:p>
      <w:pPr>
        <w:ind w:left="1300" w:right="40" w:hanging="650"/>
        <w:spacing w:after="0" w:line="253" w:lineRule="auto"/>
        <w:tabs>
          <w:tab w:leader="none" w:pos="1300" w:val="left"/>
        </w:tabs>
        <w:numPr>
          <w:ilvl w:val="0"/>
          <w:numId w:val="81"/>
        </w:numPr>
        <w:rPr>
          <w:rFonts w:ascii="Arial" w:cs="Arial" w:eastAsia="Arial" w:hAnsi="Arial"/>
          <w:sz w:val="22"/>
          <w:szCs w:val="22"/>
          <w:color w:val="auto"/>
        </w:rPr>
      </w:pPr>
      <w:r>
        <w:rPr>
          <w:rFonts w:ascii="Arial" w:cs="Arial" w:eastAsia="Arial" w:hAnsi="Arial"/>
          <w:sz w:val="22"/>
          <w:szCs w:val="22"/>
          <w:color w:val="auto"/>
        </w:rPr>
        <w:t>unable to engage in any substantial gainful activity by reason of any medically determinable physical or mental impairment that can be expected to result in death or can be expected to last for a continuous period of not less than twelve (12) months;</w:t>
      </w:r>
    </w:p>
    <w:p>
      <w:pPr>
        <w:spacing w:after="0" w:line="226" w:lineRule="exact"/>
        <w:rPr>
          <w:rFonts w:ascii="Arial" w:cs="Arial" w:eastAsia="Arial" w:hAnsi="Arial"/>
          <w:sz w:val="22"/>
          <w:szCs w:val="22"/>
          <w:color w:val="auto"/>
        </w:rPr>
      </w:pPr>
    </w:p>
    <w:p>
      <w:pPr>
        <w:ind w:left="1300" w:right="60" w:hanging="650"/>
        <w:spacing w:after="0" w:line="250" w:lineRule="auto"/>
        <w:tabs>
          <w:tab w:leader="none" w:pos="1300" w:val="left"/>
        </w:tabs>
        <w:numPr>
          <w:ilvl w:val="0"/>
          <w:numId w:val="81"/>
        </w:numPr>
        <w:rPr>
          <w:rFonts w:ascii="Arial" w:cs="Arial" w:eastAsia="Arial" w:hAnsi="Arial"/>
          <w:sz w:val="22"/>
          <w:szCs w:val="22"/>
          <w:color w:val="auto"/>
        </w:rPr>
      </w:pPr>
      <w:r>
        <w:rPr>
          <w:rFonts w:ascii="Arial" w:cs="Arial" w:eastAsia="Arial" w:hAnsi="Arial"/>
          <w:sz w:val="22"/>
          <w:szCs w:val="22"/>
          <w:color w:val="auto"/>
        </w:rPr>
        <w:t>by reason of any medically determinable physical or mental impairment which can be expected to result in death or can be expected to last for a continuous period of not less than twelve (12) months, receiving income replacement benefits for a period of not less than three (3) months under the Employer's accident and health plan;</w:t>
      </w:r>
    </w:p>
    <w:p>
      <w:pPr>
        <w:spacing w:after="0" w:line="228" w:lineRule="exact"/>
        <w:rPr>
          <w:rFonts w:ascii="Arial" w:cs="Arial" w:eastAsia="Arial" w:hAnsi="Arial"/>
          <w:sz w:val="22"/>
          <w:szCs w:val="22"/>
          <w:color w:val="auto"/>
        </w:rPr>
      </w:pPr>
    </w:p>
    <w:p>
      <w:pPr>
        <w:ind w:left="1300" w:hanging="650"/>
        <w:spacing w:after="0"/>
        <w:tabs>
          <w:tab w:leader="none" w:pos="1300" w:val="left"/>
        </w:tabs>
        <w:numPr>
          <w:ilvl w:val="0"/>
          <w:numId w:val="81"/>
        </w:numPr>
        <w:rPr>
          <w:rFonts w:ascii="Arial" w:cs="Arial" w:eastAsia="Arial" w:hAnsi="Arial"/>
          <w:sz w:val="22"/>
          <w:szCs w:val="22"/>
          <w:color w:val="auto"/>
        </w:rPr>
      </w:pPr>
      <w:r>
        <w:rPr>
          <w:rFonts w:ascii="Arial" w:cs="Arial" w:eastAsia="Arial" w:hAnsi="Arial"/>
          <w:sz w:val="22"/>
          <w:szCs w:val="22"/>
          <w:color w:val="auto"/>
        </w:rPr>
        <w:t>determined to be totally disabled by the Social Security Administration; or</w:t>
      </w:r>
    </w:p>
    <w:p>
      <w:pPr>
        <w:sectPr>
          <w:pgSz w:w="11900" w:h="16838" w:orient="portrait"/>
          <w:cols w:equalWidth="0" w:num="1">
            <w:col w:w="10840"/>
          </w:cols>
          <w:pgMar w:left="800" w:top="591" w:right="259" w:bottom="1440" w:gutter="0" w:footer="0" w:header="0"/>
        </w:sectPr>
      </w:pPr>
    </w:p>
    <w:bookmarkStart w:id="149" w:name="page150"/>
    <w:bookmarkEnd w:id="149"/>
    <w:p>
      <w:pPr>
        <w:ind w:left="1204" w:right="180" w:hanging="650"/>
        <w:spacing w:after="0" w:line="253" w:lineRule="auto"/>
        <w:tabs>
          <w:tab w:leader="none" w:pos="1204" w:val="left"/>
        </w:tabs>
        <w:numPr>
          <w:ilvl w:val="0"/>
          <w:numId w:val="82"/>
        </w:numPr>
        <w:rPr>
          <w:rFonts w:ascii="Arial" w:cs="Arial" w:eastAsia="Arial" w:hAnsi="Arial"/>
          <w:sz w:val="22"/>
          <w:szCs w:val="22"/>
          <w:color w:val="auto"/>
        </w:rPr>
      </w:pPr>
      <w:r>
        <w:rPr>
          <w:rFonts w:ascii="Arial" w:cs="Arial" w:eastAsia="Arial" w:hAnsi="Arial"/>
          <w:sz w:val="22"/>
          <w:szCs w:val="22"/>
          <w:color w:val="auto"/>
        </w:rPr>
        <w:t>disabled pursuant to an Employer-sponsored disability insurance arrangement provided that the definition of disability applied under such disability insurance program complies with the foregoing definition of Disability.</w:t>
      </w:r>
    </w:p>
    <w:p>
      <w:pPr>
        <w:spacing w:after="0" w:line="220" w:lineRule="exact"/>
        <w:rPr>
          <w:sz w:val="20"/>
          <w:szCs w:val="20"/>
          <w:color w:val="auto"/>
        </w:rPr>
      </w:pPr>
    </w:p>
    <w:p>
      <w:pPr>
        <w:ind w:left="4"/>
        <w:spacing w:after="0" w:line="288" w:lineRule="auto"/>
        <w:rPr>
          <w:sz w:val="20"/>
          <w:szCs w:val="20"/>
          <w:color w:val="auto"/>
        </w:rPr>
      </w:pPr>
      <w:r>
        <w:rPr>
          <w:rFonts w:ascii="Arial" w:cs="Arial" w:eastAsia="Arial" w:hAnsi="Arial"/>
          <w:sz w:val="19"/>
          <w:szCs w:val="19"/>
          <w:color w:val="auto"/>
        </w:rPr>
        <w:t>10.4 “</w:t>
      </w:r>
      <w:r>
        <w:rPr>
          <w:rFonts w:ascii="Arial" w:cs="Arial" w:eastAsia="Arial" w:hAnsi="Arial"/>
          <w:sz w:val="19"/>
          <w:szCs w:val="19"/>
          <w:b w:val="1"/>
          <w:bCs w:val="1"/>
          <w:color w:val="auto"/>
        </w:rPr>
        <w:t>Related Company</w:t>
      </w:r>
      <w:r>
        <w:rPr>
          <w:rFonts w:ascii="Arial" w:cs="Arial" w:eastAsia="Arial" w:hAnsi="Arial"/>
          <w:sz w:val="19"/>
          <w:szCs w:val="19"/>
          <w:color w:val="auto"/>
        </w:rPr>
        <w:t>” means the ALLETE, Inc. and all persons with whom the ALLETE, Inc. would be considered a single employer under Code section 414(b) (employees of controlled group of corporations), and all persons with whom such person would be considered a single employer under Code section 414(c) (employees of partnerships, proprietorships, etc., under common control); provided that in applying Code sections 1563(a)(1), (2), and (3) for purposes of determining a controlled group of corporations under Code section 414(b), the language “at least 50 percent” is used instead of “at least 80 percent” each place it appears in Code sections 1563(a)(1), (2), and (3), and in applying Treasury Regulations section</w:t>
      </w:r>
    </w:p>
    <w:p>
      <w:pPr>
        <w:spacing w:after="0" w:line="4" w:lineRule="exact"/>
        <w:rPr>
          <w:sz w:val="20"/>
          <w:szCs w:val="20"/>
          <w:color w:val="auto"/>
        </w:rPr>
      </w:pPr>
    </w:p>
    <w:p>
      <w:pPr>
        <w:jc w:val="both"/>
        <w:ind w:left="4" w:right="280"/>
        <w:spacing w:after="0" w:line="245" w:lineRule="auto"/>
        <w:rPr>
          <w:sz w:val="20"/>
          <w:szCs w:val="20"/>
          <w:color w:val="auto"/>
        </w:rPr>
      </w:pPr>
      <w:r>
        <w:rPr>
          <w:rFonts w:ascii="Arial" w:cs="Arial" w:eastAsia="Arial" w:hAnsi="Arial"/>
          <w:sz w:val="22"/>
          <w:szCs w:val="22"/>
          <w:color w:val="auto"/>
        </w:rPr>
        <w:t>1.414(c)-2 for purposes of determining trades or businesses (whether or not incorporated) that are under common control for purposes of Code section 414(c), “at least 50 percent” is used instead of “at least 80 percent” each place it appears in Treasury Regulations section 1.414(c)-2.</w:t>
      </w:r>
    </w:p>
    <w:p>
      <w:pPr>
        <w:spacing w:after="0" w:line="187" w:lineRule="exact"/>
        <w:rPr>
          <w:sz w:val="20"/>
          <w:szCs w:val="20"/>
          <w:color w:val="auto"/>
        </w:rPr>
      </w:pPr>
    </w:p>
    <w:p>
      <w:pPr>
        <w:ind w:left="4"/>
        <w:spacing w:after="0" w:line="263" w:lineRule="auto"/>
        <w:rPr>
          <w:sz w:val="20"/>
          <w:szCs w:val="20"/>
          <w:color w:val="auto"/>
        </w:rPr>
      </w:pPr>
      <w:r>
        <w:rPr>
          <w:rFonts w:ascii="Arial" w:cs="Arial" w:eastAsia="Arial" w:hAnsi="Arial"/>
          <w:sz w:val="21"/>
          <w:szCs w:val="21"/>
          <w:color w:val="auto"/>
        </w:rPr>
        <w:t>10.5 “</w:t>
      </w:r>
      <w:r>
        <w:rPr>
          <w:rFonts w:ascii="Arial" w:cs="Arial" w:eastAsia="Arial" w:hAnsi="Arial"/>
          <w:sz w:val="21"/>
          <w:szCs w:val="21"/>
          <w:b w:val="1"/>
          <w:bCs w:val="1"/>
          <w:color w:val="auto"/>
        </w:rPr>
        <w:t>Retirement</w:t>
      </w:r>
      <w:r>
        <w:rPr>
          <w:rFonts w:ascii="Arial" w:cs="Arial" w:eastAsia="Arial" w:hAnsi="Arial"/>
          <w:sz w:val="21"/>
          <w:szCs w:val="21"/>
          <w:color w:val="auto"/>
        </w:rPr>
        <w:t>” or “</w:t>
      </w:r>
      <w:r>
        <w:rPr>
          <w:rFonts w:ascii="Arial" w:cs="Arial" w:eastAsia="Arial" w:hAnsi="Arial"/>
          <w:sz w:val="21"/>
          <w:szCs w:val="21"/>
          <w:b w:val="1"/>
          <w:bCs w:val="1"/>
          <w:color w:val="auto"/>
        </w:rPr>
        <w:t>Retires</w:t>
      </w:r>
      <w:r>
        <w:rPr>
          <w:rFonts w:ascii="Arial" w:cs="Arial" w:eastAsia="Arial" w:hAnsi="Arial"/>
          <w:sz w:val="21"/>
          <w:szCs w:val="21"/>
          <w:color w:val="auto"/>
        </w:rPr>
        <w:t>” means Separation from Service, for reasons other than death or Disability, on or after attaining normal retirement age or early retirement age as defined in the most applicable qualified retirement plan sponsored by the Related Company that employed the Participant immediately preceding the Separation from Service, without regard to whether the Participant is a participant in such plan, or if the employer Related Company does not sponsor such retirement plan, on or after attaining Normal Retirement Age or Early Retirement Age as defined in the ALLETE and Affiliated Companies Retirement Plan A, without regard to whether the Participant is a participant under the ALLETE and Affiliated Companies Retirement Plan A.</w:t>
      </w:r>
    </w:p>
    <w:p>
      <w:pPr>
        <w:spacing w:after="0" w:line="214" w:lineRule="exact"/>
        <w:rPr>
          <w:sz w:val="20"/>
          <w:szCs w:val="20"/>
          <w:color w:val="auto"/>
        </w:rPr>
      </w:pPr>
    </w:p>
    <w:p>
      <w:pPr>
        <w:ind w:left="4" w:right="260"/>
        <w:spacing w:after="0" w:line="262" w:lineRule="auto"/>
        <w:rPr>
          <w:sz w:val="20"/>
          <w:szCs w:val="20"/>
          <w:color w:val="auto"/>
        </w:rPr>
      </w:pPr>
      <w:r>
        <w:rPr>
          <w:rFonts w:ascii="Arial" w:cs="Arial" w:eastAsia="Arial" w:hAnsi="Arial"/>
          <w:sz w:val="22"/>
          <w:szCs w:val="22"/>
          <w:color w:val="auto"/>
        </w:rPr>
        <w:t>10.6 “</w:t>
      </w:r>
      <w:r>
        <w:rPr>
          <w:rFonts w:ascii="Arial" w:cs="Arial" w:eastAsia="Arial" w:hAnsi="Arial"/>
          <w:sz w:val="22"/>
          <w:szCs w:val="22"/>
          <w:b w:val="1"/>
          <w:bCs w:val="1"/>
          <w:color w:val="auto"/>
        </w:rPr>
        <w:t>Section 409A</w:t>
      </w:r>
      <w:r>
        <w:rPr>
          <w:rFonts w:ascii="Arial" w:cs="Arial" w:eastAsia="Arial" w:hAnsi="Arial"/>
          <w:sz w:val="22"/>
          <w:szCs w:val="22"/>
          <w:color w:val="auto"/>
        </w:rPr>
        <w:t>” means Section 409A of the Code and Treasury Regulations section 1.409A-1 et seq., as they both may be amended from time to time, or other guidance issued by the Treasury Department and Internal Revenue Service thereunder.</w:t>
      </w:r>
    </w:p>
    <w:p>
      <w:pPr>
        <w:spacing w:after="0" w:line="171" w:lineRule="exact"/>
        <w:rPr>
          <w:sz w:val="20"/>
          <w:szCs w:val="20"/>
          <w:color w:val="auto"/>
        </w:rPr>
      </w:pPr>
    </w:p>
    <w:p>
      <w:pPr>
        <w:ind w:left="4" w:right="80"/>
        <w:spacing w:after="0" w:line="286" w:lineRule="auto"/>
        <w:rPr>
          <w:sz w:val="20"/>
          <w:szCs w:val="20"/>
          <w:color w:val="auto"/>
        </w:rPr>
      </w:pPr>
      <w:r>
        <w:rPr>
          <w:rFonts w:ascii="Arial" w:cs="Arial" w:eastAsia="Arial" w:hAnsi="Arial"/>
          <w:sz w:val="19"/>
          <w:szCs w:val="19"/>
          <w:color w:val="auto"/>
        </w:rPr>
        <w:t>10.7 “</w:t>
      </w:r>
      <w:r>
        <w:rPr>
          <w:rFonts w:ascii="Arial" w:cs="Arial" w:eastAsia="Arial" w:hAnsi="Arial"/>
          <w:sz w:val="19"/>
          <w:szCs w:val="19"/>
          <w:b w:val="1"/>
          <w:bCs w:val="1"/>
          <w:color w:val="auto"/>
        </w:rPr>
        <w:t>Separation from Service</w:t>
      </w:r>
      <w:r>
        <w:rPr>
          <w:rFonts w:ascii="Arial" w:cs="Arial" w:eastAsia="Arial" w:hAnsi="Arial"/>
          <w:sz w:val="19"/>
          <w:szCs w:val="19"/>
          <w:color w:val="auto"/>
        </w:rPr>
        <w:t>” means that the Participant terminates employment within the meaning of Treasury Regulations section 1.409A-1(h) and other applicable guidance with all Related Companies. Whether a termination of employment has occurred is determined under the facts and circumstances, and a termination of employment shall occur if all Related Companies and the Participant reasonably anticipate that no further services shall be performed after a certain date or that the level of bona fide services the Participant shall perform after such date (as an employee or an independent contractor) shall permanently decrease to no more than 20 percent of the average level of bona fide services performed (whether as an employee or an independent contractor) over the immediately preceding 36-month period (or the full period of services to the Related Companies if the Participant has been providing services to the Related Companies less than 36 months). A Participant shall not be considered to separate from service during a bona fide leave of absence for less than six</w:t>
      </w:r>
    </w:p>
    <w:p>
      <w:pPr>
        <w:spacing w:after="0" w:line="4" w:lineRule="exact"/>
        <w:rPr>
          <w:sz w:val="20"/>
          <w:szCs w:val="20"/>
          <w:color w:val="auto"/>
        </w:rPr>
      </w:pPr>
    </w:p>
    <w:p>
      <w:pPr>
        <w:ind w:left="4" w:right="360" w:hanging="4"/>
        <w:spacing w:after="0" w:line="262" w:lineRule="auto"/>
        <w:tabs>
          <w:tab w:leader="none" w:pos="310" w:val="left"/>
        </w:tabs>
        <w:numPr>
          <w:ilvl w:val="0"/>
          <w:numId w:val="83"/>
        </w:numPr>
        <w:rPr>
          <w:rFonts w:ascii="Arial" w:cs="Arial" w:eastAsia="Arial" w:hAnsi="Arial"/>
          <w:sz w:val="21"/>
          <w:szCs w:val="21"/>
          <w:color w:val="auto"/>
        </w:rPr>
      </w:pPr>
      <w:r>
        <w:rPr>
          <w:rFonts w:ascii="Arial" w:cs="Arial" w:eastAsia="Arial" w:hAnsi="Arial"/>
          <w:sz w:val="21"/>
          <w:szCs w:val="21"/>
          <w:color w:val="auto"/>
        </w:rPr>
        <w:t>months or longer if the Participant retains a right to reemployment with any Related Company by contract or statute. With respect to disability leave, a Participant shall not be considered to separate from service for 29 months unless the Participant otherwise terminates employment or is terminated by all Related Companies</w:t>
      </w:r>
      <w:r>
        <w:rPr>
          <w:rFonts w:ascii="Arial" w:cs="Arial" w:eastAsia="Arial" w:hAnsi="Arial"/>
          <w:sz w:val="18"/>
          <w:szCs w:val="18"/>
          <w:color w:val="auto"/>
        </w:rPr>
        <w:t>.</w:t>
      </w:r>
    </w:p>
    <w:p>
      <w:pPr>
        <w:sectPr>
          <w:pgSz w:w="11900" w:h="16838" w:orient="portrait"/>
          <w:cols w:equalWidth="0" w:num="1">
            <w:col w:w="10744"/>
          </w:cols>
          <w:pgMar w:left="896" w:top="591" w:right="259" w:bottom="1440" w:gutter="0" w:footer="0" w:header="0"/>
        </w:sectPr>
      </w:pPr>
    </w:p>
    <w:bookmarkStart w:id="150" w:name="page151"/>
    <w:bookmarkEnd w:id="150"/>
    <w:p>
      <w:pPr>
        <w:ind w:firstLine="68"/>
        <w:spacing w:after="0" w:line="309" w:lineRule="auto"/>
        <w:rPr>
          <w:sz w:val="20"/>
          <w:szCs w:val="20"/>
          <w:color w:val="auto"/>
        </w:rPr>
      </w:pPr>
      <w:r>
        <w:rPr>
          <w:rFonts w:ascii="Arial" w:cs="Arial" w:eastAsia="Arial" w:hAnsi="Arial"/>
          <w:sz w:val="19"/>
          <w:szCs w:val="19"/>
          <w:color w:val="auto"/>
        </w:rPr>
        <w:t>10.8 “</w:t>
      </w:r>
      <w:r>
        <w:rPr>
          <w:rFonts w:ascii="Arial" w:cs="Arial" w:eastAsia="Arial" w:hAnsi="Arial"/>
          <w:sz w:val="19"/>
          <w:szCs w:val="19"/>
          <w:b w:val="1"/>
          <w:bCs w:val="1"/>
          <w:color w:val="auto"/>
        </w:rPr>
        <w:t>Specified Employee</w:t>
      </w:r>
      <w:r>
        <w:rPr>
          <w:rFonts w:ascii="Arial" w:cs="Arial" w:eastAsia="Arial" w:hAnsi="Arial"/>
          <w:sz w:val="19"/>
          <w:szCs w:val="19"/>
          <w:color w:val="auto"/>
        </w:rPr>
        <w:t>” means an Participant who is subject to the six-month delay rule described in Code section 409A(2)(B)(i), determined in accordance with guidelines adopted by the Board from time to time as permitted by Section 409A of the Code and Treasury Regulations section 1.409A-1 et seq., as they both may be amended from time to time, and other guidance issued by the Treasury Department and Internal Revenue Service thereunder.</w:t>
      </w:r>
    </w:p>
    <w:p>
      <w:pPr>
        <w:sectPr>
          <w:pgSz w:w="11900" w:h="16838" w:orient="portrait"/>
          <w:cols w:equalWidth="0" w:num="1">
            <w:col w:w="10620"/>
          </w:cols>
          <w:pgMar w:left="900" w:top="585" w:right="379" w:bottom="1440" w:gutter="0" w:footer="0" w:header="0"/>
        </w:sectPr>
      </w:pPr>
    </w:p>
    <w:bookmarkStart w:id="151" w:name="page152"/>
    <w:bookmarkEnd w:id="151"/>
    <w:p>
      <w:pPr>
        <w:jc w:val="right"/>
        <w:spacing w:after="0"/>
        <w:rPr>
          <w:sz w:val="20"/>
          <w:szCs w:val="20"/>
          <w:color w:val="auto"/>
        </w:rPr>
      </w:pPr>
      <w:r>
        <w:rPr>
          <w:rFonts w:ascii="Arial" w:cs="Arial" w:eastAsia="Arial" w:hAnsi="Arial"/>
          <w:sz w:val="18"/>
          <w:szCs w:val="18"/>
          <w:b w:val="1"/>
          <w:bCs w:val="1"/>
          <w:color w:val="auto"/>
        </w:rPr>
        <w:t>Exhibit 10(n)5</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AMENDMENT TO THE AMENDED AND RESTATED</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ALLETE DIRECTOR COMPENSATION DEFERRAL PLAN</w:t>
      </w:r>
    </w:p>
    <w:p>
      <w:pPr>
        <w:spacing w:after="0" w:line="200" w:lineRule="exact"/>
        <w:rPr>
          <w:sz w:val="20"/>
          <w:szCs w:val="20"/>
          <w:color w:val="auto"/>
        </w:rPr>
      </w:pPr>
    </w:p>
    <w:p>
      <w:pPr>
        <w:spacing w:after="0" w:line="272" w:lineRule="exact"/>
        <w:rPr>
          <w:sz w:val="20"/>
          <w:szCs w:val="20"/>
          <w:color w:val="auto"/>
        </w:rPr>
      </w:pPr>
    </w:p>
    <w:p>
      <w:pPr>
        <w:spacing w:after="0" w:line="366" w:lineRule="auto"/>
        <w:rPr>
          <w:sz w:val="20"/>
          <w:szCs w:val="20"/>
          <w:color w:val="auto"/>
        </w:rPr>
      </w:pPr>
      <w:r>
        <w:rPr>
          <w:rFonts w:ascii="Arial" w:cs="Arial" w:eastAsia="Arial" w:hAnsi="Arial"/>
          <w:sz w:val="22"/>
          <w:szCs w:val="22"/>
          <w:color w:val="auto"/>
        </w:rPr>
        <w:t>The Amended and Restated ALLETE Director Compensation Deferral Plan, dated effective January 1, 1990, is amended as follows:</w:t>
      </w:r>
    </w:p>
    <w:p>
      <w:pPr>
        <w:spacing w:after="0" w:line="174" w:lineRule="exact"/>
        <w:rPr>
          <w:sz w:val="20"/>
          <w:szCs w:val="20"/>
          <w:color w:val="auto"/>
        </w:rPr>
      </w:pPr>
    </w:p>
    <w:p>
      <w:pPr>
        <w:ind w:left="660" w:hanging="328"/>
        <w:spacing w:after="0"/>
        <w:tabs>
          <w:tab w:leader="none" w:pos="660" w:val="left"/>
        </w:tabs>
        <w:numPr>
          <w:ilvl w:val="0"/>
          <w:numId w:val="84"/>
        </w:numPr>
        <w:rPr>
          <w:rFonts w:ascii="Arial" w:cs="Arial" w:eastAsia="Arial" w:hAnsi="Arial"/>
          <w:sz w:val="18"/>
          <w:szCs w:val="18"/>
          <w:color w:val="auto"/>
        </w:rPr>
      </w:pPr>
      <w:r>
        <w:rPr>
          <w:rFonts w:ascii="Arial" w:cs="Arial" w:eastAsia="Arial" w:hAnsi="Arial"/>
          <w:sz w:val="22"/>
          <w:szCs w:val="22"/>
          <w:color w:val="auto"/>
        </w:rPr>
        <w:t xml:space="preserve">Effective July 24, 2012, Section 5.1 is amended to </w:t>
      </w:r>
      <w:r>
        <w:rPr>
          <w:rFonts w:ascii="Arial" w:cs="Arial" w:eastAsia="Arial" w:hAnsi="Arial"/>
          <w:sz w:val="22"/>
          <w:szCs w:val="22"/>
          <w:u w:val="single" w:color="auto"/>
          <w:color w:val="auto"/>
        </w:rPr>
        <w:t>delete</w:t>
      </w:r>
      <w:r>
        <w:rPr>
          <w:rFonts w:ascii="Arial" w:cs="Arial" w:eastAsia="Arial" w:hAnsi="Arial"/>
          <w:sz w:val="22"/>
          <w:szCs w:val="22"/>
          <w:color w:val="auto"/>
        </w:rPr>
        <w:t xml:space="preserve"> the following:</w:t>
      </w:r>
    </w:p>
    <w:p>
      <w:pPr>
        <w:spacing w:after="0" w:line="368" w:lineRule="exact"/>
        <w:rPr>
          <w:rFonts w:ascii="Arial" w:cs="Arial" w:eastAsia="Arial" w:hAnsi="Arial"/>
          <w:sz w:val="18"/>
          <w:szCs w:val="18"/>
          <w:color w:val="auto"/>
        </w:rPr>
      </w:pPr>
    </w:p>
    <w:p>
      <w:pPr>
        <w:jc w:val="both"/>
        <w:ind w:left="660"/>
        <w:spacing w:after="0" w:line="248" w:lineRule="auto"/>
        <w:rPr>
          <w:rFonts w:ascii="Arial" w:cs="Arial" w:eastAsia="Arial" w:hAnsi="Arial"/>
          <w:sz w:val="18"/>
          <w:szCs w:val="18"/>
          <w:color w:val="auto"/>
        </w:rPr>
      </w:pPr>
      <w:r>
        <w:rPr>
          <w:rFonts w:ascii="Arial" w:cs="Arial" w:eastAsia="Arial" w:hAnsi="Arial"/>
          <w:sz w:val="22"/>
          <w:szCs w:val="22"/>
          <w:color w:val="auto"/>
        </w:rPr>
        <w:t>Any annuity provided under this section shall be calculated using a 7.5% interest rate, or such other rate as approved by the Board. Notwithstanding the foregoing, annuities under this section shall be calculated using an 8% interest rate in any circumstance in which one of the following conditions applies: (i) the Director left service prior to January 1, 2007; or (ii) the Director provided official notice of retirement to the Company prior to January 1, 2007 with an effective retirement date on or before April 1, 2007.</w:t>
      </w:r>
    </w:p>
    <w:p>
      <w:pPr>
        <w:spacing w:after="0" w:line="340" w:lineRule="exact"/>
        <w:rPr>
          <w:rFonts w:ascii="Arial" w:cs="Arial" w:eastAsia="Arial" w:hAnsi="Arial"/>
          <w:sz w:val="18"/>
          <w:szCs w:val="18"/>
          <w:color w:val="auto"/>
        </w:rPr>
      </w:pPr>
    </w:p>
    <w:p>
      <w:pPr>
        <w:ind w:left="660" w:hanging="328"/>
        <w:spacing w:after="0"/>
        <w:tabs>
          <w:tab w:leader="none" w:pos="660" w:val="left"/>
        </w:tabs>
        <w:numPr>
          <w:ilvl w:val="0"/>
          <w:numId w:val="84"/>
        </w:numPr>
        <w:rPr>
          <w:rFonts w:ascii="Arial" w:cs="Arial" w:eastAsia="Arial" w:hAnsi="Arial"/>
          <w:sz w:val="22"/>
          <w:szCs w:val="22"/>
          <w:color w:val="auto"/>
        </w:rPr>
      </w:pPr>
      <w:r>
        <w:rPr>
          <w:rFonts w:ascii="Arial" w:cs="Arial" w:eastAsia="Arial" w:hAnsi="Arial"/>
          <w:sz w:val="22"/>
          <w:szCs w:val="22"/>
          <w:color w:val="auto"/>
        </w:rPr>
        <w:t xml:space="preserve">Effective July 24, 2012, Section 5.1 is further amended to </w:t>
      </w:r>
      <w:r>
        <w:rPr>
          <w:rFonts w:ascii="Arial" w:cs="Arial" w:eastAsia="Arial" w:hAnsi="Arial"/>
          <w:sz w:val="22"/>
          <w:szCs w:val="22"/>
          <w:u w:val="single" w:color="auto"/>
          <w:color w:val="auto"/>
        </w:rPr>
        <w:t>add</w:t>
      </w:r>
      <w:r>
        <w:rPr>
          <w:rFonts w:ascii="Arial" w:cs="Arial" w:eastAsia="Arial" w:hAnsi="Arial"/>
          <w:sz w:val="22"/>
          <w:szCs w:val="22"/>
          <w:color w:val="auto"/>
        </w:rPr>
        <w:t xml:space="preserve"> the following:</w:t>
      </w:r>
    </w:p>
    <w:p>
      <w:pPr>
        <w:spacing w:after="0" w:line="368" w:lineRule="exact"/>
        <w:rPr>
          <w:rFonts w:ascii="Arial" w:cs="Arial" w:eastAsia="Arial" w:hAnsi="Arial"/>
          <w:sz w:val="22"/>
          <w:szCs w:val="22"/>
          <w:color w:val="auto"/>
        </w:rPr>
      </w:pPr>
    </w:p>
    <w:p>
      <w:pPr>
        <w:jc w:val="both"/>
        <w:ind w:left="660"/>
        <w:spacing w:after="0" w:line="253" w:lineRule="auto"/>
        <w:rPr>
          <w:rFonts w:ascii="Arial" w:cs="Arial" w:eastAsia="Arial" w:hAnsi="Arial"/>
          <w:sz w:val="22"/>
          <w:szCs w:val="22"/>
          <w:color w:val="auto"/>
        </w:rPr>
      </w:pPr>
      <w:r>
        <w:rPr>
          <w:rFonts w:ascii="Arial" w:cs="Arial" w:eastAsia="Arial" w:hAnsi="Arial"/>
          <w:sz w:val="22"/>
          <w:szCs w:val="22"/>
          <w:color w:val="auto"/>
        </w:rPr>
        <w:t>Any annuity provided in this section shall be calculated by crediting to or debiting from the Deferral Account all notional gains and losses associated with the investment funds selected by the Director from among the options provided by the Company until all amounts credited to Deferral Account have been distributed.</w:t>
      </w:r>
    </w:p>
    <w:p>
      <w:pPr>
        <w:spacing w:after="0" w:line="200" w:lineRule="exact"/>
        <w:rPr>
          <w:sz w:val="20"/>
          <w:szCs w:val="20"/>
          <w:color w:val="auto"/>
        </w:rPr>
      </w:pPr>
    </w:p>
    <w:p>
      <w:pPr>
        <w:spacing w:after="0" w:line="290" w:lineRule="exact"/>
        <w:rPr>
          <w:sz w:val="20"/>
          <w:szCs w:val="20"/>
          <w:color w:val="auto"/>
        </w:rPr>
      </w:pPr>
    </w:p>
    <w:p>
      <w:pPr>
        <w:ind w:left="4220"/>
        <w:spacing w:after="0"/>
        <w:rPr>
          <w:sz w:val="20"/>
          <w:szCs w:val="20"/>
          <w:color w:val="auto"/>
        </w:rPr>
      </w:pPr>
      <w:r>
        <w:rPr>
          <w:rFonts w:ascii="Arial" w:cs="Arial" w:eastAsia="Arial" w:hAnsi="Arial"/>
          <w:sz w:val="22"/>
          <w:szCs w:val="22"/>
          <w:b w:val="1"/>
          <w:bCs w:val="1"/>
          <w:color w:val="auto"/>
        </w:rPr>
        <w:t>ALLETE,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4240"/>
        <w:spacing w:after="0"/>
        <w:rPr>
          <w:sz w:val="20"/>
          <w:szCs w:val="20"/>
          <w:color w:val="auto"/>
        </w:rPr>
      </w:pPr>
      <w:r>
        <w:rPr>
          <w:rFonts w:ascii="Arial" w:cs="Arial" w:eastAsia="Arial" w:hAnsi="Arial"/>
          <w:sz w:val="22"/>
          <w:szCs w:val="22"/>
          <w:color w:val="auto"/>
        </w:rPr>
        <w:t>By: /s/ Alan R. Hodnik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24765</wp:posOffset>
            </wp:positionV>
            <wp:extent cx="218694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24" w:lineRule="exact"/>
        <w:rPr>
          <w:sz w:val="20"/>
          <w:szCs w:val="20"/>
          <w:color w:val="auto"/>
        </w:rPr>
      </w:pPr>
    </w:p>
    <w:p>
      <w:pPr>
        <w:ind w:left="4780"/>
        <w:spacing w:after="0"/>
        <w:rPr>
          <w:sz w:val="20"/>
          <w:szCs w:val="20"/>
          <w:color w:val="auto"/>
        </w:rPr>
      </w:pPr>
      <w:r>
        <w:rPr>
          <w:rFonts w:ascii="Arial" w:cs="Arial" w:eastAsia="Arial" w:hAnsi="Arial"/>
          <w:sz w:val="22"/>
          <w:szCs w:val="22"/>
          <w:color w:val="auto"/>
        </w:rPr>
        <w:t>Alan R. Hodnik</w:t>
      </w:r>
    </w:p>
    <w:p>
      <w:pPr>
        <w:spacing w:after="0" w:line="22" w:lineRule="exact"/>
        <w:rPr>
          <w:sz w:val="20"/>
          <w:szCs w:val="20"/>
          <w:color w:val="auto"/>
        </w:rPr>
      </w:pPr>
    </w:p>
    <w:p>
      <w:pPr>
        <w:ind w:left="4780"/>
        <w:spacing w:after="0"/>
        <w:rPr>
          <w:sz w:val="20"/>
          <w:szCs w:val="20"/>
          <w:color w:val="auto"/>
        </w:rPr>
      </w:pPr>
      <w:r>
        <w:rPr>
          <w:rFonts w:ascii="Arial" w:cs="Arial" w:eastAsia="Arial" w:hAnsi="Arial"/>
          <w:sz w:val="22"/>
          <w:szCs w:val="22"/>
          <w:color w:val="auto"/>
        </w:rPr>
        <w:t>Chairman, President &amp; Chief Executive Officer</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ATTEST: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0"/>
        <w:spacing w:after="0"/>
        <w:tabs>
          <w:tab w:leader="none" w:pos="560" w:val="left"/>
        </w:tabs>
        <w:rPr>
          <w:sz w:val="20"/>
          <w:szCs w:val="20"/>
          <w:color w:val="auto"/>
        </w:rPr>
      </w:pPr>
      <w:r>
        <w:rPr>
          <w:rFonts w:ascii="Arial" w:cs="Arial" w:eastAsia="Arial" w:hAnsi="Arial"/>
          <w:sz w:val="22"/>
          <w:szCs w:val="22"/>
          <w:color w:val="auto"/>
        </w:rPr>
        <w:t>By:</w:t>
        <w:tab/>
        <w:t>/s/ Deborah A. Amberg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342201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422015" cy="8890"/>
                    </a:xfrm>
                    <a:prstGeom prst="rect">
                      <a:avLst/>
                    </a:prstGeom>
                    <a:noFill/>
                  </pic:spPr>
                </pic:pic>
              </a:graphicData>
            </a:graphic>
          </wp:anchor>
        </w:drawing>
      </w:r>
    </w:p>
    <w:p>
      <w:pPr>
        <w:spacing w:after="0" w:line="24" w:lineRule="exact"/>
        <w:rPr>
          <w:sz w:val="20"/>
          <w:szCs w:val="20"/>
          <w:color w:val="auto"/>
        </w:rPr>
      </w:pPr>
    </w:p>
    <w:p>
      <w:pPr>
        <w:ind w:left="580"/>
        <w:spacing w:after="0"/>
        <w:rPr>
          <w:sz w:val="20"/>
          <w:szCs w:val="20"/>
          <w:color w:val="auto"/>
        </w:rPr>
      </w:pPr>
      <w:r>
        <w:rPr>
          <w:rFonts w:ascii="Arial" w:cs="Arial" w:eastAsia="Arial" w:hAnsi="Arial"/>
          <w:sz w:val="22"/>
          <w:szCs w:val="22"/>
          <w:color w:val="auto"/>
        </w:rPr>
        <w:t>Deborah A. Amberg</w:t>
      </w:r>
    </w:p>
    <w:p>
      <w:pPr>
        <w:spacing w:after="0" w:line="22" w:lineRule="exact"/>
        <w:rPr>
          <w:sz w:val="20"/>
          <w:szCs w:val="20"/>
          <w:color w:val="auto"/>
        </w:rPr>
      </w:pPr>
    </w:p>
    <w:p>
      <w:pPr>
        <w:ind w:left="580"/>
        <w:spacing w:after="0"/>
        <w:rPr>
          <w:sz w:val="20"/>
          <w:szCs w:val="20"/>
          <w:color w:val="auto"/>
        </w:rPr>
      </w:pPr>
      <w:r>
        <w:rPr>
          <w:rFonts w:ascii="Arial" w:cs="Arial" w:eastAsia="Arial" w:hAnsi="Arial"/>
          <w:sz w:val="22"/>
          <w:szCs w:val="22"/>
          <w:color w:val="auto"/>
        </w:rPr>
        <w:t>Senior Vice President, General Counsel &amp; Secretary</w:t>
      </w:r>
    </w:p>
    <w:p>
      <w:pPr>
        <w:sectPr>
          <w:pgSz w:w="11900" w:h="16838" w:orient="portrait"/>
          <w:cols w:equalWidth="0" w:num="1">
            <w:col w:w="11420"/>
          </w:cols>
          <w:pgMar w:left="240" w:top="580" w:right="239" w:bottom="1440" w:gutter="0" w:footer="0" w:header="0"/>
        </w:sectPr>
      </w:pPr>
    </w:p>
    <w:bookmarkStart w:id="152" w:name="page153"/>
    <w:bookmarkEnd w:id="152"/>
    <w:p>
      <w:pPr>
        <w:jc w:val="right"/>
        <w:spacing w:after="0"/>
        <w:rPr>
          <w:sz w:val="20"/>
          <w:szCs w:val="20"/>
          <w:color w:val="auto"/>
        </w:rPr>
      </w:pPr>
      <w:r>
        <w:rPr>
          <w:rFonts w:ascii="Arial" w:cs="Arial" w:eastAsia="Arial" w:hAnsi="Arial"/>
          <w:sz w:val="18"/>
          <w:szCs w:val="18"/>
          <w:b w:val="1"/>
          <w:bCs w:val="1"/>
          <w:color w:val="auto"/>
        </w:rPr>
        <w:t>Exhibit 10(o)2</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200"/>
        <w:spacing w:after="0"/>
        <w:rPr>
          <w:sz w:val="20"/>
          <w:szCs w:val="20"/>
          <w:color w:val="auto"/>
        </w:rPr>
      </w:pPr>
      <w:r>
        <w:rPr>
          <w:rFonts w:ascii="Arial" w:cs="Arial" w:eastAsia="Arial" w:hAnsi="Arial"/>
          <w:sz w:val="25"/>
          <w:szCs w:val="25"/>
          <w:b w:val="1"/>
          <w:bCs w:val="1"/>
          <w:color w:val="auto"/>
        </w:rPr>
        <w:t>ALLETE, INC.</w:t>
      </w:r>
    </w:p>
    <w:p>
      <w:pPr>
        <w:spacing w:after="0" w:line="280" w:lineRule="exact"/>
        <w:rPr>
          <w:sz w:val="20"/>
          <w:szCs w:val="20"/>
          <w:color w:val="auto"/>
        </w:rPr>
      </w:pPr>
    </w:p>
    <w:p>
      <w:pPr>
        <w:jc w:val="center"/>
        <w:ind w:right="1200"/>
        <w:spacing w:after="0"/>
        <w:rPr>
          <w:sz w:val="20"/>
          <w:szCs w:val="20"/>
          <w:color w:val="auto"/>
        </w:rPr>
      </w:pPr>
      <w:r>
        <w:rPr>
          <w:rFonts w:ascii="Arial" w:cs="Arial" w:eastAsia="Arial" w:hAnsi="Arial"/>
          <w:sz w:val="25"/>
          <w:szCs w:val="25"/>
          <w:b w:val="1"/>
          <w:bCs w:val="1"/>
          <w:color w:val="auto"/>
        </w:rPr>
        <w:t>AMENDED AND RESTATED</w:t>
      </w:r>
    </w:p>
    <w:p>
      <w:pPr>
        <w:spacing w:after="0" w:line="280" w:lineRule="exact"/>
        <w:rPr>
          <w:sz w:val="20"/>
          <w:szCs w:val="20"/>
          <w:color w:val="auto"/>
        </w:rPr>
      </w:pPr>
    </w:p>
    <w:p>
      <w:pPr>
        <w:ind w:left="460"/>
        <w:spacing w:after="0"/>
        <w:rPr>
          <w:sz w:val="20"/>
          <w:szCs w:val="20"/>
          <w:color w:val="auto"/>
        </w:rPr>
      </w:pPr>
      <w:r>
        <w:rPr>
          <w:rFonts w:ascii="Arial" w:cs="Arial" w:eastAsia="Arial" w:hAnsi="Arial"/>
          <w:sz w:val="25"/>
          <w:szCs w:val="25"/>
          <w:b w:val="1"/>
          <w:bCs w:val="1"/>
          <w:color w:val="auto"/>
        </w:rPr>
        <w:t>NON-EMPLOYEE DIRECTOR COMPENSATION DEFERRAL PLAN II</w:t>
      </w:r>
    </w:p>
    <w:p>
      <w:pPr>
        <w:spacing w:after="0" w:line="200" w:lineRule="exact"/>
        <w:rPr>
          <w:sz w:val="20"/>
          <w:szCs w:val="20"/>
          <w:color w:val="auto"/>
        </w:rPr>
      </w:pPr>
    </w:p>
    <w:p>
      <w:pPr>
        <w:spacing w:after="0" w:line="365" w:lineRule="exact"/>
        <w:rPr>
          <w:sz w:val="20"/>
          <w:szCs w:val="20"/>
          <w:color w:val="auto"/>
        </w:rPr>
      </w:pPr>
    </w:p>
    <w:p>
      <w:pPr>
        <w:ind w:left="3500"/>
        <w:spacing w:after="0"/>
        <w:rPr>
          <w:sz w:val="20"/>
          <w:szCs w:val="20"/>
          <w:color w:val="auto"/>
        </w:rPr>
      </w:pPr>
      <w:r>
        <w:rPr>
          <w:rFonts w:ascii="Arial" w:cs="Arial" w:eastAsia="Arial" w:hAnsi="Arial"/>
          <w:sz w:val="22"/>
          <w:szCs w:val="22"/>
          <w:color w:val="auto"/>
        </w:rPr>
        <w:t>Effective July 24, 2012</w:t>
      </w:r>
    </w:p>
    <w:p>
      <w:pPr>
        <w:sectPr>
          <w:pgSz w:w="11900" w:h="16838" w:orient="portrait"/>
          <w:cols w:equalWidth="0" w:num="1">
            <w:col w:w="10220"/>
          </w:cols>
          <w:pgMar w:left="1440" w:top="580" w:right="239" w:bottom="1440" w:gutter="0" w:footer="0" w:header="0"/>
        </w:sectPr>
      </w:pPr>
    </w:p>
    <w:bookmarkStart w:id="153" w:name="page154"/>
    <w:bookmarkEnd w:id="153"/>
    <w:tbl>
      <w:tblPr>
        <w:tblLayout w:type="fixed"/>
        <w:tblInd w:w="0" w:type="dxa"/>
        <w:tblCellMar>
          <w:top w:w="0" w:type="dxa"/>
          <w:left w:w="0" w:type="dxa"/>
          <w:bottom w:w="0" w:type="dxa"/>
          <w:right w:w="0" w:type="dxa"/>
        </w:tblCellMar>
      </w:tblPr>
      <w:tr>
        <w:trPr>
          <w:trHeight w:val="253"/>
        </w:trPr>
        <w:tc>
          <w:tcPr>
            <w:tcW w:w="13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5700" w:type="dxa"/>
            <w:vAlign w:val="bottom"/>
            <w:gridSpan w:val="2"/>
          </w:tcPr>
          <w:p>
            <w:pPr>
              <w:spacing w:after="0"/>
              <w:rPr>
                <w:sz w:val="20"/>
                <w:szCs w:val="20"/>
                <w:color w:val="auto"/>
              </w:rPr>
            </w:pPr>
            <w:r>
              <w:rPr>
                <w:rFonts w:ascii="Arial" w:cs="Arial" w:eastAsia="Arial" w:hAnsi="Arial"/>
                <w:sz w:val="22"/>
                <w:szCs w:val="22"/>
                <w:b w:val="1"/>
                <w:bCs w:val="1"/>
                <w:color w:val="auto"/>
              </w:rPr>
              <w:t>TABLE OF CONTENTS</w:t>
            </w:r>
          </w:p>
        </w:tc>
        <w:tc>
          <w:tcPr>
            <w:tcW w:w="460" w:type="dxa"/>
            <w:vAlign w:val="bottom"/>
          </w:tcPr>
          <w:p>
            <w:pPr>
              <w:spacing w:after="0"/>
              <w:rPr>
                <w:sz w:val="21"/>
                <w:szCs w:val="21"/>
                <w:color w:val="auto"/>
              </w:rPr>
            </w:pPr>
          </w:p>
        </w:tc>
      </w:tr>
      <w:tr>
        <w:trPr>
          <w:trHeight w:val="682"/>
        </w:trPr>
        <w:tc>
          <w:tcPr>
            <w:tcW w:w="1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320" w:type="dxa"/>
            <w:vAlign w:val="bottom"/>
            <w:tcBorders>
              <w:top w:val="single" w:sz="8" w:color="auto"/>
            </w:tcBorders>
          </w:tcPr>
          <w:p>
            <w:pPr>
              <w:spacing w:after="0"/>
              <w:rPr>
                <w:sz w:val="24"/>
                <w:szCs w:val="24"/>
                <w:color w:val="auto"/>
              </w:rPr>
            </w:pPr>
          </w:p>
        </w:tc>
        <w:tc>
          <w:tcPr>
            <w:tcW w:w="3380" w:type="dxa"/>
            <w:vAlign w:val="bottom"/>
          </w:tcPr>
          <w:p>
            <w:pPr>
              <w:spacing w:after="0"/>
              <w:rPr>
                <w:sz w:val="24"/>
                <w:szCs w:val="24"/>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22"/>
                <w:szCs w:val="22"/>
                <w:b w:val="1"/>
                <w:bCs w:val="1"/>
                <w:color w:val="auto"/>
                <w:w w:val="87"/>
              </w:rPr>
              <w:t>Page</w:t>
            </w:r>
          </w:p>
        </w:tc>
      </w:tr>
      <w:tr>
        <w:trPr>
          <w:trHeight w:val="328"/>
        </w:trPr>
        <w:tc>
          <w:tcPr>
            <w:tcW w:w="1360" w:type="dxa"/>
            <w:vAlign w:val="bottom"/>
          </w:tcPr>
          <w:p>
            <w:pPr>
              <w:jc w:val="right"/>
              <w:ind w:right="192"/>
              <w:spacing w:after="0"/>
              <w:rPr>
                <w:sz w:val="20"/>
                <w:szCs w:val="20"/>
                <w:color w:val="auto"/>
              </w:rPr>
            </w:pPr>
            <w:r>
              <w:rPr>
                <w:rFonts w:ascii="Arial" w:cs="Arial" w:eastAsia="Arial" w:hAnsi="Arial"/>
                <w:sz w:val="22"/>
                <w:szCs w:val="22"/>
                <w:color w:val="auto"/>
                <w:w w:val="93"/>
              </w:rPr>
              <w:t>ARTICLE 1</w:t>
            </w:r>
          </w:p>
        </w:tc>
        <w:tc>
          <w:tcPr>
            <w:tcW w:w="1040" w:type="dxa"/>
            <w:vAlign w:val="bottom"/>
          </w:tcPr>
          <w:p>
            <w:pPr>
              <w:spacing w:after="0"/>
              <w:rPr>
                <w:sz w:val="24"/>
                <w:szCs w:val="24"/>
                <w:color w:val="auto"/>
              </w:rPr>
            </w:pPr>
          </w:p>
        </w:tc>
        <w:tc>
          <w:tcPr>
            <w:tcW w:w="7540" w:type="dxa"/>
            <w:vAlign w:val="bottom"/>
            <w:gridSpan w:val="3"/>
          </w:tcPr>
          <w:p>
            <w:pPr>
              <w:spacing w:after="0"/>
              <w:rPr>
                <w:sz w:val="20"/>
                <w:szCs w:val="20"/>
                <w:color w:val="auto"/>
              </w:rPr>
            </w:pPr>
            <w:r>
              <w:rPr>
                <w:rFonts w:ascii="Arial" w:cs="Arial" w:eastAsia="Arial" w:hAnsi="Arial"/>
                <w:sz w:val="22"/>
                <w:szCs w:val="22"/>
                <w:color w:val="auto"/>
              </w:rPr>
              <w:t>Establishment and Purpose............................................................</w:t>
            </w:r>
          </w:p>
        </w:tc>
        <w:tc>
          <w:tcPr>
            <w:tcW w:w="460" w:type="dxa"/>
            <w:vAlign w:val="bottom"/>
          </w:tcPr>
          <w:p>
            <w:pPr>
              <w:jc w:val="center"/>
              <w:spacing w:after="0"/>
              <w:rPr>
                <w:sz w:val="20"/>
                <w:szCs w:val="20"/>
                <w:color w:val="auto"/>
              </w:rPr>
            </w:pPr>
            <w:r>
              <w:rPr>
                <w:rFonts w:ascii="Arial" w:cs="Arial" w:eastAsia="Arial" w:hAnsi="Arial"/>
                <w:sz w:val="22"/>
                <w:szCs w:val="22"/>
                <w:color w:val="auto"/>
                <w:w w:val="81"/>
              </w:rPr>
              <w:t>1</w:t>
            </w:r>
          </w:p>
        </w:tc>
      </w:tr>
      <w:tr>
        <w:trPr>
          <w:trHeight w:val="297"/>
        </w:trPr>
        <w:tc>
          <w:tcPr>
            <w:tcW w:w="1360" w:type="dxa"/>
            <w:vAlign w:val="bottom"/>
          </w:tcPr>
          <w:p>
            <w:pPr>
              <w:jc w:val="right"/>
              <w:ind w:right="192"/>
              <w:spacing w:after="0"/>
              <w:rPr>
                <w:sz w:val="20"/>
                <w:szCs w:val="20"/>
                <w:color w:val="auto"/>
              </w:rPr>
            </w:pPr>
            <w:r>
              <w:rPr>
                <w:rFonts w:ascii="Arial" w:cs="Arial" w:eastAsia="Arial" w:hAnsi="Arial"/>
                <w:sz w:val="22"/>
                <w:szCs w:val="22"/>
                <w:color w:val="auto"/>
                <w:w w:val="93"/>
              </w:rPr>
              <w:t>ARTICLE 2</w:t>
            </w:r>
          </w:p>
        </w:tc>
        <w:tc>
          <w:tcPr>
            <w:tcW w:w="1040" w:type="dxa"/>
            <w:vAlign w:val="bottom"/>
          </w:tcPr>
          <w:p>
            <w:pPr>
              <w:spacing w:after="0"/>
              <w:rPr>
                <w:sz w:val="24"/>
                <w:szCs w:val="24"/>
                <w:color w:val="auto"/>
              </w:rPr>
            </w:pPr>
          </w:p>
        </w:tc>
        <w:tc>
          <w:tcPr>
            <w:tcW w:w="7540" w:type="dxa"/>
            <w:vAlign w:val="bottom"/>
            <w:gridSpan w:val="3"/>
          </w:tcPr>
          <w:p>
            <w:pPr>
              <w:spacing w:after="0"/>
              <w:rPr>
                <w:sz w:val="20"/>
                <w:szCs w:val="20"/>
                <w:color w:val="auto"/>
              </w:rPr>
            </w:pPr>
            <w:r>
              <w:rPr>
                <w:rFonts w:ascii="Arial" w:cs="Arial" w:eastAsia="Arial" w:hAnsi="Arial"/>
                <w:sz w:val="22"/>
                <w:szCs w:val="22"/>
                <w:color w:val="auto"/>
              </w:rPr>
              <w:t>Administration...............................................................................</w:t>
            </w:r>
          </w:p>
        </w:tc>
        <w:tc>
          <w:tcPr>
            <w:tcW w:w="460" w:type="dxa"/>
            <w:vAlign w:val="bottom"/>
          </w:tcPr>
          <w:p>
            <w:pPr>
              <w:jc w:val="center"/>
              <w:spacing w:after="0"/>
              <w:rPr>
                <w:sz w:val="20"/>
                <w:szCs w:val="20"/>
                <w:color w:val="auto"/>
              </w:rPr>
            </w:pPr>
            <w:r>
              <w:rPr>
                <w:rFonts w:ascii="Arial" w:cs="Arial" w:eastAsia="Arial" w:hAnsi="Arial"/>
                <w:sz w:val="22"/>
                <w:szCs w:val="22"/>
                <w:color w:val="auto"/>
                <w:w w:val="81"/>
              </w:rPr>
              <w:t>1</w:t>
            </w:r>
          </w:p>
        </w:tc>
      </w:tr>
      <w:tr>
        <w:trPr>
          <w:trHeight w:val="297"/>
        </w:trPr>
        <w:tc>
          <w:tcPr>
            <w:tcW w:w="1360" w:type="dxa"/>
            <w:vAlign w:val="bottom"/>
          </w:tcPr>
          <w:p>
            <w:pPr>
              <w:jc w:val="right"/>
              <w:ind w:right="212"/>
              <w:spacing w:after="0"/>
              <w:rPr>
                <w:sz w:val="20"/>
                <w:szCs w:val="20"/>
                <w:color w:val="auto"/>
              </w:rPr>
            </w:pPr>
            <w:r>
              <w:rPr>
                <w:rFonts w:ascii="Arial" w:cs="Arial" w:eastAsia="Arial" w:hAnsi="Arial"/>
                <w:sz w:val="22"/>
                <w:szCs w:val="22"/>
                <w:color w:val="auto"/>
              </w:rPr>
              <w:t>2.1</w:t>
            </w:r>
          </w:p>
        </w:tc>
        <w:tc>
          <w:tcPr>
            <w:tcW w:w="8580" w:type="dxa"/>
            <w:vAlign w:val="bottom"/>
            <w:gridSpan w:val="4"/>
          </w:tcPr>
          <w:p>
            <w:pPr>
              <w:ind w:left="280"/>
              <w:spacing w:after="0"/>
              <w:rPr>
                <w:sz w:val="20"/>
                <w:szCs w:val="20"/>
                <w:color w:val="auto"/>
              </w:rPr>
            </w:pPr>
            <w:r>
              <w:rPr>
                <w:rFonts w:ascii="Arial" w:cs="Arial" w:eastAsia="Arial" w:hAnsi="Arial"/>
                <w:sz w:val="22"/>
                <w:szCs w:val="22"/>
                <w:color w:val="auto"/>
              </w:rPr>
              <w:t>Administrator.............................................................................................</w:t>
            </w:r>
          </w:p>
        </w:tc>
        <w:tc>
          <w:tcPr>
            <w:tcW w:w="460" w:type="dxa"/>
            <w:vAlign w:val="bottom"/>
          </w:tcPr>
          <w:p>
            <w:pPr>
              <w:jc w:val="center"/>
              <w:spacing w:after="0"/>
              <w:rPr>
                <w:sz w:val="20"/>
                <w:szCs w:val="20"/>
                <w:color w:val="auto"/>
              </w:rPr>
            </w:pPr>
            <w:r>
              <w:rPr>
                <w:rFonts w:ascii="Arial" w:cs="Arial" w:eastAsia="Arial" w:hAnsi="Arial"/>
                <w:sz w:val="22"/>
                <w:szCs w:val="22"/>
                <w:color w:val="auto"/>
                <w:w w:val="81"/>
              </w:rPr>
              <w:t>1</w:t>
            </w:r>
          </w:p>
        </w:tc>
      </w:tr>
      <w:tr>
        <w:trPr>
          <w:trHeight w:val="297"/>
        </w:trPr>
        <w:tc>
          <w:tcPr>
            <w:tcW w:w="1360" w:type="dxa"/>
            <w:vAlign w:val="bottom"/>
          </w:tcPr>
          <w:p>
            <w:pPr>
              <w:jc w:val="right"/>
              <w:ind w:right="212"/>
              <w:spacing w:after="0"/>
              <w:rPr>
                <w:sz w:val="20"/>
                <w:szCs w:val="20"/>
                <w:color w:val="auto"/>
              </w:rPr>
            </w:pPr>
            <w:r>
              <w:rPr>
                <w:rFonts w:ascii="Arial" w:cs="Arial" w:eastAsia="Arial" w:hAnsi="Arial"/>
                <w:sz w:val="22"/>
                <w:szCs w:val="22"/>
                <w:color w:val="auto"/>
              </w:rPr>
              <w:t>2.2</w:t>
            </w:r>
          </w:p>
        </w:tc>
        <w:tc>
          <w:tcPr>
            <w:tcW w:w="2880" w:type="dxa"/>
            <w:vAlign w:val="bottom"/>
            <w:gridSpan w:val="2"/>
          </w:tcPr>
          <w:p>
            <w:pPr>
              <w:ind w:left="280"/>
              <w:spacing w:after="0"/>
              <w:rPr>
                <w:sz w:val="20"/>
                <w:szCs w:val="20"/>
                <w:color w:val="auto"/>
              </w:rPr>
            </w:pPr>
            <w:r>
              <w:rPr>
                <w:rFonts w:ascii="Arial" w:cs="Arial" w:eastAsia="Arial" w:hAnsi="Arial"/>
                <w:sz w:val="11"/>
                <w:szCs w:val="11"/>
                <w:color w:val="auto"/>
                <w:w w:val="73"/>
              </w:rPr>
              <w:t>Duties........................................................................................................</w:t>
            </w:r>
          </w:p>
        </w:tc>
        <w:tc>
          <w:tcPr>
            <w:tcW w:w="23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Arial" w:cs="Arial" w:eastAsia="Arial" w:hAnsi="Arial"/>
                <w:sz w:val="22"/>
                <w:szCs w:val="22"/>
                <w:color w:val="auto"/>
                <w:w w:val="81"/>
              </w:rPr>
              <w:t>1</w:t>
            </w:r>
          </w:p>
        </w:tc>
      </w:tr>
      <w:tr>
        <w:trPr>
          <w:trHeight w:val="297"/>
        </w:trPr>
        <w:tc>
          <w:tcPr>
            <w:tcW w:w="1360" w:type="dxa"/>
            <w:vAlign w:val="bottom"/>
          </w:tcPr>
          <w:p>
            <w:pPr>
              <w:jc w:val="right"/>
              <w:ind w:right="212"/>
              <w:spacing w:after="0"/>
              <w:rPr>
                <w:sz w:val="20"/>
                <w:szCs w:val="20"/>
                <w:color w:val="auto"/>
              </w:rPr>
            </w:pPr>
            <w:r>
              <w:rPr>
                <w:rFonts w:ascii="Arial" w:cs="Arial" w:eastAsia="Arial" w:hAnsi="Arial"/>
                <w:sz w:val="22"/>
                <w:szCs w:val="22"/>
                <w:color w:val="auto"/>
              </w:rPr>
              <w:t>2.3</w:t>
            </w:r>
          </w:p>
        </w:tc>
        <w:tc>
          <w:tcPr>
            <w:tcW w:w="2880" w:type="dxa"/>
            <w:vAlign w:val="bottom"/>
            <w:gridSpan w:val="2"/>
          </w:tcPr>
          <w:p>
            <w:pPr>
              <w:ind w:left="280"/>
              <w:spacing w:after="0"/>
              <w:rPr>
                <w:sz w:val="20"/>
                <w:szCs w:val="20"/>
                <w:color w:val="auto"/>
              </w:rPr>
            </w:pPr>
            <w:r>
              <w:rPr>
                <w:rFonts w:ascii="Arial" w:cs="Arial" w:eastAsia="Arial" w:hAnsi="Arial"/>
                <w:sz w:val="11"/>
                <w:szCs w:val="11"/>
                <w:color w:val="auto"/>
                <w:w w:val="73"/>
              </w:rPr>
              <w:t>Agents........................................................................................................</w:t>
            </w:r>
          </w:p>
        </w:tc>
        <w:tc>
          <w:tcPr>
            <w:tcW w:w="23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Arial" w:cs="Arial" w:eastAsia="Arial" w:hAnsi="Arial"/>
                <w:sz w:val="22"/>
                <w:szCs w:val="22"/>
                <w:color w:val="auto"/>
                <w:w w:val="81"/>
              </w:rPr>
              <w:t>1</w:t>
            </w:r>
          </w:p>
        </w:tc>
      </w:tr>
      <w:tr>
        <w:trPr>
          <w:trHeight w:val="297"/>
        </w:trPr>
        <w:tc>
          <w:tcPr>
            <w:tcW w:w="1360" w:type="dxa"/>
            <w:vAlign w:val="bottom"/>
          </w:tcPr>
          <w:p>
            <w:pPr>
              <w:jc w:val="right"/>
              <w:ind w:right="212"/>
              <w:spacing w:after="0"/>
              <w:rPr>
                <w:sz w:val="20"/>
                <w:szCs w:val="20"/>
                <w:color w:val="auto"/>
              </w:rPr>
            </w:pPr>
            <w:r>
              <w:rPr>
                <w:rFonts w:ascii="Arial" w:cs="Arial" w:eastAsia="Arial" w:hAnsi="Arial"/>
                <w:sz w:val="22"/>
                <w:szCs w:val="22"/>
                <w:color w:val="auto"/>
              </w:rPr>
              <w:t>2.4</w:t>
            </w:r>
          </w:p>
        </w:tc>
        <w:tc>
          <w:tcPr>
            <w:tcW w:w="8580" w:type="dxa"/>
            <w:vAlign w:val="bottom"/>
            <w:gridSpan w:val="4"/>
          </w:tcPr>
          <w:p>
            <w:pPr>
              <w:ind w:left="280"/>
              <w:spacing w:after="0"/>
              <w:rPr>
                <w:sz w:val="20"/>
                <w:szCs w:val="20"/>
                <w:color w:val="auto"/>
              </w:rPr>
            </w:pPr>
            <w:r>
              <w:rPr>
                <w:rFonts w:ascii="Arial" w:cs="Arial" w:eastAsia="Arial" w:hAnsi="Arial"/>
                <w:sz w:val="22"/>
                <w:szCs w:val="22"/>
                <w:color w:val="auto"/>
              </w:rPr>
              <w:t>Binding Effect of Decisions......................................................................</w:t>
            </w:r>
          </w:p>
        </w:tc>
        <w:tc>
          <w:tcPr>
            <w:tcW w:w="460" w:type="dxa"/>
            <w:vAlign w:val="bottom"/>
          </w:tcPr>
          <w:p>
            <w:pPr>
              <w:jc w:val="center"/>
              <w:spacing w:after="0"/>
              <w:rPr>
                <w:sz w:val="20"/>
                <w:szCs w:val="20"/>
                <w:color w:val="auto"/>
              </w:rPr>
            </w:pPr>
            <w:r>
              <w:rPr>
                <w:rFonts w:ascii="Arial" w:cs="Arial" w:eastAsia="Arial" w:hAnsi="Arial"/>
                <w:sz w:val="22"/>
                <w:szCs w:val="22"/>
                <w:color w:val="auto"/>
                <w:w w:val="81"/>
              </w:rPr>
              <w:t>2</w:t>
            </w:r>
          </w:p>
        </w:tc>
      </w:tr>
      <w:tr>
        <w:trPr>
          <w:trHeight w:val="297"/>
        </w:trPr>
        <w:tc>
          <w:tcPr>
            <w:tcW w:w="1360" w:type="dxa"/>
            <w:vAlign w:val="bottom"/>
          </w:tcPr>
          <w:p>
            <w:pPr>
              <w:jc w:val="right"/>
              <w:ind w:right="212"/>
              <w:spacing w:after="0"/>
              <w:rPr>
                <w:sz w:val="20"/>
                <w:szCs w:val="20"/>
                <w:color w:val="auto"/>
              </w:rPr>
            </w:pPr>
            <w:r>
              <w:rPr>
                <w:rFonts w:ascii="Arial" w:cs="Arial" w:eastAsia="Arial" w:hAnsi="Arial"/>
                <w:sz w:val="22"/>
                <w:szCs w:val="22"/>
                <w:color w:val="auto"/>
              </w:rPr>
              <w:t>2.5</w:t>
            </w:r>
          </w:p>
        </w:tc>
        <w:tc>
          <w:tcPr>
            <w:tcW w:w="8580" w:type="dxa"/>
            <w:vAlign w:val="bottom"/>
            <w:gridSpan w:val="4"/>
          </w:tcPr>
          <w:p>
            <w:pPr>
              <w:ind w:left="280"/>
              <w:spacing w:after="0"/>
              <w:rPr>
                <w:sz w:val="20"/>
                <w:szCs w:val="20"/>
                <w:color w:val="auto"/>
              </w:rPr>
            </w:pPr>
            <w:r>
              <w:rPr>
                <w:rFonts w:ascii="Arial" w:cs="Arial" w:eastAsia="Arial" w:hAnsi="Arial"/>
                <w:sz w:val="22"/>
                <w:szCs w:val="22"/>
                <w:color w:val="auto"/>
              </w:rPr>
              <w:t>Company Information...............................................................................</w:t>
            </w:r>
          </w:p>
        </w:tc>
        <w:tc>
          <w:tcPr>
            <w:tcW w:w="460" w:type="dxa"/>
            <w:vAlign w:val="bottom"/>
          </w:tcPr>
          <w:p>
            <w:pPr>
              <w:jc w:val="center"/>
              <w:spacing w:after="0"/>
              <w:rPr>
                <w:sz w:val="20"/>
                <w:szCs w:val="20"/>
                <w:color w:val="auto"/>
              </w:rPr>
            </w:pPr>
            <w:r>
              <w:rPr>
                <w:rFonts w:ascii="Arial" w:cs="Arial" w:eastAsia="Arial" w:hAnsi="Arial"/>
                <w:sz w:val="22"/>
                <w:szCs w:val="22"/>
                <w:color w:val="auto"/>
                <w:w w:val="81"/>
              </w:rPr>
              <w:t>2</w:t>
            </w:r>
          </w:p>
        </w:tc>
      </w:tr>
      <w:tr>
        <w:trPr>
          <w:trHeight w:val="297"/>
        </w:trPr>
        <w:tc>
          <w:tcPr>
            <w:tcW w:w="1360" w:type="dxa"/>
            <w:vAlign w:val="bottom"/>
          </w:tcPr>
          <w:p>
            <w:pPr>
              <w:jc w:val="right"/>
              <w:ind w:right="192"/>
              <w:spacing w:after="0"/>
              <w:rPr>
                <w:sz w:val="20"/>
                <w:szCs w:val="20"/>
                <w:color w:val="auto"/>
              </w:rPr>
            </w:pPr>
            <w:r>
              <w:rPr>
                <w:rFonts w:ascii="Arial" w:cs="Arial" w:eastAsia="Arial" w:hAnsi="Arial"/>
                <w:sz w:val="22"/>
                <w:szCs w:val="22"/>
                <w:color w:val="auto"/>
                <w:w w:val="93"/>
              </w:rPr>
              <w:t>ARTICLE 3</w:t>
            </w:r>
          </w:p>
        </w:tc>
        <w:tc>
          <w:tcPr>
            <w:tcW w:w="1040" w:type="dxa"/>
            <w:vAlign w:val="bottom"/>
          </w:tcPr>
          <w:p>
            <w:pPr>
              <w:spacing w:after="0"/>
              <w:rPr>
                <w:sz w:val="24"/>
                <w:szCs w:val="24"/>
                <w:color w:val="auto"/>
              </w:rPr>
            </w:pPr>
          </w:p>
        </w:tc>
        <w:tc>
          <w:tcPr>
            <w:tcW w:w="7540" w:type="dxa"/>
            <w:vAlign w:val="bottom"/>
            <w:gridSpan w:val="3"/>
          </w:tcPr>
          <w:p>
            <w:pPr>
              <w:spacing w:after="0"/>
              <w:rPr>
                <w:sz w:val="20"/>
                <w:szCs w:val="20"/>
                <w:color w:val="auto"/>
              </w:rPr>
            </w:pPr>
            <w:r>
              <w:rPr>
                <w:rFonts w:ascii="Arial" w:cs="Arial" w:eastAsia="Arial" w:hAnsi="Arial"/>
                <w:sz w:val="22"/>
                <w:szCs w:val="22"/>
                <w:color w:val="auto"/>
              </w:rPr>
              <w:t>Participation...................................................................................</w:t>
            </w:r>
          </w:p>
        </w:tc>
        <w:tc>
          <w:tcPr>
            <w:tcW w:w="460" w:type="dxa"/>
            <w:vAlign w:val="bottom"/>
          </w:tcPr>
          <w:p>
            <w:pPr>
              <w:jc w:val="center"/>
              <w:spacing w:after="0"/>
              <w:rPr>
                <w:sz w:val="20"/>
                <w:szCs w:val="20"/>
                <w:color w:val="auto"/>
              </w:rPr>
            </w:pPr>
            <w:r>
              <w:rPr>
                <w:rFonts w:ascii="Arial" w:cs="Arial" w:eastAsia="Arial" w:hAnsi="Arial"/>
                <w:sz w:val="22"/>
                <w:szCs w:val="22"/>
                <w:color w:val="auto"/>
                <w:w w:val="81"/>
              </w:rPr>
              <w:t>2</w:t>
            </w:r>
          </w:p>
        </w:tc>
      </w:tr>
      <w:tr>
        <w:trPr>
          <w:trHeight w:val="297"/>
        </w:trPr>
        <w:tc>
          <w:tcPr>
            <w:tcW w:w="1360" w:type="dxa"/>
            <w:vAlign w:val="bottom"/>
          </w:tcPr>
          <w:p>
            <w:pPr>
              <w:jc w:val="right"/>
              <w:ind w:right="192"/>
              <w:spacing w:after="0"/>
              <w:rPr>
                <w:sz w:val="20"/>
                <w:szCs w:val="20"/>
                <w:color w:val="auto"/>
              </w:rPr>
            </w:pPr>
            <w:r>
              <w:rPr>
                <w:rFonts w:ascii="Arial" w:cs="Arial" w:eastAsia="Arial" w:hAnsi="Arial"/>
                <w:sz w:val="22"/>
                <w:szCs w:val="22"/>
                <w:color w:val="auto"/>
                <w:w w:val="93"/>
              </w:rPr>
              <w:t>ARTICLE 4</w:t>
            </w:r>
          </w:p>
        </w:tc>
        <w:tc>
          <w:tcPr>
            <w:tcW w:w="1040" w:type="dxa"/>
            <w:vAlign w:val="bottom"/>
          </w:tcPr>
          <w:p>
            <w:pPr>
              <w:spacing w:after="0"/>
              <w:rPr>
                <w:sz w:val="24"/>
                <w:szCs w:val="24"/>
                <w:color w:val="auto"/>
              </w:rPr>
            </w:pPr>
          </w:p>
        </w:tc>
        <w:tc>
          <w:tcPr>
            <w:tcW w:w="7540" w:type="dxa"/>
            <w:vAlign w:val="bottom"/>
            <w:gridSpan w:val="3"/>
          </w:tcPr>
          <w:p>
            <w:pPr>
              <w:spacing w:after="0"/>
              <w:rPr>
                <w:sz w:val="20"/>
                <w:szCs w:val="20"/>
                <w:color w:val="auto"/>
              </w:rPr>
            </w:pPr>
            <w:r>
              <w:rPr>
                <w:rFonts w:ascii="Arial" w:cs="Arial" w:eastAsia="Arial" w:hAnsi="Arial"/>
                <w:sz w:val="22"/>
                <w:szCs w:val="22"/>
                <w:color w:val="auto"/>
              </w:rPr>
              <w:t>Deferral Elections..........................................................................</w:t>
            </w:r>
          </w:p>
        </w:tc>
        <w:tc>
          <w:tcPr>
            <w:tcW w:w="460" w:type="dxa"/>
            <w:vAlign w:val="bottom"/>
          </w:tcPr>
          <w:p>
            <w:pPr>
              <w:jc w:val="center"/>
              <w:spacing w:after="0"/>
              <w:rPr>
                <w:sz w:val="20"/>
                <w:szCs w:val="20"/>
                <w:color w:val="auto"/>
              </w:rPr>
            </w:pPr>
            <w:r>
              <w:rPr>
                <w:rFonts w:ascii="Arial" w:cs="Arial" w:eastAsia="Arial" w:hAnsi="Arial"/>
                <w:sz w:val="22"/>
                <w:szCs w:val="22"/>
                <w:color w:val="auto"/>
                <w:w w:val="81"/>
              </w:rPr>
              <w:t>2</w:t>
            </w:r>
          </w:p>
        </w:tc>
      </w:tr>
      <w:tr>
        <w:trPr>
          <w:trHeight w:val="297"/>
        </w:trPr>
        <w:tc>
          <w:tcPr>
            <w:tcW w:w="1360" w:type="dxa"/>
            <w:vAlign w:val="bottom"/>
          </w:tcPr>
          <w:p>
            <w:pPr>
              <w:jc w:val="right"/>
              <w:ind w:right="212"/>
              <w:spacing w:after="0"/>
              <w:rPr>
                <w:sz w:val="20"/>
                <w:szCs w:val="20"/>
                <w:color w:val="auto"/>
              </w:rPr>
            </w:pPr>
            <w:r>
              <w:rPr>
                <w:rFonts w:ascii="Arial" w:cs="Arial" w:eastAsia="Arial" w:hAnsi="Arial"/>
                <w:sz w:val="22"/>
                <w:szCs w:val="22"/>
                <w:color w:val="auto"/>
              </w:rPr>
              <w:t>4.1</w:t>
            </w:r>
          </w:p>
        </w:tc>
        <w:tc>
          <w:tcPr>
            <w:tcW w:w="8580" w:type="dxa"/>
            <w:vAlign w:val="bottom"/>
            <w:gridSpan w:val="4"/>
          </w:tcPr>
          <w:p>
            <w:pPr>
              <w:ind w:left="280"/>
              <w:spacing w:after="0"/>
              <w:rPr>
                <w:sz w:val="20"/>
                <w:szCs w:val="20"/>
                <w:color w:val="auto"/>
              </w:rPr>
            </w:pPr>
            <w:r>
              <w:rPr>
                <w:rFonts w:ascii="Arial" w:cs="Arial" w:eastAsia="Arial" w:hAnsi="Arial"/>
                <w:sz w:val="22"/>
                <w:szCs w:val="22"/>
                <w:color w:val="auto"/>
              </w:rPr>
              <w:t>Annual Deferral Election..........................................................................</w:t>
            </w:r>
          </w:p>
        </w:tc>
        <w:tc>
          <w:tcPr>
            <w:tcW w:w="460" w:type="dxa"/>
            <w:vAlign w:val="bottom"/>
          </w:tcPr>
          <w:p>
            <w:pPr>
              <w:jc w:val="center"/>
              <w:spacing w:after="0"/>
              <w:rPr>
                <w:sz w:val="20"/>
                <w:szCs w:val="20"/>
                <w:color w:val="auto"/>
              </w:rPr>
            </w:pPr>
            <w:r>
              <w:rPr>
                <w:rFonts w:ascii="Arial" w:cs="Arial" w:eastAsia="Arial" w:hAnsi="Arial"/>
                <w:sz w:val="22"/>
                <w:szCs w:val="22"/>
                <w:color w:val="auto"/>
                <w:w w:val="81"/>
              </w:rPr>
              <w:t>2</w:t>
            </w:r>
          </w:p>
        </w:tc>
      </w:tr>
      <w:tr>
        <w:trPr>
          <w:trHeight w:val="297"/>
        </w:trPr>
        <w:tc>
          <w:tcPr>
            <w:tcW w:w="1360" w:type="dxa"/>
            <w:vAlign w:val="bottom"/>
          </w:tcPr>
          <w:p>
            <w:pPr>
              <w:jc w:val="right"/>
              <w:ind w:right="212"/>
              <w:spacing w:after="0"/>
              <w:rPr>
                <w:sz w:val="20"/>
                <w:szCs w:val="20"/>
                <w:color w:val="auto"/>
              </w:rPr>
            </w:pPr>
            <w:r>
              <w:rPr>
                <w:rFonts w:ascii="Arial" w:cs="Arial" w:eastAsia="Arial" w:hAnsi="Arial"/>
                <w:sz w:val="22"/>
                <w:szCs w:val="22"/>
                <w:color w:val="auto"/>
              </w:rPr>
              <w:t>4.2</w:t>
            </w:r>
          </w:p>
        </w:tc>
        <w:tc>
          <w:tcPr>
            <w:tcW w:w="8580" w:type="dxa"/>
            <w:vAlign w:val="bottom"/>
            <w:gridSpan w:val="4"/>
          </w:tcPr>
          <w:p>
            <w:pPr>
              <w:ind w:left="280"/>
              <w:spacing w:after="0"/>
              <w:rPr>
                <w:sz w:val="20"/>
                <w:szCs w:val="20"/>
                <w:color w:val="auto"/>
              </w:rPr>
            </w:pPr>
            <w:r>
              <w:rPr>
                <w:rFonts w:ascii="Arial" w:cs="Arial" w:eastAsia="Arial" w:hAnsi="Arial"/>
                <w:sz w:val="22"/>
                <w:szCs w:val="22"/>
                <w:color w:val="auto"/>
              </w:rPr>
              <w:t>Initial Deferral Election.............................................................................</w:t>
            </w:r>
          </w:p>
        </w:tc>
        <w:tc>
          <w:tcPr>
            <w:tcW w:w="460" w:type="dxa"/>
            <w:vAlign w:val="bottom"/>
          </w:tcPr>
          <w:p>
            <w:pPr>
              <w:jc w:val="center"/>
              <w:spacing w:after="0"/>
              <w:rPr>
                <w:sz w:val="20"/>
                <w:szCs w:val="20"/>
                <w:color w:val="auto"/>
              </w:rPr>
            </w:pPr>
            <w:r>
              <w:rPr>
                <w:rFonts w:ascii="Arial" w:cs="Arial" w:eastAsia="Arial" w:hAnsi="Arial"/>
                <w:sz w:val="22"/>
                <w:szCs w:val="22"/>
                <w:color w:val="auto"/>
                <w:w w:val="81"/>
              </w:rPr>
              <w:t>2</w:t>
            </w:r>
          </w:p>
        </w:tc>
      </w:tr>
      <w:tr>
        <w:trPr>
          <w:trHeight w:val="297"/>
        </w:trPr>
        <w:tc>
          <w:tcPr>
            <w:tcW w:w="1360" w:type="dxa"/>
            <w:vAlign w:val="bottom"/>
          </w:tcPr>
          <w:p>
            <w:pPr>
              <w:jc w:val="right"/>
              <w:ind w:right="212"/>
              <w:spacing w:after="0"/>
              <w:rPr>
                <w:sz w:val="20"/>
                <w:szCs w:val="20"/>
                <w:color w:val="auto"/>
              </w:rPr>
            </w:pPr>
            <w:r>
              <w:rPr>
                <w:rFonts w:ascii="Arial" w:cs="Arial" w:eastAsia="Arial" w:hAnsi="Arial"/>
                <w:sz w:val="22"/>
                <w:szCs w:val="22"/>
                <w:color w:val="auto"/>
              </w:rPr>
              <w:t>4.3</w:t>
            </w:r>
          </w:p>
        </w:tc>
        <w:tc>
          <w:tcPr>
            <w:tcW w:w="8580" w:type="dxa"/>
            <w:vAlign w:val="bottom"/>
            <w:gridSpan w:val="4"/>
          </w:tcPr>
          <w:p>
            <w:pPr>
              <w:ind w:left="280"/>
              <w:spacing w:after="0"/>
              <w:rPr>
                <w:sz w:val="20"/>
                <w:szCs w:val="20"/>
                <w:color w:val="auto"/>
              </w:rPr>
            </w:pPr>
            <w:r>
              <w:rPr>
                <w:rFonts w:ascii="Arial" w:cs="Arial" w:eastAsia="Arial" w:hAnsi="Arial"/>
                <w:sz w:val="22"/>
                <w:szCs w:val="22"/>
                <w:color w:val="auto"/>
              </w:rPr>
              <w:t>Cancellations of Deferral Elections due to Unforeseeable Emergency.....</w:t>
            </w:r>
          </w:p>
        </w:tc>
        <w:tc>
          <w:tcPr>
            <w:tcW w:w="460" w:type="dxa"/>
            <w:vAlign w:val="bottom"/>
          </w:tcPr>
          <w:p>
            <w:pPr>
              <w:jc w:val="center"/>
              <w:spacing w:after="0"/>
              <w:rPr>
                <w:sz w:val="20"/>
                <w:szCs w:val="20"/>
                <w:color w:val="auto"/>
              </w:rPr>
            </w:pPr>
            <w:r>
              <w:rPr>
                <w:rFonts w:ascii="Arial" w:cs="Arial" w:eastAsia="Arial" w:hAnsi="Arial"/>
                <w:sz w:val="22"/>
                <w:szCs w:val="22"/>
                <w:color w:val="auto"/>
                <w:w w:val="81"/>
              </w:rPr>
              <w:t>3</w:t>
            </w:r>
          </w:p>
        </w:tc>
      </w:tr>
      <w:tr>
        <w:trPr>
          <w:trHeight w:val="297"/>
        </w:trPr>
        <w:tc>
          <w:tcPr>
            <w:tcW w:w="1360" w:type="dxa"/>
            <w:vAlign w:val="bottom"/>
          </w:tcPr>
          <w:p>
            <w:pPr>
              <w:jc w:val="right"/>
              <w:ind w:right="192"/>
              <w:spacing w:after="0"/>
              <w:rPr>
                <w:sz w:val="20"/>
                <w:szCs w:val="20"/>
                <w:color w:val="auto"/>
              </w:rPr>
            </w:pPr>
            <w:r>
              <w:rPr>
                <w:rFonts w:ascii="Arial" w:cs="Arial" w:eastAsia="Arial" w:hAnsi="Arial"/>
                <w:sz w:val="22"/>
                <w:szCs w:val="22"/>
                <w:color w:val="auto"/>
                <w:w w:val="93"/>
              </w:rPr>
              <w:t>ARTICLE 5</w:t>
            </w:r>
          </w:p>
        </w:tc>
        <w:tc>
          <w:tcPr>
            <w:tcW w:w="1040" w:type="dxa"/>
            <w:vAlign w:val="bottom"/>
          </w:tcPr>
          <w:p>
            <w:pPr>
              <w:spacing w:after="0"/>
              <w:rPr>
                <w:sz w:val="24"/>
                <w:szCs w:val="24"/>
                <w:color w:val="auto"/>
              </w:rPr>
            </w:pPr>
          </w:p>
        </w:tc>
        <w:tc>
          <w:tcPr>
            <w:tcW w:w="7540" w:type="dxa"/>
            <w:vAlign w:val="bottom"/>
            <w:gridSpan w:val="3"/>
          </w:tcPr>
          <w:p>
            <w:pPr>
              <w:spacing w:after="0"/>
              <w:rPr>
                <w:sz w:val="20"/>
                <w:szCs w:val="20"/>
                <w:color w:val="auto"/>
              </w:rPr>
            </w:pPr>
            <w:r>
              <w:rPr>
                <w:rFonts w:ascii="Arial" w:cs="Arial" w:eastAsia="Arial" w:hAnsi="Arial"/>
                <w:sz w:val="22"/>
                <w:szCs w:val="22"/>
                <w:color w:val="auto"/>
              </w:rPr>
              <w:t>Accounts........................................................................................</w:t>
            </w:r>
          </w:p>
        </w:tc>
        <w:tc>
          <w:tcPr>
            <w:tcW w:w="460" w:type="dxa"/>
            <w:vAlign w:val="bottom"/>
          </w:tcPr>
          <w:p>
            <w:pPr>
              <w:jc w:val="center"/>
              <w:spacing w:after="0"/>
              <w:rPr>
                <w:sz w:val="20"/>
                <w:szCs w:val="20"/>
                <w:color w:val="auto"/>
              </w:rPr>
            </w:pPr>
            <w:r>
              <w:rPr>
                <w:rFonts w:ascii="Arial" w:cs="Arial" w:eastAsia="Arial" w:hAnsi="Arial"/>
                <w:sz w:val="22"/>
                <w:szCs w:val="22"/>
                <w:color w:val="auto"/>
                <w:w w:val="81"/>
              </w:rPr>
              <w:t>3</w:t>
            </w:r>
          </w:p>
        </w:tc>
      </w:tr>
      <w:tr>
        <w:trPr>
          <w:trHeight w:val="297"/>
        </w:trPr>
        <w:tc>
          <w:tcPr>
            <w:tcW w:w="1360" w:type="dxa"/>
            <w:vAlign w:val="bottom"/>
          </w:tcPr>
          <w:p>
            <w:pPr>
              <w:jc w:val="right"/>
              <w:ind w:right="212"/>
              <w:spacing w:after="0"/>
              <w:rPr>
                <w:sz w:val="20"/>
                <w:szCs w:val="20"/>
                <w:color w:val="auto"/>
              </w:rPr>
            </w:pPr>
            <w:r>
              <w:rPr>
                <w:rFonts w:ascii="Arial" w:cs="Arial" w:eastAsia="Arial" w:hAnsi="Arial"/>
                <w:sz w:val="22"/>
                <w:szCs w:val="22"/>
                <w:color w:val="auto"/>
              </w:rPr>
              <w:t>5.1</w:t>
            </w:r>
          </w:p>
        </w:tc>
        <w:tc>
          <w:tcPr>
            <w:tcW w:w="8580" w:type="dxa"/>
            <w:vAlign w:val="bottom"/>
            <w:gridSpan w:val="4"/>
          </w:tcPr>
          <w:p>
            <w:pPr>
              <w:ind w:left="280"/>
              <w:spacing w:after="0"/>
              <w:rPr>
                <w:sz w:val="20"/>
                <w:szCs w:val="20"/>
                <w:color w:val="auto"/>
              </w:rPr>
            </w:pPr>
            <w:r>
              <w:rPr>
                <w:rFonts w:ascii="Arial" w:cs="Arial" w:eastAsia="Arial" w:hAnsi="Arial"/>
                <w:sz w:val="22"/>
                <w:szCs w:val="22"/>
                <w:color w:val="auto"/>
              </w:rPr>
              <w:t>Accounts...................................................................................................</w:t>
            </w:r>
          </w:p>
        </w:tc>
        <w:tc>
          <w:tcPr>
            <w:tcW w:w="460" w:type="dxa"/>
            <w:vAlign w:val="bottom"/>
          </w:tcPr>
          <w:p>
            <w:pPr>
              <w:jc w:val="center"/>
              <w:spacing w:after="0"/>
              <w:rPr>
                <w:sz w:val="20"/>
                <w:szCs w:val="20"/>
                <w:color w:val="auto"/>
              </w:rPr>
            </w:pPr>
            <w:r>
              <w:rPr>
                <w:rFonts w:ascii="Arial" w:cs="Arial" w:eastAsia="Arial" w:hAnsi="Arial"/>
                <w:sz w:val="22"/>
                <w:szCs w:val="22"/>
                <w:color w:val="auto"/>
                <w:w w:val="81"/>
              </w:rPr>
              <w:t>3</w:t>
            </w:r>
          </w:p>
        </w:tc>
      </w:tr>
      <w:tr>
        <w:trPr>
          <w:trHeight w:val="297"/>
        </w:trPr>
        <w:tc>
          <w:tcPr>
            <w:tcW w:w="1360" w:type="dxa"/>
            <w:vAlign w:val="bottom"/>
          </w:tcPr>
          <w:p>
            <w:pPr>
              <w:jc w:val="right"/>
              <w:ind w:right="212"/>
              <w:spacing w:after="0"/>
              <w:rPr>
                <w:sz w:val="20"/>
                <w:szCs w:val="20"/>
                <w:color w:val="auto"/>
              </w:rPr>
            </w:pPr>
            <w:r>
              <w:rPr>
                <w:rFonts w:ascii="Arial" w:cs="Arial" w:eastAsia="Arial" w:hAnsi="Arial"/>
                <w:sz w:val="22"/>
                <w:szCs w:val="22"/>
                <w:color w:val="auto"/>
              </w:rPr>
              <w:t>5.2</w:t>
            </w:r>
          </w:p>
        </w:tc>
        <w:tc>
          <w:tcPr>
            <w:tcW w:w="8580" w:type="dxa"/>
            <w:vAlign w:val="bottom"/>
            <w:gridSpan w:val="4"/>
          </w:tcPr>
          <w:p>
            <w:pPr>
              <w:ind w:left="280"/>
              <w:spacing w:after="0"/>
              <w:rPr>
                <w:sz w:val="20"/>
                <w:szCs w:val="20"/>
                <w:color w:val="auto"/>
              </w:rPr>
            </w:pPr>
            <w:r>
              <w:rPr>
                <w:rFonts w:ascii="Arial" w:cs="Arial" w:eastAsia="Arial" w:hAnsi="Arial"/>
                <w:sz w:val="22"/>
                <w:szCs w:val="22"/>
                <w:color w:val="auto"/>
              </w:rPr>
              <w:t>Cash Account.............................................................................................</w:t>
            </w:r>
          </w:p>
        </w:tc>
        <w:tc>
          <w:tcPr>
            <w:tcW w:w="460" w:type="dxa"/>
            <w:vAlign w:val="bottom"/>
          </w:tcPr>
          <w:p>
            <w:pPr>
              <w:jc w:val="center"/>
              <w:spacing w:after="0"/>
              <w:rPr>
                <w:sz w:val="20"/>
                <w:szCs w:val="20"/>
                <w:color w:val="auto"/>
              </w:rPr>
            </w:pPr>
            <w:r>
              <w:rPr>
                <w:rFonts w:ascii="Arial" w:cs="Arial" w:eastAsia="Arial" w:hAnsi="Arial"/>
                <w:sz w:val="22"/>
                <w:szCs w:val="22"/>
                <w:color w:val="auto"/>
                <w:w w:val="81"/>
              </w:rPr>
              <w:t>3</w:t>
            </w:r>
          </w:p>
        </w:tc>
      </w:tr>
      <w:tr>
        <w:trPr>
          <w:trHeight w:val="297"/>
        </w:trPr>
        <w:tc>
          <w:tcPr>
            <w:tcW w:w="1360" w:type="dxa"/>
            <w:vAlign w:val="bottom"/>
          </w:tcPr>
          <w:p>
            <w:pPr>
              <w:spacing w:after="0"/>
              <w:rPr>
                <w:sz w:val="24"/>
                <w:szCs w:val="24"/>
                <w:color w:val="auto"/>
              </w:rPr>
            </w:pPr>
          </w:p>
        </w:tc>
        <w:tc>
          <w:tcPr>
            <w:tcW w:w="1040" w:type="dxa"/>
            <w:vAlign w:val="bottom"/>
          </w:tcPr>
          <w:p>
            <w:pPr>
              <w:ind w:left="280"/>
              <w:spacing w:after="0"/>
              <w:rPr>
                <w:sz w:val="20"/>
                <w:szCs w:val="20"/>
                <w:color w:val="auto"/>
              </w:rPr>
            </w:pPr>
            <w:r>
              <w:rPr>
                <w:rFonts w:ascii="Arial" w:cs="Arial" w:eastAsia="Arial" w:hAnsi="Arial"/>
                <w:sz w:val="22"/>
                <w:szCs w:val="22"/>
                <w:color w:val="auto"/>
              </w:rPr>
              <w:t>5.2.1</w:t>
            </w:r>
          </w:p>
        </w:tc>
        <w:tc>
          <w:tcPr>
            <w:tcW w:w="7540" w:type="dxa"/>
            <w:vAlign w:val="bottom"/>
            <w:gridSpan w:val="3"/>
          </w:tcPr>
          <w:p>
            <w:pPr>
              <w:ind w:left="220"/>
              <w:spacing w:after="0"/>
              <w:rPr>
                <w:sz w:val="20"/>
                <w:szCs w:val="20"/>
                <w:color w:val="auto"/>
              </w:rPr>
            </w:pPr>
            <w:r>
              <w:rPr>
                <w:rFonts w:ascii="Arial" w:cs="Arial" w:eastAsia="Arial" w:hAnsi="Arial"/>
                <w:sz w:val="22"/>
                <w:szCs w:val="22"/>
                <w:color w:val="auto"/>
              </w:rPr>
              <w:t>Establishment of Cash Account...................................................</w:t>
            </w:r>
          </w:p>
        </w:tc>
        <w:tc>
          <w:tcPr>
            <w:tcW w:w="460" w:type="dxa"/>
            <w:vAlign w:val="bottom"/>
          </w:tcPr>
          <w:p>
            <w:pPr>
              <w:jc w:val="center"/>
              <w:spacing w:after="0"/>
              <w:rPr>
                <w:sz w:val="20"/>
                <w:szCs w:val="20"/>
                <w:color w:val="auto"/>
              </w:rPr>
            </w:pPr>
            <w:r>
              <w:rPr>
                <w:rFonts w:ascii="Arial" w:cs="Arial" w:eastAsia="Arial" w:hAnsi="Arial"/>
                <w:sz w:val="22"/>
                <w:szCs w:val="22"/>
                <w:color w:val="auto"/>
                <w:w w:val="81"/>
              </w:rPr>
              <w:t>3</w:t>
            </w:r>
          </w:p>
        </w:tc>
      </w:tr>
      <w:tr>
        <w:trPr>
          <w:trHeight w:val="297"/>
        </w:trPr>
        <w:tc>
          <w:tcPr>
            <w:tcW w:w="1360" w:type="dxa"/>
            <w:vAlign w:val="bottom"/>
          </w:tcPr>
          <w:p>
            <w:pPr>
              <w:spacing w:after="0"/>
              <w:rPr>
                <w:sz w:val="24"/>
                <w:szCs w:val="24"/>
                <w:color w:val="auto"/>
              </w:rPr>
            </w:pPr>
          </w:p>
        </w:tc>
        <w:tc>
          <w:tcPr>
            <w:tcW w:w="1040" w:type="dxa"/>
            <w:vAlign w:val="bottom"/>
          </w:tcPr>
          <w:p>
            <w:pPr>
              <w:ind w:left="280"/>
              <w:spacing w:after="0"/>
              <w:rPr>
                <w:sz w:val="20"/>
                <w:szCs w:val="20"/>
                <w:color w:val="auto"/>
              </w:rPr>
            </w:pPr>
            <w:r>
              <w:rPr>
                <w:rFonts w:ascii="Arial" w:cs="Arial" w:eastAsia="Arial" w:hAnsi="Arial"/>
                <w:sz w:val="22"/>
                <w:szCs w:val="22"/>
                <w:color w:val="auto"/>
              </w:rPr>
              <w:t>5.2.2</w:t>
            </w:r>
          </w:p>
        </w:tc>
        <w:tc>
          <w:tcPr>
            <w:tcW w:w="7540" w:type="dxa"/>
            <w:vAlign w:val="bottom"/>
            <w:gridSpan w:val="3"/>
          </w:tcPr>
          <w:p>
            <w:pPr>
              <w:ind w:left="220"/>
              <w:spacing w:after="0"/>
              <w:rPr>
                <w:sz w:val="20"/>
                <w:szCs w:val="20"/>
                <w:color w:val="auto"/>
              </w:rPr>
            </w:pPr>
            <w:r>
              <w:rPr>
                <w:rFonts w:ascii="Arial" w:cs="Arial" w:eastAsia="Arial" w:hAnsi="Arial"/>
                <w:sz w:val="22"/>
                <w:szCs w:val="22"/>
                <w:color w:val="auto"/>
              </w:rPr>
              <w:t>Timing of Credits to Cash Accounts...........................................</w:t>
            </w:r>
          </w:p>
        </w:tc>
        <w:tc>
          <w:tcPr>
            <w:tcW w:w="460" w:type="dxa"/>
            <w:vAlign w:val="bottom"/>
          </w:tcPr>
          <w:p>
            <w:pPr>
              <w:jc w:val="center"/>
              <w:spacing w:after="0"/>
              <w:rPr>
                <w:sz w:val="20"/>
                <w:szCs w:val="20"/>
                <w:color w:val="auto"/>
              </w:rPr>
            </w:pPr>
            <w:r>
              <w:rPr>
                <w:rFonts w:ascii="Arial" w:cs="Arial" w:eastAsia="Arial" w:hAnsi="Arial"/>
                <w:sz w:val="22"/>
                <w:szCs w:val="22"/>
                <w:color w:val="auto"/>
                <w:w w:val="81"/>
              </w:rPr>
              <w:t>3</w:t>
            </w:r>
          </w:p>
        </w:tc>
      </w:tr>
      <w:tr>
        <w:trPr>
          <w:trHeight w:val="297"/>
        </w:trPr>
        <w:tc>
          <w:tcPr>
            <w:tcW w:w="1360" w:type="dxa"/>
            <w:vAlign w:val="bottom"/>
          </w:tcPr>
          <w:p>
            <w:pPr>
              <w:spacing w:after="0"/>
              <w:rPr>
                <w:sz w:val="24"/>
                <w:szCs w:val="24"/>
                <w:color w:val="auto"/>
              </w:rPr>
            </w:pPr>
          </w:p>
        </w:tc>
        <w:tc>
          <w:tcPr>
            <w:tcW w:w="1040" w:type="dxa"/>
            <w:vAlign w:val="bottom"/>
          </w:tcPr>
          <w:p>
            <w:pPr>
              <w:ind w:left="280"/>
              <w:spacing w:after="0"/>
              <w:rPr>
                <w:sz w:val="20"/>
                <w:szCs w:val="20"/>
                <w:color w:val="auto"/>
              </w:rPr>
            </w:pPr>
            <w:r>
              <w:rPr>
                <w:rFonts w:ascii="Arial" w:cs="Arial" w:eastAsia="Arial" w:hAnsi="Arial"/>
                <w:sz w:val="22"/>
                <w:szCs w:val="22"/>
                <w:color w:val="auto"/>
              </w:rPr>
              <w:t>5.2.3</w:t>
            </w:r>
          </w:p>
        </w:tc>
        <w:tc>
          <w:tcPr>
            <w:tcW w:w="7540" w:type="dxa"/>
            <w:vAlign w:val="bottom"/>
            <w:gridSpan w:val="3"/>
          </w:tcPr>
          <w:p>
            <w:pPr>
              <w:ind w:left="220"/>
              <w:spacing w:after="0"/>
              <w:rPr>
                <w:sz w:val="20"/>
                <w:szCs w:val="20"/>
                <w:color w:val="auto"/>
              </w:rPr>
            </w:pPr>
            <w:r>
              <w:rPr>
                <w:rFonts w:ascii="Arial" w:cs="Arial" w:eastAsia="Arial" w:hAnsi="Arial"/>
                <w:sz w:val="22"/>
                <w:szCs w:val="22"/>
                <w:color w:val="auto"/>
              </w:rPr>
              <w:t>Investments..................................................................................</w:t>
            </w:r>
          </w:p>
        </w:tc>
        <w:tc>
          <w:tcPr>
            <w:tcW w:w="460" w:type="dxa"/>
            <w:vAlign w:val="bottom"/>
          </w:tcPr>
          <w:p>
            <w:pPr>
              <w:jc w:val="center"/>
              <w:spacing w:after="0"/>
              <w:rPr>
                <w:sz w:val="20"/>
                <w:szCs w:val="20"/>
                <w:color w:val="auto"/>
              </w:rPr>
            </w:pPr>
            <w:r>
              <w:rPr>
                <w:rFonts w:ascii="Arial" w:cs="Arial" w:eastAsia="Arial" w:hAnsi="Arial"/>
                <w:sz w:val="22"/>
                <w:szCs w:val="22"/>
                <w:color w:val="auto"/>
                <w:w w:val="81"/>
              </w:rPr>
              <w:t>3</w:t>
            </w:r>
          </w:p>
        </w:tc>
      </w:tr>
      <w:tr>
        <w:trPr>
          <w:trHeight w:val="297"/>
        </w:trPr>
        <w:tc>
          <w:tcPr>
            <w:tcW w:w="1360" w:type="dxa"/>
            <w:vAlign w:val="bottom"/>
          </w:tcPr>
          <w:p>
            <w:pPr>
              <w:spacing w:after="0"/>
              <w:rPr>
                <w:sz w:val="24"/>
                <w:szCs w:val="24"/>
                <w:color w:val="auto"/>
              </w:rPr>
            </w:pPr>
          </w:p>
        </w:tc>
        <w:tc>
          <w:tcPr>
            <w:tcW w:w="1040" w:type="dxa"/>
            <w:vAlign w:val="bottom"/>
          </w:tcPr>
          <w:p>
            <w:pPr>
              <w:ind w:left="280"/>
              <w:spacing w:after="0"/>
              <w:rPr>
                <w:sz w:val="20"/>
                <w:szCs w:val="20"/>
                <w:color w:val="auto"/>
              </w:rPr>
            </w:pPr>
            <w:r>
              <w:rPr>
                <w:rFonts w:ascii="Arial" w:cs="Arial" w:eastAsia="Arial" w:hAnsi="Arial"/>
                <w:sz w:val="22"/>
                <w:szCs w:val="22"/>
                <w:color w:val="auto"/>
              </w:rPr>
              <w:t>5.2.4</w:t>
            </w:r>
          </w:p>
        </w:tc>
        <w:tc>
          <w:tcPr>
            <w:tcW w:w="7540" w:type="dxa"/>
            <w:vAlign w:val="bottom"/>
            <w:gridSpan w:val="3"/>
          </w:tcPr>
          <w:p>
            <w:pPr>
              <w:ind w:left="220"/>
              <w:spacing w:after="0"/>
              <w:rPr>
                <w:sz w:val="20"/>
                <w:szCs w:val="20"/>
                <w:color w:val="auto"/>
              </w:rPr>
            </w:pPr>
            <w:r>
              <w:rPr>
                <w:rFonts w:ascii="Arial" w:cs="Arial" w:eastAsia="Arial" w:hAnsi="Arial"/>
                <w:sz w:val="22"/>
                <w:szCs w:val="22"/>
                <w:color w:val="auto"/>
              </w:rPr>
              <w:t>Valuation Date.............................................................................</w:t>
            </w:r>
          </w:p>
        </w:tc>
        <w:tc>
          <w:tcPr>
            <w:tcW w:w="460" w:type="dxa"/>
            <w:vAlign w:val="bottom"/>
          </w:tcPr>
          <w:p>
            <w:pPr>
              <w:jc w:val="center"/>
              <w:spacing w:after="0"/>
              <w:rPr>
                <w:sz w:val="20"/>
                <w:szCs w:val="20"/>
                <w:color w:val="auto"/>
              </w:rPr>
            </w:pPr>
            <w:r>
              <w:rPr>
                <w:rFonts w:ascii="Arial" w:cs="Arial" w:eastAsia="Arial" w:hAnsi="Arial"/>
                <w:sz w:val="22"/>
                <w:szCs w:val="22"/>
                <w:color w:val="auto"/>
                <w:w w:val="81"/>
              </w:rPr>
              <w:t>4</w:t>
            </w:r>
          </w:p>
        </w:tc>
      </w:tr>
      <w:tr>
        <w:trPr>
          <w:trHeight w:val="297"/>
        </w:trPr>
        <w:tc>
          <w:tcPr>
            <w:tcW w:w="1360" w:type="dxa"/>
            <w:vAlign w:val="bottom"/>
          </w:tcPr>
          <w:p>
            <w:pPr>
              <w:jc w:val="right"/>
              <w:ind w:right="212"/>
              <w:spacing w:after="0"/>
              <w:rPr>
                <w:sz w:val="20"/>
                <w:szCs w:val="20"/>
                <w:color w:val="auto"/>
              </w:rPr>
            </w:pPr>
            <w:r>
              <w:rPr>
                <w:rFonts w:ascii="Arial" w:cs="Arial" w:eastAsia="Arial" w:hAnsi="Arial"/>
                <w:sz w:val="22"/>
                <w:szCs w:val="22"/>
                <w:color w:val="auto"/>
              </w:rPr>
              <w:t>5.3</w:t>
            </w:r>
          </w:p>
        </w:tc>
        <w:tc>
          <w:tcPr>
            <w:tcW w:w="8580" w:type="dxa"/>
            <w:vAlign w:val="bottom"/>
            <w:gridSpan w:val="4"/>
          </w:tcPr>
          <w:p>
            <w:pPr>
              <w:ind w:left="280"/>
              <w:spacing w:after="0"/>
              <w:rPr>
                <w:sz w:val="20"/>
                <w:szCs w:val="20"/>
                <w:color w:val="auto"/>
              </w:rPr>
            </w:pPr>
            <w:r>
              <w:rPr>
                <w:rFonts w:ascii="Arial" w:cs="Arial" w:eastAsia="Arial" w:hAnsi="Arial"/>
                <w:sz w:val="22"/>
                <w:szCs w:val="22"/>
                <w:color w:val="auto"/>
              </w:rPr>
              <w:t>Stock Account...........................................................................................</w:t>
            </w:r>
          </w:p>
        </w:tc>
        <w:tc>
          <w:tcPr>
            <w:tcW w:w="460" w:type="dxa"/>
            <w:vAlign w:val="bottom"/>
          </w:tcPr>
          <w:p>
            <w:pPr>
              <w:jc w:val="center"/>
              <w:spacing w:after="0"/>
              <w:rPr>
                <w:sz w:val="20"/>
                <w:szCs w:val="20"/>
                <w:color w:val="auto"/>
              </w:rPr>
            </w:pPr>
            <w:r>
              <w:rPr>
                <w:rFonts w:ascii="Arial" w:cs="Arial" w:eastAsia="Arial" w:hAnsi="Arial"/>
                <w:sz w:val="22"/>
                <w:szCs w:val="22"/>
                <w:color w:val="auto"/>
                <w:w w:val="81"/>
              </w:rPr>
              <w:t>4</w:t>
            </w:r>
          </w:p>
        </w:tc>
      </w:tr>
      <w:tr>
        <w:trPr>
          <w:trHeight w:val="297"/>
        </w:trPr>
        <w:tc>
          <w:tcPr>
            <w:tcW w:w="1360" w:type="dxa"/>
            <w:vAlign w:val="bottom"/>
          </w:tcPr>
          <w:p>
            <w:pPr>
              <w:spacing w:after="0"/>
              <w:rPr>
                <w:sz w:val="24"/>
                <w:szCs w:val="24"/>
                <w:color w:val="auto"/>
              </w:rPr>
            </w:pPr>
          </w:p>
        </w:tc>
        <w:tc>
          <w:tcPr>
            <w:tcW w:w="1040" w:type="dxa"/>
            <w:vAlign w:val="bottom"/>
          </w:tcPr>
          <w:p>
            <w:pPr>
              <w:ind w:left="280"/>
              <w:spacing w:after="0"/>
              <w:rPr>
                <w:sz w:val="20"/>
                <w:szCs w:val="20"/>
                <w:color w:val="auto"/>
              </w:rPr>
            </w:pPr>
            <w:r>
              <w:rPr>
                <w:rFonts w:ascii="Arial" w:cs="Arial" w:eastAsia="Arial" w:hAnsi="Arial"/>
                <w:sz w:val="22"/>
                <w:szCs w:val="22"/>
                <w:color w:val="auto"/>
              </w:rPr>
              <w:t>5.3.1</w:t>
            </w:r>
          </w:p>
        </w:tc>
        <w:tc>
          <w:tcPr>
            <w:tcW w:w="7540" w:type="dxa"/>
            <w:vAlign w:val="bottom"/>
            <w:gridSpan w:val="3"/>
          </w:tcPr>
          <w:p>
            <w:pPr>
              <w:ind w:left="220"/>
              <w:spacing w:after="0"/>
              <w:rPr>
                <w:sz w:val="20"/>
                <w:szCs w:val="20"/>
                <w:color w:val="auto"/>
              </w:rPr>
            </w:pPr>
            <w:r>
              <w:rPr>
                <w:rFonts w:ascii="Arial" w:cs="Arial" w:eastAsia="Arial" w:hAnsi="Arial"/>
                <w:sz w:val="22"/>
                <w:szCs w:val="22"/>
                <w:color w:val="auto"/>
              </w:rPr>
              <w:t>Establishment of Stock Account.................................................</w:t>
            </w:r>
          </w:p>
        </w:tc>
        <w:tc>
          <w:tcPr>
            <w:tcW w:w="460" w:type="dxa"/>
            <w:vAlign w:val="bottom"/>
          </w:tcPr>
          <w:p>
            <w:pPr>
              <w:jc w:val="center"/>
              <w:spacing w:after="0"/>
              <w:rPr>
                <w:sz w:val="20"/>
                <w:szCs w:val="20"/>
                <w:color w:val="auto"/>
              </w:rPr>
            </w:pPr>
            <w:r>
              <w:rPr>
                <w:rFonts w:ascii="Arial" w:cs="Arial" w:eastAsia="Arial" w:hAnsi="Arial"/>
                <w:sz w:val="22"/>
                <w:szCs w:val="22"/>
                <w:color w:val="auto"/>
                <w:w w:val="81"/>
              </w:rPr>
              <w:t>4</w:t>
            </w:r>
          </w:p>
        </w:tc>
      </w:tr>
      <w:tr>
        <w:trPr>
          <w:trHeight w:val="297"/>
        </w:trPr>
        <w:tc>
          <w:tcPr>
            <w:tcW w:w="1360" w:type="dxa"/>
            <w:vAlign w:val="bottom"/>
          </w:tcPr>
          <w:p>
            <w:pPr>
              <w:spacing w:after="0"/>
              <w:rPr>
                <w:sz w:val="24"/>
                <w:szCs w:val="24"/>
                <w:color w:val="auto"/>
              </w:rPr>
            </w:pPr>
          </w:p>
        </w:tc>
        <w:tc>
          <w:tcPr>
            <w:tcW w:w="1040" w:type="dxa"/>
            <w:vAlign w:val="bottom"/>
          </w:tcPr>
          <w:p>
            <w:pPr>
              <w:ind w:left="280"/>
              <w:spacing w:after="0"/>
              <w:rPr>
                <w:sz w:val="20"/>
                <w:szCs w:val="20"/>
                <w:color w:val="auto"/>
              </w:rPr>
            </w:pPr>
            <w:r>
              <w:rPr>
                <w:rFonts w:ascii="Arial" w:cs="Arial" w:eastAsia="Arial" w:hAnsi="Arial"/>
                <w:sz w:val="22"/>
                <w:szCs w:val="22"/>
                <w:color w:val="auto"/>
              </w:rPr>
              <w:t>5.3.2</w:t>
            </w:r>
          </w:p>
        </w:tc>
        <w:tc>
          <w:tcPr>
            <w:tcW w:w="7540" w:type="dxa"/>
            <w:vAlign w:val="bottom"/>
            <w:gridSpan w:val="3"/>
          </w:tcPr>
          <w:p>
            <w:pPr>
              <w:ind w:left="220"/>
              <w:spacing w:after="0"/>
              <w:rPr>
                <w:sz w:val="20"/>
                <w:szCs w:val="20"/>
                <w:color w:val="auto"/>
              </w:rPr>
            </w:pPr>
            <w:r>
              <w:rPr>
                <w:rFonts w:ascii="Arial" w:cs="Arial" w:eastAsia="Arial" w:hAnsi="Arial"/>
                <w:sz w:val="22"/>
                <w:szCs w:val="22"/>
                <w:color w:val="auto"/>
              </w:rPr>
              <w:t>Credits to Stock Accounts...........................................................</w:t>
            </w:r>
          </w:p>
        </w:tc>
        <w:tc>
          <w:tcPr>
            <w:tcW w:w="460" w:type="dxa"/>
            <w:vAlign w:val="bottom"/>
          </w:tcPr>
          <w:p>
            <w:pPr>
              <w:jc w:val="center"/>
              <w:spacing w:after="0"/>
              <w:rPr>
                <w:sz w:val="20"/>
                <w:szCs w:val="20"/>
                <w:color w:val="auto"/>
              </w:rPr>
            </w:pPr>
            <w:r>
              <w:rPr>
                <w:rFonts w:ascii="Arial" w:cs="Arial" w:eastAsia="Arial" w:hAnsi="Arial"/>
                <w:sz w:val="22"/>
                <w:szCs w:val="22"/>
                <w:color w:val="auto"/>
                <w:w w:val="81"/>
              </w:rPr>
              <w:t>4</w:t>
            </w:r>
          </w:p>
        </w:tc>
      </w:tr>
      <w:tr>
        <w:trPr>
          <w:trHeight w:val="297"/>
        </w:trPr>
        <w:tc>
          <w:tcPr>
            <w:tcW w:w="1360" w:type="dxa"/>
            <w:vAlign w:val="bottom"/>
          </w:tcPr>
          <w:p>
            <w:pPr>
              <w:spacing w:after="0"/>
              <w:rPr>
                <w:sz w:val="24"/>
                <w:szCs w:val="24"/>
                <w:color w:val="auto"/>
              </w:rPr>
            </w:pPr>
          </w:p>
        </w:tc>
        <w:tc>
          <w:tcPr>
            <w:tcW w:w="1040" w:type="dxa"/>
            <w:vAlign w:val="bottom"/>
          </w:tcPr>
          <w:p>
            <w:pPr>
              <w:ind w:left="280"/>
              <w:spacing w:after="0"/>
              <w:rPr>
                <w:sz w:val="20"/>
                <w:szCs w:val="20"/>
                <w:color w:val="auto"/>
              </w:rPr>
            </w:pPr>
            <w:r>
              <w:rPr>
                <w:rFonts w:ascii="Arial" w:cs="Arial" w:eastAsia="Arial" w:hAnsi="Arial"/>
                <w:sz w:val="22"/>
                <w:szCs w:val="22"/>
                <w:color w:val="auto"/>
              </w:rPr>
              <w:t>5.3.3</w:t>
            </w:r>
          </w:p>
        </w:tc>
        <w:tc>
          <w:tcPr>
            <w:tcW w:w="7540" w:type="dxa"/>
            <w:vAlign w:val="bottom"/>
            <w:gridSpan w:val="3"/>
          </w:tcPr>
          <w:p>
            <w:pPr>
              <w:ind w:left="220"/>
              <w:spacing w:after="0"/>
              <w:rPr>
                <w:sz w:val="20"/>
                <w:szCs w:val="20"/>
                <w:color w:val="auto"/>
              </w:rPr>
            </w:pPr>
            <w:r>
              <w:rPr>
                <w:rFonts w:ascii="Arial" w:cs="Arial" w:eastAsia="Arial" w:hAnsi="Arial"/>
                <w:sz w:val="22"/>
                <w:szCs w:val="22"/>
                <w:color w:val="auto"/>
              </w:rPr>
              <w:t>Dividend Equivalents..................................................................</w:t>
            </w:r>
          </w:p>
        </w:tc>
        <w:tc>
          <w:tcPr>
            <w:tcW w:w="460" w:type="dxa"/>
            <w:vAlign w:val="bottom"/>
          </w:tcPr>
          <w:p>
            <w:pPr>
              <w:jc w:val="center"/>
              <w:spacing w:after="0"/>
              <w:rPr>
                <w:sz w:val="20"/>
                <w:szCs w:val="20"/>
                <w:color w:val="auto"/>
              </w:rPr>
            </w:pPr>
            <w:r>
              <w:rPr>
                <w:rFonts w:ascii="Arial" w:cs="Arial" w:eastAsia="Arial" w:hAnsi="Arial"/>
                <w:sz w:val="22"/>
                <w:szCs w:val="22"/>
                <w:color w:val="auto"/>
                <w:w w:val="81"/>
              </w:rPr>
              <w:t>4</w:t>
            </w:r>
          </w:p>
        </w:tc>
      </w:tr>
      <w:tr>
        <w:trPr>
          <w:trHeight w:val="297"/>
        </w:trPr>
        <w:tc>
          <w:tcPr>
            <w:tcW w:w="1360" w:type="dxa"/>
            <w:vAlign w:val="bottom"/>
          </w:tcPr>
          <w:p>
            <w:pPr>
              <w:spacing w:after="0"/>
              <w:rPr>
                <w:sz w:val="24"/>
                <w:szCs w:val="24"/>
                <w:color w:val="auto"/>
              </w:rPr>
            </w:pPr>
          </w:p>
        </w:tc>
        <w:tc>
          <w:tcPr>
            <w:tcW w:w="1040" w:type="dxa"/>
            <w:vAlign w:val="bottom"/>
          </w:tcPr>
          <w:p>
            <w:pPr>
              <w:ind w:left="280"/>
              <w:spacing w:after="0"/>
              <w:rPr>
                <w:sz w:val="20"/>
                <w:szCs w:val="20"/>
                <w:color w:val="auto"/>
              </w:rPr>
            </w:pPr>
            <w:r>
              <w:rPr>
                <w:rFonts w:ascii="Arial" w:cs="Arial" w:eastAsia="Arial" w:hAnsi="Arial"/>
                <w:sz w:val="22"/>
                <w:szCs w:val="22"/>
                <w:color w:val="auto"/>
              </w:rPr>
              <w:t>5.3.4</w:t>
            </w:r>
          </w:p>
        </w:tc>
        <w:tc>
          <w:tcPr>
            <w:tcW w:w="7540" w:type="dxa"/>
            <w:vAlign w:val="bottom"/>
            <w:gridSpan w:val="3"/>
          </w:tcPr>
          <w:p>
            <w:pPr>
              <w:ind w:left="220"/>
              <w:spacing w:after="0"/>
              <w:rPr>
                <w:sz w:val="20"/>
                <w:szCs w:val="20"/>
                <w:color w:val="auto"/>
              </w:rPr>
            </w:pPr>
            <w:r>
              <w:rPr>
                <w:rFonts w:ascii="Arial" w:cs="Arial" w:eastAsia="Arial" w:hAnsi="Arial"/>
                <w:sz w:val="22"/>
                <w:szCs w:val="22"/>
                <w:color w:val="auto"/>
              </w:rPr>
              <w:t>Adjustments in Case of Changes in Common Stock...................</w:t>
            </w:r>
          </w:p>
        </w:tc>
        <w:tc>
          <w:tcPr>
            <w:tcW w:w="460" w:type="dxa"/>
            <w:vAlign w:val="bottom"/>
          </w:tcPr>
          <w:p>
            <w:pPr>
              <w:jc w:val="center"/>
              <w:spacing w:after="0"/>
              <w:rPr>
                <w:sz w:val="20"/>
                <w:szCs w:val="20"/>
                <w:color w:val="auto"/>
              </w:rPr>
            </w:pPr>
            <w:r>
              <w:rPr>
                <w:rFonts w:ascii="Arial" w:cs="Arial" w:eastAsia="Arial" w:hAnsi="Arial"/>
                <w:sz w:val="22"/>
                <w:szCs w:val="22"/>
                <w:color w:val="auto"/>
                <w:w w:val="81"/>
              </w:rPr>
              <w:t>4</w:t>
            </w:r>
          </w:p>
        </w:tc>
      </w:tr>
      <w:tr>
        <w:trPr>
          <w:trHeight w:val="297"/>
        </w:trPr>
        <w:tc>
          <w:tcPr>
            <w:tcW w:w="1360" w:type="dxa"/>
            <w:vAlign w:val="bottom"/>
          </w:tcPr>
          <w:p>
            <w:pPr>
              <w:jc w:val="right"/>
              <w:ind w:right="192"/>
              <w:spacing w:after="0"/>
              <w:rPr>
                <w:sz w:val="20"/>
                <w:szCs w:val="20"/>
                <w:color w:val="auto"/>
              </w:rPr>
            </w:pPr>
            <w:r>
              <w:rPr>
                <w:rFonts w:ascii="Arial" w:cs="Arial" w:eastAsia="Arial" w:hAnsi="Arial"/>
                <w:sz w:val="22"/>
                <w:szCs w:val="22"/>
                <w:color w:val="auto"/>
                <w:w w:val="93"/>
              </w:rPr>
              <w:t>ARTICLE 6</w:t>
            </w:r>
          </w:p>
        </w:tc>
        <w:tc>
          <w:tcPr>
            <w:tcW w:w="1040" w:type="dxa"/>
            <w:vAlign w:val="bottom"/>
          </w:tcPr>
          <w:p>
            <w:pPr>
              <w:spacing w:after="0"/>
              <w:rPr>
                <w:sz w:val="24"/>
                <w:szCs w:val="24"/>
                <w:color w:val="auto"/>
              </w:rPr>
            </w:pPr>
          </w:p>
        </w:tc>
        <w:tc>
          <w:tcPr>
            <w:tcW w:w="7540" w:type="dxa"/>
            <w:vAlign w:val="bottom"/>
            <w:gridSpan w:val="3"/>
          </w:tcPr>
          <w:p>
            <w:pPr>
              <w:spacing w:after="0"/>
              <w:rPr>
                <w:sz w:val="20"/>
                <w:szCs w:val="20"/>
                <w:color w:val="auto"/>
              </w:rPr>
            </w:pPr>
            <w:r>
              <w:rPr>
                <w:rFonts w:ascii="Arial" w:cs="Arial" w:eastAsia="Arial" w:hAnsi="Arial"/>
                <w:sz w:val="22"/>
                <w:szCs w:val="22"/>
                <w:color w:val="auto"/>
              </w:rPr>
              <w:t>Distributions...................................................................................</w:t>
            </w:r>
          </w:p>
        </w:tc>
        <w:tc>
          <w:tcPr>
            <w:tcW w:w="460" w:type="dxa"/>
            <w:vAlign w:val="bottom"/>
          </w:tcPr>
          <w:p>
            <w:pPr>
              <w:jc w:val="center"/>
              <w:spacing w:after="0"/>
              <w:rPr>
                <w:sz w:val="20"/>
                <w:szCs w:val="20"/>
                <w:color w:val="auto"/>
              </w:rPr>
            </w:pPr>
            <w:r>
              <w:rPr>
                <w:rFonts w:ascii="Arial" w:cs="Arial" w:eastAsia="Arial" w:hAnsi="Arial"/>
                <w:sz w:val="22"/>
                <w:szCs w:val="22"/>
                <w:color w:val="auto"/>
                <w:w w:val="81"/>
              </w:rPr>
              <w:t>5</w:t>
            </w:r>
          </w:p>
        </w:tc>
      </w:tr>
      <w:tr>
        <w:trPr>
          <w:trHeight w:val="297"/>
        </w:trPr>
        <w:tc>
          <w:tcPr>
            <w:tcW w:w="1360" w:type="dxa"/>
            <w:vAlign w:val="bottom"/>
          </w:tcPr>
          <w:p>
            <w:pPr>
              <w:jc w:val="right"/>
              <w:ind w:right="212"/>
              <w:spacing w:after="0"/>
              <w:rPr>
                <w:sz w:val="20"/>
                <w:szCs w:val="20"/>
                <w:color w:val="auto"/>
              </w:rPr>
            </w:pPr>
            <w:r>
              <w:rPr>
                <w:rFonts w:ascii="Arial" w:cs="Arial" w:eastAsia="Arial" w:hAnsi="Arial"/>
                <w:sz w:val="22"/>
                <w:szCs w:val="22"/>
                <w:color w:val="auto"/>
              </w:rPr>
              <w:t>6.1</w:t>
            </w:r>
          </w:p>
        </w:tc>
        <w:tc>
          <w:tcPr>
            <w:tcW w:w="8580" w:type="dxa"/>
            <w:vAlign w:val="bottom"/>
            <w:gridSpan w:val="4"/>
          </w:tcPr>
          <w:p>
            <w:pPr>
              <w:ind w:left="280"/>
              <w:spacing w:after="0"/>
              <w:rPr>
                <w:sz w:val="20"/>
                <w:szCs w:val="20"/>
                <w:color w:val="auto"/>
              </w:rPr>
            </w:pPr>
            <w:r>
              <w:rPr>
                <w:rFonts w:ascii="Arial" w:cs="Arial" w:eastAsia="Arial" w:hAnsi="Arial"/>
                <w:sz w:val="22"/>
                <w:szCs w:val="22"/>
                <w:color w:val="auto"/>
              </w:rPr>
              <w:t>Distributions..............................................................................................</w:t>
            </w:r>
          </w:p>
        </w:tc>
        <w:tc>
          <w:tcPr>
            <w:tcW w:w="460" w:type="dxa"/>
            <w:vAlign w:val="bottom"/>
          </w:tcPr>
          <w:p>
            <w:pPr>
              <w:jc w:val="center"/>
              <w:spacing w:after="0"/>
              <w:rPr>
                <w:sz w:val="20"/>
                <w:szCs w:val="20"/>
                <w:color w:val="auto"/>
              </w:rPr>
            </w:pPr>
            <w:r>
              <w:rPr>
                <w:rFonts w:ascii="Arial" w:cs="Arial" w:eastAsia="Arial" w:hAnsi="Arial"/>
                <w:sz w:val="22"/>
                <w:szCs w:val="22"/>
                <w:color w:val="auto"/>
                <w:w w:val="81"/>
              </w:rPr>
              <w:t>5</w:t>
            </w:r>
          </w:p>
        </w:tc>
      </w:tr>
      <w:tr>
        <w:trPr>
          <w:trHeight w:val="297"/>
        </w:trPr>
        <w:tc>
          <w:tcPr>
            <w:tcW w:w="1360" w:type="dxa"/>
            <w:vAlign w:val="bottom"/>
          </w:tcPr>
          <w:p>
            <w:pPr>
              <w:spacing w:after="0"/>
              <w:rPr>
                <w:sz w:val="24"/>
                <w:szCs w:val="24"/>
                <w:color w:val="auto"/>
              </w:rPr>
            </w:pPr>
          </w:p>
        </w:tc>
        <w:tc>
          <w:tcPr>
            <w:tcW w:w="1040" w:type="dxa"/>
            <w:vAlign w:val="bottom"/>
          </w:tcPr>
          <w:p>
            <w:pPr>
              <w:ind w:left="280"/>
              <w:spacing w:after="0"/>
              <w:rPr>
                <w:sz w:val="20"/>
                <w:szCs w:val="20"/>
                <w:color w:val="auto"/>
              </w:rPr>
            </w:pPr>
            <w:r>
              <w:rPr>
                <w:rFonts w:ascii="Arial" w:cs="Arial" w:eastAsia="Arial" w:hAnsi="Arial"/>
                <w:sz w:val="22"/>
                <w:szCs w:val="22"/>
                <w:color w:val="auto"/>
              </w:rPr>
              <w:t>6.1.1</w:t>
            </w:r>
          </w:p>
        </w:tc>
        <w:tc>
          <w:tcPr>
            <w:tcW w:w="7540" w:type="dxa"/>
            <w:vAlign w:val="bottom"/>
            <w:gridSpan w:val="3"/>
          </w:tcPr>
          <w:p>
            <w:pPr>
              <w:ind w:left="220"/>
              <w:spacing w:after="0"/>
              <w:rPr>
                <w:sz w:val="20"/>
                <w:szCs w:val="20"/>
                <w:color w:val="auto"/>
              </w:rPr>
            </w:pPr>
            <w:r>
              <w:rPr>
                <w:rFonts w:ascii="Arial" w:cs="Arial" w:eastAsia="Arial" w:hAnsi="Arial"/>
                <w:sz w:val="22"/>
                <w:szCs w:val="22"/>
                <w:color w:val="auto"/>
              </w:rPr>
              <w:t>Specified Year..............................................................................</w:t>
            </w:r>
          </w:p>
        </w:tc>
        <w:tc>
          <w:tcPr>
            <w:tcW w:w="460" w:type="dxa"/>
            <w:vAlign w:val="bottom"/>
          </w:tcPr>
          <w:p>
            <w:pPr>
              <w:jc w:val="center"/>
              <w:spacing w:after="0"/>
              <w:rPr>
                <w:sz w:val="20"/>
                <w:szCs w:val="20"/>
                <w:color w:val="auto"/>
              </w:rPr>
            </w:pPr>
            <w:r>
              <w:rPr>
                <w:rFonts w:ascii="Arial" w:cs="Arial" w:eastAsia="Arial" w:hAnsi="Arial"/>
                <w:sz w:val="22"/>
                <w:szCs w:val="22"/>
                <w:color w:val="auto"/>
                <w:w w:val="81"/>
              </w:rPr>
              <w:t>5</w:t>
            </w:r>
          </w:p>
        </w:tc>
      </w:tr>
      <w:tr>
        <w:trPr>
          <w:trHeight w:val="297"/>
        </w:trPr>
        <w:tc>
          <w:tcPr>
            <w:tcW w:w="1360" w:type="dxa"/>
            <w:vAlign w:val="bottom"/>
          </w:tcPr>
          <w:p>
            <w:pPr>
              <w:spacing w:after="0"/>
              <w:rPr>
                <w:sz w:val="24"/>
                <w:szCs w:val="24"/>
                <w:color w:val="auto"/>
              </w:rPr>
            </w:pPr>
          </w:p>
        </w:tc>
        <w:tc>
          <w:tcPr>
            <w:tcW w:w="1040" w:type="dxa"/>
            <w:vAlign w:val="bottom"/>
          </w:tcPr>
          <w:p>
            <w:pPr>
              <w:ind w:left="280"/>
              <w:spacing w:after="0"/>
              <w:rPr>
                <w:sz w:val="20"/>
                <w:szCs w:val="20"/>
                <w:color w:val="auto"/>
              </w:rPr>
            </w:pPr>
            <w:r>
              <w:rPr>
                <w:rFonts w:ascii="Arial" w:cs="Arial" w:eastAsia="Arial" w:hAnsi="Arial"/>
                <w:sz w:val="22"/>
                <w:szCs w:val="22"/>
                <w:color w:val="auto"/>
              </w:rPr>
              <w:t>6.1.2</w:t>
            </w:r>
          </w:p>
        </w:tc>
        <w:tc>
          <w:tcPr>
            <w:tcW w:w="7540" w:type="dxa"/>
            <w:vAlign w:val="bottom"/>
            <w:gridSpan w:val="3"/>
          </w:tcPr>
          <w:p>
            <w:pPr>
              <w:ind w:left="220"/>
              <w:spacing w:after="0"/>
              <w:rPr>
                <w:sz w:val="20"/>
                <w:szCs w:val="20"/>
                <w:color w:val="auto"/>
              </w:rPr>
            </w:pPr>
            <w:r>
              <w:rPr>
                <w:rFonts w:ascii="Arial" w:cs="Arial" w:eastAsia="Arial" w:hAnsi="Arial"/>
                <w:sz w:val="22"/>
                <w:szCs w:val="22"/>
                <w:color w:val="auto"/>
              </w:rPr>
              <w:t>Separation from Service..............................................................</w:t>
            </w:r>
          </w:p>
        </w:tc>
        <w:tc>
          <w:tcPr>
            <w:tcW w:w="460" w:type="dxa"/>
            <w:vAlign w:val="bottom"/>
          </w:tcPr>
          <w:p>
            <w:pPr>
              <w:jc w:val="center"/>
              <w:spacing w:after="0"/>
              <w:rPr>
                <w:sz w:val="20"/>
                <w:szCs w:val="20"/>
                <w:color w:val="auto"/>
              </w:rPr>
            </w:pPr>
            <w:r>
              <w:rPr>
                <w:rFonts w:ascii="Arial" w:cs="Arial" w:eastAsia="Arial" w:hAnsi="Arial"/>
                <w:sz w:val="22"/>
                <w:szCs w:val="22"/>
                <w:color w:val="auto"/>
                <w:w w:val="81"/>
              </w:rPr>
              <w:t>6</w:t>
            </w:r>
          </w:p>
        </w:tc>
      </w:tr>
      <w:tr>
        <w:trPr>
          <w:trHeight w:val="297"/>
        </w:trPr>
        <w:tc>
          <w:tcPr>
            <w:tcW w:w="1360" w:type="dxa"/>
            <w:vAlign w:val="bottom"/>
          </w:tcPr>
          <w:p>
            <w:pPr>
              <w:spacing w:after="0"/>
              <w:rPr>
                <w:sz w:val="24"/>
                <w:szCs w:val="24"/>
                <w:color w:val="auto"/>
              </w:rPr>
            </w:pPr>
          </w:p>
        </w:tc>
        <w:tc>
          <w:tcPr>
            <w:tcW w:w="1040" w:type="dxa"/>
            <w:vAlign w:val="bottom"/>
          </w:tcPr>
          <w:p>
            <w:pPr>
              <w:ind w:left="280"/>
              <w:spacing w:after="0"/>
              <w:rPr>
                <w:sz w:val="20"/>
                <w:szCs w:val="20"/>
                <w:color w:val="auto"/>
              </w:rPr>
            </w:pPr>
            <w:r>
              <w:rPr>
                <w:rFonts w:ascii="Arial" w:cs="Arial" w:eastAsia="Arial" w:hAnsi="Arial"/>
                <w:sz w:val="22"/>
                <w:szCs w:val="22"/>
                <w:color w:val="auto"/>
              </w:rPr>
              <w:t>6.1.3</w:t>
            </w:r>
          </w:p>
        </w:tc>
        <w:tc>
          <w:tcPr>
            <w:tcW w:w="7540" w:type="dxa"/>
            <w:vAlign w:val="bottom"/>
            <w:gridSpan w:val="3"/>
          </w:tcPr>
          <w:p>
            <w:pPr>
              <w:ind w:left="220"/>
              <w:spacing w:after="0"/>
              <w:rPr>
                <w:sz w:val="20"/>
                <w:szCs w:val="20"/>
                <w:color w:val="auto"/>
              </w:rPr>
            </w:pPr>
            <w:r>
              <w:rPr>
                <w:rFonts w:ascii="Arial" w:cs="Arial" w:eastAsia="Arial" w:hAnsi="Arial"/>
                <w:sz w:val="22"/>
                <w:szCs w:val="22"/>
                <w:color w:val="auto"/>
              </w:rPr>
              <w:t>Unforeseeable Emergency...........................................................</w:t>
            </w:r>
          </w:p>
        </w:tc>
        <w:tc>
          <w:tcPr>
            <w:tcW w:w="460" w:type="dxa"/>
            <w:vAlign w:val="bottom"/>
          </w:tcPr>
          <w:p>
            <w:pPr>
              <w:jc w:val="center"/>
              <w:spacing w:after="0"/>
              <w:rPr>
                <w:sz w:val="20"/>
                <w:szCs w:val="20"/>
                <w:color w:val="auto"/>
              </w:rPr>
            </w:pPr>
            <w:r>
              <w:rPr>
                <w:rFonts w:ascii="Arial" w:cs="Arial" w:eastAsia="Arial" w:hAnsi="Arial"/>
                <w:sz w:val="22"/>
                <w:szCs w:val="22"/>
                <w:color w:val="auto"/>
                <w:w w:val="81"/>
              </w:rPr>
              <w:t>6</w:t>
            </w:r>
          </w:p>
        </w:tc>
      </w:tr>
      <w:tr>
        <w:trPr>
          <w:trHeight w:val="297"/>
        </w:trPr>
        <w:tc>
          <w:tcPr>
            <w:tcW w:w="1360" w:type="dxa"/>
            <w:vAlign w:val="bottom"/>
          </w:tcPr>
          <w:p>
            <w:pPr>
              <w:jc w:val="right"/>
              <w:ind w:right="212"/>
              <w:spacing w:after="0"/>
              <w:rPr>
                <w:sz w:val="20"/>
                <w:szCs w:val="20"/>
                <w:color w:val="auto"/>
              </w:rPr>
            </w:pPr>
            <w:r>
              <w:rPr>
                <w:rFonts w:ascii="Arial" w:cs="Arial" w:eastAsia="Arial" w:hAnsi="Arial"/>
                <w:sz w:val="22"/>
                <w:szCs w:val="22"/>
                <w:color w:val="auto"/>
              </w:rPr>
              <w:t>6.2</w:t>
            </w:r>
          </w:p>
        </w:tc>
        <w:tc>
          <w:tcPr>
            <w:tcW w:w="8580" w:type="dxa"/>
            <w:vAlign w:val="bottom"/>
            <w:gridSpan w:val="4"/>
          </w:tcPr>
          <w:p>
            <w:pPr>
              <w:ind w:left="280"/>
              <w:spacing w:after="0"/>
              <w:rPr>
                <w:sz w:val="20"/>
                <w:szCs w:val="20"/>
                <w:color w:val="auto"/>
              </w:rPr>
            </w:pPr>
            <w:r>
              <w:rPr>
                <w:rFonts w:ascii="Arial" w:cs="Arial" w:eastAsia="Arial" w:hAnsi="Arial"/>
                <w:sz w:val="22"/>
                <w:szCs w:val="22"/>
                <w:color w:val="auto"/>
              </w:rPr>
              <w:t>Additional Distribution Rules...................................................................</w:t>
            </w:r>
          </w:p>
        </w:tc>
        <w:tc>
          <w:tcPr>
            <w:tcW w:w="460" w:type="dxa"/>
            <w:vAlign w:val="bottom"/>
          </w:tcPr>
          <w:p>
            <w:pPr>
              <w:jc w:val="center"/>
              <w:spacing w:after="0"/>
              <w:rPr>
                <w:sz w:val="20"/>
                <w:szCs w:val="20"/>
                <w:color w:val="auto"/>
              </w:rPr>
            </w:pPr>
            <w:r>
              <w:rPr>
                <w:rFonts w:ascii="Arial" w:cs="Arial" w:eastAsia="Arial" w:hAnsi="Arial"/>
                <w:sz w:val="22"/>
                <w:szCs w:val="22"/>
                <w:color w:val="auto"/>
                <w:w w:val="81"/>
              </w:rPr>
              <w:t>6</w:t>
            </w:r>
          </w:p>
        </w:tc>
      </w:tr>
    </w:tbl>
    <w:p>
      <w:pPr>
        <w:sectPr>
          <w:pgSz w:w="11900" w:h="16838" w:orient="portrait"/>
          <w:cols w:equalWidth="0" w:num="1">
            <w:col w:w="10400"/>
          </w:cols>
          <w:pgMar w:left="560" w:top="697" w:right="939" w:bottom="1440" w:gutter="0" w:footer="0" w:header="0"/>
        </w:sectPr>
      </w:pPr>
    </w:p>
    <w:bookmarkStart w:id="154" w:name="page155"/>
    <w:bookmarkEnd w:id="154"/>
    <w:p>
      <w:pPr>
        <w:spacing w:after="0" w:line="1" w:lineRule="exact"/>
        <w:rPr>
          <w:sz w:val="20"/>
          <w:szCs w:val="20"/>
          <w:color w:val="auto"/>
        </w:rPr>
      </w:pPr>
    </w:p>
    <w:tbl>
      <w:tblPr>
        <w:tblLayout w:type="fixed"/>
        <w:tblInd w:w="160" w:type="dxa"/>
        <w:tblCellMar>
          <w:top w:w="0" w:type="dxa"/>
          <w:left w:w="0" w:type="dxa"/>
          <w:bottom w:w="0" w:type="dxa"/>
          <w:right w:w="0" w:type="dxa"/>
        </w:tblCellMar>
      </w:tblPr>
      <w:tr>
        <w:trPr>
          <w:trHeight w:val="275"/>
        </w:trPr>
        <w:tc>
          <w:tcPr>
            <w:tcW w:w="9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60" w:type="dxa"/>
            <w:vAlign w:val="bottom"/>
          </w:tcPr>
          <w:p>
            <w:pPr>
              <w:ind w:left="80"/>
              <w:spacing w:after="0"/>
              <w:rPr>
                <w:sz w:val="20"/>
                <w:szCs w:val="20"/>
                <w:color w:val="auto"/>
              </w:rPr>
            </w:pPr>
            <w:r>
              <w:rPr>
                <w:rFonts w:ascii="Arial" w:cs="Arial" w:eastAsia="Arial" w:hAnsi="Arial"/>
                <w:sz w:val="22"/>
                <w:szCs w:val="22"/>
                <w:color w:val="auto"/>
              </w:rPr>
              <w:t>6.2.1</w:t>
            </w:r>
          </w:p>
        </w:tc>
        <w:tc>
          <w:tcPr>
            <w:tcW w:w="5900" w:type="dxa"/>
            <w:vAlign w:val="bottom"/>
          </w:tcPr>
          <w:p>
            <w:pPr>
              <w:ind w:left="160"/>
              <w:spacing w:after="0"/>
              <w:rPr>
                <w:sz w:val="20"/>
                <w:szCs w:val="20"/>
                <w:color w:val="auto"/>
              </w:rPr>
            </w:pPr>
            <w:r>
              <w:rPr>
                <w:rFonts w:ascii="Arial" w:cs="Arial" w:eastAsia="Arial" w:hAnsi="Arial"/>
                <w:sz w:val="22"/>
                <w:szCs w:val="22"/>
                <w:color w:val="auto"/>
                <w:w w:val="93"/>
              </w:rPr>
              <w:t>Medium of Payment....................................................................</w:t>
            </w:r>
          </w:p>
        </w:tc>
        <w:tc>
          <w:tcPr>
            <w:tcW w:w="480" w:type="dxa"/>
            <w:vAlign w:val="bottom"/>
          </w:tcPr>
          <w:p>
            <w:pPr>
              <w:jc w:val="center"/>
              <w:ind w:left="152"/>
              <w:spacing w:after="0"/>
              <w:rPr>
                <w:sz w:val="20"/>
                <w:szCs w:val="20"/>
                <w:color w:val="auto"/>
              </w:rPr>
            </w:pPr>
            <w:r>
              <w:rPr>
                <w:rFonts w:ascii="Arial" w:cs="Arial" w:eastAsia="Arial" w:hAnsi="Arial"/>
                <w:sz w:val="22"/>
                <w:szCs w:val="22"/>
                <w:color w:val="auto"/>
                <w:w w:val="81"/>
              </w:rPr>
              <w:t>6</w:t>
            </w:r>
          </w:p>
        </w:tc>
      </w:tr>
      <w:tr>
        <w:trPr>
          <w:trHeight w:val="297"/>
        </w:trPr>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560" w:type="dxa"/>
            <w:vAlign w:val="bottom"/>
            <w:gridSpan w:val="2"/>
          </w:tcPr>
          <w:p>
            <w:pPr>
              <w:ind w:left="80"/>
              <w:spacing w:after="0"/>
              <w:rPr>
                <w:sz w:val="20"/>
                <w:szCs w:val="20"/>
                <w:color w:val="auto"/>
              </w:rPr>
            </w:pPr>
            <w:r>
              <w:rPr>
                <w:rFonts w:ascii="Arial" w:cs="Arial" w:eastAsia="Arial" w:hAnsi="Arial"/>
                <w:sz w:val="22"/>
                <w:szCs w:val="22"/>
                <w:color w:val="auto"/>
                <w:w w:val="95"/>
              </w:rPr>
              <w:t>6.2.2   Default Time and Form of Payment............................................</w:t>
            </w:r>
          </w:p>
        </w:tc>
        <w:tc>
          <w:tcPr>
            <w:tcW w:w="480" w:type="dxa"/>
            <w:vAlign w:val="bottom"/>
          </w:tcPr>
          <w:p>
            <w:pPr>
              <w:jc w:val="center"/>
              <w:ind w:left="152"/>
              <w:spacing w:after="0"/>
              <w:rPr>
                <w:sz w:val="20"/>
                <w:szCs w:val="20"/>
                <w:color w:val="auto"/>
              </w:rPr>
            </w:pPr>
            <w:r>
              <w:rPr>
                <w:rFonts w:ascii="Arial" w:cs="Arial" w:eastAsia="Arial" w:hAnsi="Arial"/>
                <w:sz w:val="22"/>
                <w:szCs w:val="22"/>
                <w:color w:val="auto"/>
                <w:w w:val="81"/>
              </w:rPr>
              <w:t>6</w:t>
            </w:r>
          </w:p>
        </w:tc>
      </w:tr>
      <w:tr>
        <w:trPr>
          <w:trHeight w:val="297"/>
        </w:trPr>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560" w:type="dxa"/>
            <w:vAlign w:val="bottom"/>
            <w:gridSpan w:val="2"/>
          </w:tcPr>
          <w:p>
            <w:pPr>
              <w:ind w:left="80"/>
              <w:spacing w:after="0"/>
              <w:rPr>
                <w:sz w:val="20"/>
                <w:szCs w:val="20"/>
                <w:color w:val="auto"/>
              </w:rPr>
            </w:pPr>
            <w:r>
              <w:rPr>
                <w:rFonts w:ascii="Arial" w:cs="Arial" w:eastAsia="Arial" w:hAnsi="Arial"/>
                <w:sz w:val="22"/>
                <w:szCs w:val="22"/>
                <w:color w:val="auto"/>
                <w:w w:val="96"/>
              </w:rPr>
              <w:t>6.2.3   Rules Applicable to All Distributions..........................................</w:t>
            </w:r>
          </w:p>
        </w:tc>
        <w:tc>
          <w:tcPr>
            <w:tcW w:w="480" w:type="dxa"/>
            <w:vAlign w:val="bottom"/>
          </w:tcPr>
          <w:p>
            <w:pPr>
              <w:jc w:val="center"/>
              <w:ind w:left="152"/>
              <w:spacing w:after="0"/>
              <w:rPr>
                <w:sz w:val="20"/>
                <w:szCs w:val="20"/>
                <w:color w:val="auto"/>
              </w:rPr>
            </w:pPr>
            <w:r>
              <w:rPr>
                <w:rFonts w:ascii="Arial" w:cs="Arial" w:eastAsia="Arial" w:hAnsi="Arial"/>
                <w:sz w:val="22"/>
                <w:szCs w:val="22"/>
                <w:color w:val="auto"/>
                <w:w w:val="81"/>
              </w:rPr>
              <w:t>6</w:t>
            </w:r>
          </w:p>
        </w:tc>
      </w:tr>
      <w:tr>
        <w:trPr>
          <w:trHeight w:val="297"/>
        </w:trPr>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ind w:left="80"/>
              <w:spacing w:after="0"/>
              <w:rPr>
                <w:sz w:val="20"/>
                <w:szCs w:val="20"/>
                <w:color w:val="auto"/>
              </w:rPr>
            </w:pPr>
            <w:r>
              <w:rPr>
                <w:rFonts w:ascii="Arial" w:cs="Arial" w:eastAsia="Arial" w:hAnsi="Arial"/>
                <w:sz w:val="22"/>
                <w:szCs w:val="22"/>
                <w:color w:val="auto"/>
              </w:rPr>
              <w:t>6.2.4</w:t>
            </w:r>
          </w:p>
        </w:tc>
        <w:tc>
          <w:tcPr>
            <w:tcW w:w="5900" w:type="dxa"/>
            <w:vAlign w:val="bottom"/>
          </w:tcPr>
          <w:p>
            <w:pPr>
              <w:ind w:left="160"/>
              <w:spacing w:after="0"/>
              <w:rPr>
                <w:sz w:val="20"/>
                <w:szCs w:val="20"/>
                <w:color w:val="auto"/>
              </w:rPr>
            </w:pPr>
            <w:r>
              <w:rPr>
                <w:rFonts w:ascii="Arial" w:cs="Arial" w:eastAsia="Arial" w:hAnsi="Arial"/>
                <w:sz w:val="22"/>
                <w:szCs w:val="22"/>
                <w:color w:val="auto"/>
                <w:w w:val="93"/>
              </w:rPr>
              <w:t>Installment Payments..................................................................</w:t>
            </w:r>
          </w:p>
        </w:tc>
        <w:tc>
          <w:tcPr>
            <w:tcW w:w="480" w:type="dxa"/>
            <w:vAlign w:val="bottom"/>
          </w:tcPr>
          <w:p>
            <w:pPr>
              <w:jc w:val="center"/>
              <w:ind w:left="152"/>
              <w:spacing w:after="0"/>
              <w:rPr>
                <w:sz w:val="20"/>
                <w:szCs w:val="20"/>
                <w:color w:val="auto"/>
              </w:rPr>
            </w:pPr>
            <w:r>
              <w:rPr>
                <w:rFonts w:ascii="Arial" w:cs="Arial" w:eastAsia="Arial" w:hAnsi="Arial"/>
                <w:sz w:val="22"/>
                <w:szCs w:val="22"/>
                <w:color w:val="auto"/>
                <w:w w:val="81"/>
              </w:rPr>
              <w:t>7</w:t>
            </w:r>
          </w:p>
        </w:tc>
      </w:tr>
      <w:tr>
        <w:trPr>
          <w:trHeight w:val="297"/>
        </w:trPr>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560" w:type="dxa"/>
            <w:vAlign w:val="bottom"/>
            <w:gridSpan w:val="2"/>
          </w:tcPr>
          <w:p>
            <w:pPr>
              <w:ind w:left="80"/>
              <w:spacing w:after="0"/>
              <w:rPr>
                <w:sz w:val="20"/>
                <w:szCs w:val="20"/>
                <w:color w:val="auto"/>
              </w:rPr>
            </w:pPr>
            <w:r>
              <w:rPr>
                <w:rFonts w:ascii="Arial" w:cs="Arial" w:eastAsia="Arial" w:hAnsi="Arial"/>
                <w:sz w:val="22"/>
                <w:szCs w:val="22"/>
                <w:color w:val="auto"/>
                <w:w w:val="95"/>
              </w:rPr>
              <w:t>6.2.5   Death After Commencement of Distributions.............................</w:t>
            </w:r>
          </w:p>
        </w:tc>
        <w:tc>
          <w:tcPr>
            <w:tcW w:w="480" w:type="dxa"/>
            <w:vAlign w:val="bottom"/>
          </w:tcPr>
          <w:p>
            <w:pPr>
              <w:jc w:val="center"/>
              <w:ind w:left="152"/>
              <w:spacing w:after="0"/>
              <w:rPr>
                <w:sz w:val="20"/>
                <w:szCs w:val="20"/>
                <w:color w:val="auto"/>
              </w:rPr>
            </w:pPr>
            <w:r>
              <w:rPr>
                <w:rFonts w:ascii="Arial" w:cs="Arial" w:eastAsia="Arial" w:hAnsi="Arial"/>
                <w:sz w:val="22"/>
                <w:szCs w:val="22"/>
                <w:color w:val="auto"/>
                <w:w w:val="81"/>
              </w:rPr>
              <w:t>7</w:t>
            </w:r>
          </w:p>
        </w:tc>
      </w:tr>
      <w:tr>
        <w:trPr>
          <w:trHeight w:val="297"/>
        </w:trPr>
        <w:tc>
          <w:tcPr>
            <w:tcW w:w="960" w:type="dxa"/>
            <w:vAlign w:val="bottom"/>
          </w:tcPr>
          <w:p>
            <w:pPr>
              <w:jc w:val="center"/>
              <w:ind w:left="472"/>
              <w:spacing w:after="0"/>
              <w:rPr>
                <w:sz w:val="20"/>
                <w:szCs w:val="20"/>
                <w:color w:val="auto"/>
              </w:rPr>
            </w:pPr>
            <w:r>
              <w:rPr>
                <w:rFonts w:ascii="Arial" w:cs="Arial" w:eastAsia="Arial" w:hAnsi="Arial"/>
                <w:sz w:val="22"/>
                <w:szCs w:val="22"/>
                <w:color w:val="auto"/>
                <w:w w:val="84"/>
              </w:rPr>
              <w:t>6.3</w:t>
            </w:r>
          </w:p>
        </w:tc>
        <w:tc>
          <w:tcPr>
            <w:tcW w:w="300" w:type="dxa"/>
            <w:vAlign w:val="bottom"/>
          </w:tcPr>
          <w:p>
            <w:pPr>
              <w:spacing w:after="0"/>
              <w:rPr>
                <w:sz w:val="24"/>
                <w:szCs w:val="24"/>
                <w:color w:val="auto"/>
              </w:rPr>
            </w:pPr>
          </w:p>
        </w:tc>
        <w:tc>
          <w:tcPr>
            <w:tcW w:w="6560" w:type="dxa"/>
            <w:vAlign w:val="bottom"/>
            <w:gridSpan w:val="2"/>
          </w:tcPr>
          <w:p>
            <w:pPr>
              <w:ind w:left="80"/>
              <w:spacing w:after="0"/>
              <w:rPr>
                <w:sz w:val="20"/>
                <w:szCs w:val="20"/>
                <w:color w:val="auto"/>
              </w:rPr>
            </w:pPr>
            <w:r>
              <w:rPr>
                <w:rFonts w:ascii="Arial" w:cs="Arial" w:eastAsia="Arial" w:hAnsi="Arial"/>
                <w:sz w:val="22"/>
                <w:szCs w:val="22"/>
                <w:color w:val="auto"/>
                <w:w w:val="91"/>
              </w:rPr>
              <w:t>Subsequent Changes in Time and Form of Payment.................................</w:t>
            </w:r>
          </w:p>
        </w:tc>
        <w:tc>
          <w:tcPr>
            <w:tcW w:w="480" w:type="dxa"/>
            <w:vAlign w:val="bottom"/>
          </w:tcPr>
          <w:p>
            <w:pPr>
              <w:jc w:val="center"/>
              <w:ind w:left="152"/>
              <w:spacing w:after="0"/>
              <w:rPr>
                <w:sz w:val="20"/>
                <w:szCs w:val="20"/>
                <w:color w:val="auto"/>
              </w:rPr>
            </w:pPr>
            <w:r>
              <w:rPr>
                <w:rFonts w:ascii="Arial" w:cs="Arial" w:eastAsia="Arial" w:hAnsi="Arial"/>
                <w:sz w:val="22"/>
                <w:szCs w:val="22"/>
                <w:color w:val="auto"/>
                <w:w w:val="81"/>
              </w:rPr>
              <w:t>7</w:t>
            </w:r>
          </w:p>
        </w:tc>
      </w:tr>
      <w:tr>
        <w:trPr>
          <w:trHeight w:val="297"/>
        </w:trPr>
        <w:tc>
          <w:tcPr>
            <w:tcW w:w="960" w:type="dxa"/>
            <w:vAlign w:val="bottom"/>
          </w:tcPr>
          <w:p>
            <w:pPr>
              <w:spacing w:after="0"/>
              <w:rPr>
                <w:sz w:val="20"/>
                <w:szCs w:val="20"/>
                <w:color w:val="auto"/>
              </w:rPr>
            </w:pPr>
            <w:r>
              <w:rPr>
                <w:rFonts w:ascii="Arial" w:cs="Arial" w:eastAsia="Arial" w:hAnsi="Arial"/>
                <w:sz w:val="22"/>
                <w:szCs w:val="22"/>
                <w:color w:val="auto"/>
              </w:rPr>
              <w:t>ARTICLE</w:t>
            </w:r>
          </w:p>
        </w:tc>
        <w:tc>
          <w:tcPr>
            <w:tcW w:w="300" w:type="dxa"/>
            <w:vAlign w:val="bottom"/>
          </w:tcPr>
          <w:p>
            <w:pPr>
              <w:spacing w:after="0"/>
              <w:rPr>
                <w:sz w:val="20"/>
                <w:szCs w:val="20"/>
                <w:color w:val="auto"/>
              </w:rPr>
            </w:pPr>
            <w:r>
              <w:rPr>
                <w:rFonts w:ascii="Arial" w:cs="Arial" w:eastAsia="Arial" w:hAnsi="Arial"/>
                <w:sz w:val="22"/>
                <w:szCs w:val="22"/>
                <w:color w:val="auto"/>
              </w:rPr>
              <w:t>7</w:t>
            </w:r>
          </w:p>
        </w:tc>
        <w:tc>
          <w:tcPr>
            <w:tcW w:w="660" w:type="dxa"/>
            <w:vAlign w:val="bottom"/>
          </w:tcPr>
          <w:p>
            <w:pPr>
              <w:spacing w:after="0"/>
              <w:rPr>
                <w:sz w:val="24"/>
                <w:szCs w:val="24"/>
                <w:color w:val="auto"/>
              </w:rPr>
            </w:pPr>
          </w:p>
        </w:tc>
        <w:tc>
          <w:tcPr>
            <w:tcW w:w="5900" w:type="dxa"/>
            <w:vAlign w:val="bottom"/>
          </w:tcPr>
          <w:p>
            <w:pPr>
              <w:ind w:left="20"/>
              <w:spacing w:after="0"/>
              <w:rPr>
                <w:sz w:val="20"/>
                <w:szCs w:val="20"/>
                <w:color w:val="auto"/>
              </w:rPr>
            </w:pPr>
            <w:r>
              <w:rPr>
                <w:rFonts w:ascii="Arial" w:cs="Arial" w:eastAsia="Arial" w:hAnsi="Arial"/>
                <w:sz w:val="22"/>
                <w:szCs w:val="22"/>
                <w:color w:val="auto"/>
                <w:w w:val="92"/>
              </w:rPr>
              <w:t>Payment Acceleration and Delay...................................................</w:t>
            </w:r>
          </w:p>
        </w:tc>
        <w:tc>
          <w:tcPr>
            <w:tcW w:w="480" w:type="dxa"/>
            <w:vAlign w:val="bottom"/>
          </w:tcPr>
          <w:p>
            <w:pPr>
              <w:jc w:val="center"/>
              <w:ind w:left="152"/>
              <w:spacing w:after="0"/>
              <w:rPr>
                <w:sz w:val="20"/>
                <w:szCs w:val="20"/>
                <w:color w:val="auto"/>
              </w:rPr>
            </w:pPr>
            <w:r>
              <w:rPr>
                <w:rFonts w:ascii="Arial" w:cs="Arial" w:eastAsia="Arial" w:hAnsi="Arial"/>
                <w:sz w:val="22"/>
                <w:szCs w:val="22"/>
                <w:color w:val="auto"/>
                <w:w w:val="81"/>
              </w:rPr>
              <w:t>8</w:t>
            </w:r>
          </w:p>
        </w:tc>
      </w:tr>
      <w:tr>
        <w:trPr>
          <w:trHeight w:val="297"/>
        </w:trPr>
        <w:tc>
          <w:tcPr>
            <w:tcW w:w="960" w:type="dxa"/>
            <w:vAlign w:val="bottom"/>
          </w:tcPr>
          <w:p>
            <w:pPr>
              <w:jc w:val="center"/>
              <w:ind w:left="472"/>
              <w:spacing w:after="0"/>
              <w:rPr>
                <w:sz w:val="20"/>
                <w:szCs w:val="20"/>
                <w:color w:val="auto"/>
              </w:rPr>
            </w:pPr>
            <w:r>
              <w:rPr>
                <w:rFonts w:ascii="Arial" w:cs="Arial" w:eastAsia="Arial" w:hAnsi="Arial"/>
                <w:sz w:val="22"/>
                <w:szCs w:val="22"/>
                <w:color w:val="auto"/>
                <w:w w:val="84"/>
              </w:rPr>
              <w:t>7.1</w:t>
            </w:r>
          </w:p>
        </w:tc>
        <w:tc>
          <w:tcPr>
            <w:tcW w:w="300" w:type="dxa"/>
            <w:vAlign w:val="bottom"/>
          </w:tcPr>
          <w:p>
            <w:pPr>
              <w:spacing w:after="0"/>
              <w:rPr>
                <w:sz w:val="24"/>
                <w:szCs w:val="24"/>
                <w:color w:val="auto"/>
              </w:rPr>
            </w:pPr>
          </w:p>
        </w:tc>
        <w:tc>
          <w:tcPr>
            <w:tcW w:w="6560" w:type="dxa"/>
            <w:vAlign w:val="bottom"/>
            <w:gridSpan w:val="2"/>
          </w:tcPr>
          <w:p>
            <w:pPr>
              <w:ind w:left="80"/>
              <w:spacing w:after="0"/>
              <w:rPr>
                <w:sz w:val="20"/>
                <w:szCs w:val="20"/>
                <w:color w:val="auto"/>
              </w:rPr>
            </w:pPr>
            <w:r>
              <w:rPr>
                <w:rFonts w:ascii="Arial" w:cs="Arial" w:eastAsia="Arial" w:hAnsi="Arial"/>
                <w:sz w:val="22"/>
                <w:szCs w:val="22"/>
                <w:color w:val="auto"/>
                <w:w w:val="92"/>
              </w:rPr>
              <w:t>Permitted Accelerations of Payment.........................................................</w:t>
            </w:r>
          </w:p>
        </w:tc>
        <w:tc>
          <w:tcPr>
            <w:tcW w:w="480" w:type="dxa"/>
            <w:vAlign w:val="bottom"/>
          </w:tcPr>
          <w:p>
            <w:pPr>
              <w:jc w:val="center"/>
              <w:ind w:left="152"/>
              <w:spacing w:after="0"/>
              <w:rPr>
                <w:sz w:val="20"/>
                <w:szCs w:val="20"/>
                <w:color w:val="auto"/>
              </w:rPr>
            </w:pPr>
            <w:r>
              <w:rPr>
                <w:rFonts w:ascii="Arial" w:cs="Arial" w:eastAsia="Arial" w:hAnsi="Arial"/>
                <w:sz w:val="22"/>
                <w:szCs w:val="22"/>
                <w:color w:val="auto"/>
                <w:w w:val="81"/>
              </w:rPr>
              <w:t>8</w:t>
            </w:r>
          </w:p>
        </w:tc>
      </w:tr>
      <w:tr>
        <w:trPr>
          <w:trHeight w:val="297"/>
        </w:trPr>
        <w:tc>
          <w:tcPr>
            <w:tcW w:w="960" w:type="dxa"/>
            <w:vAlign w:val="bottom"/>
          </w:tcPr>
          <w:p>
            <w:pPr>
              <w:jc w:val="center"/>
              <w:ind w:left="472"/>
              <w:spacing w:after="0"/>
              <w:rPr>
                <w:sz w:val="20"/>
                <w:szCs w:val="20"/>
                <w:color w:val="auto"/>
              </w:rPr>
            </w:pPr>
            <w:r>
              <w:rPr>
                <w:rFonts w:ascii="Arial" w:cs="Arial" w:eastAsia="Arial" w:hAnsi="Arial"/>
                <w:sz w:val="22"/>
                <w:szCs w:val="22"/>
                <w:color w:val="auto"/>
                <w:w w:val="84"/>
              </w:rPr>
              <w:t>7.2</w:t>
            </w:r>
          </w:p>
        </w:tc>
        <w:tc>
          <w:tcPr>
            <w:tcW w:w="300" w:type="dxa"/>
            <w:vAlign w:val="bottom"/>
          </w:tcPr>
          <w:p>
            <w:pPr>
              <w:spacing w:after="0"/>
              <w:rPr>
                <w:sz w:val="24"/>
                <w:szCs w:val="24"/>
                <w:color w:val="auto"/>
              </w:rPr>
            </w:pPr>
          </w:p>
        </w:tc>
        <w:tc>
          <w:tcPr>
            <w:tcW w:w="6560" w:type="dxa"/>
            <w:vAlign w:val="bottom"/>
            <w:gridSpan w:val="2"/>
          </w:tcPr>
          <w:p>
            <w:pPr>
              <w:ind w:left="80"/>
              <w:spacing w:after="0"/>
              <w:rPr>
                <w:sz w:val="20"/>
                <w:szCs w:val="20"/>
                <w:color w:val="auto"/>
              </w:rPr>
            </w:pPr>
            <w:r>
              <w:rPr>
                <w:rFonts w:ascii="Arial" w:cs="Arial" w:eastAsia="Arial" w:hAnsi="Arial"/>
                <w:sz w:val="22"/>
                <w:szCs w:val="22"/>
                <w:color w:val="auto"/>
                <w:w w:val="92"/>
              </w:rPr>
              <w:t>Permissible Distribution Delays................................................................</w:t>
            </w:r>
          </w:p>
        </w:tc>
        <w:tc>
          <w:tcPr>
            <w:tcW w:w="480" w:type="dxa"/>
            <w:vAlign w:val="bottom"/>
          </w:tcPr>
          <w:p>
            <w:pPr>
              <w:jc w:val="center"/>
              <w:ind w:left="152"/>
              <w:spacing w:after="0"/>
              <w:rPr>
                <w:sz w:val="20"/>
                <w:szCs w:val="20"/>
                <w:color w:val="auto"/>
              </w:rPr>
            </w:pPr>
            <w:r>
              <w:rPr>
                <w:rFonts w:ascii="Arial" w:cs="Arial" w:eastAsia="Arial" w:hAnsi="Arial"/>
                <w:sz w:val="22"/>
                <w:szCs w:val="22"/>
                <w:color w:val="auto"/>
                <w:w w:val="81"/>
              </w:rPr>
              <w:t>8</w:t>
            </w:r>
          </w:p>
        </w:tc>
      </w:tr>
      <w:tr>
        <w:trPr>
          <w:trHeight w:val="297"/>
        </w:trPr>
        <w:tc>
          <w:tcPr>
            <w:tcW w:w="960" w:type="dxa"/>
            <w:vAlign w:val="bottom"/>
          </w:tcPr>
          <w:p>
            <w:pPr>
              <w:jc w:val="center"/>
              <w:ind w:left="472"/>
              <w:spacing w:after="0"/>
              <w:rPr>
                <w:sz w:val="20"/>
                <w:szCs w:val="20"/>
                <w:color w:val="auto"/>
              </w:rPr>
            </w:pPr>
            <w:r>
              <w:rPr>
                <w:rFonts w:ascii="Arial" w:cs="Arial" w:eastAsia="Arial" w:hAnsi="Arial"/>
                <w:sz w:val="22"/>
                <w:szCs w:val="22"/>
                <w:color w:val="auto"/>
                <w:w w:val="84"/>
              </w:rPr>
              <w:t>7.3</w:t>
            </w:r>
          </w:p>
        </w:tc>
        <w:tc>
          <w:tcPr>
            <w:tcW w:w="300" w:type="dxa"/>
            <w:vAlign w:val="bottom"/>
          </w:tcPr>
          <w:p>
            <w:pPr>
              <w:spacing w:after="0"/>
              <w:rPr>
                <w:sz w:val="24"/>
                <w:szCs w:val="24"/>
                <w:color w:val="auto"/>
              </w:rPr>
            </w:pPr>
          </w:p>
        </w:tc>
        <w:tc>
          <w:tcPr>
            <w:tcW w:w="6560" w:type="dxa"/>
            <w:vAlign w:val="bottom"/>
            <w:gridSpan w:val="2"/>
          </w:tcPr>
          <w:p>
            <w:pPr>
              <w:ind w:left="80"/>
              <w:spacing w:after="0"/>
              <w:rPr>
                <w:sz w:val="20"/>
                <w:szCs w:val="20"/>
                <w:color w:val="auto"/>
              </w:rPr>
            </w:pPr>
            <w:r>
              <w:rPr>
                <w:rFonts w:ascii="Arial" w:cs="Arial" w:eastAsia="Arial" w:hAnsi="Arial"/>
                <w:sz w:val="22"/>
                <w:szCs w:val="22"/>
                <w:color w:val="auto"/>
                <w:w w:val="92"/>
              </w:rPr>
              <w:t>Suspension Not Allowed...........................................................................</w:t>
            </w:r>
          </w:p>
        </w:tc>
        <w:tc>
          <w:tcPr>
            <w:tcW w:w="480" w:type="dxa"/>
            <w:vAlign w:val="bottom"/>
          </w:tcPr>
          <w:p>
            <w:pPr>
              <w:jc w:val="center"/>
              <w:ind w:left="152"/>
              <w:spacing w:after="0"/>
              <w:rPr>
                <w:sz w:val="20"/>
                <w:szCs w:val="20"/>
                <w:color w:val="auto"/>
              </w:rPr>
            </w:pPr>
            <w:r>
              <w:rPr>
                <w:rFonts w:ascii="Arial" w:cs="Arial" w:eastAsia="Arial" w:hAnsi="Arial"/>
                <w:sz w:val="22"/>
                <w:szCs w:val="22"/>
                <w:color w:val="auto"/>
                <w:w w:val="81"/>
              </w:rPr>
              <w:t>9</w:t>
            </w:r>
          </w:p>
        </w:tc>
      </w:tr>
      <w:tr>
        <w:trPr>
          <w:trHeight w:val="297"/>
        </w:trPr>
        <w:tc>
          <w:tcPr>
            <w:tcW w:w="960" w:type="dxa"/>
            <w:vAlign w:val="bottom"/>
          </w:tcPr>
          <w:p>
            <w:pPr>
              <w:spacing w:after="0"/>
              <w:rPr>
                <w:sz w:val="20"/>
                <w:szCs w:val="20"/>
                <w:color w:val="auto"/>
              </w:rPr>
            </w:pPr>
            <w:r>
              <w:rPr>
                <w:rFonts w:ascii="Arial" w:cs="Arial" w:eastAsia="Arial" w:hAnsi="Arial"/>
                <w:sz w:val="22"/>
                <w:szCs w:val="22"/>
                <w:color w:val="auto"/>
              </w:rPr>
              <w:t>ARTICLE</w:t>
            </w:r>
          </w:p>
        </w:tc>
        <w:tc>
          <w:tcPr>
            <w:tcW w:w="300" w:type="dxa"/>
            <w:vAlign w:val="bottom"/>
          </w:tcPr>
          <w:p>
            <w:pPr>
              <w:spacing w:after="0"/>
              <w:rPr>
                <w:sz w:val="20"/>
                <w:szCs w:val="20"/>
                <w:color w:val="auto"/>
              </w:rPr>
            </w:pPr>
            <w:r>
              <w:rPr>
                <w:rFonts w:ascii="Arial" w:cs="Arial" w:eastAsia="Arial" w:hAnsi="Arial"/>
                <w:sz w:val="22"/>
                <w:szCs w:val="22"/>
                <w:color w:val="auto"/>
              </w:rPr>
              <w:t>8</w:t>
            </w:r>
          </w:p>
        </w:tc>
        <w:tc>
          <w:tcPr>
            <w:tcW w:w="660" w:type="dxa"/>
            <w:vAlign w:val="bottom"/>
          </w:tcPr>
          <w:p>
            <w:pPr>
              <w:spacing w:after="0"/>
              <w:rPr>
                <w:sz w:val="24"/>
                <w:szCs w:val="24"/>
                <w:color w:val="auto"/>
              </w:rPr>
            </w:pPr>
          </w:p>
        </w:tc>
        <w:tc>
          <w:tcPr>
            <w:tcW w:w="5900" w:type="dxa"/>
            <w:vAlign w:val="bottom"/>
          </w:tcPr>
          <w:p>
            <w:pPr>
              <w:ind w:left="160"/>
              <w:spacing w:after="0"/>
              <w:rPr>
                <w:sz w:val="20"/>
                <w:szCs w:val="20"/>
                <w:color w:val="auto"/>
              </w:rPr>
            </w:pPr>
            <w:r>
              <w:rPr>
                <w:rFonts w:ascii="Arial" w:cs="Arial" w:eastAsia="Arial" w:hAnsi="Arial"/>
                <w:sz w:val="22"/>
                <w:szCs w:val="22"/>
                <w:color w:val="auto"/>
                <w:w w:val="93"/>
              </w:rPr>
              <w:t>Beneficiary Designation..............................................................</w:t>
            </w:r>
          </w:p>
        </w:tc>
        <w:tc>
          <w:tcPr>
            <w:tcW w:w="480" w:type="dxa"/>
            <w:vAlign w:val="bottom"/>
          </w:tcPr>
          <w:p>
            <w:pPr>
              <w:jc w:val="center"/>
              <w:ind w:left="152"/>
              <w:spacing w:after="0"/>
              <w:rPr>
                <w:sz w:val="20"/>
                <w:szCs w:val="20"/>
                <w:color w:val="auto"/>
              </w:rPr>
            </w:pPr>
            <w:r>
              <w:rPr>
                <w:rFonts w:ascii="Arial" w:cs="Arial" w:eastAsia="Arial" w:hAnsi="Arial"/>
                <w:sz w:val="22"/>
                <w:szCs w:val="22"/>
                <w:color w:val="auto"/>
                <w:w w:val="81"/>
              </w:rPr>
              <w:t>9</w:t>
            </w:r>
          </w:p>
        </w:tc>
      </w:tr>
      <w:tr>
        <w:trPr>
          <w:trHeight w:val="297"/>
        </w:trPr>
        <w:tc>
          <w:tcPr>
            <w:tcW w:w="960" w:type="dxa"/>
            <w:vAlign w:val="bottom"/>
          </w:tcPr>
          <w:p>
            <w:pPr>
              <w:jc w:val="center"/>
              <w:ind w:left="472"/>
              <w:spacing w:after="0"/>
              <w:rPr>
                <w:sz w:val="20"/>
                <w:szCs w:val="20"/>
                <w:color w:val="auto"/>
              </w:rPr>
            </w:pPr>
            <w:r>
              <w:rPr>
                <w:rFonts w:ascii="Arial" w:cs="Arial" w:eastAsia="Arial" w:hAnsi="Arial"/>
                <w:sz w:val="22"/>
                <w:szCs w:val="22"/>
                <w:color w:val="auto"/>
                <w:w w:val="84"/>
              </w:rPr>
              <w:t>8.1</w:t>
            </w:r>
          </w:p>
        </w:tc>
        <w:tc>
          <w:tcPr>
            <w:tcW w:w="300" w:type="dxa"/>
            <w:vAlign w:val="bottom"/>
          </w:tcPr>
          <w:p>
            <w:pPr>
              <w:spacing w:after="0"/>
              <w:rPr>
                <w:sz w:val="24"/>
                <w:szCs w:val="24"/>
                <w:color w:val="auto"/>
              </w:rPr>
            </w:pPr>
          </w:p>
        </w:tc>
        <w:tc>
          <w:tcPr>
            <w:tcW w:w="6560" w:type="dxa"/>
            <w:vAlign w:val="bottom"/>
            <w:gridSpan w:val="2"/>
          </w:tcPr>
          <w:p>
            <w:pPr>
              <w:ind w:left="80"/>
              <w:spacing w:after="0"/>
              <w:rPr>
                <w:sz w:val="20"/>
                <w:szCs w:val="20"/>
                <w:color w:val="auto"/>
              </w:rPr>
            </w:pPr>
            <w:r>
              <w:rPr>
                <w:rFonts w:ascii="Arial" w:cs="Arial" w:eastAsia="Arial" w:hAnsi="Arial"/>
                <w:sz w:val="22"/>
                <w:szCs w:val="22"/>
                <w:color w:val="auto"/>
                <w:w w:val="92"/>
              </w:rPr>
              <w:t>Beneficiary................................................................................................</w:t>
            </w:r>
          </w:p>
        </w:tc>
        <w:tc>
          <w:tcPr>
            <w:tcW w:w="480" w:type="dxa"/>
            <w:vAlign w:val="bottom"/>
          </w:tcPr>
          <w:p>
            <w:pPr>
              <w:jc w:val="center"/>
              <w:ind w:left="152"/>
              <w:spacing w:after="0"/>
              <w:rPr>
                <w:sz w:val="20"/>
                <w:szCs w:val="20"/>
                <w:color w:val="auto"/>
              </w:rPr>
            </w:pPr>
            <w:r>
              <w:rPr>
                <w:rFonts w:ascii="Arial" w:cs="Arial" w:eastAsia="Arial" w:hAnsi="Arial"/>
                <w:sz w:val="22"/>
                <w:szCs w:val="22"/>
                <w:color w:val="auto"/>
                <w:w w:val="81"/>
              </w:rPr>
              <w:t>9</w:t>
            </w:r>
          </w:p>
        </w:tc>
      </w:tr>
      <w:tr>
        <w:trPr>
          <w:trHeight w:val="297"/>
        </w:trPr>
        <w:tc>
          <w:tcPr>
            <w:tcW w:w="960" w:type="dxa"/>
            <w:vAlign w:val="bottom"/>
          </w:tcPr>
          <w:p>
            <w:pPr>
              <w:jc w:val="center"/>
              <w:ind w:left="472"/>
              <w:spacing w:after="0"/>
              <w:rPr>
                <w:sz w:val="20"/>
                <w:szCs w:val="20"/>
                <w:color w:val="auto"/>
              </w:rPr>
            </w:pPr>
            <w:r>
              <w:rPr>
                <w:rFonts w:ascii="Arial" w:cs="Arial" w:eastAsia="Arial" w:hAnsi="Arial"/>
                <w:sz w:val="22"/>
                <w:szCs w:val="22"/>
                <w:color w:val="auto"/>
                <w:w w:val="84"/>
              </w:rPr>
              <w:t>8.2</w:t>
            </w:r>
          </w:p>
        </w:tc>
        <w:tc>
          <w:tcPr>
            <w:tcW w:w="300" w:type="dxa"/>
            <w:vAlign w:val="bottom"/>
          </w:tcPr>
          <w:p>
            <w:pPr>
              <w:spacing w:after="0"/>
              <w:rPr>
                <w:sz w:val="24"/>
                <w:szCs w:val="24"/>
                <w:color w:val="auto"/>
              </w:rPr>
            </w:pPr>
          </w:p>
        </w:tc>
        <w:tc>
          <w:tcPr>
            <w:tcW w:w="6560" w:type="dxa"/>
            <w:vAlign w:val="bottom"/>
            <w:gridSpan w:val="2"/>
          </w:tcPr>
          <w:p>
            <w:pPr>
              <w:ind w:left="80"/>
              <w:spacing w:after="0"/>
              <w:rPr>
                <w:sz w:val="20"/>
                <w:szCs w:val="20"/>
                <w:color w:val="auto"/>
              </w:rPr>
            </w:pPr>
            <w:r>
              <w:rPr>
                <w:rFonts w:ascii="Arial" w:cs="Arial" w:eastAsia="Arial" w:hAnsi="Arial"/>
                <w:sz w:val="22"/>
                <w:szCs w:val="22"/>
                <w:color w:val="auto"/>
                <w:w w:val="93"/>
              </w:rPr>
              <w:t>No Beneficiary Designation......................................................................</w:t>
            </w:r>
          </w:p>
        </w:tc>
        <w:tc>
          <w:tcPr>
            <w:tcW w:w="480" w:type="dxa"/>
            <w:vAlign w:val="bottom"/>
          </w:tcPr>
          <w:p>
            <w:pPr>
              <w:jc w:val="center"/>
              <w:ind w:left="152"/>
              <w:spacing w:after="0"/>
              <w:rPr>
                <w:sz w:val="20"/>
                <w:szCs w:val="20"/>
                <w:color w:val="auto"/>
              </w:rPr>
            </w:pPr>
            <w:r>
              <w:rPr>
                <w:rFonts w:ascii="Arial" w:cs="Arial" w:eastAsia="Arial" w:hAnsi="Arial"/>
                <w:sz w:val="22"/>
                <w:szCs w:val="22"/>
                <w:color w:val="auto"/>
                <w:w w:val="81"/>
              </w:rPr>
              <w:t>9</w:t>
            </w:r>
          </w:p>
        </w:tc>
      </w:tr>
      <w:tr>
        <w:trPr>
          <w:trHeight w:val="297"/>
        </w:trPr>
        <w:tc>
          <w:tcPr>
            <w:tcW w:w="960" w:type="dxa"/>
            <w:vAlign w:val="bottom"/>
          </w:tcPr>
          <w:p>
            <w:pPr>
              <w:spacing w:after="0"/>
              <w:rPr>
                <w:sz w:val="20"/>
                <w:szCs w:val="20"/>
                <w:color w:val="auto"/>
              </w:rPr>
            </w:pPr>
            <w:r>
              <w:rPr>
                <w:rFonts w:ascii="Arial" w:cs="Arial" w:eastAsia="Arial" w:hAnsi="Arial"/>
                <w:sz w:val="22"/>
                <w:szCs w:val="22"/>
                <w:color w:val="auto"/>
              </w:rPr>
              <w:t>ARTICLE</w:t>
            </w:r>
          </w:p>
        </w:tc>
        <w:tc>
          <w:tcPr>
            <w:tcW w:w="300" w:type="dxa"/>
            <w:vAlign w:val="bottom"/>
          </w:tcPr>
          <w:p>
            <w:pPr>
              <w:spacing w:after="0"/>
              <w:rPr>
                <w:sz w:val="20"/>
                <w:szCs w:val="20"/>
                <w:color w:val="auto"/>
              </w:rPr>
            </w:pPr>
            <w:r>
              <w:rPr>
                <w:rFonts w:ascii="Arial" w:cs="Arial" w:eastAsia="Arial" w:hAnsi="Arial"/>
                <w:sz w:val="22"/>
                <w:szCs w:val="22"/>
                <w:color w:val="auto"/>
              </w:rPr>
              <w:t>9</w:t>
            </w:r>
          </w:p>
        </w:tc>
        <w:tc>
          <w:tcPr>
            <w:tcW w:w="660" w:type="dxa"/>
            <w:vAlign w:val="bottom"/>
          </w:tcPr>
          <w:p>
            <w:pPr>
              <w:spacing w:after="0"/>
              <w:rPr>
                <w:sz w:val="24"/>
                <w:szCs w:val="24"/>
                <w:color w:val="auto"/>
              </w:rPr>
            </w:pPr>
          </w:p>
        </w:tc>
        <w:tc>
          <w:tcPr>
            <w:tcW w:w="5900" w:type="dxa"/>
            <w:vAlign w:val="bottom"/>
          </w:tcPr>
          <w:p>
            <w:pPr>
              <w:ind w:left="160"/>
              <w:spacing w:after="0"/>
              <w:rPr>
                <w:sz w:val="20"/>
                <w:szCs w:val="20"/>
                <w:color w:val="auto"/>
              </w:rPr>
            </w:pPr>
            <w:r>
              <w:rPr>
                <w:rFonts w:ascii="Arial" w:cs="Arial" w:eastAsia="Arial" w:hAnsi="Arial"/>
                <w:sz w:val="22"/>
                <w:szCs w:val="22"/>
                <w:color w:val="auto"/>
                <w:w w:val="92"/>
              </w:rPr>
              <w:t>Claims Procedures.......................................................................</w:t>
            </w:r>
          </w:p>
        </w:tc>
        <w:tc>
          <w:tcPr>
            <w:tcW w:w="480" w:type="dxa"/>
            <w:vAlign w:val="bottom"/>
          </w:tcPr>
          <w:p>
            <w:pPr>
              <w:jc w:val="center"/>
              <w:ind w:left="152"/>
              <w:spacing w:after="0"/>
              <w:rPr>
                <w:sz w:val="20"/>
                <w:szCs w:val="20"/>
                <w:color w:val="auto"/>
              </w:rPr>
            </w:pPr>
            <w:r>
              <w:rPr>
                <w:rFonts w:ascii="Arial" w:cs="Arial" w:eastAsia="Arial" w:hAnsi="Arial"/>
                <w:sz w:val="22"/>
                <w:szCs w:val="22"/>
                <w:color w:val="auto"/>
                <w:w w:val="81"/>
              </w:rPr>
              <w:t>9</w:t>
            </w:r>
          </w:p>
        </w:tc>
      </w:tr>
      <w:tr>
        <w:trPr>
          <w:trHeight w:val="297"/>
        </w:trPr>
        <w:tc>
          <w:tcPr>
            <w:tcW w:w="960" w:type="dxa"/>
            <w:vAlign w:val="bottom"/>
          </w:tcPr>
          <w:p>
            <w:pPr>
              <w:spacing w:after="0"/>
              <w:rPr>
                <w:sz w:val="20"/>
                <w:szCs w:val="20"/>
                <w:color w:val="auto"/>
              </w:rPr>
            </w:pPr>
            <w:r>
              <w:rPr>
                <w:rFonts w:ascii="Arial" w:cs="Arial" w:eastAsia="Arial" w:hAnsi="Arial"/>
                <w:sz w:val="22"/>
                <w:szCs w:val="22"/>
                <w:color w:val="auto"/>
              </w:rPr>
              <w:t>ARTICLE</w:t>
            </w:r>
          </w:p>
        </w:tc>
        <w:tc>
          <w:tcPr>
            <w:tcW w:w="300" w:type="dxa"/>
            <w:vAlign w:val="bottom"/>
          </w:tcPr>
          <w:p>
            <w:pPr>
              <w:spacing w:after="0"/>
              <w:rPr>
                <w:sz w:val="20"/>
                <w:szCs w:val="20"/>
                <w:color w:val="auto"/>
              </w:rPr>
            </w:pPr>
            <w:r>
              <w:rPr>
                <w:rFonts w:ascii="Arial" w:cs="Arial" w:eastAsia="Arial" w:hAnsi="Arial"/>
                <w:sz w:val="22"/>
                <w:szCs w:val="22"/>
                <w:color w:val="auto"/>
              </w:rPr>
              <w:t>10</w:t>
            </w:r>
          </w:p>
        </w:tc>
        <w:tc>
          <w:tcPr>
            <w:tcW w:w="660" w:type="dxa"/>
            <w:vAlign w:val="bottom"/>
          </w:tcPr>
          <w:p>
            <w:pPr>
              <w:spacing w:after="0"/>
              <w:rPr>
                <w:sz w:val="24"/>
                <w:szCs w:val="24"/>
                <w:color w:val="auto"/>
              </w:rPr>
            </w:pPr>
          </w:p>
        </w:tc>
        <w:tc>
          <w:tcPr>
            <w:tcW w:w="5900" w:type="dxa"/>
            <w:vAlign w:val="bottom"/>
          </w:tcPr>
          <w:p>
            <w:pPr>
              <w:ind w:left="160"/>
              <w:spacing w:after="0"/>
              <w:rPr>
                <w:sz w:val="20"/>
                <w:szCs w:val="20"/>
                <w:color w:val="auto"/>
              </w:rPr>
            </w:pPr>
            <w:r>
              <w:rPr>
                <w:rFonts w:ascii="Arial" w:cs="Arial" w:eastAsia="Arial" w:hAnsi="Arial"/>
                <w:sz w:val="22"/>
                <w:szCs w:val="22"/>
                <w:color w:val="auto"/>
                <w:w w:val="93"/>
              </w:rPr>
              <w:t>Amendment or Termination........................................................</w:t>
            </w:r>
          </w:p>
        </w:tc>
        <w:tc>
          <w:tcPr>
            <w:tcW w:w="480" w:type="dxa"/>
            <w:vAlign w:val="bottom"/>
          </w:tcPr>
          <w:p>
            <w:pPr>
              <w:jc w:val="center"/>
              <w:ind w:left="152"/>
              <w:spacing w:after="0"/>
              <w:rPr>
                <w:sz w:val="20"/>
                <w:szCs w:val="20"/>
                <w:color w:val="auto"/>
              </w:rPr>
            </w:pPr>
            <w:r>
              <w:rPr>
                <w:rFonts w:ascii="Arial" w:cs="Arial" w:eastAsia="Arial" w:hAnsi="Arial"/>
                <w:sz w:val="22"/>
                <w:szCs w:val="22"/>
                <w:color w:val="auto"/>
                <w:w w:val="89"/>
              </w:rPr>
              <w:t>10</w:t>
            </w:r>
          </w:p>
        </w:tc>
      </w:tr>
      <w:tr>
        <w:trPr>
          <w:trHeight w:val="297"/>
        </w:trPr>
        <w:tc>
          <w:tcPr>
            <w:tcW w:w="960" w:type="dxa"/>
            <w:vAlign w:val="bottom"/>
          </w:tcPr>
          <w:p>
            <w:pPr>
              <w:spacing w:after="0"/>
              <w:rPr>
                <w:sz w:val="20"/>
                <w:szCs w:val="20"/>
                <w:color w:val="auto"/>
              </w:rPr>
            </w:pPr>
            <w:r>
              <w:rPr>
                <w:rFonts w:ascii="Arial" w:cs="Arial" w:eastAsia="Arial" w:hAnsi="Arial"/>
                <w:sz w:val="22"/>
                <w:szCs w:val="22"/>
                <w:color w:val="auto"/>
              </w:rPr>
              <w:t>ARTICLE</w:t>
            </w:r>
          </w:p>
        </w:tc>
        <w:tc>
          <w:tcPr>
            <w:tcW w:w="300" w:type="dxa"/>
            <w:vAlign w:val="bottom"/>
          </w:tcPr>
          <w:p>
            <w:pPr>
              <w:spacing w:after="0"/>
              <w:rPr>
                <w:sz w:val="20"/>
                <w:szCs w:val="20"/>
                <w:color w:val="auto"/>
              </w:rPr>
            </w:pPr>
            <w:r>
              <w:rPr>
                <w:rFonts w:ascii="Arial" w:cs="Arial" w:eastAsia="Arial" w:hAnsi="Arial"/>
                <w:sz w:val="22"/>
                <w:szCs w:val="22"/>
                <w:color w:val="auto"/>
              </w:rPr>
              <w:t>11</w:t>
            </w:r>
          </w:p>
        </w:tc>
        <w:tc>
          <w:tcPr>
            <w:tcW w:w="660" w:type="dxa"/>
            <w:vAlign w:val="bottom"/>
          </w:tcPr>
          <w:p>
            <w:pPr>
              <w:spacing w:after="0"/>
              <w:rPr>
                <w:sz w:val="24"/>
                <w:szCs w:val="24"/>
                <w:color w:val="auto"/>
              </w:rPr>
            </w:pPr>
          </w:p>
        </w:tc>
        <w:tc>
          <w:tcPr>
            <w:tcW w:w="5900" w:type="dxa"/>
            <w:vAlign w:val="bottom"/>
          </w:tcPr>
          <w:p>
            <w:pPr>
              <w:ind w:left="160"/>
              <w:spacing w:after="0"/>
              <w:rPr>
                <w:sz w:val="20"/>
                <w:szCs w:val="20"/>
                <w:color w:val="auto"/>
              </w:rPr>
            </w:pPr>
            <w:r>
              <w:rPr>
                <w:rFonts w:ascii="Arial" w:cs="Arial" w:eastAsia="Arial" w:hAnsi="Arial"/>
                <w:sz w:val="22"/>
                <w:szCs w:val="22"/>
                <w:color w:val="auto"/>
                <w:w w:val="93"/>
              </w:rPr>
              <w:t>Miscellaneous Provisions............................................................</w:t>
            </w:r>
          </w:p>
        </w:tc>
        <w:tc>
          <w:tcPr>
            <w:tcW w:w="480" w:type="dxa"/>
            <w:vAlign w:val="bottom"/>
          </w:tcPr>
          <w:p>
            <w:pPr>
              <w:jc w:val="center"/>
              <w:ind w:left="152"/>
              <w:spacing w:after="0"/>
              <w:rPr>
                <w:sz w:val="20"/>
                <w:szCs w:val="20"/>
                <w:color w:val="auto"/>
              </w:rPr>
            </w:pPr>
            <w:r>
              <w:rPr>
                <w:rFonts w:ascii="Arial" w:cs="Arial" w:eastAsia="Arial" w:hAnsi="Arial"/>
                <w:sz w:val="22"/>
                <w:szCs w:val="22"/>
                <w:color w:val="auto"/>
                <w:w w:val="89"/>
              </w:rPr>
              <w:t>10</w:t>
            </w:r>
          </w:p>
        </w:tc>
      </w:tr>
      <w:tr>
        <w:trPr>
          <w:trHeight w:val="297"/>
        </w:trPr>
        <w:tc>
          <w:tcPr>
            <w:tcW w:w="960" w:type="dxa"/>
            <w:vAlign w:val="bottom"/>
          </w:tcPr>
          <w:p>
            <w:pPr>
              <w:jc w:val="center"/>
              <w:ind w:left="472"/>
              <w:spacing w:after="0"/>
              <w:rPr>
                <w:sz w:val="20"/>
                <w:szCs w:val="20"/>
                <w:color w:val="auto"/>
              </w:rPr>
            </w:pPr>
            <w:r>
              <w:rPr>
                <w:rFonts w:ascii="Arial" w:cs="Arial" w:eastAsia="Arial" w:hAnsi="Arial"/>
                <w:sz w:val="22"/>
                <w:szCs w:val="22"/>
                <w:color w:val="auto"/>
                <w:w w:val="88"/>
              </w:rPr>
              <w:t>11.1</w:t>
            </w:r>
          </w:p>
        </w:tc>
        <w:tc>
          <w:tcPr>
            <w:tcW w:w="300" w:type="dxa"/>
            <w:vAlign w:val="bottom"/>
          </w:tcPr>
          <w:p>
            <w:pPr>
              <w:spacing w:after="0"/>
              <w:rPr>
                <w:sz w:val="24"/>
                <w:szCs w:val="24"/>
                <w:color w:val="auto"/>
              </w:rPr>
            </w:pPr>
          </w:p>
        </w:tc>
        <w:tc>
          <w:tcPr>
            <w:tcW w:w="6560" w:type="dxa"/>
            <w:vAlign w:val="bottom"/>
            <w:gridSpan w:val="2"/>
          </w:tcPr>
          <w:p>
            <w:pPr>
              <w:ind w:left="80"/>
              <w:spacing w:after="0"/>
              <w:rPr>
                <w:sz w:val="20"/>
                <w:szCs w:val="20"/>
                <w:color w:val="auto"/>
              </w:rPr>
            </w:pPr>
            <w:r>
              <w:rPr>
                <w:rFonts w:ascii="Arial" w:cs="Arial" w:eastAsia="Arial" w:hAnsi="Arial"/>
                <w:sz w:val="22"/>
                <w:szCs w:val="22"/>
                <w:color w:val="auto"/>
                <w:w w:val="91"/>
              </w:rPr>
              <w:t>Unsecured General Creditor......................................................................</w:t>
            </w:r>
          </w:p>
        </w:tc>
        <w:tc>
          <w:tcPr>
            <w:tcW w:w="480" w:type="dxa"/>
            <w:vAlign w:val="bottom"/>
          </w:tcPr>
          <w:p>
            <w:pPr>
              <w:jc w:val="center"/>
              <w:ind w:left="152"/>
              <w:spacing w:after="0"/>
              <w:rPr>
                <w:sz w:val="20"/>
                <w:szCs w:val="20"/>
                <w:color w:val="auto"/>
              </w:rPr>
            </w:pPr>
            <w:r>
              <w:rPr>
                <w:rFonts w:ascii="Arial" w:cs="Arial" w:eastAsia="Arial" w:hAnsi="Arial"/>
                <w:sz w:val="22"/>
                <w:szCs w:val="22"/>
                <w:color w:val="auto"/>
                <w:w w:val="89"/>
              </w:rPr>
              <w:t>10</w:t>
            </w:r>
          </w:p>
        </w:tc>
      </w:tr>
      <w:tr>
        <w:trPr>
          <w:trHeight w:val="297"/>
        </w:trPr>
        <w:tc>
          <w:tcPr>
            <w:tcW w:w="960" w:type="dxa"/>
            <w:vAlign w:val="bottom"/>
          </w:tcPr>
          <w:p>
            <w:pPr>
              <w:jc w:val="center"/>
              <w:ind w:left="472"/>
              <w:spacing w:after="0"/>
              <w:rPr>
                <w:sz w:val="20"/>
                <w:szCs w:val="20"/>
                <w:color w:val="auto"/>
              </w:rPr>
            </w:pPr>
            <w:r>
              <w:rPr>
                <w:rFonts w:ascii="Arial" w:cs="Arial" w:eastAsia="Arial" w:hAnsi="Arial"/>
                <w:sz w:val="22"/>
                <w:szCs w:val="22"/>
                <w:color w:val="auto"/>
                <w:w w:val="88"/>
              </w:rPr>
              <w:t>11.2</w:t>
            </w:r>
          </w:p>
        </w:tc>
        <w:tc>
          <w:tcPr>
            <w:tcW w:w="300" w:type="dxa"/>
            <w:vAlign w:val="bottom"/>
          </w:tcPr>
          <w:p>
            <w:pPr>
              <w:spacing w:after="0"/>
              <w:rPr>
                <w:sz w:val="24"/>
                <w:szCs w:val="24"/>
                <w:color w:val="auto"/>
              </w:rPr>
            </w:pPr>
          </w:p>
        </w:tc>
        <w:tc>
          <w:tcPr>
            <w:tcW w:w="6560" w:type="dxa"/>
            <w:vAlign w:val="bottom"/>
            <w:gridSpan w:val="2"/>
          </w:tcPr>
          <w:p>
            <w:pPr>
              <w:ind w:left="80"/>
              <w:spacing w:after="0"/>
              <w:rPr>
                <w:sz w:val="20"/>
                <w:szCs w:val="20"/>
                <w:color w:val="auto"/>
              </w:rPr>
            </w:pPr>
            <w:r>
              <w:rPr>
                <w:rFonts w:ascii="Arial" w:cs="Arial" w:eastAsia="Arial" w:hAnsi="Arial"/>
                <w:sz w:val="22"/>
                <w:szCs w:val="22"/>
                <w:color w:val="auto"/>
                <w:w w:val="92"/>
              </w:rPr>
              <w:t>Trust Fund.................................................................................................</w:t>
            </w:r>
          </w:p>
        </w:tc>
        <w:tc>
          <w:tcPr>
            <w:tcW w:w="480" w:type="dxa"/>
            <w:vAlign w:val="bottom"/>
          </w:tcPr>
          <w:p>
            <w:pPr>
              <w:jc w:val="center"/>
              <w:ind w:left="152"/>
              <w:spacing w:after="0"/>
              <w:rPr>
                <w:sz w:val="20"/>
                <w:szCs w:val="20"/>
                <w:color w:val="auto"/>
              </w:rPr>
            </w:pPr>
            <w:r>
              <w:rPr>
                <w:rFonts w:ascii="Arial" w:cs="Arial" w:eastAsia="Arial" w:hAnsi="Arial"/>
                <w:sz w:val="22"/>
                <w:szCs w:val="22"/>
                <w:color w:val="auto"/>
                <w:w w:val="89"/>
              </w:rPr>
              <w:t>10</w:t>
            </w:r>
          </w:p>
        </w:tc>
      </w:tr>
      <w:tr>
        <w:trPr>
          <w:trHeight w:val="297"/>
        </w:trPr>
        <w:tc>
          <w:tcPr>
            <w:tcW w:w="960" w:type="dxa"/>
            <w:vAlign w:val="bottom"/>
          </w:tcPr>
          <w:p>
            <w:pPr>
              <w:jc w:val="center"/>
              <w:ind w:left="472"/>
              <w:spacing w:after="0"/>
              <w:rPr>
                <w:sz w:val="20"/>
                <w:szCs w:val="20"/>
                <w:color w:val="auto"/>
              </w:rPr>
            </w:pPr>
            <w:r>
              <w:rPr>
                <w:rFonts w:ascii="Arial" w:cs="Arial" w:eastAsia="Arial" w:hAnsi="Arial"/>
                <w:sz w:val="22"/>
                <w:szCs w:val="22"/>
                <w:color w:val="auto"/>
                <w:w w:val="88"/>
              </w:rPr>
              <w:t>11.3</w:t>
            </w:r>
          </w:p>
        </w:tc>
        <w:tc>
          <w:tcPr>
            <w:tcW w:w="300" w:type="dxa"/>
            <w:vAlign w:val="bottom"/>
          </w:tcPr>
          <w:p>
            <w:pPr>
              <w:spacing w:after="0"/>
              <w:rPr>
                <w:sz w:val="24"/>
                <w:szCs w:val="24"/>
                <w:color w:val="auto"/>
              </w:rPr>
            </w:pPr>
          </w:p>
        </w:tc>
        <w:tc>
          <w:tcPr>
            <w:tcW w:w="6560" w:type="dxa"/>
            <w:vAlign w:val="bottom"/>
            <w:gridSpan w:val="2"/>
          </w:tcPr>
          <w:p>
            <w:pPr>
              <w:ind w:left="80"/>
              <w:spacing w:after="0"/>
              <w:rPr>
                <w:sz w:val="20"/>
                <w:szCs w:val="20"/>
                <w:color w:val="auto"/>
              </w:rPr>
            </w:pPr>
            <w:r>
              <w:rPr>
                <w:rFonts w:ascii="Arial" w:cs="Arial" w:eastAsia="Arial" w:hAnsi="Arial"/>
                <w:sz w:val="22"/>
                <w:szCs w:val="22"/>
                <w:color w:val="auto"/>
                <w:w w:val="92"/>
              </w:rPr>
              <w:t>Section 409A Compliance.........................................................................</w:t>
            </w:r>
          </w:p>
        </w:tc>
        <w:tc>
          <w:tcPr>
            <w:tcW w:w="480" w:type="dxa"/>
            <w:vAlign w:val="bottom"/>
          </w:tcPr>
          <w:p>
            <w:pPr>
              <w:jc w:val="center"/>
              <w:ind w:left="152"/>
              <w:spacing w:after="0"/>
              <w:rPr>
                <w:sz w:val="20"/>
                <w:szCs w:val="20"/>
                <w:color w:val="auto"/>
              </w:rPr>
            </w:pPr>
            <w:r>
              <w:rPr>
                <w:rFonts w:ascii="Arial" w:cs="Arial" w:eastAsia="Arial" w:hAnsi="Arial"/>
                <w:sz w:val="22"/>
                <w:szCs w:val="22"/>
                <w:color w:val="auto"/>
                <w:w w:val="89"/>
              </w:rPr>
              <w:t>10</w:t>
            </w:r>
          </w:p>
        </w:tc>
      </w:tr>
      <w:tr>
        <w:trPr>
          <w:trHeight w:val="297"/>
        </w:trPr>
        <w:tc>
          <w:tcPr>
            <w:tcW w:w="960" w:type="dxa"/>
            <w:vAlign w:val="bottom"/>
          </w:tcPr>
          <w:p>
            <w:pPr>
              <w:jc w:val="center"/>
              <w:ind w:left="472"/>
              <w:spacing w:after="0"/>
              <w:rPr>
                <w:sz w:val="20"/>
                <w:szCs w:val="20"/>
                <w:color w:val="auto"/>
              </w:rPr>
            </w:pPr>
            <w:r>
              <w:rPr>
                <w:rFonts w:ascii="Arial" w:cs="Arial" w:eastAsia="Arial" w:hAnsi="Arial"/>
                <w:sz w:val="22"/>
                <w:szCs w:val="22"/>
                <w:color w:val="auto"/>
                <w:w w:val="88"/>
              </w:rPr>
              <w:t>11.4</w:t>
            </w:r>
          </w:p>
        </w:tc>
        <w:tc>
          <w:tcPr>
            <w:tcW w:w="300" w:type="dxa"/>
            <w:vAlign w:val="bottom"/>
          </w:tcPr>
          <w:p>
            <w:pPr>
              <w:spacing w:after="0"/>
              <w:rPr>
                <w:sz w:val="24"/>
                <w:szCs w:val="24"/>
                <w:color w:val="auto"/>
              </w:rPr>
            </w:pPr>
          </w:p>
        </w:tc>
        <w:tc>
          <w:tcPr>
            <w:tcW w:w="6560" w:type="dxa"/>
            <w:vAlign w:val="bottom"/>
            <w:gridSpan w:val="2"/>
          </w:tcPr>
          <w:p>
            <w:pPr>
              <w:ind w:left="80"/>
              <w:spacing w:after="0"/>
              <w:rPr>
                <w:sz w:val="20"/>
                <w:szCs w:val="20"/>
                <w:color w:val="auto"/>
              </w:rPr>
            </w:pPr>
            <w:r>
              <w:rPr>
                <w:rFonts w:ascii="Arial" w:cs="Arial" w:eastAsia="Arial" w:hAnsi="Arial"/>
                <w:sz w:val="22"/>
                <w:szCs w:val="22"/>
                <w:color w:val="auto"/>
                <w:w w:val="93"/>
              </w:rPr>
              <w:t>Company's Liability..................................................................................</w:t>
            </w:r>
          </w:p>
        </w:tc>
        <w:tc>
          <w:tcPr>
            <w:tcW w:w="480" w:type="dxa"/>
            <w:vAlign w:val="bottom"/>
          </w:tcPr>
          <w:p>
            <w:pPr>
              <w:jc w:val="center"/>
              <w:ind w:left="152"/>
              <w:spacing w:after="0"/>
              <w:rPr>
                <w:sz w:val="20"/>
                <w:szCs w:val="20"/>
                <w:color w:val="auto"/>
              </w:rPr>
            </w:pPr>
            <w:r>
              <w:rPr>
                <w:rFonts w:ascii="Arial" w:cs="Arial" w:eastAsia="Arial" w:hAnsi="Arial"/>
                <w:sz w:val="22"/>
                <w:szCs w:val="22"/>
                <w:color w:val="auto"/>
                <w:w w:val="89"/>
              </w:rPr>
              <w:t>10</w:t>
            </w:r>
          </w:p>
        </w:tc>
      </w:tr>
      <w:tr>
        <w:trPr>
          <w:trHeight w:val="297"/>
        </w:trPr>
        <w:tc>
          <w:tcPr>
            <w:tcW w:w="960" w:type="dxa"/>
            <w:vAlign w:val="bottom"/>
          </w:tcPr>
          <w:p>
            <w:pPr>
              <w:jc w:val="center"/>
              <w:ind w:left="472"/>
              <w:spacing w:after="0"/>
              <w:rPr>
                <w:sz w:val="20"/>
                <w:szCs w:val="20"/>
                <w:color w:val="auto"/>
              </w:rPr>
            </w:pPr>
            <w:r>
              <w:rPr>
                <w:rFonts w:ascii="Arial" w:cs="Arial" w:eastAsia="Arial" w:hAnsi="Arial"/>
                <w:sz w:val="22"/>
                <w:szCs w:val="22"/>
                <w:color w:val="auto"/>
                <w:w w:val="88"/>
              </w:rPr>
              <w:t>11.5</w:t>
            </w:r>
          </w:p>
        </w:tc>
        <w:tc>
          <w:tcPr>
            <w:tcW w:w="300" w:type="dxa"/>
            <w:vAlign w:val="bottom"/>
          </w:tcPr>
          <w:p>
            <w:pPr>
              <w:spacing w:after="0"/>
              <w:rPr>
                <w:sz w:val="24"/>
                <w:szCs w:val="24"/>
                <w:color w:val="auto"/>
              </w:rPr>
            </w:pPr>
          </w:p>
        </w:tc>
        <w:tc>
          <w:tcPr>
            <w:tcW w:w="6560" w:type="dxa"/>
            <w:vAlign w:val="bottom"/>
            <w:gridSpan w:val="2"/>
          </w:tcPr>
          <w:p>
            <w:pPr>
              <w:ind w:left="80"/>
              <w:spacing w:after="0"/>
              <w:rPr>
                <w:sz w:val="20"/>
                <w:szCs w:val="20"/>
                <w:color w:val="auto"/>
              </w:rPr>
            </w:pPr>
            <w:r>
              <w:rPr>
                <w:rFonts w:ascii="Arial" w:cs="Arial" w:eastAsia="Arial" w:hAnsi="Arial"/>
                <w:sz w:val="22"/>
                <w:szCs w:val="22"/>
                <w:color w:val="auto"/>
                <w:w w:val="92"/>
              </w:rPr>
              <w:t>Nonassignability........................................................................................</w:t>
            </w:r>
          </w:p>
        </w:tc>
        <w:tc>
          <w:tcPr>
            <w:tcW w:w="480" w:type="dxa"/>
            <w:vAlign w:val="bottom"/>
          </w:tcPr>
          <w:p>
            <w:pPr>
              <w:jc w:val="center"/>
              <w:ind w:left="152"/>
              <w:spacing w:after="0"/>
              <w:rPr>
                <w:sz w:val="20"/>
                <w:szCs w:val="20"/>
                <w:color w:val="auto"/>
              </w:rPr>
            </w:pPr>
            <w:r>
              <w:rPr>
                <w:rFonts w:ascii="Arial" w:cs="Arial" w:eastAsia="Arial" w:hAnsi="Arial"/>
                <w:sz w:val="22"/>
                <w:szCs w:val="22"/>
                <w:color w:val="auto"/>
                <w:w w:val="89"/>
              </w:rPr>
              <w:t>11</w:t>
            </w:r>
          </w:p>
        </w:tc>
      </w:tr>
      <w:tr>
        <w:trPr>
          <w:trHeight w:val="297"/>
        </w:trPr>
        <w:tc>
          <w:tcPr>
            <w:tcW w:w="960" w:type="dxa"/>
            <w:vAlign w:val="bottom"/>
          </w:tcPr>
          <w:p>
            <w:pPr>
              <w:jc w:val="center"/>
              <w:ind w:left="472"/>
              <w:spacing w:after="0"/>
              <w:rPr>
                <w:sz w:val="20"/>
                <w:szCs w:val="20"/>
                <w:color w:val="auto"/>
              </w:rPr>
            </w:pPr>
            <w:r>
              <w:rPr>
                <w:rFonts w:ascii="Arial" w:cs="Arial" w:eastAsia="Arial" w:hAnsi="Arial"/>
                <w:sz w:val="22"/>
                <w:szCs w:val="22"/>
                <w:color w:val="auto"/>
                <w:w w:val="88"/>
              </w:rPr>
              <w:t>11.6</w:t>
            </w:r>
          </w:p>
        </w:tc>
        <w:tc>
          <w:tcPr>
            <w:tcW w:w="300" w:type="dxa"/>
            <w:vAlign w:val="bottom"/>
          </w:tcPr>
          <w:p>
            <w:pPr>
              <w:spacing w:after="0"/>
              <w:rPr>
                <w:sz w:val="24"/>
                <w:szCs w:val="24"/>
                <w:color w:val="auto"/>
              </w:rPr>
            </w:pPr>
          </w:p>
        </w:tc>
        <w:tc>
          <w:tcPr>
            <w:tcW w:w="6560" w:type="dxa"/>
            <w:vAlign w:val="bottom"/>
            <w:gridSpan w:val="2"/>
          </w:tcPr>
          <w:p>
            <w:pPr>
              <w:ind w:left="80"/>
              <w:spacing w:after="0"/>
              <w:rPr>
                <w:sz w:val="20"/>
                <w:szCs w:val="20"/>
                <w:color w:val="auto"/>
              </w:rPr>
            </w:pPr>
            <w:r>
              <w:rPr>
                <w:rFonts w:ascii="Arial" w:cs="Arial" w:eastAsia="Arial" w:hAnsi="Arial"/>
                <w:sz w:val="22"/>
                <w:szCs w:val="22"/>
                <w:color w:val="auto"/>
                <w:w w:val="93"/>
              </w:rPr>
              <w:t>No Right to Board Position.......................................................................</w:t>
            </w:r>
          </w:p>
        </w:tc>
        <w:tc>
          <w:tcPr>
            <w:tcW w:w="480" w:type="dxa"/>
            <w:vAlign w:val="bottom"/>
          </w:tcPr>
          <w:p>
            <w:pPr>
              <w:jc w:val="center"/>
              <w:ind w:left="152"/>
              <w:spacing w:after="0"/>
              <w:rPr>
                <w:sz w:val="20"/>
                <w:szCs w:val="20"/>
                <w:color w:val="auto"/>
              </w:rPr>
            </w:pPr>
            <w:r>
              <w:rPr>
                <w:rFonts w:ascii="Arial" w:cs="Arial" w:eastAsia="Arial" w:hAnsi="Arial"/>
                <w:sz w:val="22"/>
                <w:szCs w:val="22"/>
                <w:color w:val="auto"/>
                <w:w w:val="89"/>
              </w:rPr>
              <w:t>11</w:t>
            </w:r>
          </w:p>
        </w:tc>
      </w:tr>
      <w:tr>
        <w:trPr>
          <w:trHeight w:val="297"/>
        </w:trPr>
        <w:tc>
          <w:tcPr>
            <w:tcW w:w="960" w:type="dxa"/>
            <w:vAlign w:val="bottom"/>
          </w:tcPr>
          <w:p>
            <w:pPr>
              <w:jc w:val="center"/>
              <w:ind w:left="472"/>
              <w:spacing w:after="0"/>
              <w:rPr>
                <w:sz w:val="20"/>
                <w:szCs w:val="20"/>
                <w:color w:val="auto"/>
              </w:rPr>
            </w:pPr>
            <w:r>
              <w:rPr>
                <w:rFonts w:ascii="Arial" w:cs="Arial" w:eastAsia="Arial" w:hAnsi="Arial"/>
                <w:sz w:val="22"/>
                <w:szCs w:val="22"/>
                <w:color w:val="auto"/>
                <w:w w:val="88"/>
              </w:rPr>
              <w:t>11.7</w:t>
            </w:r>
          </w:p>
        </w:tc>
        <w:tc>
          <w:tcPr>
            <w:tcW w:w="300" w:type="dxa"/>
            <w:vAlign w:val="bottom"/>
          </w:tcPr>
          <w:p>
            <w:pPr>
              <w:spacing w:after="0"/>
              <w:rPr>
                <w:sz w:val="24"/>
                <w:szCs w:val="24"/>
                <w:color w:val="auto"/>
              </w:rPr>
            </w:pPr>
          </w:p>
        </w:tc>
        <w:tc>
          <w:tcPr>
            <w:tcW w:w="6560" w:type="dxa"/>
            <w:vAlign w:val="bottom"/>
            <w:gridSpan w:val="2"/>
          </w:tcPr>
          <w:p>
            <w:pPr>
              <w:ind w:left="80"/>
              <w:spacing w:after="0"/>
              <w:rPr>
                <w:sz w:val="20"/>
                <w:szCs w:val="20"/>
                <w:color w:val="auto"/>
              </w:rPr>
            </w:pPr>
            <w:r>
              <w:rPr>
                <w:rFonts w:ascii="Arial" w:cs="Arial" w:eastAsia="Arial" w:hAnsi="Arial"/>
                <w:sz w:val="22"/>
                <w:szCs w:val="22"/>
                <w:color w:val="auto"/>
                <w:w w:val="92"/>
              </w:rPr>
              <w:t>Incompetency............................................................................................</w:t>
            </w:r>
          </w:p>
        </w:tc>
        <w:tc>
          <w:tcPr>
            <w:tcW w:w="480" w:type="dxa"/>
            <w:vAlign w:val="bottom"/>
          </w:tcPr>
          <w:p>
            <w:pPr>
              <w:jc w:val="center"/>
              <w:ind w:left="152"/>
              <w:spacing w:after="0"/>
              <w:rPr>
                <w:sz w:val="20"/>
                <w:szCs w:val="20"/>
                <w:color w:val="auto"/>
              </w:rPr>
            </w:pPr>
            <w:r>
              <w:rPr>
                <w:rFonts w:ascii="Arial" w:cs="Arial" w:eastAsia="Arial" w:hAnsi="Arial"/>
                <w:sz w:val="22"/>
                <w:szCs w:val="22"/>
                <w:color w:val="auto"/>
                <w:w w:val="89"/>
              </w:rPr>
              <w:t>11</w:t>
            </w:r>
          </w:p>
        </w:tc>
      </w:tr>
      <w:tr>
        <w:trPr>
          <w:trHeight w:val="297"/>
        </w:trPr>
        <w:tc>
          <w:tcPr>
            <w:tcW w:w="960" w:type="dxa"/>
            <w:vAlign w:val="bottom"/>
          </w:tcPr>
          <w:p>
            <w:pPr>
              <w:jc w:val="center"/>
              <w:ind w:left="472"/>
              <w:spacing w:after="0"/>
              <w:rPr>
                <w:sz w:val="20"/>
                <w:szCs w:val="20"/>
                <w:color w:val="auto"/>
              </w:rPr>
            </w:pPr>
            <w:r>
              <w:rPr>
                <w:rFonts w:ascii="Arial" w:cs="Arial" w:eastAsia="Arial" w:hAnsi="Arial"/>
                <w:sz w:val="22"/>
                <w:szCs w:val="22"/>
                <w:color w:val="auto"/>
                <w:w w:val="88"/>
              </w:rPr>
              <w:t>11.8</w:t>
            </w:r>
          </w:p>
        </w:tc>
        <w:tc>
          <w:tcPr>
            <w:tcW w:w="300" w:type="dxa"/>
            <w:vAlign w:val="bottom"/>
          </w:tcPr>
          <w:p>
            <w:pPr>
              <w:spacing w:after="0"/>
              <w:rPr>
                <w:sz w:val="24"/>
                <w:szCs w:val="24"/>
                <w:color w:val="auto"/>
              </w:rPr>
            </w:pPr>
          </w:p>
        </w:tc>
        <w:tc>
          <w:tcPr>
            <w:tcW w:w="6560" w:type="dxa"/>
            <w:vAlign w:val="bottom"/>
            <w:gridSpan w:val="2"/>
          </w:tcPr>
          <w:p>
            <w:pPr>
              <w:ind w:left="80"/>
              <w:spacing w:after="0"/>
              <w:rPr>
                <w:sz w:val="20"/>
                <w:szCs w:val="20"/>
                <w:color w:val="auto"/>
              </w:rPr>
            </w:pPr>
            <w:r>
              <w:rPr>
                <w:rFonts w:ascii="Arial" w:cs="Arial" w:eastAsia="Arial" w:hAnsi="Arial"/>
                <w:sz w:val="22"/>
                <w:szCs w:val="22"/>
                <w:color w:val="auto"/>
                <w:w w:val="93"/>
              </w:rPr>
              <w:t>Furnishing Information.............................................................................</w:t>
            </w:r>
          </w:p>
        </w:tc>
        <w:tc>
          <w:tcPr>
            <w:tcW w:w="480" w:type="dxa"/>
            <w:vAlign w:val="bottom"/>
          </w:tcPr>
          <w:p>
            <w:pPr>
              <w:jc w:val="center"/>
              <w:ind w:left="152"/>
              <w:spacing w:after="0"/>
              <w:rPr>
                <w:sz w:val="20"/>
                <w:szCs w:val="20"/>
                <w:color w:val="auto"/>
              </w:rPr>
            </w:pPr>
            <w:r>
              <w:rPr>
                <w:rFonts w:ascii="Arial" w:cs="Arial" w:eastAsia="Arial" w:hAnsi="Arial"/>
                <w:sz w:val="22"/>
                <w:szCs w:val="22"/>
                <w:color w:val="auto"/>
                <w:w w:val="89"/>
              </w:rPr>
              <w:t>11</w:t>
            </w:r>
          </w:p>
        </w:tc>
      </w:tr>
      <w:tr>
        <w:trPr>
          <w:trHeight w:val="297"/>
        </w:trPr>
        <w:tc>
          <w:tcPr>
            <w:tcW w:w="960" w:type="dxa"/>
            <w:vAlign w:val="bottom"/>
          </w:tcPr>
          <w:p>
            <w:pPr>
              <w:jc w:val="center"/>
              <w:ind w:left="472"/>
              <w:spacing w:after="0"/>
              <w:rPr>
                <w:sz w:val="20"/>
                <w:szCs w:val="20"/>
                <w:color w:val="auto"/>
              </w:rPr>
            </w:pPr>
            <w:r>
              <w:rPr>
                <w:rFonts w:ascii="Arial" w:cs="Arial" w:eastAsia="Arial" w:hAnsi="Arial"/>
                <w:sz w:val="22"/>
                <w:szCs w:val="22"/>
                <w:color w:val="auto"/>
                <w:w w:val="88"/>
              </w:rPr>
              <w:t>11.9</w:t>
            </w:r>
          </w:p>
        </w:tc>
        <w:tc>
          <w:tcPr>
            <w:tcW w:w="300" w:type="dxa"/>
            <w:vAlign w:val="bottom"/>
          </w:tcPr>
          <w:p>
            <w:pPr>
              <w:spacing w:after="0"/>
              <w:rPr>
                <w:sz w:val="24"/>
                <w:szCs w:val="24"/>
                <w:color w:val="auto"/>
              </w:rPr>
            </w:pPr>
          </w:p>
        </w:tc>
        <w:tc>
          <w:tcPr>
            <w:tcW w:w="660" w:type="dxa"/>
            <w:vAlign w:val="bottom"/>
          </w:tcPr>
          <w:p>
            <w:pPr>
              <w:ind w:left="80"/>
              <w:spacing w:after="0"/>
              <w:rPr>
                <w:sz w:val="20"/>
                <w:szCs w:val="20"/>
                <w:color w:val="auto"/>
              </w:rPr>
            </w:pPr>
            <w:r>
              <w:rPr>
                <w:rFonts w:ascii="Arial" w:cs="Arial" w:eastAsia="Arial" w:hAnsi="Arial"/>
                <w:sz w:val="22"/>
                <w:szCs w:val="22"/>
                <w:color w:val="auto"/>
                <w:w w:val="89"/>
              </w:rPr>
              <w:t>Notice</w:t>
            </w:r>
          </w:p>
        </w:tc>
        <w:tc>
          <w:tcPr>
            <w:tcW w:w="5900" w:type="dxa"/>
            <w:vAlign w:val="bottom"/>
          </w:tcPr>
          <w:p>
            <w:pPr>
              <w:spacing w:after="0"/>
              <w:rPr>
                <w:sz w:val="20"/>
                <w:szCs w:val="20"/>
                <w:color w:val="auto"/>
              </w:rPr>
            </w:pPr>
            <w:r>
              <w:rPr>
                <w:rFonts w:ascii="Arial" w:cs="Arial" w:eastAsia="Arial" w:hAnsi="Arial"/>
                <w:sz w:val="22"/>
                <w:szCs w:val="22"/>
                <w:color w:val="auto"/>
                <w:w w:val="92"/>
              </w:rPr>
              <w:t>........................................................................................................</w:t>
            </w:r>
          </w:p>
        </w:tc>
        <w:tc>
          <w:tcPr>
            <w:tcW w:w="480" w:type="dxa"/>
            <w:vAlign w:val="bottom"/>
          </w:tcPr>
          <w:p>
            <w:pPr>
              <w:jc w:val="center"/>
              <w:ind w:left="152"/>
              <w:spacing w:after="0"/>
              <w:rPr>
                <w:sz w:val="20"/>
                <w:szCs w:val="20"/>
                <w:color w:val="auto"/>
              </w:rPr>
            </w:pPr>
            <w:r>
              <w:rPr>
                <w:rFonts w:ascii="Arial" w:cs="Arial" w:eastAsia="Arial" w:hAnsi="Arial"/>
                <w:sz w:val="22"/>
                <w:szCs w:val="22"/>
                <w:color w:val="auto"/>
                <w:w w:val="89"/>
              </w:rPr>
              <w:t>11</w:t>
            </w:r>
          </w:p>
        </w:tc>
      </w:tr>
      <w:tr>
        <w:trPr>
          <w:trHeight w:val="297"/>
        </w:trPr>
        <w:tc>
          <w:tcPr>
            <w:tcW w:w="1260" w:type="dxa"/>
            <w:vAlign w:val="bottom"/>
            <w:gridSpan w:val="2"/>
          </w:tcPr>
          <w:p>
            <w:pPr>
              <w:jc w:val="center"/>
              <w:ind w:left="152"/>
              <w:spacing w:after="0"/>
              <w:rPr>
                <w:sz w:val="20"/>
                <w:szCs w:val="20"/>
                <w:color w:val="auto"/>
              </w:rPr>
            </w:pPr>
            <w:r>
              <w:rPr>
                <w:rFonts w:ascii="Arial" w:cs="Arial" w:eastAsia="Arial" w:hAnsi="Arial"/>
                <w:sz w:val="22"/>
                <w:szCs w:val="22"/>
                <w:color w:val="auto"/>
                <w:w w:val="87"/>
              </w:rPr>
              <w:t>11.10</w:t>
            </w:r>
          </w:p>
        </w:tc>
        <w:tc>
          <w:tcPr>
            <w:tcW w:w="6560" w:type="dxa"/>
            <w:vAlign w:val="bottom"/>
            <w:gridSpan w:val="2"/>
          </w:tcPr>
          <w:p>
            <w:pPr>
              <w:ind w:left="80"/>
              <w:spacing w:after="0"/>
              <w:rPr>
                <w:sz w:val="20"/>
                <w:szCs w:val="20"/>
                <w:color w:val="auto"/>
              </w:rPr>
            </w:pPr>
            <w:r>
              <w:rPr>
                <w:rFonts w:ascii="Arial" w:cs="Arial" w:eastAsia="Arial" w:hAnsi="Arial"/>
                <w:sz w:val="22"/>
                <w:szCs w:val="22"/>
                <w:color w:val="auto"/>
                <w:w w:val="93"/>
              </w:rPr>
              <w:t>Compliance with Government Regulations..............................................</w:t>
            </w:r>
          </w:p>
        </w:tc>
        <w:tc>
          <w:tcPr>
            <w:tcW w:w="480" w:type="dxa"/>
            <w:vAlign w:val="bottom"/>
          </w:tcPr>
          <w:p>
            <w:pPr>
              <w:jc w:val="center"/>
              <w:ind w:left="152"/>
              <w:spacing w:after="0"/>
              <w:rPr>
                <w:sz w:val="20"/>
                <w:szCs w:val="20"/>
                <w:color w:val="auto"/>
              </w:rPr>
            </w:pPr>
            <w:r>
              <w:rPr>
                <w:rFonts w:ascii="Arial" w:cs="Arial" w:eastAsia="Arial" w:hAnsi="Arial"/>
                <w:sz w:val="22"/>
                <w:szCs w:val="22"/>
                <w:color w:val="auto"/>
                <w:w w:val="89"/>
              </w:rPr>
              <w:t>11</w:t>
            </w:r>
          </w:p>
        </w:tc>
      </w:tr>
      <w:tr>
        <w:trPr>
          <w:trHeight w:val="297"/>
        </w:trPr>
        <w:tc>
          <w:tcPr>
            <w:tcW w:w="1260" w:type="dxa"/>
            <w:vAlign w:val="bottom"/>
            <w:gridSpan w:val="2"/>
          </w:tcPr>
          <w:p>
            <w:pPr>
              <w:jc w:val="center"/>
              <w:ind w:left="172"/>
              <w:spacing w:after="0"/>
              <w:rPr>
                <w:sz w:val="20"/>
                <w:szCs w:val="20"/>
                <w:color w:val="auto"/>
              </w:rPr>
            </w:pPr>
            <w:r>
              <w:rPr>
                <w:rFonts w:ascii="Arial" w:cs="Arial" w:eastAsia="Arial" w:hAnsi="Arial"/>
                <w:sz w:val="22"/>
                <w:szCs w:val="22"/>
                <w:color w:val="auto"/>
                <w:w w:val="83"/>
              </w:rPr>
              <w:t>11.11</w:t>
            </w:r>
          </w:p>
        </w:tc>
        <w:tc>
          <w:tcPr>
            <w:tcW w:w="6560" w:type="dxa"/>
            <w:vAlign w:val="bottom"/>
            <w:gridSpan w:val="2"/>
          </w:tcPr>
          <w:p>
            <w:pPr>
              <w:ind w:left="80"/>
              <w:spacing w:after="0"/>
              <w:rPr>
                <w:sz w:val="20"/>
                <w:szCs w:val="20"/>
                <w:color w:val="auto"/>
              </w:rPr>
            </w:pPr>
            <w:r>
              <w:rPr>
                <w:rFonts w:ascii="Arial" w:cs="Arial" w:eastAsia="Arial" w:hAnsi="Arial"/>
                <w:sz w:val="22"/>
                <w:szCs w:val="22"/>
                <w:color w:val="auto"/>
                <w:w w:val="92"/>
              </w:rPr>
              <w:t>Exchange Act Exemption..........................................................................</w:t>
            </w:r>
          </w:p>
        </w:tc>
        <w:tc>
          <w:tcPr>
            <w:tcW w:w="480" w:type="dxa"/>
            <w:vAlign w:val="bottom"/>
          </w:tcPr>
          <w:p>
            <w:pPr>
              <w:jc w:val="center"/>
              <w:ind w:left="152"/>
              <w:spacing w:after="0"/>
              <w:rPr>
                <w:sz w:val="20"/>
                <w:szCs w:val="20"/>
                <w:color w:val="auto"/>
              </w:rPr>
            </w:pPr>
            <w:r>
              <w:rPr>
                <w:rFonts w:ascii="Arial" w:cs="Arial" w:eastAsia="Arial" w:hAnsi="Arial"/>
                <w:sz w:val="22"/>
                <w:szCs w:val="22"/>
                <w:color w:val="auto"/>
                <w:w w:val="89"/>
              </w:rPr>
              <w:t>12</w:t>
            </w:r>
          </w:p>
        </w:tc>
      </w:tr>
      <w:tr>
        <w:trPr>
          <w:trHeight w:val="297"/>
        </w:trPr>
        <w:tc>
          <w:tcPr>
            <w:tcW w:w="1260" w:type="dxa"/>
            <w:vAlign w:val="bottom"/>
            <w:gridSpan w:val="2"/>
          </w:tcPr>
          <w:p>
            <w:pPr>
              <w:jc w:val="center"/>
              <w:ind w:left="152"/>
              <w:spacing w:after="0"/>
              <w:rPr>
                <w:sz w:val="20"/>
                <w:szCs w:val="20"/>
                <w:color w:val="auto"/>
              </w:rPr>
            </w:pPr>
            <w:r>
              <w:rPr>
                <w:rFonts w:ascii="Arial" w:cs="Arial" w:eastAsia="Arial" w:hAnsi="Arial"/>
                <w:sz w:val="22"/>
                <w:szCs w:val="22"/>
                <w:color w:val="auto"/>
                <w:w w:val="87"/>
              </w:rPr>
              <w:t>11.12</w:t>
            </w:r>
          </w:p>
        </w:tc>
        <w:tc>
          <w:tcPr>
            <w:tcW w:w="6560" w:type="dxa"/>
            <w:vAlign w:val="bottom"/>
            <w:gridSpan w:val="2"/>
          </w:tcPr>
          <w:p>
            <w:pPr>
              <w:ind w:left="80"/>
              <w:spacing w:after="0"/>
              <w:rPr>
                <w:sz w:val="20"/>
                <w:szCs w:val="20"/>
                <w:color w:val="auto"/>
              </w:rPr>
            </w:pPr>
            <w:r>
              <w:rPr>
                <w:rFonts w:ascii="Arial" w:cs="Arial" w:eastAsia="Arial" w:hAnsi="Arial"/>
                <w:sz w:val="22"/>
                <w:szCs w:val="22"/>
                <w:color w:val="auto"/>
                <w:w w:val="92"/>
              </w:rPr>
              <w:t>Gender and Number..................................................................................</w:t>
            </w:r>
          </w:p>
        </w:tc>
        <w:tc>
          <w:tcPr>
            <w:tcW w:w="480" w:type="dxa"/>
            <w:vAlign w:val="bottom"/>
          </w:tcPr>
          <w:p>
            <w:pPr>
              <w:jc w:val="center"/>
              <w:ind w:left="152"/>
              <w:spacing w:after="0"/>
              <w:rPr>
                <w:sz w:val="20"/>
                <w:szCs w:val="20"/>
                <w:color w:val="auto"/>
              </w:rPr>
            </w:pPr>
            <w:r>
              <w:rPr>
                <w:rFonts w:ascii="Arial" w:cs="Arial" w:eastAsia="Arial" w:hAnsi="Arial"/>
                <w:sz w:val="22"/>
                <w:szCs w:val="22"/>
                <w:color w:val="auto"/>
                <w:w w:val="89"/>
              </w:rPr>
              <w:t>12</w:t>
            </w:r>
          </w:p>
        </w:tc>
      </w:tr>
      <w:tr>
        <w:trPr>
          <w:trHeight w:val="297"/>
        </w:trPr>
        <w:tc>
          <w:tcPr>
            <w:tcW w:w="1260" w:type="dxa"/>
            <w:vAlign w:val="bottom"/>
            <w:gridSpan w:val="2"/>
          </w:tcPr>
          <w:p>
            <w:pPr>
              <w:jc w:val="center"/>
              <w:ind w:left="152"/>
              <w:spacing w:after="0"/>
              <w:rPr>
                <w:sz w:val="20"/>
                <w:szCs w:val="20"/>
                <w:color w:val="auto"/>
              </w:rPr>
            </w:pPr>
            <w:r>
              <w:rPr>
                <w:rFonts w:ascii="Arial" w:cs="Arial" w:eastAsia="Arial" w:hAnsi="Arial"/>
                <w:sz w:val="22"/>
                <w:szCs w:val="22"/>
                <w:color w:val="auto"/>
                <w:w w:val="87"/>
              </w:rPr>
              <w:t>11.13</w:t>
            </w:r>
          </w:p>
        </w:tc>
        <w:tc>
          <w:tcPr>
            <w:tcW w:w="6560" w:type="dxa"/>
            <w:vAlign w:val="bottom"/>
            <w:gridSpan w:val="2"/>
          </w:tcPr>
          <w:p>
            <w:pPr>
              <w:ind w:left="80"/>
              <w:spacing w:after="0"/>
              <w:rPr>
                <w:sz w:val="20"/>
                <w:szCs w:val="20"/>
                <w:color w:val="auto"/>
              </w:rPr>
            </w:pPr>
            <w:r>
              <w:rPr>
                <w:rFonts w:ascii="Arial" w:cs="Arial" w:eastAsia="Arial" w:hAnsi="Arial"/>
                <w:sz w:val="22"/>
                <w:szCs w:val="22"/>
                <w:color w:val="auto"/>
                <w:w w:val="91"/>
              </w:rPr>
              <w:t>Headings....................................................................................................</w:t>
            </w:r>
          </w:p>
        </w:tc>
        <w:tc>
          <w:tcPr>
            <w:tcW w:w="480" w:type="dxa"/>
            <w:vAlign w:val="bottom"/>
          </w:tcPr>
          <w:p>
            <w:pPr>
              <w:jc w:val="center"/>
              <w:ind w:left="152"/>
              <w:spacing w:after="0"/>
              <w:rPr>
                <w:sz w:val="20"/>
                <w:szCs w:val="20"/>
                <w:color w:val="auto"/>
              </w:rPr>
            </w:pPr>
            <w:r>
              <w:rPr>
                <w:rFonts w:ascii="Arial" w:cs="Arial" w:eastAsia="Arial" w:hAnsi="Arial"/>
                <w:sz w:val="22"/>
                <w:szCs w:val="22"/>
                <w:color w:val="auto"/>
                <w:w w:val="89"/>
              </w:rPr>
              <w:t>12</w:t>
            </w:r>
          </w:p>
        </w:tc>
      </w:tr>
      <w:tr>
        <w:trPr>
          <w:trHeight w:val="297"/>
        </w:trPr>
        <w:tc>
          <w:tcPr>
            <w:tcW w:w="1260" w:type="dxa"/>
            <w:vAlign w:val="bottom"/>
            <w:gridSpan w:val="2"/>
          </w:tcPr>
          <w:p>
            <w:pPr>
              <w:jc w:val="center"/>
              <w:ind w:left="152"/>
              <w:spacing w:after="0"/>
              <w:rPr>
                <w:sz w:val="20"/>
                <w:szCs w:val="20"/>
                <w:color w:val="auto"/>
              </w:rPr>
            </w:pPr>
            <w:r>
              <w:rPr>
                <w:rFonts w:ascii="Arial" w:cs="Arial" w:eastAsia="Arial" w:hAnsi="Arial"/>
                <w:sz w:val="22"/>
                <w:szCs w:val="22"/>
                <w:color w:val="auto"/>
                <w:w w:val="87"/>
              </w:rPr>
              <w:t>11.14</w:t>
            </w:r>
          </w:p>
        </w:tc>
        <w:tc>
          <w:tcPr>
            <w:tcW w:w="6560" w:type="dxa"/>
            <w:vAlign w:val="bottom"/>
            <w:gridSpan w:val="2"/>
          </w:tcPr>
          <w:p>
            <w:pPr>
              <w:ind w:left="80"/>
              <w:spacing w:after="0"/>
              <w:rPr>
                <w:sz w:val="20"/>
                <w:szCs w:val="20"/>
                <w:color w:val="auto"/>
              </w:rPr>
            </w:pPr>
            <w:r>
              <w:rPr>
                <w:rFonts w:ascii="Arial" w:cs="Arial" w:eastAsia="Arial" w:hAnsi="Arial"/>
                <w:sz w:val="22"/>
                <w:szCs w:val="22"/>
                <w:color w:val="auto"/>
                <w:w w:val="93"/>
              </w:rPr>
              <w:t>Applicable Law and Construction.............................................................</w:t>
            </w:r>
          </w:p>
        </w:tc>
        <w:tc>
          <w:tcPr>
            <w:tcW w:w="480" w:type="dxa"/>
            <w:vAlign w:val="bottom"/>
          </w:tcPr>
          <w:p>
            <w:pPr>
              <w:jc w:val="center"/>
              <w:ind w:left="152"/>
              <w:spacing w:after="0"/>
              <w:rPr>
                <w:sz w:val="20"/>
                <w:szCs w:val="20"/>
                <w:color w:val="auto"/>
              </w:rPr>
            </w:pPr>
            <w:r>
              <w:rPr>
                <w:rFonts w:ascii="Arial" w:cs="Arial" w:eastAsia="Arial" w:hAnsi="Arial"/>
                <w:sz w:val="22"/>
                <w:szCs w:val="22"/>
                <w:color w:val="auto"/>
                <w:w w:val="89"/>
              </w:rPr>
              <w:t>12</w:t>
            </w:r>
          </w:p>
        </w:tc>
      </w:tr>
      <w:tr>
        <w:trPr>
          <w:trHeight w:val="297"/>
        </w:trPr>
        <w:tc>
          <w:tcPr>
            <w:tcW w:w="1260" w:type="dxa"/>
            <w:vAlign w:val="bottom"/>
            <w:gridSpan w:val="2"/>
          </w:tcPr>
          <w:p>
            <w:pPr>
              <w:jc w:val="center"/>
              <w:ind w:left="152"/>
              <w:spacing w:after="0"/>
              <w:rPr>
                <w:sz w:val="20"/>
                <w:szCs w:val="20"/>
                <w:color w:val="auto"/>
              </w:rPr>
            </w:pPr>
            <w:r>
              <w:rPr>
                <w:rFonts w:ascii="Arial" w:cs="Arial" w:eastAsia="Arial" w:hAnsi="Arial"/>
                <w:sz w:val="22"/>
                <w:szCs w:val="22"/>
                <w:color w:val="auto"/>
                <w:w w:val="87"/>
              </w:rPr>
              <w:t>11.15</w:t>
            </w:r>
          </w:p>
        </w:tc>
        <w:tc>
          <w:tcPr>
            <w:tcW w:w="6560" w:type="dxa"/>
            <w:vAlign w:val="bottom"/>
            <w:gridSpan w:val="2"/>
          </w:tcPr>
          <w:p>
            <w:pPr>
              <w:ind w:left="80"/>
              <w:spacing w:after="0"/>
              <w:rPr>
                <w:sz w:val="20"/>
                <w:szCs w:val="20"/>
                <w:color w:val="auto"/>
              </w:rPr>
            </w:pPr>
            <w:r>
              <w:rPr>
                <w:rFonts w:ascii="Arial" w:cs="Arial" w:eastAsia="Arial" w:hAnsi="Arial"/>
                <w:sz w:val="22"/>
                <w:szCs w:val="22"/>
                <w:color w:val="auto"/>
                <w:w w:val="92"/>
              </w:rPr>
              <w:t>Invalid or Unenforceable Provisions.........................................................</w:t>
            </w:r>
          </w:p>
        </w:tc>
        <w:tc>
          <w:tcPr>
            <w:tcW w:w="480" w:type="dxa"/>
            <w:vAlign w:val="bottom"/>
          </w:tcPr>
          <w:p>
            <w:pPr>
              <w:jc w:val="center"/>
              <w:ind w:left="152"/>
              <w:spacing w:after="0"/>
              <w:rPr>
                <w:sz w:val="20"/>
                <w:szCs w:val="20"/>
                <w:color w:val="auto"/>
              </w:rPr>
            </w:pPr>
            <w:r>
              <w:rPr>
                <w:rFonts w:ascii="Arial" w:cs="Arial" w:eastAsia="Arial" w:hAnsi="Arial"/>
                <w:sz w:val="22"/>
                <w:szCs w:val="22"/>
                <w:color w:val="auto"/>
                <w:w w:val="89"/>
              </w:rPr>
              <w:t>12</w:t>
            </w:r>
          </w:p>
        </w:tc>
      </w:tr>
      <w:tr>
        <w:trPr>
          <w:trHeight w:val="297"/>
        </w:trPr>
        <w:tc>
          <w:tcPr>
            <w:tcW w:w="1260" w:type="dxa"/>
            <w:vAlign w:val="bottom"/>
            <w:gridSpan w:val="2"/>
          </w:tcPr>
          <w:p>
            <w:pPr>
              <w:jc w:val="center"/>
              <w:ind w:left="152"/>
              <w:spacing w:after="0"/>
              <w:rPr>
                <w:sz w:val="20"/>
                <w:szCs w:val="20"/>
                <w:color w:val="auto"/>
              </w:rPr>
            </w:pPr>
            <w:r>
              <w:rPr>
                <w:rFonts w:ascii="Arial" w:cs="Arial" w:eastAsia="Arial" w:hAnsi="Arial"/>
                <w:sz w:val="22"/>
                <w:szCs w:val="22"/>
                <w:color w:val="auto"/>
                <w:w w:val="87"/>
              </w:rPr>
              <w:t>11.16</w:t>
            </w:r>
          </w:p>
        </w:tc>
        <w:tc>
          <w:tcPr>
            <w:tcW w:w="6560" w:type="dxa"/>
            <w:vAlign w:val="bottom"/>
            <w:gridSpan w:val="2"/>
          </w:tcPr>
          <w:p>
            <w:pPr>
              <w:ind w:left="80"/>
              <w:spacing w:after="0"/>
              <w:rPr>
                <w:sz w:val="20"/>
                <w:szCs w:val="20"/>
                <w:color w:val="auto"/>
              </w:rPr>
            </w:pPr>
            <w:r>
              <w:rPr>
                <w:rFonts w:ascii="Arial" w:cs="Arial" w:eastAsia="Arial" w:hAnsi="Arial"/>
                <w:sz w:val="22"/>
                <w:szCs w:val="22"/>
                <w:color w:val="auto"/>
                <w:w w:val="91"/>
              </w:rPr>
              <w:t>Successors.................................................................................................</w:t>
            </w:r>
          </w:p>
        </w:tc>
        <w:tc>
          <w:tcPr>
            <w:tcW w:w="480" w:type="dxa"/>
            <w:vAlign w:val="bottom"/>
          </w:tcPr>
          <w:p>
            <w:pPr>
              <w:jc w:val="center"/>
              <w:ind w:left="152"/>
              <w:spacing w:after="0"/>
              <w:rPr>
                <w:sz w:val="20"/>
                <w:szCs w:val="20"/>
                <w:color w:val="auto"/>
              </w:rPr>
            </w:pPr>
            <w:r>
              <w:rPr>
                <w:rFonts w:ascii="Arial" w:cs="Arial" w:eastAsia="Arial" w:hAnsi="Arial"/>
                <w:sz w:val="22"/>
                <w:szCs w:val="22"/>
                <w:color w:val="auto"/>
                <w:w w:val="89"/>
              </w:rPr>
              <w:t>12</w:t>
            </w:r>
          </w:p>
        </w:tc>
      </w:tr>
      <w:tr>
        <w:trPr>
          <w:trHeight w:val="297"/>
        </w:trPr>
        <w:tc>
          <w:tcPr>
            <w:tcW w:w="960" w:type="dxa"/>
            <w:vAlign w:val="bottom"/>
          </w:tcPr>
          <w:p>
            <w:pPr>
              <w:spacing w:after="0"/>
              <w:rPr>
                <w:sz w:val="20"/>
                <w:szCs w:val="20"/>
                <w:color w:val="auto"/>
              </w:rPr>
            </w:pPr>
            <w:r>
              <w:rPr>
                <w:rFonts w:ascii="Arial" w:cs="Arial" w:eastAsia="Arial" w:hAnsi="Arial"/>
                <w:sz w:val="22"/>
                <w:szCs w:val="22"/>
                <w:color w:val="auto"/>
              </w:rPr>
              <w:t>ARTICLE</w:t>
            </w:r>
          </w:p>
        </w:tc>
        <w:tc>
          <w:tcPr>
            <w:tcW w:w="300" w:type="dxa"/>
            <w:vAlign w:val="bottom"/>
          </w:tcPr>
          <w:p>
            <w:pPr>
              <w:spacing w:after="0"/>
              <w:rPr>
                <w:sz w:val="20"/>
                <w:szCs w:val="20"/>
                <w:color w:val="auto"/>
              </w:rPr>
            </w:pPr>
            <w:r>
              <w:rPr>
                <w:rFonts w:ascii="Arial" w:cs="Arial" w:eastAsia="Arial" w:hAnsi="Arial"/>
                <w:sz w:val="22"/>
                <w:szCs w:val="22"/>
                <w:color w:val="auto"/>
              </w:rPr>
              <w:t>12</w:t>
            </w:r>
          </w:p>
        </w:tc>
        <w:tc>
          <w:tcPr>
            <w:tcW w:w="660" w:type="dxa"/>
            <w:vAlign w:val="bottom"/>
          </w:tcPr>
          <w:p>
            <w:pPr>
              <w:spacing w:after="0"/>
              <w:rPr>
                <w:sz w:val="24"/>
                <w:szCs w:val="24"/>
                <w:color w:val="auto"/>
              </w:rPr>
            </w:pPr>
          </w:p>
        </w:tc>
        <w:tc>
          <w:tcPr>
            <w:tcW w:w="5900" w:type="dxa"/>
            <w:vAlign w:val="bottom"/>
          </w:tcPr>
          <w:p>
            <w:pPr>
              <w:ind w:left="160"/>
              <w:spacing w:after="0"/>
              <w:rPr>
                <w:sz w:val="20"/>
                <w:szCs w:val="20"/>
                <w:color w:val="auto"/>
              </w:rPr>
            </w:pPr>
            <w:r>
              <w:rPr>
                <w:rFonts w:ascii="Arial" w:cs="Arial" w:eastAsia="Arial" w:hAnsi="Arial"/>
                <w:sz w:val="22"/>
                <w:szCs w:val="22"/>
                <w:color w:val="auto"/>
                <w:w w:val="93"/>
              </w:rPr>
              <w:t>Definitions...................................................................................</w:t>
            </w:r>
          </w:p>
        </w:tc>
        <w:tc>
          <w:tcPr>
            <w:tcW w:w="480" w:type="dxa"/>
            <w:vAlign w:val="bottom"/>
          </w:tcPr>
          <w:p>
            <w:pPr>
              <w:jc w:val="center"/>
              <w:ind w:left="152"/>
              <w:spacing w:after="0"/>
              <w:rPr>
                <w:sz w:val="20"/>
                <w:szCs w:val="20"/>
                <w:color w:val="auto"/>
              </w:rPr>
            </w:pPr>
            <w:r>
              <w:rPr>
                <w:rFonts w:ascii="Arial" w:cs="Arial" w:eastAsia="Arial" w:hAnsi="Arial"/>
                <w:sz w:val="22"/>
                <w:szCs w:val="22"/>
                <w:color w:val="auto"/>
                <w:w w:val="89"/>
              </w:rPr>
              <w:t>13</w:t>
            </w:r>
          </w:p>
        </w:tc>
      </w:tr>
    </w:tbl>
    <w:p>
      <w:pPr>
        <w:sectPr>
          <w:pgSz w:w="11900" w:h="16838" w:orient="portrait"/>
          <w:cols w:equalWidth="0" w:num="1">
            <w:col w:w="9019"/>
          </w:cols>
          <w:pgMar w:left="1440" w:top="739" w:right="1440" w:bottom="1440" w:gutter="0" w:footer="0" w:header="0"/>
        </w:sectPr>
      </w:pPr>
    </w:p>
    <w:bookmarkStart w:id="155" w:name="page156"/>
    <w:bookmarkEnd w:id="155"/>
    <w:p>
      <w:pPr>
        <w:jc w:val="center"/>
        <w:ind w:right="-139"/>
        <w:spacing w:after="0"/>
        <w:rPr>
          <w:sz w:val="20"/>
          <w:szCs w:val="20"/>
          <w:color w:val="auto"/>
        </w:rPr>
      </w:pPr>
      <w:r>
        <w:rPr>
          <w:rFonts w:ascii="Arial" w:cs="Arial" w:eastAsia="Arial" w:hAnsi="Arial"/>
          <w:sz w:val="22"/>
          <w:szCs w:val="22"/>
          <w:b w:val="1"/>
          <w:bCs w:val="1"/>
          <w:color w:val="auto"/>
        </w:rPr>
        <w:t>ALLETE, INC.</w:t>
      </w:r>
    </w:p>
    <w:p>
      <w:pPr>
        <w:spacing w:after="0" w:line="28" w:lineRule="exact"/>
        <w:rPr>
          <w:sz w:val="20"/>
          <w:szCs w:val="20"/>
          <w:color w:val="auto"/>
        </w:rPr>
      </w:pPr>
    </w:p>
    <w:p>
      <w:pPr>
        <w:jc w:val="center"/>
        <w:ind w:right="-139"/>
        <w:spacing w:after="0"/>
        <w:rPr>
          <w:sz w:val="20"/>
          <w:szCs w:val="20"/>
          <w:color w:val="auto"/>
        </w:rPr>
      </w:pPr>
      <w:r>
        <w:rPr>
          <w:rFonts w:ascii="Arial" w:cs="Arial" w:eastAsia="Arial" w:hAnsi="Arial"/>
          <w:sz w:val="22"/>
          <w:szCs w:val="22"/>
          <w:b w:val="1"/>
          <w:bCs w:val="1"/>
          <w:color w:val="auto"/>
        </w:rPr>
        <w:t>AMENDED AND RESTATED</w:t>
      </w:r>
    </w:p>
    <w:p>
      <w:pPr>
        <w:spacing w:after="0" w:line="4" w:lineRule="exact"/>
        <w:rPr>
          <w:sz w:val="20"/>
          <w:szCs w:val="20"/>
          <w:color w:val="auto"/>
        </w:rPr>
      </w:pPr>
    </w:p>
    <w:p>
      <w:pPr>
        <w:jc w:val="center"/>
        <w:ind w:right="-139"/>
        <w:spacing w:after="0"/>
        <w:rPr>
          <w:sz w:val="20"/>
          <w:szCs w:val="20"/>
          <w:color w:val="auto"/>
        </w:rPr>
      </w:pPr>
      <w:r>
        <w:rPr>
          <w:rFonts w:ascii="Arial" w:cs="Arial" w:eastAsia="Arial" w:hAnsi="Arial"/>
          <w:sz w:val="22"/>
          <w:szCs w:val="22"/>
          <w:b w:val="1"/>
          <w:bCs w:val="1"/>
          <w:color w:val="auto"/>
        </w:rPr>
        <w:t>NON-EMPLOYEE DIRECTOR COMPENSATION DEFERRAL PLAN 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Effective July 24, 2012</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39"/>
        <w:spacing w:after="0"/>
        <w:rPr>
          <w:sz w:val="20"/>
          <w:szCs w:val="20"/>
          <w:color w:val="auto"/>
        </w:rPr>
      </w:pPr>
      <w:r>
        <w:rPr>
          <w:rFonts w:ascii="Arial" w:cs="Arial" w:eastAsia="Arial" w:hAnsi="Arial"/>
          <w:sz w:val="22"/>
          <w:szCs w:val="22"/>
          <w:b w:val="1"/>
          <w:bCs w:val="1"/>
          <w:color w:val="auto"/>
        </w:rPr>
        <w:t>ARTICLE 1</w:t>
      </w:r>
    </w:p>
    <w:p>
      <w:pPr>
        <w:spacing w:after="0" w:line="28" w:lineRule="exact"/>
        <w:rPr>
          <w:sz w:val="20"/>
          <w:szCs w:val="20"/>
          <w:color w:val="auto"/>
        </w:rPr>
      </w:pPr>
    </w:p>
    <w:p>
      <w:pPr>
        <w:jc w:val="center"/>
        <w:ind w:right="-139"/>
        <w:spacing w:after="0"/>
        <w:rPr>
          <w:sz w:val="20"/>
          <w:szCs w:val="20"/>
          <w:color w:val="auto"/>
        </w:rPr>
      </w:pPr>
      <w:r>
        <w:rPr>
          <w:rFonts w:ascii="Arial" w:cs="Arial" w:eastAsia="Arial" w:hAnsi="Arial"/>
          <w:sz w:val="22"/>
          <w:szCs w:val="22"/>
          <w:b w:val="1"/>
          <w:bCs w:val="1"/>
          <w:u w:val="single" w:color="auto"/>
          <w:color w:val="auto"/>
        </w:rPr>
        <w:t>Establishment and Purpose</w:t>
      </w:r>
    </w:p>
    <w:p>
      <w:pPr>
        <w:spacing w:after="0" w:line="242" w:lineRule="exact"/>
        <w:rPr>
          <w:sz w:val="20"/>
          <w:szCs w:val="20"/>
          <w:color w:val="auto"/>
        </w:rPr>
      </w:pPr>
    </w:p>
    <w:p>
      <w:pPr>
        <w:ind w:right="40" w:firstLine="648"/>
        <w:spacing w:after="0" w:line="258" w:lineRule="auto"/>
        <w:rPr>
          <w:sz w:val="20"/>
          <w:szCs w:val="20"/>
          <w:color w:val="auto"/>
        </w:rPr>
      </w:pPr>
      <w:r>
        <w:rPr>
          <w:rFonts w:ascii="Arial" w:cs="Arial" w:eastAsia="Arial" w:hAnsi="Arial"/>
          <w:sz w:val="21"/>
          <w:szCs w:val="21"/>
          <w:color w:val="auto"/>
        </w:rPr>
        <w:t>This document includes the terms of the ALLETE, Inc. Amended and Restated Non-Employee Director Compensation Deferral Plan II, the purpose of which is to provide Directors an opportunity to elect to defer his or her Annual Retainer. The Plan is a successor to the ALLETE Director Compensation Deferral Plan (the “Predecessor Plan”). On December 31, 2004, the Company froze the Predecessor Plan, and on January 1, 2005, the Company established the Plan to govern amounts initially deferred after December 31, 2004 and investment earnings thereon. From January 1, 2005 to the effective date hereof, the Company operated and administered the Plan in all material respects in good faith compliance with the applicable requirements of Section 409A, the final and proposed Treasury Regulations, IRS Notice 2005-1, and all other IRS guidance. Effective January 1, 2009, the Company amended and restated the Plan in its entirety to comply with Section 409A. Effective May 1, 2009, the Company amended the Plan to expand the types of compensation that Directors may defer. Effective July 24, 2012, the Company further amends the Plan to eliminate the fixed crediting rate. Capitalized terms, unless otherwise defined herein, shall have the meaning provided in Article 12.</w:t>
      </w:r>
    </w:p>
    <w:p>
      <w:pPr>
        <w:spacing w:after="0" w:line="177" w:lineRule="exact"/>
        <w:rPr>
          <w:sz w:val="20"/>
          <w:szCs w:val="20"/>
          <w:color w:val="auto"/>
        </w:rPr>
      </w:pPr>
    </w:p>
    <w:p>
      <w:pPr>
        <w:jc w:val="center"/>
        <w:ind w:right="-139"/>
        <w:spacing w:after="0"/>
        <w:rPr>
          <w:sz w:val="20"/>
          <w:szCs w:val="20"/>
          <w:color w:val="auto"/>
        </w:rPr>
      </w:pPr>
      <w:r>
        <w:rPr>
          <w:rFonts w:ascii="Arial" w:cs="Arial" w:eastAsia="Arial" w:hAnsi="Arial"/>
          <w:sz w:val="22"/>
          <w:szCs w:val="22"/>
          <w:b w:val="1"/>
          <w:bCs w:val="1"/>
          <w:color w:val="auto"/>
        </w:rPr>
        <w:t>ARTICLE 2</w:t>
      </w:r>
    </w:p>
    <w:p>
      <w:pPr>
        <w:spacing w:after="0" w:line="28" w:lineRule="exact"/>
        <w:rPr>
          <w:sz w:val="20"/>
          <w:szCs w:val="20"/>
          <w:color w:val="auto"/>
        </w:rPr>
      </w:pPr>
    </w:p>
    <w:p>
      <w:pPr>
        <w:jc w:val="center"/>
        <w:ind w:right="-139"/>
        <w:spacing w:after="0"/>
        <w:rPr>
          <w:sz w:val="20"/>
          <w:szCs w:val="20"/>
          <w:color w:val="auto"/>
        </w:rPr>
      </w:pPr>
      <w:r>
        <w:rPr>
          <w:rFonts w:ascii="Arial" w:cs="Arial" w:eastAsia="Arial" w:hAnsi="Arial"/>
          <w:sz w:val="22"/>
          <w:szCs w:val="22"/>
          <w:b w:val="1"/>
          <w:bCs w:val="1"/>
          <w:u w:val="single" w:color="auto"/>
          <w:color w:val="auto"/>
        </w:rPr>
        <w:t>Administration</w:t>
      </w:r>
    </w:p>
    <w:p>
      <w:pPr>
        <w:spacing w:after="0" w:line="236" w:lineRule="exact"/>
        <w:rPr>
          <w:sz w:val="20"/>
          <w:szCs w:val="20"/>
          <w:color w:val="auto"/>
        </w:rPr>
      </w:pPr>
    </w:p>
    <w:p>
      <w:pPr>
        <w:ind w:left="660" w:right="20" w:hanging="647"/>
        <w:spacing w:after="0" w:line="304" w:lineRule="auto"/>
        <w:tabs>
          <w:tab w:leader="none" w:pos="640" w:val="left"/>
        </w:tabs>
        <w:rPr>
          <w:sz w:val="20"/>
          <w:szCs w:val="20"/>
          <w:color w:val="auto"/>
        </w:rPr>
      </w:pPr>
      <w:r>
        <w:rPr>
          <w:rFonts w:ascii="Arial" w:cs="Arial" w:eastAsia="Arial" w:hAnsi="Arial"/>
          <w:sz w:val="22"/>
          <w:szCs w:val="22"/>
          <w:color w:val="auto"/>
        </w:rPr>
        <w:t>2.1</w:t>
      </w:r>
      <w:r>
        <w:rPr>
          <w:sz w:val="20"/>
          <w:szCs w:val="20"/>
          <w:color w:val="auto"/>
        </w:rPr>
        <w:tab/>
      </w:r>
      <w:r>
        <w:rPr>
          <w:rFonts w:ascii="Arial" w:cs="Arial" w:eastAsia="Arial" w:hAnsi="Arial"/>
          <w:sz w:val="19"/>
          <w:szCs w:val="19"/>
          <w:b w:val="1"/>
          <w:bCs w:val="1"/>
          <w:u w:val="single" w:color="auto"/>
          <w:color w:val="auto"/>
        </w:rPr>
        <w:t>Administrator</w:t>
      </w:r>
      <w:r>
        <w:rPr>
          <w:rFonts w:ascii="Arial" w:cs="Arial" w:eastAsia="Arial" w:hAnsi="Arial"/>
          <w:sz w:val="19"/>
          <w:szCs w:val="19"/>
          <w:b w:val="1"/>
          <w:bCs w:val="1"/>
          <w:color w:val="auto"/>
        </w:rPr>
        <w:t>.</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The Executive Compensation Committee of the Board shall administer the Plan. Notwithstanding the</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foregoing, the Administrator may delegate any of its duties to such other person or persons from time to time as it may designate. Members of the Executive Compensation Committee may participate in the Plan; however, any Director serving on the Executive Compensation Committee shall not vote or act on any matter relating solely to himself or herself.</w:t>
      </w:r>
    </w:p>
    <w:p>
      <w:pPr>
        <w:spacing w:after="0" w:line="176" w:lineRule="exact"/>
        <w:rPr>
          <w:sz w:val="20"/>
          <w:szCs w:val="20"/>
          <w:color w:val="auto"/>
        </w:rPr>
      </w:pPr>
    </w:p>
    <w:p>
      <w:pPr>
        <w:jc w:val="center"/>
        <w:ind w:right="40"/>
        <w:spacing w:after="0"/>
        <w:tabs>
          <w:tab w:leader="none" w:pos="360" w:val="left"/>
        </w:tabs>
        <w:rPr>
          <w:sz w:val="20"/>
          <w:szCs w:val="20"/>
          <w:color w:val="auto"/>
        </w:rPr>
      </w:pPr>
      <w:r>
        <w:rPr>
          <w:rFonts w:ascii="Arial" w:cs="Arial" w:eastAsia="Arial" w:hAnsi="Arial"/>
          <w:sz w:val="22"/>
          <w:szCs w:val="22"/>
          <w:color w:val="auto"/>
        </w:rPr>
        <w:t>2.2</w:t>
      </w:r>
      <w:r>
        <w:rPr>
          <w:sz w:val="20"/>
          <w:szCs w:val="20"/>
          <w:color w:val="auto"/>
        </w:rPr>
        <w:tab/>
      </w:r>
      <w:r>
        <w:rPr>
          <w:rFonts w:ascii="Arial" w:cs="Arial" w:eastAsia="Arial" w:hAnsi="Arial"/>
          <w:sz w:val="19"/>
          <w:szCs w:val="19"/>
          <w:b w:val="1"/>
          <w:bCs w:val="1"/>
          <w:u w:val="single" w:color="auto"/>
          <w:color w:val="auto"/>
        </w:rPr>
        <w:t>Duties</w:t>
      </w:r>
      <w:r>
        <w:rPr>
          <w:rFonts w:ascii="Arial" w:cs="Arial" w:eastAsia="Arial" w:hAnsi="Arial"/>
          <w:sz w:val="19"/>
          <w:szCs w:val="19"/>
          <w:b w:val="1"/>
          <w:bCs w:val="1"/>
          <w:color w:val="auto"/>
        </w:rPr>
        <w:t>.</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The Administrator has the authority to construe and interpret all provisions of the Plan, to resolve any ambiguities,</w:t>
      </w:r>
    </w:p>
    <w:p>
      <w:pPr>
        <w:spacing w:after="0" w:line="28" w:lineRule="exact"/>
        <w:rPr>
          <w:sz w:val="20"/>
          <w:szCs w:val="20"/>
          <w:color w:val="auto"/>
        </w:rPr>
      </w:pPr>
    </w:p>
    <w:p>
      <w:pPr>
        <w:ind w:left="660" w:right="200"/>
        <w:spacing w:after="0" w:line="244" w:lineRule="auto"/>
        <w:rPr>
          <w:sz w:val="20"/>
          <w:szCs w:val="20"/>
          <w:color w:val="auto"/>
        </w:rPr>
      </w:pPr>
      <w:r>
        <w:rPr>
          <w:rFonts w:ascii="Arial" w:cs="Arial" w:eastAsia="Arial" w:hAnsi="Arial"/>
          <w:sz w:val="22"/>
          <w:szCs w:val="22"/>
          <w:color w:val="auto"/>
        </w:rPr>
        <w:t>to adopt rules and practices concerning the administration of the Plan, to make any determinations and calculations necessary or appropriate hereunder, and, to the maximum extent permitted by Section 409A, the authority to remedy any errors, inconsistencies or omissions. The Company shall pay all expenses and liabilities incurred in connection with Plan administration.</w:t>
      </w:r>
    </w:p>
    <w:p>
      <w:pPr>
        <w:spacing w:after="0" w:line="230" w:lineRule="exact"/>
        <w:rPr>
          <w:sz w:val="20"/>
          <w:szCs w:val="20"/>
          <w:color w:val="auto"/>
        </w:rPr>
      </w:pPr>
    </w:p>
    <w:p>
      <w:pPr>
        <w:jc w:val="both"/>
        <w:ind w:left="660" w:hanging="647"/>
        <w:spacing w:after="0" w:line="251" w:lineRule="auto"/>
        <w:tabs>
          <w:tab w:leader="none" w:pos="640" w:val="left"/>
        </w:tabs>
        <w:rPr>
          <w:sz w:val="20"/>
          <w:szCs w:val="20"/>
          <w:color w:val="auto"/>
        </w:rPr>
      </w:pPr>
      <w:r>
        <w:rPr>
          <w:rFonts w:ascii="Arial" w:cs="Arial" w:eastAsia="Arial" w:hAnsi="Arial"/>
          <w:sz w:val="22"/>
          <w:szCs w:val="22"/>
          <w:color w:val="auto"/>
        </w:rPr>
        <w:t>2.3</w:t>
      </w:r>
      <w:r>
        <w:rPr>
          <w:sz w:val="20"/>
          <w:szCs w:val="20"/>
          <w:color w:val="auto"/>
        </w:rPr>
        <w:tab/>
      </w:r>
      <w:r>
        <w:rPr>
          <w:rFonts w:ascii="Arial" w:cs="Arial" w:eastAsia="Arial" w:hAnsi="Arial"/>
          <w:sz w:val="22"/>
          <w:szCs w:val="22"/>
          <w:b w:val="1"/>
          <w:bCs w:val="1"/>
          <w:u w:val="single" w:color="auto"/>
          <w:color w:val="auto"/>
        </w:rPr>
        <w:t>Agents</w:t>
      </w:r>
      <w:r>
        <w:rPr>
          <w:rFonts w:ascii="Arial" w:cs="Arial" w:eastAsia="Arial" w:hAnsi="Arial"/>
          <w:sz w:val="22"/>
          <w:szCs w:val="22"/>
          <w:b w:val="1"/>
          <w:bCs w:val="1"/>
          <w:color w:val="auto"/>
        </w:rPr>
        <w:t>.</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The Administrator may engage the services of accountants, attorneys, actuaries, investment consultants, and such</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other professional personnel as are deemed necessary or advisable to assist in fulfilling the Administrator's responsibilities. The Administrator, the</w:t>
      </w:r>
    </w:p>
    <w:p>
      <w:pPr>
        <w:ind w:left="1300"/>
        <w:spacing w:after="0"/>
        <w:rPr>
          <w:sz w:val="20"/>
          <w:szCs w:val="20"/>
          <w:color w:val="auto"/>
        </w:rPr>
      </w:pPr>
      <w:r>
        <w:rPr>
          <w:rFonts w:ascii="Arial" w:cs="Arial" w:eastAsia="Arial" w:hAnsi="Arial"/>
          <w:sz w:val="22"/>
          <w:szCs w:val="22"/>
          <w:color w:val="auto"/>
        </w:rPr>
        <w:t>Company and the Board may rely upon the advice, opinions or valuations of any such persons.</w:t>
      </w:r>
    </w:p>
    <w:p>
      <w:pPr>
        <w:sectPr>
          <w:pgSz w:w="11900" w:h="16838" w:orient="portrait"/>
          <w:cols w:equalWidth="0" w:num="1">
            <w:col w:w="11300"/>
          </w:cols>
          <w:pgMar w:left="240" w:top="1233" w:right="359" w:bottom="1440" w:gutter="0" w:footer="0" w:header="0"/>
        </w:sectPr>
      </w:pPr>
    </w:p>
    <w:bookmarkStart w:id="156" w:name="page157"/>
    <w:bookmarkEnd w:id="156"/>
    <w:p>
      <w:pPr>
        <w:ind w:left="660" w:right="20" w:hanging="647"/>
        <w:spacing w:after="0" w:line="298" w:lineRule="auto"/>
        <w:tabs>
          <w:tab w:leader="none" w:pos="640" w:val="left"/>
        </w:tabs>
        <w:rPr>
          <w:sz w:val="20"/>
          <w:szCs w:val="20"/>
          <w:color w:val="auto"/>
        </w:rPr>
      </w:pPr>
      <w:r>
        <w:rPr>
          <w:rFonts w:ascii="Arial" w:cs="Arial" w:eastAsia="Arial" w:hAnsi="Arial"/>
          <w:sz w:val="22"/>
          <w:szCs w:val="22"/>
          <w:color w:val="auto"/>
        </w:rPr>
        <w:t>2.4</w:t>
      </w:r>
      <w:r>
        <w:rPr>
          <w:sz w:val="20"/>
          <w:szCs w:val="20"/>
          <w:color w:val="auto"/>
        </w:rPr>
        <w:tab/>
      </w:r>
      <w:r>
        <w:rPr>
          <w:rFonts w:ascii="Arial" w:cs="Arial" w:eastAsia="Arial" w:hAnsi="Arial"/>
          <w:sz w:val="19"/>
          <w:szCs w:val="19"/>
          <w:b w:val="1"/>
          <w:bCs w:val="1"/>
          <w:u w:val="single" w:color="auto"/>
          <w:color w:val="auto"/>
        </w:rPr>
        <w:t>Binding Effect of Decisions</w:t>
      </w:r>
      <w:r>
        <w:rPr>
          <w:rFonts w:ascii="Arial" w:cs="Arial" w:eastAsia="Arial" w:hAnsi="Arial"/>
          <w:sz w:val="19"/>
          <w:szCs w:val="19"/>
          <w:b w:val="1"/>
          <w:bCs w:val="1"/>
          <w:color w:val="auto"/>
        </w:rPr>
        <w:t>.</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The decision or action of the Administrator with respect to any question arising out of or in</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connection with the administration, interpretation and application of the Plan and the rules and regulations promulgated hereunder shall be final, conclusive and binding upon all persons having any interest in the Plan. Neither the Administrator, its delegates, nor the Board shall be personally liable for any good faith action, determination or interpretation with respect to the Plan, and each shall be fully protected by the Company in respect of any such action, determination or interpretation.</w:t>
      </w:r>
    </w:p>
    <w:p>
      <w:pPr>
        <w:spacing w:after="0" w:line="183" w:lineRule="exact"/>
        <w:rPr>
          <w:sz w:val="20"/>
          <w:szCs w:val="20"/>
          <w:color w:val="auto"/>
        </w:rPr>
      </w:pPr>
    </w:p>
    <w:p>
      <w:pPr>
        <w:ind w:left="660" w:right="40" w:hanging="647"/>
        <w:spacing w:after="0" w:line="315" w:lineRule="auto"/>
        <w:tabs>
          <w:tab w:leader="none" w:pos="640" w:val="left"/>
        </w:tabs>
        <w:rPr>
          <w:sz w:val="20"/>
          <w:szCs w:val="20"/>
          <w:color w:val="auto"/>
        </w:rPr>
      </w:pPr>
      <w:r>
        <w:rPr>
          <w:rFonts w:ascii="Arial" w:cs="Arial" w:eastAsia="Arial" w:hAnsi="Arial"/>
          <w:sz w:val="22"/>
          <w:szCs w:val="22"/>
          <w:color w:val="auto"/>
        </w:rPr>
        <w:t>2.5</w:t>
      </w:r>
      <w:r>
        <w:rPr>
          <w:sz w:val="20"/>
          <w:szCs w:val="20"/>
          <w:color w:val="auto"/>
        </w:rPr>
        <w:tab/>
      </w:r>
      <w:r>
        <w:rPr>
          <w:rFonts w:ascii="Arial" w:cs="Arial" w:eastAsia="Arial" w:hAnsi="Arial"/>
          <w:sz w:val="19"/>
          <w:szCs w:val="19"/>
          <w:b w:val="1"/>
          <w:bCs w:val="1"/>
          <w:u w:val="single" w:color="auto"/>
          <w:color w:val="auto"/>
        </w:rPr>
        <w:t>Company Information</w:t>
      </w:r>
      <w:r>
        <w:rPr>
          <w:rFonts w:ascii="Arial" w:cs="Arial" w:eastAsia="Arial" w:hAnsi="Arial"/>
          <w:sz w:val="19"/>
          <w:szCs w:val="19"/>
          <w:b w:val="1"/>
          <w:bCs w:val="1"/>
          <w:color w:val="auto"/>
        </w:rPr>
        <w:t>.</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To enable the Administrator to perform its duties, the Company shall supply full and timely</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information to the Administrator on all matters relating to the Annual Retainer, the Directors, the date and circumstances of a Director's Separation from Service, and other pertinent information as the Administrator may reasonably require.</w:t>
      </w:r>
    </w:p>
    <w:p>
      <w:pPr>
        <w:spacing w:after="0" w:line="166" w:lineRule="exact"/>
        <w:rPr>
          <w:sz w:val="20"/>
          <w:szCs w:val="20"/>
          <w:color w:val="auto"/>
        </w:rPr>
      </w:pPr>
    </w:p>
    <w:p>
      <w:pPr>
        <w:ind w:left="5140"/>
        <w:spacing w:after="0"/>
        <w:rPr>
          <w:sz w:val="20"/>
          <w:szCs w:val="20"/>
          <w:color w:val="auto"/>
        </w:rPr>
      </w:pPr>
      <w:r>
        <w:rPr>
          <w:rFonts w:ascii="Arial" w:cs="Arial" w:eastAsia="Arial" w:hAnsi="Arial"/>
          <w:sz w:val="22"/>
          <w:szCs w:val="22"/>
          <w:b w:val="1"/>
          <w:bCs w:val="1"/>
          <w:color w:val="auto"/>
        </w:rPr>
        <w:t>ARTICLE 3</w:t>
      </w:r>
    </w:p>
    <w:p>
      <w:pPr>
        <w:spacing w:after="0" w:line="28" w:lineRule="exact"/>
        <w:rPr>
          <w:sz w:val="20"/>
          <w:szCs w:val="20"/>
          <w:color w:val="auto"/>
        </w:rPr>
      </w:pPr>
    </w:p>
    <w:p>
      <w:pPr>
        <w:ind w:left="5100"/>
        <w:spacing w:after="0"/>
        <w:rPr>
          <w:sz w:val="20"/>
          <w:szCs w:val="20"/>
          <w:color w:val="auto"/>
        </w:rPr>
      </w:pPr>
      <w:r>
        <w:rPr>
          <w:rFonts w:ascii="Arial" w:cs="Arial" w:eastAsia="Arial" w:hAnsi="Arial"/>
          <w:sz w:val="22"/>
          <w:szCs w:val="22"/>
          <w:b w:val="1"/>
          <w:bCs w:val="1"/>
          <w:u w:val="single" w:color="auto"/>
          <w:color w:val="auto"/>
        </w:rPr>
        <w:t>Participation</w:t>
      </w:r>
    </w:p>
    <w:p>
      <w:pPr>
        <w:spacing w:after="0" w:line="242" w:lineRule="exact"/>
        <w:rPr>
          <w:sz w:val="20"/>
          <w:szCs w:val="20"/>
          <w:color w:val="auto"/>
        </w:rPr>
      </w:pPr>
    </w:p>
    <w:p>
      <w:pPr>
        <w:ind w:right="300" w:firstLine="648"/>
        <w:spacing w:after="0" w:line="297" w:lineRule="auto"/>
        <w:rPr>
          <w:sz w:val="20"/>
          <w:szCs w:val="20"/>
          <w:color w:val="auto"/>
        </w:rPr>
      </w:pPr>
      <w:r>
        <w:rPr>
          <w:rFonts w:ascii="Arial" w:cs="Arial" w:eastAsia="Arial" w:hAnsi="Arial"/>
          <w:sz w:val="19"/>
          <w:szCs w:val="19"/>
          <w:color w:val="auto"/>
        </w:rPr>
        <w:t>Directors may participate in the Plan. Each Plan Year, the Administrator shall notify Directors of their eligibility to participate in the Plan and defer compensation to be paid on account of services as a Director during the next Service Period. A Director who is eligible to participate shall become a participant by completing an election form on which the Director elects to defer some or all of his or her Annual Retainer and delivering the completed form to the Company as specified in the Plan. The terms of this Plan shall continue to govern a Director's Accounts until the Accounts are paid in full.</w:t>
      </w:r>
    </w:p>
    <w:p>
      <w:pPr>
        <w:spacing w:after="0" w:line="141"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ARTICLE 4</w:t>
      </w:r>
    </w:p>
    <w:p>
      <w:pPr>
        <w:spacing w:after="0" w:line="28"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u w:val="single" w:color="auto"/>
          <w:color w:val="auto"/>
        </w:rPr>
        <w:t>Deferral Elections</w:t>
      </w:r>
    </w:p>
    <w:p>
      <w:pPr>
        <w:spacing w:after="0" w:line="236" w:lineRule="exact"/>
        <w:rPr>
          <w:sz w:val="20"/>
          <w:szCs w:val="20"/>
          <w:color w:val="auto"/>
        </w:rPr>
      </w:pPr>
    </w:p>
    <w:p>
      <w:pPr>
        <w:ind w:left="660" w:right="80" w:hanging="647"/>
        <w:spacing w:after="0" w:line="291" w:lineRule="auto"/>
        <w:tabs>
          <w:tab w:leader="none" w:pos="640" w:val="left"/>
        </w:tabs>
        <w:rPr>
          <w:sz w:val="20"/>
          <w:szCs w:val="20"/>
          <w:color w:val="auto"/>
        </w:rPr>
      </w:pPr>
      <w:r>
        <w:rPr>
          <w:rFonts w:ascii="Arial" w:cs="Arial" w:eastAsia="Arial" w:hAnsi="Arial"/>
          <w:sz w:val="22"/>
          <w:szCs w:val="22"/>
          <w:color w:val="auto"/>
        </w:rPr>
        <w:t>4.1</w:t>
      </w:r>
      <w:r>
        <w:rPr>
          <w:sz w:val="20"/>
          <w:szCs w:val="20"/>
          <w:color w:val="auto"/>
        </w:rPr>
        <w:tab/>
      </w:r>
      <w:r>
        <w:rPr>
          <w:rFonts w:ascii="Arial" w:cs="Arial" w:eastAsia="Arial" w:hAnsi="Arial"/>
          <w:sz w:val="19"/>
          <w:szCs w:val="19"/>
          <w:b w:val="1"/>
          <w:bCs w:val="1"/>
          <w:u w:val="single" w:color="auto"/>
          <w:color w:val="auto"/>
        </w:rPr>
        <w:t>Annual Deferral Election</w:t>
      </w:r>
      <w:r>
        <w:rPr>
          <w:rFonts w:ascii="Arial" w:cs="Arial" w:eastAsia="Arial" w:hAnsi="Arial"/>
          <w:sz w:val="19"/>
          <w:szCs w:val="19"/>
          <w:b w:val="1"/>
          <w:bCs w:val="1"/>
          <w:color w:val="auto"/>
        </w:rPr>
        <w:t>.</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Each Plan Year, a Director may elect: (i) to defer some or all of the Director's Annual Cash</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Retainer, the Annual Stock Retainer, or both, attributable to the next Service Period; and (ii) to the extent permitted by this Plan, the time and form of distribution of Cash Deferrals and Stock Deferrals. Elections become irrevocable no later than the date specified by the Administrator, but in any event before the beginning of the Plan Year with which or during which occurs the Service Period to which the elections relate. A Director's election will become effective only if the forms required by the Administrator have been properly completed and signed by the Director, timely delivered to, and accepted by, the Administrator. A Director who fails to file the election before the required date will be treated as having elected not to defer any portion of the Annual Retainer for the following Service Period.</w:t>
      </w:r>
    </w:p>
    <w:p>
      <w:pPr>
        <w:spacing w:after="0" w:line="190" w:lineRule="exact"/>
        <w:rPr>
          <w:sz w:val="20"/>
          <w:szCs w:val="20"/>
          <w:color w:val="auto"/>
        </w:rPr>
      </w:pPr>
    </w:p>
    <w:p>
      <w:pPr>
        <w:jc w:val="both"/>
        <w:ind w:left="660" w:right="180" w:hanging="647"/>
        <w:spacing w:after="0" w:line="251" w:lineRule="auto"/>
        <w:tabs>
          <w:tab w:leader="none" w:pos="640" w:val="left"/>
        </w:tabs>
        <w:rPr>
          <w:sz w:val="20"/>
          <w:szCs w:val="20"/>
          <w:color w:val="auto"/>
        </w:rPr>
      </w:pPr>
      <w:r>
        <w:rPr>
          <w:rFonts w:ascii="Arial" w:cs="Arial" w:eastAsia="Arial" w:hAnsi="Arial"/>
          <w:sz w:val="22"/>
          <w:szCs w:val="22"/>
          <w:color w:val="auto"/>
        </w:rPr>
        <w:t>4.2</w:t>
      </w:r>
      <w:r>
        <w:rPr>
          <w:sz w:val="20"/>
          <w:szCs w:val="20"/>
          <w:color w:val="auto"/>
        </w:rPr>
        <w:tab/>
      </w:r>
      <w:r>
        <w:rPr>
          <w:rFonts w:ascii="Arial" w:cs="Arial" w:eastAsia="Arial" w:hAnsi="Arial"/>
          <w:sz w:val="22"/>
          <w:szCs w:val="22"/>
          <w:b w:val="1"/>
          <w:bCs w:val="1"/>
          <w:u w:val="single" w:color="auto"/>
          <w:color w:val="auto"/>
        </w:rPr>
        <w:t xml:space="preserve">Initial Deferral Election. </w:t>
      </w:r>
      <w:r>
        <w:rPr>
          <w:rFonts w:ascii="Arial" w:cs="Arial" w:eastAsia="Arial" w:hAnsi="Arial"/>
          <w:sz w:val="22"/>
          <w:szCs w:val="22"/>
          <w:color w:val="auto"/>
        </w:rPr>
        <w:t>A Director who first becomes eligible to participate in the Plan during a Plan Year may elect to</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defer some or all of the Director's Annual Cash Retainer and Annual Stock Retainer by filing a signed election form with the Administrator no later than 30 days after the</w:t>
      </w:r>
    </w:p>
    <w:p>
      <w:pPr>
        <w:ind w:left="660" w:firstLine="648"/>
        <w:spacing w:after="0" w:line="257" w:lineRule="auto"/>
        <w:rPr>
          <w:sz w:val="20"/>
          <w:szCs w:val="20"/>
          <w:color w:val="auto"/>
        </w:rPr>
      </w:pPr>
      <w:r>
        <w:rPr>
          <w:rFonts w:ascii="Arial" w:cs="Arial" w:eastAsia="Arial" w:hAnsi="Arial"/>
          <w:sz w:val="21"/>
          <w:szCs w:val="21"/>
          <w:color w:val="auto"/>
        </w:rPr>
        <w:t>Director first becomes eligible to participate in the Plan. Such election shall be effective only with respect to the Director's Annual Retainer earned after the filing of such election. The election shall become irrevocable with respect to the Service Period covered by the election on the 30th day following the date on which the Director first becomes eligible to participate in the Plan. This election relating to initial participation in the Plan is available only to Directors who do not participate in any other nonqualified deferred compensation elective account balance plans (within the meaning of Section 409A) maintained by the Company or any Related Company. If a Director whose participation in the Plan is terminated again becomes a Director, he or she may elect to</w:t>
      </w:r>
    </w:p>
    <w:p>
      <w:pPr>
        <w:spacing w:after="0" w:line="2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585" w:right="299" w:bottom="1440" w:gutter="0" w:footer="0" w:header="0"/>
        </w:sectPr>
      </w:pPr>
    </w:p>
    <w:bookmarkStart w:id="157" w:name="page158"/>
    <w:bookmarkEnd w:id="157"/>
    <w:p>
      <w:pPr>
        <w:ind w:left="660" w:right="60" w:firstLine="648"/>
        <w:spacing w:after="0" w:line="253" w:lineRule="auto"/>
        <w:rPr>
          <w:sz w:val="20"/>
          <w:szCs w:val="20"/>
          <w:color w:val="auto"/>
        </w:rPr>
      </w:pPr>
      <w:r>
        <w:rPr>
          <w:rFonts w:ascii="Arial" w:cs="Arial" w:eastAsia="Arial" w:hAnsi="Arial"/>
          <w:sz w:val="22"/>
          <w:szCs w:val="22"/>
          <w:color w:val="auto"/>
        </w:rPr>
        <w:t>defer pursuant to this Section only if the Director was ineligible to defer compensation in this Plan and all other Related Company elective account balance plans for the 24 months preceding the date on which the Director again became eligible to participate in this Plan.</w:t>
      </w:r>
    </w:p>
    <w:p>
      <w:pPr>
        <w:spacing w:after="0" w:line="220" w:lineRule="exact"/>
        <w:rPr>
          <w:sz w:val="20"/>
          <w:szCs w:val="20"/>
          <w:color w:val="auto"/>
        </w:rPr>
      </w:pPr>
    </w:p>
    <w:p>
      <w:pPr>
        <w:ind w:left="660" w:right="20" w:hanging="647"/>
        <w:spacing w:after="0" w:line="261" w:lineRule="auto"/>
        <w:tabs>
          <w:tab w:leader="none" w:pos="640" w:val="left"/>
        </w:tabs>
        <w:rPr>
          <w:sz w:val="20"/>
          <w:szCs w:val="20"/>
          <w:color w:val="auto"/>
        </w:rPr>
      </w:pPr>
      <w:r>
        <w:rPr>
          <w:rFonts w:ascii="Arial" w:cs="Arial" w:eastAsia="Arial" w:hAnsi="Arial"/>
          <w:sz w:val="22"/>
          <w:szCs w:val="22"/>
          <w:color w:val="auto"/>
        </w:rPr>
        <w:t>4.3</w:t>
      </w:r>
      <w:r>
        <w:rPr>
          <w:sz w:val="20"/>
          <w:szCs w:val="20"/>
          <w:color w:val="auto"/>
        </w:rPr>
        <w:tab/>
      </w:r>
      <w:r>
        <w:rPr>
          <w:rFonts w:ascii="Arial" w:cs="Arial" w:eastAsia="Arial" w:hAnsi="Arial"/>
          <w:sz w:val="21"/>
          <w:szCs w:val="21"/>
          <w:b w:val="1"/>
          <w:bCs w:val="1"/>
          <w:u w:val="single" w:color="auto"/>
          <w:color w:val="auto"/>
        </w:rPr>
        <w:t xml:space="preserve">Cancellations of Deferral Elections due to Unforeseeable Emergency. </w:t>
      </w:r>
      <w:r>
        <w:rPr>
          <w:rFonts w:ascii="Arial" w:cs="Arial" w:eastAsia="Arial" w:hAnsi="Arial"/>
          <w:sz w:val="21"/>
          <w:szCs w:val="21"/>
          <w:color w:val="auto"/>
        </w:rPr>
        <w:t>If a Director experiences an Unforeseeable</w:t>
      </w:r>
      <w:r>
        <w:rPr>
          <w:rFonts w:ascii="Arial" w:cs="Arial" w:eastAsia="Arial" w:hAnsi="Arial"/>
          <w:sz w:val="21"/>
          <w:szCs w:val="21"/>
          <w:b w:val="1"/>
          <w:bCs w:val="1"/>
          <w:u w:val="single" w:color="auto"/>
          <w:color w:val="auto"/>
        </w:rPr>
        <w:t xml:space="preserve"> </w:t>
      </w:r>
      <w:r>
        <w:rPr>
          <w:rFonts w:ascii="Arial" w:cs="Arial" w:eastAsia="Arial" w:hAnsi="Arial"/>
          <w:sz w:val="21"/>
          <w:szCs w:val="21"/>
          <w:color w:val="auto"/>
        </w:rPr>
        <w:t>Emergency, the Director may submit to the Administrator a written request to cancel Deferrals for the Service Period to satisfy the Unforeseeable Emergency. If the Administrator either approves the Director's request to cancel Deferrals for the Service Period, or approves a request for a distribution of prior Deferrals in accordance with Section 6.1.3, then effective as of the date the request is approved the Administrator shall cancel the Director's deferral elections for the remainder of the Service Period. A Director whose Deferrals are canceled in accordance with this section may elect Deferrals for the following Service Period.</w:t>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ARTICLE 5</w:t>
      </w:r>
    </w:p>
    <w:p>
      <w:pPr>
        <w:spacing w:after="0" w:line="28"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u w:val="single" w:color="auto"/>
          <w:color w:val="auto"/>
        </w:rPr>
        <w:t>Accounts</w:t>
      </w:r>
    </w:p>
    <w:p>
      <w:pPr>
        <w:spacing w:after="0" w:line="236" w:lineRule="exact"/>
        <w:rPr>
          <w:sz w:val="20"/>
          <w:szCs w:val="20"/>
          <w:color w:val="auto"/>
        </w:rPr>
      </w:pPr>
    </w:p>
    <w:p>
      <w:pPr>
        <w:jc w:val="both"/>
        <w:ind w:left="660" w:right="240" w:hanging="647"/>
        <w:spacing w:after="0" w:line="315" w:lineRule="auto"/>
        <w:tabs>
          <w:tab w:leader="none" w:pos="640" w:val="left"/>
        </w:tabs>
        <w:rPr>
          <w:sz w:val="20"/>
          <w:szCs w:val="20"/>
          <w:color w:val="auto"/>
        </w:rPr>
      </w:pPr>
      <w:r>
        <w:rPr>
          <w:rFonts w:ascii="Arial" w:cs="Arial" w:eastAsia="Arial" w:hAnsi="Arial"/>
          <w:sz w:val="22"/>
          <w:szCs w:val="22"/>
          <w:color w:val="auto"/>
        </w:rPr>
        <w:t>5.1</w:t>
      </w:r>
      <w:r>
        <w:rPr>
          <w:sz w:val="20"/>
          <w:szCs w:val="20"/>
          <w:color w:val="auto"/>
        </w:rPr>
        <w:tab/>
      </w:r>
      <w:r>
        <w:rPr>
          <w:rFonts w:ascii="Arial" w:cs="Arial" w:eastAsia="Arial" w:hAnsi="Arial"/>
          <w:sz w:val="19"/>
          <w:szCs w:val="19"/>
          <w:b w:val="1"/>
          <w:bCs w:val="1"/>
          <w:u w:val="single" w:color="auto"/>
          <w:color w:val="auto"/>
        </w:rPr>
        <w:t>Accounts</w:t>
      </w:r>
      <w:r>
        <w:rPr>
          <w:rFonts w:ascii="Arial" w:cs="Arial" w:eastAsia="Arial" w:hAnsi="Arial"/>
          <w:sz w:val="19"/>
          <w:szCs w:val="19"/>
          <w:b w:val="1"/>
          <w:bCs w:val="1"/>
          <w:color w:val="auto"/>
        </w:rPr>
        <w:t>.</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The Company will establish notional accounts and sub-accounts for each Director as the Administrator deems</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necessary or advisable from time to time. The Company will establish a Director's Accounts during the year in which the Director first elects to defer any amounts. All amounts in a Director's Accounts are fully vested at all times.</w:t>
      </w:r>
    </w:p>
    <w:p>
      <w:pPr>
        <w:spacing w:after="0" w:line="166"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5.2</w:t>
      </w:r>
      <w:r>
        <w:rPr>
          <w:sz w:val="20"/>
          <w:szCs w:val="20"/>
          <w:color w:val="auto"/>
        </w:rPr>
        <w:tab/>
      </w:r>
      <w:r>
        <w:rPr>
          <w:rFonts w:ascii="Arial" w:cs="Arial" w:eastAsia="Arial" w:hAnsi="Arial"/>
          <w:sz w:val="19"/>
          <w:szCs w:val="19"/>
          <w:b w:val="1"/>
          <w:bCs w:val="1"/>
          <w:u w:val="single" w:color="auto"/>
          <w:color w:val="auto"/>
        </w:rPr>
        <w:t>Cash Account</w:t>
      </w:r>
      <w:r>
        <w:rPr>
          <w:rFonts w:ascii="Arial" w:cs="Arial" w:eastAsia="Arial" w:hAnsi="Arial"/>
          <w:sz w:val="19"/>
          <w:szCs w:val="19"/>
          <w:b w:val="1"/>
          <w:bCs w:val="1"/>
          <w:color w:val="auto"/>
        </w:rPr>
        <w:t>.</w:t>
      </w:r>
    </w:p>
    <w:p>
      <w:pPr>
        <w:spacing w:after="0" w:line="260" w:lineRule="exact"/>
        <w:rPr>
          <w:sz w:val="20"/>
          <w:szCs w:val="20"/>
          <w:color w:val="auto"/>
        </w:rPr>
      </w:pPr>
    </w:p>
    <w:p>
      <w:pPr>
        <w:ind w:left="1960" w:right="100" w:hanging="971"/>
        <w:spacing w:after="0" w:line="252" w:lineRule="auto"/>
        <w:tabs>
          <w:tab w:leader="none" w:pos="1940" w:val="left"/>
        </w:tabs>
        <w:rPr>
          <w:sz w:val="20"/>
          <w:szCs w:val="20"/>
          <w:color w:val="auto"/>
        </w:rPr>
      </w:pPr>
      <w:r>
        <w:rPr>
          <w:rFonts w:ascii="Arial" w:cs="Arial" w:eastAsia="Arial" w:hAnsi="Arial"/>
          <w:sz w:val="22"/>
          <w:szCs w:val="22"/>
          <w:color w:val="auto"/>
        </w:rPr>
        <w:t>5.2.1</w:t>
      </w:r>
      <w:r>
        <w:rPr>
          <w:sz w:val="20"/>
          <w:szCs w:val="20"/>
          <w:color w:val="auto"/>
        </w:rPr>
        <w:tab/>
      </w:r>
      <w:r>
        <w:rPr>
          <w:rFonts w:ascii="Arial" w:cs="Arial" w:eastAsia="Arial" w:hAnsi="Arial"/>
          <w:sz w:val="22"/>
          <w:szCs w:val="22"/>
          <w:b w:val="1"/>
          <w:bCs w:val="1"/>
          <w:u w:val="single" w:color="auto"/>
          <w:color w:val="auto"/>
        </w:rPr>
        <w:t>Establishment of Cash Account</w:t>
      </w:r>
      <w:r>
        <w:rPr>
          <w:rFonts w:ascii="Arial" w:cs="Arial" w:eastAsia="Arial" w:hAnsi="Arial"/>
          <w:sz w:val="22"/>
          <w:szCs w:val="22"/>
          <w:b w:val="1"/>
          <w:bCs w:val="1"/>
          <w:color w:val="auto"/>
        </w:rPr>
        <w:t>.</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The Company shall establish and maintain a Cash Account for each</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Director who has elected to defer any portion of the Annual Cash Retainer. A Director's Cash Account shall be credited as appropriate for Cash Deferrals and earnings with respect to Cash Deferrals and debited for distributions from the Cash Account.</w:t>
      </w:r>
    </w:p>
    <w:p>
      <w:pPr>
        <w:spacing w:after="0" w:line="221" w:lineRule="exact"/>
        <w:rPr>
          <w:sz w:val="20"/>
          <w:szCs w:val="20"/>
          <w:color w:val="auto"/>
        </w:rPr>
      </w:pPr>
    </w:p>
    <w:p>
      <w:pPr>
        <w:ind w:left="1960" w:hanging="971"/>
        <w:spacing w:after="0" w:line="252" w:lineRule="auto"/>
        <w:tabs>
          <w:tab w:leader="none" w:pos="1940" w:val="left"/>
        </w:tabs>
        <w:rPr>
          <w:sz w:val="20"/>
          <w:szCs w:val="20"/>
          <w:color w:val="auto"/>
        </w:rPr>
      </w:pPr>
      <w:r>
        <w:rPr>
          <w:rFonts w:ascii="Arial" w:cs="Arial" w:eastAsia="Arial" w:hAnsi="Arial"/>
          <w:sz w:val="22"/>
          <w:szCs w:val="22"/>
          <w:color w:val="auto"/>
        </w:rPr>
        <w:t>5.2.2</w:t>
      </w:r>
      <w:r>
        <w:rPr>
          <w:sz w:val="20"/>
          <w:szCs w:val="20"/>
          <w:color w:val="auto"/>
        </w:rPr>
        <w:tab/>
      </w:r>
      <w:r>
        <w:rPr>
          <w:rFonts w:ascii="Arial" w:cs="Arial" w:eastAsia="Arial" w:hAnsi="Arial"/>
          <w:sz w:val="22"/>
          <w:szCs w:val="22"/>
          <w:b w:val="1"/>
          <w:bCs w:val="1"/>
          <w:u w:val="single" w:color="auto"/>
          <w:color w:val="auto"/>
        </w:rPr>
        <w:t>Timing of Credits to Cash Accounts</w:t>
      </w:r>
      <w:r>
        <w:rPr>
          <w:rFonts w:ascii="Arial" w:cs="Arial" w:eastAsia="Arial" w:hAnsi="Arial"/>
          <w:sz w:val="22"/>
          <w:szCs w:val="22"/>
          <w:b w:val="1"/>
          <w:bCs w:val="1"/>
          <w:color w:val="auto"/>
        </w:rPr>
        <w:t>.</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No later than the end of the calendar year during which the Company</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would otherwise have paid the Annual Cash Retainer to the Director but for the Director's deferral election, the Administrator shall credit the Director's Cash Account with an amount equal to the portion of the Annual Cash Retainer that the Director elected to defer.</w:t>
      </w:r>
    </w:p>
    <w:p>
      <w:pPr>
        <w:spacing w:after="0" w:line="200" w:lineRule="exact"/>
        <w:rPr>
          <w:sz w:val="20"/>
          <w:szCs w:val="20"/>
          <w:color w:val="auto"/>
        </w:rPr>
      </w:pPr>
    </w:p>
    <w:p>
      <w:pPr>
        <w:spacing w:after="0" w:line="2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60"/>
          </w:cols>
          <w:pgMar w:left="240" w:top="591" w:right="299" w:bottom="1440" w:gutter="0" w:footer="0" w:header="0"/>
        </w:sectPr>
      </w:pPr>
    </w:p>
    <w:bookmarkStart w:id="158" w:name="page159"/>
    <w:bookmarkEnd w:id="158"/>
    <w:p>
      <w:pPr>
        <w:ind w:left="1960" w:right="100" w:hanging="971"/>
        <w:spacing w:after="0" w:line="304" w:lineRule="auto"/>
        <w:tabs>
          <w:tab w:leader="none" w:pos="1940" w:val="left"/>
        </w:tabs>
        <w:rPr>
          <w:sz w:val="20"/>
          <w:szCs w:val="20"/>
          <w:color w:val="auto"/>
        </w:rPr>
      </w:pPr>
      <w:r>
        <w:rPr>
          <w:rFonts w:ascii="Arial" w:cs="Arial" w:eastAsia="Arial" w:hAnsi="Arial"/>
          <w:sz w:val="22"/>
          <w:szCs w:val="22"/>
          <w:color w:val="auto"/>
        </w:rPr>
        <w:t>5.2.3</w:t>
      </w:r>
      <w:r>
        <w:rPr>
          <w:sz w:val="20"/>
          <w:szCs w:val="20"/>
          <w:color w:val="auto"/>
        </w:rPr>
        <w:tab/>
      </w:r>
      <w:r>
        <w:rPr>
          <w:rFonts w:ascii="Arial" w:cs="Arial" w:eastAsia="Arial" w:hAnsi="Arial"/>
          <w:sz w:val="19"/>
          <w:szCs w:val="19"/>
          <w:b w:val="1"/>
          <w:bCs w:val="1"/>
          <w:u w:val="single" w:color="auto"/>
          <w:color w:val="auto"/>
        </w:rPr>
        <w:t>Investments</w:t>
      </w:r>
      <w:r>
        <w:rPr>
          <w:rFonts w:ascii="Arial" w:cs="Arial" w:eastAsia="Arial" w:hAnsi="Arial"/>
          <w:sz w:val="19"/>
          <w:szCs w:val="19"/>
          <w:b w:val="1"/>
          <w:bCs w:val="1"/>
          <w:color w:val="auto"/>
        </w:rPr>
        <w:t>.</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The Administrator may select investment funds to use for measuring notional gains and losses</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with respect to Cash Deferrals. The Administrator will establish, from time to time, rules and procedures for allowing each Director to designate which one or more of the selected investment funds will be used to determine the notional gains and losses credited or debited to the Director's Cash Account.</w:t>
      </w:r>
    </w:p>
    <w:p>
      <w:pPr>
        <w:spacing w:after="0" w:line="176" w:lineRule="exact"/>
        <w:rPr>
          <w:sz w:val="20"/>
          <w:szCs w:val="20"/>
          <w:color w:val="auto"/>
        </w:rPr>
      </w:pPr>
    </w:p>
    <w:p>
      <w:pPr>
        <w:ind w:left="1960" w:right="180" w:hanging="971"/>
        <w:spacing w:after="0" w:line="256" w:lineRule="auto"/>
        <w:tabs>
          <w:tab w:leader="none" w:pos="1940" w:val="left"/>
        </w:tabs>
        <w:rPr>
          <w:sz w:val="20"/>
          <w:szCs w:val="20"/>
          <w:color w:val="auto"/>
        </w:rPr>
      </w:pPr>
      <w:r>
        <w:rPr>
          <w:rFonts w:ascii="Arial" w:cs="Arial" w:eastAsia="Arial" w:hAnsi="Arial"/>
          <w:sz w:val="22"/>
          <w:szCs w:val="22"/>
          <w:color w:val="auto"/>
        </w:rPr>
        <w:t>5.2.4</w:t>
      </w:r>
      <w:r>
        <w:rPr>
          <w:sz w:val="20"/>
          <w:szCs w:val="20"/>
          <w:color w:val="auto"/>
        </w:rPr>
        <w:tab/>
      </w:r>
      <w:r>
        <w:rPr>
          <w:rFonts w:ascii="Arial" w:cs="Arial" w:eastAsia="Arial" w:hAnsi="Arial"/>
          <w:sz w:val="22"/>
          <w:szCs w:val="22"/>
          <w:b w:val="1"/>
          <w:bCs w:val="1"/>
          <w:u w:val="single" w:color="auto"/>
          <w:color w:val="auto"/>
        </w:rPr>
        <w:t>Valuation Date</w:t>
      </w:r>
      <w:r>
        <w:rPr>
          <w:rFonts w:ascii="Arial" w:cs="Arial" w:eastAsia="Arial" w:hAnsi="Arial"/>
          <w:sz w:val="22"/>
          <w:szCs w:val="22"/>
          <w:b w:val="1"/>
          <w:bCs w:val="1"/>
          <w:color w:val="auto"/>
        </w:rPr>
        <w:t>.</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As of each Valuation Date, each Cash Account will be adjusted to reflect the effect of</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notional investment gains or losses, additions, distributions, transfers and all other transactions with respect to that account since the previous Valuation Date.</w:t>
      </w:r>
    </w:p>
    <w:p>
      <w:pPr>
        <w:spacing w:after="0" w:line="217"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5.3</w:t>
      </w:r>
      <w:r>
        <w:rPr>
          <w:sz w:val="20"/>
          <w:szCs w:val="20"/>
          <w:color w:val="auto"/>
        </w:rPr>
        <w:tab/>
      </w:r>
      <w:r>
        <w:rPr>
          <w:rFonts w:ascii="Arial" w:cs="Arial" w:eastAsia="Arial" w:hAnsi="Arial"/>
          <w:sz w:val="18"/>
          <w:szCs w:val="18"/>
          <w:b w:val="1"/>
          <w:bCs w:val="1"/>
          <w:u w:val="single" w:color="auto"/>
          <w:color w:val="auto"/>
        </w:rPr>
        <w:t>Stock Account</w:t>
      </w:r>
      <w:r>
        <w:rPr>
          <w:rFonts w:ascii="Arial" w:cs="Arial" w:eastAsia="Arial" w:hAnsi="Arial"/>
          <w:sz w:val="18"/>
          <w:szCs w:val="18"/>
          <w:b w:val="1"/>
          <w:bCs w:val="1"/>
          <w:color w:val="auto"/>
        </w:rPr>
        <w:t>.</w:t>
      </w:r>
    </w:p>
    <w:p>
      <w:pPr>
        <w:spacing w:after="0" w:line="260" w:lineRule="exact"/>
        <w:rPr>
          <w:sz w:val="20"/>
          <w:szCs w:val="20"/>
          <w:color w:val="auto"/>
        </w:rPr>
      </w:pPr>
    </w:p>
    <w:p>
      <w:pPr>
        <w:ind w:left="1960" w:right="20" w:hanging="971"/>
        <w:spacing w:after="0" w:line="293" w:lineRule="auto"/>
        <w:tabs>
          <w:tab w:leader="none" w:pos="1940" w:val="left"/>
        </w:tabs>
        <w:rPr>
          <w:sz w:val="20"/>
          <w:szCs w:val="20"/>
          <w:color w:val="auto"/>
        </w:rPr>
      </w:pPr>
      <w:r>
        <w:rPr>
          <w:rFonts w:ascii="Arial" w:cs="Arial" w:eastAsia="Arial" w:hAnsi="Arial"/>
          <w:sz w:val="22"/>
          <w:szCs w:val="22"/>
          <w:color w:val="auto"/>
        </w:rPr>
        <w:t>5.3.1</w:t>
      </w:r>
      <w:r>
        <w:rPr>
          <w:sz w:val="20"/>
          <w:szCs w:val="20"/>
          <w:color w:val="auto"/>
        </w:rPr>
        <w:tab/>
      </w:r>
      <w:r>
        <w:rPr>
          <w:rFonts w:ascii="Arial" w:cs="Arial" w:eastAsia="Arial" w:hAnsi="Arial"/>
          <w:sz w:val="19"/>
          <w:szCs w:val="19"/>
          <w:b w:val="1"/>
          <w:bCs w:val="1"/>
          <w:u w:val="single" w:color="auto"/>
          <w:color w:val="auto"/>
        </w:rPr>
        <w:t>Establishment of Stock Account</w:t>
      </w:r>
      <w:r>
        <w:rPr>
          <w:rFonts w:ascii="Arial" w:cs="Arial" w:eastAsia="Arial" w:hAnsi="Arial"/>
          <w:sz w:val="19"/>
          <w:szCs w:val="19"/>
          <w:b w:val="1"/>
          <w:bCs w:val="1"/>
          <w:color w:val="auto"/>
        </w:rPr>
        <w:t>.</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The Company shall establish and maintain a Stock Account for each</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Director who has elected to defer any portion of the Annual Stock Retainer. A Director's Stock Account shall be credited as appropriate for Stock Deferrals and Dividend Equivalents and debited for distributions from the Stock Account. Stock Deferrals credited to a Director's Stock Account shall be used solely as a device for determining the number of shares of Common Stock to be distributed to such Director at a later time in accordance with this Plan. Stock Deferrals credited (and the Common Stock to which the Director is entitled under this Plan) shall be subject to adjustment in accordance with Section 5.3.4 of this Plan.</w:t>
      </w:r>
    </w:p>
    <w:p>
      <w:pPr>
        <w:spacing w:after="0" w:line="186" w:lineRule="exact"/>
        <w:rPr>
          <w:sz w:val="20"/>
          <w:szCs w:val="20"/>
          <w:color w:val="auto"/>
        </w:rPr>
      </w:pPr>
    </w:p>
    <w:p>
      <w:pPr>
        <w:ind w:left="1960" w:hanging="971"/>
        <w:spacing w:after="0" w:line="298" w:lineRule="auto"/>
        <w:tabs>
          <w:tab w:leader="none" w:pos="1940" w:val="left"/>
        </w:tabs>
        <w:rPr>
          <w:sz w:val="20"/>
          <w:szCs w:val="20"/>
          <w:color w:val="auto"/>
        </w:rPr>
      </w:pPr>
      <w:r>
        <w:rPr>
          <w:rFonts w:ascii="Arial" w:cs="Arial" w:eastAsia="Arial" w:hAnsi="Arial"/>
          <w:sz w:val="22"/>
          <w:szCs w:val="22"/>
          <w:color w:val="auto"/>
        </w:rPr>
        <w:t>5.3.2</w:t>
      </w:r>
      <w:r>
        <w:rPr>
          <w:sz w:val="20"/>
          <w:szCs w:val="20"/>
          <w:color w:val="auto"/>
        </w:rPr>
        <w:tab/>
      </w:r>
      <w:r>
        <w:rPr>
          <w:rFonts w:ascii="Arial" w:cs="Arial" w:eastAsia="Arial" w:hAnsi="Arial"/>
          <w:sz w:val="19"/>
          <w:szCs w:val="19"/>
          <w:b w:val="1"/>
          <w:bCs w:val="1"/>
          <w:u w:val="single" w:color="auto"/>
          <w:color w:val="auto"/>
        </w:rPr>
        <w:t>Credits to Stock Accounts</w:t>
      </w:r>
      <w:r>
        <w:rPr>
          <w:rFonts w:ascii="Arial" w:cs="Arial" w:eastAsia="Arial" w:hAnsi="Arial"/>
          <w:sz w:val="19"/>
          <w:szCs w:val="19"/>
          <w:b w:val="1"/>
          <w:bCs w:val="1"/>
          <w:color w:val="auto"/>
        </w:rPr>
        <w:t>.</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The Administrator shall credit a Director's Stock Account with Stock Deferrals</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as of the day on which the Annual Stock Retainer would otherwise have been paid to the Director pursuant to the Stock Plan but for the Director's deferral election. The number of Stock Deferrals credited to the Stock Account shall equal the number of shares of Common Stock that would have been issued to the Director pursuant to the Stock Plan in the absence of a deferral election.</w:t>
      </w:r>
    </w:p>
    <w:p>
      <w:pPr>
        <w:spacing w:after="0" w:line="183" w:lineRule="exact"/>
        <w:rPr>
          <w:sz w:val="20"/>
          <w:szCs w:val="20"/>
          <w:color w:val="auto"/>
        </w:rPr>
      </w:pPr>
    </w:p>
    <w:p>
      <w:pPr>
        <w:ind w:left="1960" w:right="40" w:hanging="971"/>
        <w:spacing w:after="0" w:line="248" w:lineRule="auto"/>
        <w:tabs>
          <w:tab w:leader="none" w:pos="1940" w:val="left"/>
        </w:tabs>
        <w:rPr>
          <w:sz w:val="20"/>
          <w:szCs w:val="20"/>
          <w:color w:val="auto"/>
        </w:rPr>
      </w:pPr>
      <w:r>
        <w:rPr>
          <w:rFonts w:ascii="Arial" w:cs="Arial" w:eastAsia="Arial" w:hAnsi="Arial"/>
          <w:sz w:val="22"/>
          <w:szCs w:val="22"/>
          <w:color w:val="auto"/>
        </w:rPr>
        <w:t>5.3.3</w:t>
      </w:r>
      <w:r>
        <w:rPr>
          <w:sz w:val="20"/>
          <w:szCs w:val="20"/>
          <w:color w:val="auto"/>
        </w:rPr>
        <w:tab/>
      </w:r>
      <w:r>
        <w:rPr>
          <w:rFonts w:ascii="Arial" w:cs="Arial" w:eastAsia="Arial" w:hAnsi="Arial"/>
          <w:sz w:val="22"/>
          <w:szCs w:val="22"/>
          <w:b w:val="1"/>
          <w:bCs w:val="1"/>
          <w:u w:val="single" w:color="auto"/>
          <w:color w:val="auto"/>
        </w:rPr>
        <w:t>Dividend Equivalents</w:t>
      </w:r>
      <w:r>
        <w:rPr>
          <w:rFonts w:ascii="Arial" w:cs="Arial" w:eastAsia="Arial" w:hAnsi="Arial"/>
          <w:sz w:val="22"/>
          <w:szCs w:val="22"/>
          <w:b w:val="1"/>
          <w:bCs w:val="1"/>
          <w:color w:val="auto"/>
        </w:rPr>
        <w:t>.</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Stock Deferrals credited to a Director's Stock Account shall be credited with</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Dividend Equivalents equal to cash dividends that are declared and paid on Common Stock. The Company will credit each Director's Stock Account with Dividend Equivalents as of the date that the Company pays a dividend on its Common Stock, and will convert the Dividend Equivalents into additional Stock Deferrals by dividing the amount of the Dividend Equivalents by the Fair Market Value of a share of Common Stock on that date.</w:t>
      </w:r>
    </w:p>
    <w:p>
      <w:pPr>
        <w:spacing w:after="0" w:line="228" w:lineRule="exact"/>
        <w:rPr>
          <w:sz w:val="20"/>
          <w:szCs w:val="20"/>
          <w:color w:val="auto"/>
        </w:rPr>
      </w:pPr>
    </w:p>
    <w:p>
      <w:pPr>
        <w:ind w:left="1960" w:right="40" w:hanging="971"/>
        <w:spacing w:after="0" w:line="249" w:lineRule="auto"/>
        <w:tabs>
          <w:tab w:leader="none" w:pos="1940" w:val="left"/>
        </w:tabs>
        <w:rPr>
          <w:sz w:val="20"/>
          <w:szCs w:val="20"/>
          <w:color w:val="auto"/>
        </w:rPr>
      </w:pPr>
      <w:r>
        <w:rPr>
          <w:rFonts w:ascii="Arial" w:cs="Arial" w:eastAsia="Arial" w:hAnsi="Arial"/>
          <w:sz w:val="22"/>
          <w:szCs w:val="22"/>
          <w:color w:val="auto"/>
        </w:rPr>
        <w:t>5.3.4</w:t>
      </w:r>
      <w:r>
        <w:rPr>
          <w:sz w:val="20"/>
          <w:szCs w:val="20"/>
          <w:color w:val="auto"/>
        </w:rPr>
        <w:tab/>
      </w:r>
      <w:r>
        <w:rPr>
          <w:rFonts w:ascii="Arial" w:cs="Arial" w:eastAsia="Arial" w:hAnsi="Arial"/>
          <w:sz w:val="22"/>
          <w:szCs w:val="22"/>
          <w:b w:val="1"/>
          <w:bCs w:val="1"/>
          <w:u w:val="single" w:color="auto"/>
          <w:color w:val="auto"/>
        </w:rPr>
        <w:t>Adjustments in Case of Changes in Common Stock</w:t>
      </w:r>
      <w:r>
        <w:rPr>
          <w:rFonts w:ascii="Arial" w:cs="Arial" w:eastAsia="Arial" w:hAnsi="Arial"/>
          <w:sz w:val="22"/>
          <w:szCs w:val="22"/>
          <w:b w:val="1"/>
          <w:bCs w:val="1"/>
          <w:color w:val="auto"/>
        </w:rPr>
        <w:t>.</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If the outstanding shares of Common Stock of the</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Company are increased, decreased, or exchanged for a different number or kind of shares or other securities, or if additional shares or new or different shares or other securities are distributed with respect to such shares of</w:t>
      </w:r>
    </w:p>
    <w:p>
      <w:pPr>
        <w:spacing w:after="0" w:line="1" w:lineRule="exact"/>
        <w:rPr>
          <w:sz w:val="20"/>
          <w:szCs w:val="20"/>
          <w:color w:val="auto"/>
        </w:rPr>
      </w:pPr>
    </w:p>
    <w:p>
      <w:pPr>
        <w:ind w:left="1960" w:firstLine="648"/>
        <w:spacing w:after="0" w:line="244" w:lineRule="auto"/>
        <w:rPr>
          <w:sz w:val="20"/>
          <w:szCs w:val="20"/>
          <w:color w:val="auto"/>
        </w:rPr>
      </w:pPr>
      <w:r>
        <w:rPr>
          <w:rFonts w:ascii="Arial" w:cs="Arial" w:eastAsia="Arial" w:hAnsi="Arial"/>
          <w:sz w:val="22"/>
          <w:szCs w:val="22"/>
          <w:color w:val="auto"/>
        </w:rPr>
        <w:t>Common Stock or other securities, through merger, consolidation, sale of all or substantially all of the property of the Company, reorganization or recapitalization, reclassification, stock dividend, stock split, reverse stock split, combinations of shares, rights offering, distribution of assets or other distribution with respect to</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85" w:right="239" w:bottom="1440" w:gutter="0" w:footer="0" w:header="0"/>
        </w:sectPr>
      </w:pPr>
    </w:p>
    <w:bookmarkStart w:id="159" w:name="page160"/>
    <w:bookmarkEnd w:id="159"/>
    <w:p>
      <w:pPr>
        <w:ind w:left="1940" w:right="20"/>
        <w:spacing w:after="0" w:line="302" w:lineRule="auto"/>
        <w:rPr>
          <w:sz w:val="20"/>
          <w:szCs w:val="20"/>
          <w:color w:val="auto"/>
        </w:rPr>
      </w:pPr>
      <w:r>
        <w:rPr>
          <w:rFonts w:ascii="Arial" w:cs="Arial" w:eastAsia="Arial" w:hAnsi="Arial"/>
          <w:sz w:val="19"/>
          <w:szCs w:val="19"/>
          <w:color w:val="auto"/>
        </w:rPr>
        <w:t>such shares of Common Stock or other securities or other change in the corporate structure or shares of Common Stock, the number of Stock Deferrals in a Director's Stock Account and the kind of shares that may be issued under the Plan or both shall be appropriately adjusted by the Committee. Any determination by the Committee as to any such adjustment will be final, binding, and conclusive.</w:t>
      </w:r>
    </w:p>
    <w:p>
      <w:pPr>
        <w:spacing w:after="0" w:line="177" w:lineRule="exact"/>
        <w:rPr>
          <w:sz w:val="20"/>
          <w:szCs w:val="20"/>
          <w:color w:val="auto"/>
        </w:rPr>
      </w:pPr>
    </w:p>
    <w:p>
      <w:pPr>
        <w:ind w:left="5120"/>
        <w:spacing w:after="0"/>
        <w:rPr>
          <w:sz w:val="20"/>
          <w:szCs w:val="20"/>
          <w:color w:val="auto"/>
        </w:rPr>
      </w:pPr>
      <w:r>
        <w:rPr>
          <w:rFonts w:ascii="Arial" w:cs="Arial" w:eastAsia="Arial" w:hAnsi="Arial"/>
          <w:sz w:val="22"/>
          <w:szCs w:val="22"/>
          <w:b w:val="1"/>
          <w:bCs w:val="1"/>
          <w:color w:val="auto"/>
        </w:rPr>
        <w:t>ARTICLE 6</w:t>
      </w:r>
    </w:p>
    <w:p>
      <w:pPr>
        <w:spacing w:after="0" w:line="28" w:lineRule="exact"/>
        <w:rPr>
          <w:sz w:val="20"/>
          <w:szCs w:val="20"/>
          <w:color w:val="auto"/>
        </w:rPr>
      </w:pPr>
    </w:p>
    <w:p>
      <w:pPr>
        <w:ind w:left="5080"/>
        <w:spacing w:after="0"/>
        <w:rPr>
          <w:sz w:val="20"/>
          <w:szCs w:val="20"/>
          <w:color w:val="auto"/>
        </w:rPr>
      </w:pPr>
      <w:r>
        <w:rPr>
          <w:rFonts w:ascii="Arial" w:cs="Arial" w:eastAsia="Arial" w:hAnsi="Arial"/>
          <w:sz w:val="22"/>
          <w:szCs w:val="22"/>
          <w:b w:val="1"/>
          <w:bCs w:val="1"/>
          <w:u w:val="single" w:color="auto"/>
          <w:color w:val="auto"/>
        </w:rPr>
        <w:t>Distributions</w:t>
      </w:r>
    </w:p>
    <w:p>
      <w:pPr>
        <w:spacing w:after="0" w:line="236" w:lineRule="exact"/>
        <w:rPr>
          <w:sz w:val="20"/>
          <w:szCs w:val="20"/>
          <w:color w:val="auto"/>
        </w:rPr>
      </w:pPr>
    </w:p>
    <w:p>
      <w:pPr>
        <w:ind w:left="640" w:hanging="647"/>
        <w:spacing w:after="0" w:line="289" w:lineRule="auto"/>
        <w:tabs>
          <w:tab w:leader="none" w:pos="620" w:val="left"/>
        </w:tabs>
        <w:rPr>
          <w:sz w:val="20"/>
          <w:szCs w:val="20"/>
          <w:color w:val="auto"/>
        </w:rPr>
      </w:pPr>
      <w:r>
        <w:rPr>
          <w:rFonts w:ascii="Arial" w:cs="Arial" w:eastAsia="Arial" w:hAnsi="Arial"/>
          <w:sz w:val="22"/>
          <w:szCs w:val="22"/>
          <w:color w:val="auto"/>
        </w:rPr>
        <w:t>6.1</w:t>
      </w:r>
      <w:r>
        <w:rPr>
          <w:sz w:val="20"/>
          <w:szCs w:val="20"/>
          <w:color w:val="auto"/>
        </w:rPr>
        <w:tab/>
      </w:r>
      <w:r>
        <w:rPr>
          <w:rFonts w:ascii="Arial" w:cs="Arial" w:eastAsia="Arial" w:hAnsi="Arial"/>
          <w:sz w:val="19"/>
          <w:szCs w:val="19"/>
          <w:b w:val="1"/>
          <w:bCs w:val="1"/>
          <w:u w:val="single" w:color="auto"/>
          <w:color w:val="auto"/>
        </w:rPr>
        <w:t>Distributions</w:t>
      </w:r>
      <w:r>
        <w:rPr>
          <w:rFonts w:ascii="Arial" w:cs="Arial" w:eastAsia="Arial" w:hAnsi="Arial"/>
          <w:sz w:val="19"/>
          <w:szCs w:val="19"/>
          <w:b w:val="1"/>
          <w:bCs w:val="1"/>
          <w:color w:val="auto"/>
        </w:rPr>
        <w:t>.</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The Plan provides for distributions in a Specified Year, upon a Separation from Service or upon an</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Unforeseeable Emergency. As described in Section 6.1.1, each Plan Year a Director may elect to have all or a portion of the Cash Deferrals, Stock Deferrals, or both, attributable to the next Service Period distributed in a Specified Year. With respect to Deferrals not subject to distribution in a Specified Year, the Plan requires distribution upon Separation from Service at a time and in a form elected by the Director, or for Directors who fail to elect, at a time and in a form specified by the Plan. A Director wishing to elect a time and form of distribution upon Separation from Service must, at the time of the Director's initial Deferrals, submit a distribution election, which may provide a different time and form of distribution upon Separation from Service for Cash Deferrals and Stock Deferrals. A Director's distribution elections are irrevocable and will govern the Deferrals to which the election relates until the Deferrals covered by the election are paid in full or until subsequently changed in accordance with Section 6.3. Notwithstanding any elections by a Director, all distributions are subject to the provisions of Section 6.2.</w:t>
      </w:r>
    </w:p>
    <w:p>
      <w:pPr>
        <w:spacing w:after="0" w:line="200" w:lineRule="exact"/>
        <w:rPr>
          <w:sz w:val="20"/>
          <w:szCs w:val="20"/>
          <w:color w:val="auto"/>
        </w:rPr>
      </w:pPr>
    </w:p>
    <w:p>
      <w:pPr>
        <w:spacing w:after="0" w:line="248" w:lineRule="exact"/>
        <w:rPr>
          <w:sz w:val="20"/>
          <w:szCs w:val="20"/>
          <w:color w:val="auto"/>
        </w:rPr>
      </w:pPr>
    </w:p>
    <w:p>
      <w:pPr>
        <w:jc w:val="both"/>
        <w:ind w:left="1940" w:right="200" w:hanging="971"/>
        <w:spacing w:after="0" w:line="290" w:lineRule="auto"/>
        <w:tabs>
          <w:tab w:leader="none" w:pos="1920" w:val="left"/>
        </w:tabs>
        <w:rPr>
          <w:sz w:val="20"/>
          <w:szCs w:val="20"/>
          <w:color w:val="auto"/>
        </w:rPr>
      </w:pPr>
      <w:r>
        <w:rPr>
          <w:rFonts w:ascii="Arial" w:cs="Arial" w:eastAsia="Arial" w:hAnsi="Arial"/>
          <w:sz w:val="22"/>
          <w:szCs w:val="22"/>
          <w:color w:val="auto"/>
        </w:rPr>
        <w:t>6.1.1</w:t>
      </w:r>
      <w:r>
        <w:rPr>
          <w:sz w:val="20"/>
          <w:szCs w:val="20"/>
          <w:color w:val="auto"/>
        </w:rPr>
        <w:tab/>
      </w:r>
      <w:r>
        <w:rPr>
          <w:rFonts w:ascii="Arial" w:cs="Arial" w:eastAsia="Arial" w:hAnsi="Arial"/>
          <w:sz w:val="19"/>
          <w:szCs w:val="19"/>
          <w:b w:val="1"/>
          <w:bCs w:val="1"/>
          <w:u w:val="single" w:color="auto"/>
          <w:color w:val="auto"/>
        </w:rPr>
        <w:t>Specified Year</w:t>
      </w:r>
      <w:r>
        <w:rPr>
          <w:rFonts w:ascii="Arial" w:cs="Arial" w:eastAsia="Arial" w:hAnsi="Arial"/>
          <w:sz w:val="19"/>
          <w:szCs w:val="19"/>
          <w:b w:val="1"/>
          <w:bCs w:val="1"/>
          <w:color w:val="auto"/>
        </w:rPr>
        <w:t>.</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A Director may elect to receive a distribution of Cash Deferrals and Stock Deferrals in the</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same or different Specified Years. The Specified Year(s) elected may be no earlier than the third Plan Year beginning after the date on which the Director initially elects to receive a distribution in a Specified Year.</w:t>
      </w:r>
    </w:p>
    <w:p>
      <w:pPr>
        <w:spacing w:after="0" w:line="2" w:lineRule="exact"/>
        <w:rPr>
          <w:sz w:val="20"/>
          <w:szCs w:val="20"/>
          <w:color w:val="auto"/>
        </w:rPr>
      </w:pPr>
    </w:p>
    <w:p>
      <w:pPr>
        <w:ind w:left="1940"/>
        <w:spacing w:after="0" w:line="281" w:lineRule="auto"/>
        <w:rPr>
          <w:sz w:val="20"/>
          <w:szCs w:val="20"/>
          <w:color w:val="auto"/>
        </w:rPr>
      </w:pPr>
      <w:r>
        <w:rPr>
          <w:rFonts w:ascii="Arial" w:cs="Arial" w:eastAsia="Arial" w:hAnsi="Arial"/>
          <w:sz w:val="19"/>
          <w:szCs w:val="19"/>
          <w:color w:val="auto"/>
        </w:rPr>
        <w:t>Except as otherwise provided in this subsection or in Section 6.3, once a Director has elected to receive a distribution of Cash Deferrals in a Specified Year, the Director may not elect to receive a distribution of Cash Deferrals in a different Specified Year and, once a Director has elected to receive a distribution of Stock Deferrals in a Specified Year, the Director may not elect to receive a distribution of Stock Deferrals in a different Specified Year. Beginning during the year preceding a Specified Year previously elected by the Director, the Director may elect to receive a distribution of future Deferrals in a later Specified Year, subject, however, to the restrictions of this subsection. All amounts distributable in a Specified Year will be</w:t>
      </w:r>
    </w:p>
    <w:p>
      <w:pPr>
        <w:spacing w:after="0" w:line="6" w:lineRule="exact"/>
        <w:rPr>
          <w:sz w:val="20"/>
          <w:szCs w:val="20"/>
          <w:color w:val="auto"/>
        </w:rPr>
      </w:pPr>
    </w:p>
    <w:p>
      <w:pPr>
        <w:ind w:left="1940" w:firstLine="648"/>
        <w:spacing w:after="0" w:line="246" w:lineRule="auto"/>
        <w:rPr>
          <w:sz w:val="20"/>
          <w:szCs w:val="20"/>
          <w:color w:val="auto"/>
        </w:rPr>
      </w:pPr>
      <w:r>
        <w:rPr>
          <w:rFonts w:ascii="Arial" w:cs="Arial" w:eastAsia="Arial" w:hAnsi="Arial"/>
          <w:sz w:val="22"/>
          <w:szCs w:val="22"/>
          <w:color w:val="auto"/>
        </w:rPr>
        <w:t>paid in a single lump sum, in the case of Cash Deferrals, or in a single distribution of Common Stock, in the case of Stock Deferrals.</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60" w:top="591" w:right="259" w:bottom="1440" w:gutter="0" w:footer="0" w:header="0"/>
        </w:sectPr>
      </w:pPr>
    </w:p>
    <w:bookmarkStart w:id="160" w:name="page161"/>
    <w:bookmarkEnd w:id="160"/>
    <w:p>
      <w:pPr>
        <w:ind w:left="1960" w:hanging="971"/>
        <w:spacing w:after="0" w:line="248" w:lineRule="auto"/>
        <w:tabs>
          <w:tab w:leader="none" w:pos="1940" w:val="left"/>
        </w:tabs>
        <w:rPr>
          <w:sz w:val="20"/>
          <w:szCs w:val="20"/>
          <w:color w:val="auto"/>
        </w:rPr>
      </w:pPr>
      <w:r>
        <w:rPr>
          <w:rFonts w:ascii="Arial" w:cs="Arial" w:eastAsia="Arial" w:hAnsi="Arial"/>
          <w:sz w:val="22"/>
          <w:szCs w:val="22"/>
          <w:color w:val="auto"/>
        </w:rPr>
        <w:t>6.1.2</w:t>
      </w:r>
      <w:r>
        <w:rPr>
          <w:sz w:val="20"/>
          <w:szCs w:val="20"/>
          <w:color w:val="auto"/>
        </w:rPr>
        <w:tab/>
      </w:r>
      <w:r>
        <w:rPr>
          <w:rFonts w:ascii="Arial" w:cs="Arial" w:eastAsia="Arial" w:hAnsi="Arial"/>
          <w:sz w:val="22"/>
          <w:szCs w:val="22"/>
          <w:b w:val="1"/>
          <w:bCs w:val="1"/>
          <w:u w:val="single" w:color="auto"/>
          <w:color w:val="auto"/>
        </w:rPr>
        <w:t>Separation from Service</w:t>
      </w:r>
      <w:r>
        <w:rPr>
          <w:rFonts w:ascii="Arial" w:cs="Arial" w:eastAsia="Arial" w:hAnsi="Arial"/>
          <w:sz w:val="22"/>
          <w:szCs w:val="22"/>
          <w:b w:val="1"/>
          <w:bCs w:val="1"/>
          <w:color w:val="auto"/>
        </w:rPr>
        <w:t>.</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A Director may elect to receive a distribution of Deferrals commencing upon</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Separation from Service or during any of the first five years following the year of the Separation from Service. A Director may elect to receive the distribution in the form of a lump sum, annual installments over a period of five (5), ten (10), or fifteen (15) years, or a combination of both a lump sum and installments. A Director may elect a different time and form of distribution upon Separation from Service for Cash Deferrals and Stock Deferrals.</w:t>
      </w:r>
    </w:p>
    <w:p>
      <w:pPr>
        <w:spacing w:after="0" w:line="228" w:lineRule="exact"/>
        <w:rPr>
          <w:sz w:val="20"/>
          <w:szCs w:val="20"/>
          <w:color w:val="auto"/>
        </w:rPr>
      </w:pPr>
    </w:p>
    <w:p>
      <w:pPr>
        <w:ind w:left="1960" w:right="300" w:hanging="971"/>
        <w:spacing w:after="0" w:line="298" w:lineRule="auto"/>
        <w:tabs>
          <w:tab w:leader="none" w:pos="1940" w:val="left"/>
        </w:tabs>
        <w:rPr>
          <w:sz w:val="20"/>
          <w:szCs w:val="20"/>
          <w:color w:val="auto"/>
        </w:rPr>
      </w:pPr>
      <w:r>
        <w:rPr>
          <w:rFonts w:ascii="Arial" w:cs="Arial" w:eastAsia="Arial" w:hAnsi="Arial"/>
          <w:sz w:val="22"/>
          <w:szCs w:val="22"/>
          <w:color w:val="auto"/>
        </w:rPr>
        <w:t>6.1.3</w:t>
      </w:r>
      <w:r>
        <w:rPr>
          <w:sz w:val="20"/>
          <w:szCs w:val="20"/>
          <w:color w:val="auto"/>
        </w:rPr>
        <w:tab/>
      </w:r>
      <w:r>
        <w:rPr>
          <w:rFonts w:ascii="Arial" w:cs="Arial" w:eastAsia="Arial" w:hAnsi="Arial"/>
          <w:sz w:val="19"/>
          <w:szCs w:val="19"/>
          <w:b w:val="1"/>
          <w:bCs w:val="1"/>
          <w:u w:val="single" w:color="auto"/>
          <w:color w:val="auto"/>
        </w:rPr>
        <w:t>Unforeseeable Emergency</w:t>
      </w:r>
      <w:r>
        <w:rPr>
          <w:rFonts w:ascii="Arial" w:cs="Arial" w:eastAsia="Arial" w:hAnsi="Arial"/>
          <w:sz w:val="19"/>
          <w:szCs w:val="19"/>
          <w:b w:val="1"/>
          <w:bCs w:val="1"/>
          <w:color w:val="auto"/>
        </w:rPr>
        <w:t>.</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A Director may submit a written request for a distribution on account of an</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Unforeseeable Emergency. Upon approval by the Administrator of a Director's request, the Director's Accounts, or that portion of the Director's Accounts deemed necessary by the Administrator to satisfy the Unforeseeable Emergency plus amounts necessary to pay taxes reasonably anticipated because of the distribution, will be distributed in a single lump sum in a manner consistent with Section 409A.</w:t>
      </w:r>
    </w:p>
    <w:p>
      <w:pPr>
        <w:spacing w:after="0" w:line="183"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6.2</w:t>
      </w:r>
      <w:r>
        <w:rPr>
          <w:sz w:val="20"/>
          <w:szCs w:val="20"/>
          <w:color w:val="auto"/>
        </w:rPr>
        <w:tab/>
      </w:r>
      <w:r>
        <w:rPr>
          <w:rFonts w:ascii="Arial" w:cs="Arial" w:eastAsia="Arial" w:hAnsi="Arial"/>
          <w:sz w:val="19"/>
          <w:szCs w:val="19"/>
          <w:b w:val="1"/>
          <w:bCs w:val="1"/>
          <w:u w:val="single" w:color="auto"/>
          <w:color w:val="auto"/>
        </w:rPr>
        <w:t>Additional Distribution Rules</w:t>
      </w:r>
      <w:r>
        <w:rPr>
          <w:rFonts w:ascii="Arial" w:cs="Arial" w:eastAsia="Arial" w:hAnsi="Arial"/>
          <w:sz w:val="19"/>
          <w:szCs w:val="19"/>
          <w:b w:val="1"/>
          <w:bCs w:val="1"/>
          <w:color w:val="auto"/>
        </w:rPr>
        <w:t>.</w:t>
      </w:r>
    </w:p>
    <w:p>
      <w:pPr>
        <w:spacing w:after="0" w:line="260" w:lineRule="exact"/>
        <w:rPr>
          <w:sz w:val="20"/>
          <w:szCs w:val="20"/>
          <w:color w:val="auto"/>
        </w:rPr>
      </w:pPr>
    </w:p>
    <w:p>
      <w:pPr>
        <w:jc w:val="both"/>
        <w:ind w:left="1960" w:right="400" w:hanging="971"/>
        <w:spacing w:after="0" w:line="256" w:lineRule="auto"/>
        <w:tabs>
          <w:tab w:leader="none" w:pos="1940" w:val="left"/>
        </w:tabs>
        <w:rPr>
          <w:sz w:val="20"/>
          <w:szCs w:val="20"/>
          <w:color w:val="auto"/>
        </w:rPr>
      </w:pPr>
      <w:r>
        <w:rPr>
          <w:rFonts w:ascii="Arial" w:cs="Arial" w:eastAsia="Arial" w:hAnsi="Arial"/>
          <w:sz w:val="22"/>
          <w:szCs w:val="22"/>
          <w:color w:val="auto"/>
        </w:rPr>
        <w:t>6.2.1</w:t>
      </w:r>
      <w:r>
        <w:rPr>
          <w:sz w:val="20"/>
          <w:szCs w:val="20"/>
          <w:color w:val="auto"/>
        </w:rPr>
        <w:tab/>
      </w:r>
      <w:r>
        <w:rPr>
          <w:rFonts w:ascii="Arial" w:cs="Arial" w:eastAsia="Arial" w:hAnsi="Arial"/>
          <w:sz w:val="22"/>
          <w:szCs w:val="22"/>
          <w:b w:val="1"/>
          <w:bCs w:val="1"/>
          <w:u w:val="single" w:color="auto"/>
          <w:color w:val="auto"/>
        </w:rPr>
        <w:t>Medium of Payment</w:t>
      </w:r>
      <w:r>
        <w:rPr>
          <w:rFonts w:ascii="Arial" w:cs="Arial" w:eastAsia="Arial" w:hAnsi="Arial"/>
          <w:sz w:val="22"/>
          <w:szCs w:val="22"/>
          <w:b w:val="1"/>
          <w:bCs w:val="1"/>
          <w:color w:val="auto"/>
        </w:rPr>
        <w:t>.</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All amounts in a Director's Cash Account shall be paid in cash. All amounts in a</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Director's Stock Account shall be paid in the form of an equivalent number of whole shares of Common Stock. Fractional shares may be distributed in cash.</w:t>
      </w:r>
    </w:p>
    <w:p>
      <w:pPr>
        <w:spacing w:after="0" w:line="217" w:lineRule="exact"/>
        <w:rPr>
          <w:sz w:val="20"/>
          <w:szCs w:val="20"/>
          <w:color w:val="auto"/>
        </w:rPr>
      </w:pPr>
    </w:p>
    <w:p>
      <w:pPr>
        <w:ind w:left="1960" w:right="180" w:hanging="971"/>
        <w:spacing w:after="0" w:line="256" w:lineRule="auto"/>
        <w:tabs>
          <w:tab w:leader="none" w:pos="1940" w:val="left"/>
        </w:tabs>
        <w:rPr>
          <w:sz w:val="20"/>
          <w:szCs w:val="20"/>
          <w:color w:val="auto"/>
        </w:rPr>
      </w:pPr>
      <w:r>
        <w:rPr>
          <w:rFonts w:ascii="Arial" w:cs="Arial" w:eastAsia="Arial" w:hAnsi="Arial"/>
          <w:sz w:val="22"/>
          <w:szCs w:val="22"/>
          <w:color w:val="auto"/>
        </w:rPr>
        <w:t>6.2.2</w:t>
      </w:r>
      <w:r>
        <w:rPr>
          <w:sz w:val="20"/>
          <w:szCs w:val="20"/>
          <w:color w:val="auto"/>
        </w:rPr>
        <w:tab/>
      </w:r>
      <w:r>
        <w:rPr>
          <w:rFonts w:ascii="Arial" w:cs="Arial" w:eastAsia="Arial" w:hAnsi="Arial"/>
          <w:sz w:val="22"/>
          <w:szCs w:val="22"/>
          <w:b w:val="1"/>
          <w:bCs w:val="1"/>
          <w:u w:val="single" w:color="auto"/>
          <w:color w:val="auto"/>
        </w:rPr>
        <w:t>Default Time and Form of Payment</w:t>
      </w:r>
      <w:r>
        <w:rPr>
          <w:rFonts w:ascii="Arial" w:cs="Arial" w:eastAsia="Arial" w:hAnsi="Arial"/>
          <w:sz w:val="22"/>
          <w:szCs w:val="22"/>
          <w:b w:val="1"/>
          <w:bCs w:val="1"/>
          <w:color w:val="auto"/>
        </w:rPr>
        <w:t>.</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If a Director fails timely to elect a time and form of payment, the</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Director's Accounts will be distributed upon any Separation from Service in the form of a single lump sum payment.</w:t>
      </w:r>
    </w:p>
    <w:p>
      <w:pPr>
        <w:spacing w:after="0" w:line="217" w:lineRule="exact"/>
        <w:rPr>
          <w:sz w:val="20"/>
          <w:szCs w:val="20"/>
          <w:color w:val="auto"/>
        </w:rPr>
      </w:pPr>
    </w:p>
    <w:p>
      <w:pPr>
        <w:ind w:left="1960" w:right="80" w:hanging="971"/>
        <w:spacing w:after="0" w:line="250" w:lineRule="auto"/>
        <w:tabs>
          <w:tab w:leader="none" w:pos="1940" w:val="left"/>
        </w:tabs>
        <w:rPr>
          <w:sz w:val="20"/>
          <w:szCs w:val="20"/>
          <w:color w:val="auto"/>
        </w:rPr>
      </w:pPr>
      <w:r>
        <w:rPr>
          <w:rFonts w:ascii="Arial" w:cs="Arial" w:eastAsia="Arial" w:hAnsi="Arial"/>
          <w:sz w:val="22"/>
          <w:szCs w:val="22"/>
          <w:color w:val="auto"/>
        </w:rPr>
        <w:t>6.2.3</w:t>
      </w:r>
      <w:r>
        <w:rPr>
          <w:sz w:val="20"/>
          <w:szCs w:val="20"/>
          <w:color w:val="auto"/>
        </w:rPr>
        <w:tab/>
      </w:r>
      <w:r>
        <w:rPr>
          <w:rFonts w:ascii="Arial" w:cs="Arial" w:eastAsia="Arial" w:hAnsi="Arial"/>
          <w:sz w:val="21"/>
          <w:szCs w:val="21"/>
          <w:b w:val="1"/>
          <w:bCs w:val="1"/>
          <w:u w:val="single" w:color="auto"/>
          <w:color w:val="auto"/>
        </w:rPr>
        <w:t>Rules Applicable to All Distributions</w:t>
      </w:r>
      <w:r>
        <w:rPr>
          <w:rFonts w:ascii="Arial" w:cs="Arial" w:eastAsia="Arial" w:hAnsi="Arial"/>
          <w:sz w:val="21"/>
          <w:szCs w:val="21"/>
          <w:b w:val="1"/>
          <w:bCs w:val="1"/>
          <w:color w:val="auto"/>
        </w:rPr>
        <w:t>.</w:t>
      </w:r>
      <w:r>
        <w:rPr>
          <w:rFonts w:ascii="Arial" w:cs="Arial" w:eastAsia="Arial" w:hAnsi="Arial"/>
          <w:sz w:val="21"/>
          <w:szCs w:val="21"/>
          <w:b w:val="1"/>
          <w:bCs w:val="1"/>
          <w:u w:val="single" w:color="auto"/>
          <w:color w:val="auto"/>
        </w:rPr>
        <w:t xml:space="preserve"> </w:t>
      </w:r>
      <w:r>
        <w:rPr>
          <w:rFonts w:ascii="Arial" w:cs="Arial" w:eastAsia="Arial" w:hAnsi="Arial"/>
          <w:sz w:val="21"/>
          <w:szCs w:val="21"/>
          <w:color w:val="auto"/>
        </w:rPr>
        <w:t>Except as otherwise provided in this section, if a Director has</w:t>
      </w:r>
      <w:r>
        <w:rPr>
          <w:rFonts w:ascii="Arial" w:cs="Arial" w:eastAsia="Arial" w:hAnsi="Arial"/>
          <w:sz w:val="21"/>
          <w:szCs w:val="21"/>
          <w:b w:val="1"/>
          <w:bCs w:val="1"/>
          <w:u w:val="single" w:color="auto"/>
          <w:color w:val="auto"/>
        </w:rPr>
        <w:t xml:space="preserve"> </w:t>
      </w:r>
      <w:r>
        <w:rPr>
          <w:rFonts w:ascii="Arial" w:cs="Arial" w:eastAsia="Arial" w:hAnsi="Arial"/>
          <w:sz w:val="21"/>
          <w:szCs w:val="21"/>
          <w:color w:val="auto"/>
        </w:rPr>
        <w:t>elected to receive a distribution commencing upon a Distribution Event, or if the distribution is required upon Separation from Service, the distribution will commence between the date of the Distribution Event and the end of the year in which the Distribution Event occurs. If a Director has elected, or is required, to receive a distribution commencing upon a Distribution Event, and the Distribution Event occurs on or after October 1 of a Plan Year, the distribution may, to the extent permitted by Section 409A, commence after the Distribution Event and on or before the 15</w:t>
      </w:r>
      <w:r>
        <w:rPr>
          <w:rFonts w:ascii="Arial" w:cs="Arial" w:eastAsia="Arial" w:hAnsi="Arial"/>
          <w:sz w:val="27"/>
          <w:szCs w:val="27"/>
          <w:color w:val="auto"/>
          <w:vertAlign w:val="superscript"/>
        </w:rPr>
        <w:t>th</w:t>
      </w:r>
      <w:r>
        <w:rPr>
          <w:rFonts w:ascii="Arial" w:cs="Arial" w:eastAsia="Arial" w:hAnsi="Arial"/>
          <w:sz w:val="21"/>
          <w:szCs w:val="21"/>
          <w:color w:val="auto"/>
        </w:rPr>
        <w:t xml:space="preserve"> day of the third calendar month following the Distribution Event, even if after the end of the year during which the Distribution Event occurs; provided, however, the Director will not be permitted, directly or indirectly, to designate the taxable year of the distribution. If a Director has elected to receive a</w:t>
      </w:r>
    </w:p>
    <w:p>
      <w:pPr>
        <w:spacing w:after="0" w:line="3" w:lineRule="exact"/>
        <w:rPr>
          <w:sz w:val="20"/>
          <w:szCs w:val="20"/>
          <w:color w:val="auto"/>
        </w:rPr>
      </w:pPr>
    </w:p>
    <w:p>
      <w:pPr>
        <w:ind w:left="1960" w:right="120" w:firstLine="648"/>
        <w:spacing w:after="0" w:line="244" w:lineRule="auto"/>
        <w:rPr>
          <w:sz w:val="20"/>
          <w:szCs w:val="20"/>
          <w:color w:val="auto"/>
        </w:rPr>
      </w:pPr>
      <w:r>
        <w:rPr>
          <w:rFonts w:ascii="Arial" w:cs="Arial" w:eastAsia="Arial" w:hAnsi="Arial"/>
          <w:sz w:val="22"/>
          <w:szCs w:val="22"/>
          <w:color w:val="auto"/>
        </w:rPr>
        <w:t>distribution commencing during any of the first five years following a Separation from Service, the distribution will commence during the year elected by the Director. If a Director has elected to receive a distribution in a Specified Year, the distribution will occur during the Specified Year. Any distribution that complies with this section shall be deemed for all purposes to comply with the Plan requirements regarding the time and form of distributions.</w:t>
      </w:r>
    </w:p>
    <w:p>
      <w:pPr>
        <w:spacing w:after="0" w:line="200" w:lineRule="exact"/>
        <w:rPr>
          <w:sz w:val="20"/>
          <w:szCs w:val="20"/>
          <w:color w:val="auto"/>
        </w:rPr>
      </w:pPr>
    </w:p>
    <w:p>
      <w:pPr>
        <w:spacing w:after="0" w:line="27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60"/>
          </w:cols>
          <w:pgMar w:left="240" w:top="585" w:right="299" w:bottom="1440" w:gutter="0" w:footer="0" w:header="0"/>
        </w:sectPr>
      </w:pPr>
    </w:p>
    <w:bookmarkStart w:id="161" w:name="page162"/>
    <w:bookmarkEnd w:id="161"/>
    <w:p>
      <w:pPr>
        <w:ind w:left="1940" w:right="20" w:hanging="971"/>
        <w:spacing w:after="0" w:line="290" w:lineRule="auto"/>
        <w:tabs>
          <w:tab w:leader="none" w:pos="1920" w:val="left"/>
        </w:tabs>
        <w:rPr>
          <w:sz w:val="20"/>
          <w:szCs w:val="20"/>
          <w:color w:val="auto"/>
        </w:rPr>
      </w:pPr>
      <w:r>
        <w:rPr>
          <w:rFonts w:ascii="Arial" w:cs="Arial" w:eastAsia="Arial" w:hAnsi="Arial"/>
          <w:sz w:val="22"/>
          <w:szCs w:val="22"/>
          <w:color w:val="auto"/>
        </w:rPr>
        <w:t>6.2.4</w:t>
      </w:r>
      <w:r>
        <w:rPr>
          <w:sz w:val="20"/>
          <w:szCs w:val="20"/>
          <w:color w:val="auto"/>
        </w:rPr>
        <w:tab/>
      </w:r>
      <w:r>
        <w:rPr>
          <w:rFonts w:ascii="Arial" w:cs="Arial" w:eastAsia="Arial" w:hAnsi="Arial"/>
          <w:sz w:val="19"/>
          <w:szCs w:val="19"/>
          <w:b w:val="1"/>
          <w:bCs w:val="1"/>
          <w:u w:val="single" w:color="auto"/>
          <w:color w:val="auto"/>
        </w:rPr>
        <w:t>Installment Payments</w:t>
      </w:r>
      <w:r>
        <w:rPr>
          <w:rFonts w:ascii="Arial" w:cs="Arial" w:eastAsia="Arial" w:hAnsi="Arial"/>
          <w:sz w:val="19"/>
          <w:szCs w:val="19"/>
          <w:b w:val="1"/>
          <w:bCs w:val="1"/>
          <w:color w:val="auto"/>
        </w:rPr>
        <w:t>.</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If a Director elects to receive distributions in annual installments, the Director's</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Account(s) will be paid in substantially equal installments in consecutive years over the period elected by the Director. The Director's Cash Account will be credited or debited with notional gains and losses based on the investment funds selected by the Director, from among the options provided by the Company, until all amounts credited to the Director's Cash Account have been distributed. The Director's Stock Account will continue to be credited with Dividend Equivalents pursuant to Section 5.3.3, until all amounts credited to the Director's Accounts have been distributed. Each annual installment will be paid during the Plan Year in which it is due. Any installment distribution that complies with this section shall be deemed for all purposes to comply with the Plan requirements regarding the time and form of distributions.</w:t>
      </w:r>
    </w:p>
    <w:p>
      <w:pPr>
        <w:spacing w:after="0" w:line="190" w:lineRule="exact"/>
        <w:rPr>
          <w:sz w:val="20"/>
          <w:szCs w:val="20"/>
          <w:color w:val="auto"/>
        </w:rPr>
      </w:pPr>
    </w:p>
    <w:p>
      <w:pPr>
        <w:ind w:left="1940" w:right="600" w:hanging="809"/>
        <w:spacing w:after="0" w:line="267" w:lineRule="auto"/>
        <w:tabs>
          <w:tab w:leader="none" w:pos="1920" w:val="left"/>
        </w:tabs>
        <w:rPr>
          <w:sz w:val="20"/>
          <w:szCs w:val="20"/>
          <w:color w:val="auto"/>
        </w:rPr>
      </w:pPr>
      <w:r>
        <w:rPr>
          <w:rFonts w:ascii="Arial" w:cs="Arial" w:eastAsia="Arial" w:hAnsi="Arial"/>
          <w:sz w:val="22"/>
          <w:szCs w:val="22"/>
          <w:color w:val="auto"/>
        </w:rPr>
        <w:t>6.2.5</w:t>
      </w:r>
      <w:r>
        <w:rPr>
          <w:sz w:val="20"/>
          <w:szCs w:val="20"/>
          <w:color w:val="auto"/>
        </w:rPr>
        <w:tab/>
      </w:r>
      <w:r>
        <w:rPr>
          <w:rFonts w:ascii="Arial" w:cs="Arial" w:eastAsia="Arial" w:hAnsi="Arial"/>
          <w:sz w:val="21"/>
          <w:szCs w:val="21"/>
          <w:b w:val="1"/>
          <w:bCs w:val="1"/>
          <w:u w:val="single" w:color="auto"/>
          <w:color w:val="auto"/>
        </w:rPr>
        <w:t>Death After Commencement of Distributions</w:t>
      </w:r>
      <w:r>
        <w:rPr>
          <w:rFonts w:ascii="Arial" w:cs="Arial" w:eastAsia="Arial" w:hAnsi="Arial"/>
          <w:sz w:val="21"/>
          <w:szCs w:val="21"/>
          <w:b w:val="1"/>
          <w:bCs w:val="1"/>
          <w:color w:val="auto"/>
        </w:rPr>
        <w:t>.</w:t>
      </w:r>
      <w:r>
        <w:rPr>
          <w:rFonts w:ascii="Arial" w:cs="Arial" w:eastAsia="Arial" w:hAnsi="Arial"/>
          <w:sz w:val="21"/>
          <w:szCs w:val="21"/>
          <w:b w:val="1"/>
          <w:bCs w:val="1"/>
          <w:u w:val="single" w:color="auto"/>
          <w:color w:val="auto"/>
        </w:rPr>
        <w:t xml:space="preserve"> </w:t>
      </w:r>
      <w:r>
        <w:rPr>
          <w:rFonts w:ascii="Arial" w:cs="Arial" w:eastAsia="Arial" w:hAnsi="Arial"/>
          <w:sz w:val="21"/>
          <w:szCs w:val="21"/>
          <w:color w:val="auto"/>
        </w:rPr>
        <w:t>Upon the death of a Director after distributions of the</w:t>
      </w:r>
      <w:r>
        <w:rPr>
          <w:rFonts w:ascii="Arial" w:cs="Arial" w:eastAsia="Arial" w:hAnsi="Arial"/>
          <w:sz w:val="21"/>
          <w:szCs w:val="21"/>
          <w:b w:val="1"/>
          <w:bCs w:val="1"/>
          <w:u w:val="single" w:color="auto"/>
          <w:color w:val="auto"/>
        </w:rPr>
        <w:t xml:space="preserve"> </w:t>
      </w:r>
      <w:r>
        <w:rPr>
          <w:rFonts w:ascii="Arial" w:cs="Arial" w:eastAsia="Arial" w:hAnsi="Arial"/>
          <w:sz w:val="21"/>
          <w:szCs w:val="21"/>
          <w:color w:val="auto"/>
        </w:rPr>
        <w:t>Director's Accounts have commenced, the balance of the Director's Accounts will be distributed to the Director's Beneficiary at the same times and in the same forms that the Accounts would have been distributed to the Director if the Director had survived.</w:t>
      </w:r>
    </w:p>
    <w:p>
      <w:pPr>
        <w:spacing w:after="0" w:line="208" w:lineRule="exact"/>
        <w:rPr>
          <w:sz w:val="20"/>
          <w:szCs w:val="20"/>
          <w:color w:val="auto"/>
        </w:rPr>
      </w:pPr>
    </w:p>
    <w:p>
      <w:pPr>
        <w:ind w:left="640" w:hanging="647"/>
        <w:spacing w:after="0" w:line="258" w:lineRule="auto"/>
        <w:tabs>
          <w:tab w:leader="none" w:pos="620" w:val="left"/>
        </w:tabs>
        <w:rPr>
          <w:sz w:val="20"/>
          <w:szCs w:val="20"/>
          <w:color w:val="auto"/>
        </w:rPr>
      </w:pPr>
      <w:r>
        <w:rPr>
          <w:rFonts w:ascii="Arial" w:cs="Arial" w:eastAsia="Arial" w:hAnsi="Arial"/>
          <w:sz w:val="22"/>
          <w:szCs w:val="22"/>
          <w:color w:val="auto"/>
        </w:rPr>
        <w:t>6.3</w:t>
      </w:r>
      <w:r>
        <w:rPr>
          <w:sz w:val="20"/>
          <w:szCs w:val="20"/>
          <w:color w:val="auto"/>
        </w:rPr>
        <w:tab/>
      </w:r>
      <w:r>
        <w:rPr>
          <w:rFonts w:ascii="Arial" w:cs="Arial" w:eastAsia="Arial" w:hAnsi="Arial"/>
          <w:sz w:val="21"/>
          <w:szCs w:val="21"/>
          <w:b w:val="1"/>
          <w:bCs w:val="1"/>
          <w:u w:val="single" w:color="auto"/>
          <w:color w:val="auto"/>
        </w:rPr>
        <w:t>Subsequent Changes in Time and Form of Payment</w:t>
      </w:r>
      <w:r>
        <w:rPr>
          <w:rFonts w:ascii="Arial" w:cs="Arial" w:eastAsia="Arial" w:hAnsi="Arial"/>
          <w:sz w:val="21"/>
          <w:szCs w:val="21"/>
          <w:b w:val="1"/>
          <w:bCs w:val="1"/>
          <w:color w:val="auto"/>
        </w:rPr>
        <w:t>.</w:t>
      </w:r>
      <w:r>
        <w:rPr>
          <w:rFonts w:ascii="Arial" w:cs="Arial" w:eastAsia="Arial" w:hAnsi="Arial"/>
          <w:sz w:val="21"/>
          <w:szCs w:val="21"/>
          <w:b w:val="1"/>
          <w:bCs w:val="1"/>
          <w:u w:val="single" w:color="auto"/>
          <w:color w:val="auto"/>
        </w:rPr>
        <w:t xml:space="preserve"> </w:t>
      </w:r>
      <w:r>
        <w:rPr>
          <w:rFonts w:ascii="Arial" w:cs="Arial" w:eastAsia="Arial" w:hAnsi="Arial"/>
          <w:sz w:val="21"/>
          <w:szCs w:val="21"/>
          <w:color w:val="auto"/>
        </w:rPr>
        <w:t>A Director may, in accordance with rules, procedures and forms</w:t>
      </w:r>
      <w:r>
        <w:rPr>
          <w:rFonts w:ascii="Arial" w:cs="Arial" w:eastAsia="Arial" w:hAnsi="Arial"/>
          <w:sz w:val="21"/>
          <w:szCs w:val="21"/>
          <w:b w:val="1"/>
          <w:bCs w:val="1"/>
          <w:u w:val="single" w:color="auto"/>
          <w:color w:val="auto"/>
        </w:rPr>
        <w:t xml:space="preserve"> </w:t>
      </w:r>
      <w:r>
        <w:rPr>
          <w:rFonts w:ascii="Arial" w:cs="Arial" w:eastAsia="Arial" w:hAnsi="Arial"/>
          <w:sz w:val="21"/>
          <w:szCs w:val="21"/>
          <w:color w:val="auto"/>
        </w:rPr>
        <w:t>specified from time to time by the Administrator, elect to change the time of payment or change the form in which the Director's Accounts are distributed or both, provided that: (i) the Director elects at least twelve (12) months prior to the date on which payments are otherwise scheduled to commence; (ii) the new election does not take effect for at least twelve (12) months; and (iii) with respect to changes applicable to distributions in a Specified Year or upon Separation from Service, the distributions must be deferred for at least five years from the date the distributions would otherwise have been paid, or in the case of installment payments, five years from the date the installments were scheduled to commence. For purposes of this section, distributions on account of a Specified Year are considered scheduled to commence on January 1 of the Specified Year and distributions on account of a Separation from Service are considered to commence on the date of the Separation from Service, or if the Director has elected to receive a distribution of Deferrals commencing during any of the first five years following the year of the Separation from Service, January 1 of the year elected by the Director. Any such election shall be irrevocable on the date it is filed with the Administrator unless subsequently changed pursuant to this Section.</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60" w:top="585" w:right="239" w:bottom="1440" w:gutter="0" w:footer="0" w:header="0"/>
        </w:sectPr>
      </w:pPr>
    </w:p>
    <w:bookmarkStart w:id="162" w:name="page163"/>
    <w:bookmarkEnd w:id="162"/>
    <w:p>
      <w:pPr>
        <w:jc w:val="center"/>
        <w:ind w:right="-19"/>
        <w:spacing w:after="0"/>
        <w:rPr>
          <w:sz w:val="20"/>
          <w:szCs w:val="20"/>
          <w:color w:val="auto"/>
        </w:rPr>
      </w:pPr>
      <w:r>
        <w:rPr>
          <w:rFonts w:ascii="Arial" w:cs="Arial" w:eastAsia="Arial" w:hAnsi="Arial"/>
          <w:sz w:val="22"/>
          <w:szCs w:val="22"/>
          <w:b w:val="1"/>
          <w:bCs w:val="1"/>
          <w:color w:val="auto"/>
        </w:rPr>
        <w:t>ARTICLE 7</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Payment Acceleration and Delay</w:t>
      </w:r>
    </w:p>
    <w:p>
      <w:pPr>
        <w:spacing w:after="0" w:line="236" w:lineRule="exact"/>
        <w:rPr>
          <w:sz w:val="20"/>
          <w:szCs w:val="20"/>
          <w:color w:val="auto"/>
        </w:rPr>
      </w:pPr>
    </w:p>
    <w:p>
      <w:pPr>
        <w:ind w:left="660" w:right="720" w:hanging="647"/>
        <w:spacing w:after="0" w:line="269" w:lineRule="auto"/>
        <w:tabs>
          <w:tab w:leader="none" w:pos="640" w:val="left"/>
        </w:tabs>
        <w:rPr>
          <w:sz w:val="20"/>
          <w:szCs w:val="20"/>
          <w:color w:val="auto"/>
        </w:rPr>
      </w:pPr>
      <w:r>
        <w:rPr>
          <w:rFonts w:ascii="Arial" w:cs="Arial" w:eastAsia="Arial" w:hAnsi="Arial"/>
          <w:sz w:val="22"/>
          <w:szCs w:val="22"/>
          <w:color w:val="auto"/>
        </w:rPr>
        <w:t>7.1</w:t>
      </w:r>
      <w:r>
        <w:rPr>
          <w:sz w:val="20"/>
          <w:szCs w:val="20"/>
          <w:color w:val="auto"/>
        </w:rPr>
        <w:tab/>
      </w:r>
      <w:r>
        <w:rPr>
          <w:rFonts w:ascii="Arial" w:cs="Arial" w:eastAsia="Arial" w:hAnsi="Arial"/>
          <w:sz w:val="22"/>
          <w:szCs w:val="22"/>
          <w:b w:val="1"/>
          <w:bCs w:val="1"/>
          <w:u w:val="single" w:color="auto"/>
          <w:color w:val="auto"/>
        </w:rPr>
        <w:t>Permitted Accelerations of Payment</w:t>
      </w:r>
      <w:r>
        <w:rPr>
          <w:rFonts w:ascii="Arial" w:cs="Arial" w:eastAsia="Arial" w:hAnsi="Arial"/>
          <w:sz w:val="22"/>
          <w:szCs w:val="22"/>
          <w:b w:val="1"/>
          <w:bCs w:val="1"/>
          <w:color w:val="auto"/>
        </w:rPr>
        <w:t>.</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Except as otherwise provided herein or permitted by Section 409A, the Plan</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prohibits the acceleration of the time or schedule of any payment due under the Plan.</w:t>
      </w:r>
    </w:p>
    <w:p>
      <w:pPr>
        <w:spacing w:after="0" w:line="203" w:lineRule="exact"/>
        <w:rPr>
          <w:sz w:val="20"/>
          <w:szCs w:val="20"/>
          <w:color w:val="auto"/>
        </w:rPr>
      </w:pPr>
    </w:p>
    <w:p>
      <w:pPr>
        <w:ind w:left="1960" w:right="100" w:hanging="971"/>
        <w:spacing w:after="0" w:line="265" w:lineRule="auto"/>
        <w:tabs>
          <w:tab w:leader="none" w:pos="1940" w:val="left"/>
        </w:tabs>
        <w:rPr>
          <w:sz w:val="20"/>
          <w:szCs w:val="20"/>
          <w:color w:val="auto"/>
        </w:rPr>
      </w:pPr>
      <w:r>
        <w:rPr>
          <w:rFonts w:ascii="Arial" w:cs="Arial" w:eastAsia="Arial" w:hAnsi="Arial"/>
          <w:sz w:val="22"/>
          <w:szCs w:val="22"/>
          <w:color w:val="auto"/>
        </w:rPr>
        <w:t>7.1.1</w:t>
      </w:r>
      <w:r>
        <w:rPr>
          <w:sz w:val="20"/>
          <w:szCs w:val="20"/>
          <w:color w:val="auto"/>
        </w:rPr>
        <w:tab/>
      </w:r>
      <w:r>
        <w:rPr>
          <w:rFonts w:ascii="Arial" w:cs="Arial" w:eastAsia="Arial" w:hAnsi="Arial"/>
          <w:sz w:val="20"/>
          <w:szCs w:val="20"/>
          <w:b w:val="1"/>
          <w:bCs w:val="1"/>
          <w:u w:val="single" w:color="auto"/>
          <w:color w:val="auto"/>
        </w:rPr>
        <w:t>Distribution in the Event of Taxation</w:t>
      </w:r>
      <w:r>
        <w:rPr>
          <w:rFonts w:ascii="Arial" w:cs="Arial" w:eastAsia="Arial" w:hAnsi="Arial"/>
          <w:sz w:val="20"/>
          <w:szCs w:val="20"/>
          <w:b w:val="1"/>
          <w:bCs w:val="1"/>
          <w:color w:val="auto"/>
        </w:rPr>
        <w:t>.</w:t>
      </w:r>
      <w:r>
        <w:rPr>
          <w:rFonts w:ascii="Arial" w:cs="Arial" w:eastAsia="Arial" w:hAnsi="Arial"/>
          <w:sz w:val="20"/>
          <w:szCs w:val="20"/>
          <w:b w:val="1"/>
          <w:bCs w:val="1"/>
          <w:u w:val="single" w:color="auto"/>
          <w:color w:val="auto"/>
        </w:rPr>
        <w:t xml:space="preserve"> </w:t>
      </w:r>
      <w:r>
        <w:rPr>
          <w:rFonts w:ascii="Arial" w:cs="Arial" w:eastAsia="Arial" w:hAnsi="Arial"/>
          <w:sz w:val="20"/>
          <w:szCs w:val="20"/>
          <w:color w:val="auto"/>
        </w:rPr>
        <w:t>If, for any reason, all or any portion of any benefit provided by the</w:t>
      </w:r>
      <w:r>
        <w:rPr>
          <w:rFonts w:ascii="Arial" w:cs="Arial" w:eastAsia="Arial" w:hAnsi="Arial"/>
          <w:sz w:val="20"/>
          <w:szCs w:val="20"/>
          <w:b w:val="1"/>
          <w:bCs w:val="1"/>
          <w:u w:val="single" w:color="auto"/>
          <w:color w:val="auto"/>
        </w:rPr>
        <w:t xml:space="preserve"> </w:t>
      </w:r>
      <w:r>
        <w:rPr>
          <w:rFonts w:ascii="Arial" w:cs="Arial" w:eastAsia="Arial" w:hAnsi="Arial"/>
          <w:sz w:val="20"/>
          <w:szCs w:val="20"/>
          <w:color w:val="auto"/>
        </w:rPr>
        <w:t>Plan becomes taxable to a Director because of a violation of Section 409A prior to receipt, the Director may file a written request with the Administrator for a distribution of that portion of the Plan benefit that has become taxable. Upon the grant of such a request, which grant shall not be unreasonably withheld, the Director shall receive a distribution equal to the taxable portion of the plan benefit. If the request is granted, the tax liability distribution shall be paid between the date on which the Director's request is approved and the end of the Plan Year during which the approval occurred, or if later, the 15</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day of the third calendar month following the date on which the Director's request is approved.</w:t>
      </w:r>
    </w:p>
    <w:p>
      <w:pPr>
        <w:spacing w:after="0" w:line="202" w:lineRule="exact"/>
        <w:rPr>
          <w:sz w:val="20"/>
          <w:szCs w:val="20"/>
          <w:color w:val="auto"/>
        </w:rPr>
      </w:pPr>
    </w:p>
    <w:p>
      <w:pPr>
        <w:ind w:left="1960" w:right="120" w:hanging="971"/>
        <w:spacing w:after="0" w:line="252" w:lineRule="auto"/>
        <w:tabs>
          <w:tab w:leader="none" w:pos="1940" w:val="left"/>
        </w:tabs>
        <w:rPr>
          <w:sz w:val="20"/>
          <w:szCs w:val="20"/>
          <w:color w:val="auto"/>
        </w:rPr>
      </w:pPr>
      <w:r>
        <w:rPr>
          <w:rFonts w:ascii="Arial" w:cs="Arial" w:eastAsia="Arial" w:hAnsi="Arial"/>
          <w:sz w:val="22"/>
          <w:szCs w:val="22"/>
          <w:color w:val="auto"/>
        </w:rPr>
        <w:t>7.1.2</w:t>
      </w:r>
      <w:r>
        <w:rPr>
          <w:sz w:val="20"/>
          <w:szCs w:val="20"/>
          <w:color w:val="auto"/>
        </w:rPr>
        <w:tab/>
      </w:r>
      <w:r>
        <w:rPr>
          <w:rFonts w:ascii="Arial" w:cs="Arial" w:eastAsia="Arial" w:hAnsi="Arial"/>
          <w:sz w:val="22"/>
          <w:szCs w:val="22"/>
          <w:b w:val="1"/>
          <w:bCs w:val="1"/>
          <w:u w:val="single" w:color="auto"/>
          <w:color w:val="auto"/>
        </w:rPr>
        <w:t>Compliance with Ethics Laws or Conflicts of Interests Laws</w:t>
      </w:r>
      <w:r>
        <w:rPr>
          <w:rFonts w:ascii="Arial" w:cs="Arial" w:eastAsia="Arial" w:hAnsi="Arial"/>
          <w:sz w:val="22"/>
          <w:szCs w:val="22"/>
          <w:b w:val="1"/>
          <w:bCs w:val="1"/>
          <w:color w:val="auto"/>
        </w:rPr>
        <w:t>.</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The Administrator may, in its sole</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discretion, accelerate the time or schedule of a payment to the extent necessary to avoid the violation of any applicable Federal, state, local, or foreign ethics law or conflicts of interest law as provided in Treasury Regulations section 1.409A-3(j)(4)(iii)(B).</w:t>
      </w:r>
    </w:p>
    <w:p>
      <w:pPr>
        <w:spacing w:after="0" w:line="221" w:lineRule="exact"/>
        <w:rPr>
          <w:sz w:val="20"/>
          <w:szCs w:val="20"/>
          <w:color w:val="auto"/>
        </w:rPr>
      </w:pPr>
    </w:p>
    <w:p>
      <w:pPr>
        <w:jc w:val="both"/>
        <w:ind w:left="1960" w:right="100" w:hanging="971"/>
        <w:spacing w:after="0" w:line="290" w:lineRule="auto"/>
        <w:tabs>
          <w:tab w:leader="none" w:pos="1940" w:val="left"/>
        </w:tabs>
        <w:rPr>
          <w:sz w:val="20"/>
          <w:szCs w:val="20"/>
          <w:color w:val="auto"/>
        </w:rPr>
      </w:pPr>
      <w:r>
        <w:rPr>
          <w:rFonts w:ascii="Arial" w:cs="Arial" w:eastAsia="Arial" w:hAnsi="Arial"/>
          <w:sz w:val="22"/>
          <w:szCs w:val="22"/>
          <w:color w:val="auto"/>
        </w:rPr>
        <w:t>7.1.3</w:t>
      </w:r>
      <w:r>
        <w:rPr>
          <w:sz w:val="20"/>
          <w:szCs w:val="20"/>
          <w:color w:val="auto"/>
        </w:rPr>
        <w:tab/>
      </w:r>
      <w:r>
        <w:rPr>
          <w:rFonts w:ascii="Arial" w:cs="Arial" w:eastAsia="Arial" w:hAnsi="Arial"/>
          <w:sz w:val="19"/>
          <w:szCs w:val="19"/>
          <w:b w:val="1"/>
          <w:bCs w:val="1"/>
          <w:u w:val="single" w:color="auto"/>
          <w:color w:val="auto"/>
        </w:rPr>
        <w:t>Small Accounts</w:t>
      </w:r>
      <w:r>
        <w:rPr>
          <w:rFonts w:ascii="Arial" w:cs="Arial" w:eastAsia="Arial" w:hAnsi="Arial"/>
          <w:sz w:val="19"/>
          <w:szCs w:val="19"/>
          <w:b w:val="1"/>
          <w:bCs w:val="1"/>
          <w:color w:val="auto"/>
        </w:rPr>
        <w:t>.</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The Administrator may, in its sole discretion, distribute the Director's Accounts in a single</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lump sum provided: (i) the distribution results in the payment of the Director's entire Accounts and all other account balance plans required to be aggregated with the Director's Accounts pursuant to Section 409A and</w:t>
      </w:r>
    </w:p>
    <w:p>
      <w:pPr>
        <w:spacing w:after="0" w:line="2" w:lineRule="exact"/>
        <w:rPr>
          <w:sz w:val="20"/>
          <w:szCs w:val="20"/>
          <w:color w:val="auto"/>
        </w:rPr>
      </w:pPr>
    </w:p>
    <w:p>
      <w:pPr>
        <w:ind w:left="1960" w:right="40" w:hanging="7"/>
        <w:spacing w:after="0" w:line="244" w:lineRule="auto"/>
        <w:tabs>
          <w:tab w:leader="none" w:pos="2278" w:val="left"/>
        </w:tabs>
        <w:numPr>
          <w:ilvl w:val="0"/>
          <w:numId w:val="85"/>
        </w:numPr>
        <w:rPr>
          <w:rFonts w:ascii="Arial" w:cs="Arial" w:eastAsia="Arial" w:hAnsi="Arial"/>
          <w:sz w:val="22"/>
          <w:szCs w:val="22"/>
          <w:color w:val="auto"/>
        </w:rPr>
      </w:pPr>
      <w:r>
        <w:rPr>
          <w:rFonts w:ascii="Arial" w:cs="Arial" w:eastAsia="Arial" w:hAnsi="Arial"/>
          <w:sz w:val="22"/>
          <w:szCs w:val="22"/>
          <w:color w:val="auto"/>
        </w:rPr>
        <w:t>the total distribution does not exceed the applicable dollar limit under Code section 402(g)(1)(B). The Administrator shall notify the Director in writing if the Administrator exercises its discretion pursuant to this Section. Any payment to a Director pursuant to this Section must represent the complete liquidation of the Director's interest in the Plan.</w:t>
      </w:r>
    </w:p>
    <w:p>
      <w:pPr>
        <w:spacing w:after="0" w:line="230" w:lineRule="exact"/>
        <w:rPr>
          <w:sz w:val="20"/>
          <w:szCs w:val="20"/>
          <w:color w:val="auto"/>
        </w:rPr>
      </w:pPr>
    </w:p>
    <w:p>
      <w:pPr>
        <w:ind w:left="1960" w:hanging="971"/>
        <w:spacing w:after="0" w:line="267" w:lineRule="auto"/>
        <w:tabs>
          <w:tab w:leader="none" w:pos="1940" w:val="left"/>
        </w:tabs>
        <w:rPr>
          <w:sz w:val="20"/>
          <w:szCs w:val="20"/>
          <w:color w:val="auto"/>
        </w:rPr>
      </w:pPr>
      <w:r>
        <w:rPr>
          <w:rFonts w:ascii="Arial" w:cs="Arial" w:eastAsia="Arial" w:hAnsi="Arial"/>
          <w:sz w:val="22"/>
          <w:szCs w:val="22"/>
          <w:color w:val="auto"/>
        </w:rPr>
        <w:t>7.1.4</w:t>
      </w:r>
      <w:r>
        <w:rPr>
          <w:sz w:val="20"/>
          <w:szCs w:val="20"/>
          <w:color w:val="auto"/>
        </w:rPr>
        <w:tab/>
      </w:r>
      <w:r>
        <w:rPr>
          <w:rFonts w:ascii="Arial" w:cs="Arial" w:eastAsia="Arial" w:hAnsi="Arial"/>
          <w:sz w:val="21"/>
          <w:szCs w:val="21"/>
          <w:b w:val="1"/>
          <w:bCs w:val="1"/>
          <w:u w:val="single" w:color="auto"/>
          <w:color w:val="auto"/>
        </w:rPr>
        <w:t>Settlement of a Bona Fide Dispute</w:t>
      </w:r>
      <w:r>
        <w:rPr>
          <w:rFonts w:ascii="Arial" w:cs="Arial" w:eastAsia="Arial" w:hAnsi="Arial"/>
          <w:sz w:val="21"/>
          <w:szCs w:val="21"/>
          <w:b w:val="1"/>
          <w:bCs w:val="1"/>
          <w:color w:val="auto"/>
        </w:rPr>
        <w:t>.</w:t>
      </w:r>
      <w:r>
        <w:rPr>
          <w:rFonts w:ascii="Arial" w:cs="Arial" w:eastAsia="Arial" w:hAnsi="Arial"/>
          <w:sz w:val="21"/>
          <w:szCs w:val="21"/>
          <w:b w:val="1"/>
          <w:bCs w:val="1"/>
          <w:u w:val="single" w:color="auto"/>
          <w:color w:val="auto"/>
        </w:rPr>
        <w:t xml:space="preserve"> </w:t>
      </w:r>
      <w:r>
        <w:rPr>
          <w:rFonts w:ascii="Arial" w:cs="Arial" w:eastAsia="Arial" w:hAnsi="Arial"/>
          <w:sz w:val="21"/>
          <w:szCs w:val="21"/>
          <w:color w:val="auto"/>
        </w:rPr>
        <w:t>The Administrator may, in its sole discretion, accelerate the time or</w:t>
      </w:r>
      <w:r>
        <w:rPr>
          <w:rFonts w:ascii="Arial" w:cs="Arial" w:eastAsia="Arial" w:hAnsi="Arial"/>
          <w:sz w:val="21"/>
          <w:szCs w:val="21"/>
          <w:b w:val="1"/>
          <w:bCs w:val="1"/>
          <w:u w:val="single" w:color="auto"/>
          <w:color w:val="auto"/>
        </w:rPr>
        <w:t xml:space="preserve"> </w:t>
      </w:r>
      <w:r>
        <w:rPr>
          <w:rFonts w:ascii="Arial" w:cs="Arial" w:eastAsia="Arial" w:hAnsi="Arial"/>
          <w:sz w:val="21"/>
          <w:szCs w:val="21"/>
          <w:color w:val="auto"/>
        </w:rPr>
        <w:t>schedule of a distribution as part of a settlement of a bona fide dispute between the Director and the Company over a Director's right to a distribution provided that the distribution relates only to the Deferrals in dispute and the Company is not experiencing a downturn in financial health.</w:t>
      </w:r>
    </w:p>
    <w:p>
      <w:pPr>
        <w:spacing w:after="0" w:line="168"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7.2</w:t>
      </w:r>
      <w:r>
        <w:rPr>
          <w:sz w:val="20"/>
          <w:szCs w:val="20"/>
          <w:color w:val="auto"/>
        </w:rPr>
        <w:tab/>
      </w:r>
      <w:r>
        <w:rPr>
          <w:rFonts w:ascii="Arial" w:cs="Arial" w:eastAsia="Arial" w:hAnsi="Arial"/>
          <w:sz w:val="19"/>
          <w:szCs w:val="19"/>
          <w:b w:val="1"/>
          <w:bCs w:val="1"/>
          <w:u w:val="single" w:color="auto"/>
          <w:color w:val="auto"/>
        </w:rPr>
        <w:t>Permissible Distribution Delays</w:t>
      </w:r>
      <w:r>
        <w:rPr>
          <w:rFonts w:ascii="Arial" w:cs="Arial" w:eastAsia="Arial" w:hAnsi="Arial"/>
          <w:sz w:val="19"/>
          <w:szCs w:val="19"/>
          <w:b w:val="1"/>
          <w:bCs w:val="1"/>
          <w:color w:val="auto"/>
        </w:rPr>
        <w:t>.</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Notwithstanding anything in the Plan to the contrary, to the extent permitted by Section</w:t>
      </w:r>
    </w:p>
    <w:p>
      <w:pPr>
        <w:spacing w:after="0" w:line="2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409A, the Administrator may, in its sole discretion, delay distribution to a Director:</w:t>
      </w: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585" w:right="259" w:bottom="1440" w:gutter="0" w:footer="0" w:header="0"/>
        </w:sectPr>
      </w:pPr>
    </w:p>
    <w:bookmarkStart w:id="163" w:name="page164"/>
    <w:bookmarkEnd w:id="163"/>
    <w:p>
      <w:pPr>
        <w:ind w:left="1960" w:right="180" w:hanging="971"/>
        <w:spacing w:after="0" w:line="253" w:lineRule="auto"/>
        <w:tabs>
          <w:tab w:leader="none" w:pos="1940" w:val="left"/>
        </w:tabs>
        <w:rPr>
          <w:sz w:val="20"/>
          <w:szCs w:val="20"/>
          <w:color w:val="auto"/>
        </w:rPr>
      </w:pPr>
      <w:r>
        <w:rPr>
          <w:rFonts w:ascii="Arial" w:cs="Arial" w:eastAsia="Arial" w:hAnsi="Arial"/>
          <w:sz w:val="22"/>
          <w:szCs w:val="22"/>
          <w:color w:val="auto"/>
        </w:rPr>
        <w:t>7.2.1</w:t>
      </w:r>
      <w:r>
        <w:rPr>
          <w:sz w:val="20"/>
          <w:szCs w:val="20"/>
          <w:color w:val="auto"/>
        </w:rPr>
        <w:tab/>
      </w:r>
      <w:r>
        <w:rPr>
          <w:rFonts w:ascii="Arial" w:cs="Arial" w:eastAsia="Arial" w:hAnsi="Arial"/>
          <w:sz w:val="22"/>
          <w:szCs w:val="22"/>
          <w:color w:val="auto"/>
        </w:rPr>
        <w:t>If the distribution would jeopardize the Company's ability to continue as a going concern, provided that the delayed distribution is distributed in the first calendar year in which the distribution would not have such effect.</w:t>
      </w:r>
    </w:p>
    <w:p>
      <w:pPr>
        <w:spacing w:after="0" w:line="226" w:lineRule="exact"/>
        <w:rPr>
          <w:sz w:val="20"/>
          <w:szCs w:val="20"/>
          <w:color w:val="auto"/>
        </w:rPr>
      </w:pPr>
    </w:p>
    <w:p>
      <w:pPr>
        <w:jc w:val="both"/>
        <w:ind w:left="1960" w:right="620" w:hanging="971"/>
        <w:spacing w:after="0" w:line="253" w:lineRule="auto"/>
        <w:tabs>
          <w:tab w:leader="none" w:pos="1940" w:val="left"/>
        </w:tabs>
        <w:rPr>
          <w:sz w:val="20"/>
          <w:szCs w:val="20"/>
          <w:color w:val="auto"/>
        </w:rPr>
      </w:pPr>
      <w:r>
        <w:rPr>
          <w:rFonts w:ascii="Arial" w:cs="Arial" w:eastAsia="Arial" w:hAnsi="Arial"/>
          <w:sz w:val="22"/>
          <w:szCs w:val="22"/>
          <w:color w:val="auto"/>
        </w:rPr>
        <w:t>7.2.2</w:t>
      </w:r>
      <w:r>
        <w:rPr>
          <w:sz w:val="20"/>
          <w:szCs w:val="20"/>
          <w:color w:val="auto"/>
        </w:rPr>
        <w:tab/>
      </w:r>
      <w:r>
        <w:rPr>
          <w:rFonts w:ascii="Arial" w:cs="Arial" w:eastAsia="Arial" w:hAnsi="Arial"/>
          <w:sz w:val="22"/>
          <w:szCs w:val="22"/>
          <w:color w:val="auto"/>
        </w:rPr>
        <w:t>If the distribution would violate Federal securities or other applicable laws, provided that the delayed distribution is distributed at the earliest date at which the Administrator reasonably anticipates that the distribution will not cause such violation.</w:t>
      </w:r>
    </w:p>
    <w:p>
      <w:pPr>
        <w:spacing w:after="0" w:line="226" w:lineRule="exact"/>
        <w:rPr>
          <w:sz w:val="20"/>
          <w:szCs w:val="20"/>
          <w:color w:val="auto"/>
        </w:rPr>
      </w:pPr>
    </w:p>
    <w:p>
      <w:pPr>
        <w:jc w:val="both"/>
        <w:ind w:left="1960" w:right="240" w:hanging="971"/>
        <w:spacing w:after="0" w:line="253" w:lineRule="auto"/>
        <w:tabs>
          <w:tab w:leader="none" w:pos="1940" w:val="left"/>
        </w:tabs>
        <w:rPr>
          <w:sz w:val="20"/>
          <w:szCs w:val="20"/>
          <w:color w:val="auto"/>
        </w:rPr>
      </w:pPr>
      <w:r>
        <w:rPr>
          <w:rFonts w:ascii="Arial" w:cs="Arial" w:eastAsia="Arial" w:hAnsi="Arial"/>
          <w:sz w:val="22"/>
          <w:szCs w:val="22"/>
          <w:color w:val="auto"/>
        </w:rPr>
        <w:t>7.2.3</w:t>
      </w:r>
      <w:r>
        <w:rPr>
          <w:sz w:val="20"/>
          <w:szCs w:val="20"/>
          <w:color w:val="auto"/>
        </w:rPr>
        <w:tab/>
      </w:r>
      <w:r>
        <w:rPr>
          <w:rFonts w:ascii="Arial" w:cs="Arial" w:eastAsia="Arial" w:hAnsi="Arial"/>
          <w:sz w:val="22"/>
          <w:szCs w:val="22"/>
          <w:color w:val="auto"/>
        </w:rPr>
        <w:t>If calculation of the distribution is not administratively practicable due to events beyond the control of the Director, provided that the delayed distribution is paid in the first calendar year in which the calculation of the distribution is administratively practicable.</w:t>
      </w:r>
    </w:p>
    <w:p>
      <w:pPr>
        <w:spacing w:after="0" w:line="220" w:lineRule="exact"/>
        <w:rPr>
          <w:sz w:val="20"/>
          <w:szCs w:val="20"/>
          <w:color w:val="auto"/>
        </w:rPr>
      </w:pPr>
    </w:p>
    <w:p>
      <w:pPr>
        <w:ind w:left="660" w:right="20" w:hanging="647"/>
        <w:spacing w:after="0" w:line="256" w:lineRule="auto"/>
        <w:tabs>
          <w:tab w:leader="none" w:pos="640" w:val="left"/>
        </w:tabs>
        <w:rPr>
          <w:sz w:val="20"/>
          <w:szCs w:val="20"/>
          <w:color w:val="auto"/>
        </w:rPr>
      </w:pPr>
      <w:r>
        <w:rPr>
          <w:rFonts w:ascii="Arial" w:cs="Arial" w:eastAsia="Arial" w:hAnsi="Arial"/>
          <w:sz w:val="22"/>
          <w:szCs w:val="22"/>
          <w:color w:val="auto"/>
        </w:rPr>
        <w:t>7.3</w:t>
      </w:r>
      <w:r>
        <w:rPr>
          <w:sz w:val="20"/>
          <w:szCs w:val="20"/>
          <w:color w:val="auto"/>
        </w:rPr>
        <w:tab/>
      </w:r>
      <w:r>
        <w:rPr>
          <w:rFonts w:ascii="Arial" w:cs="Arial" w:eastAsia="Arial" w:hAnsi="Arial"/>
          <w:sz w:val="22"/>
          <w:szCs w:val="22"/>
          <w:b w:val="1"/>
          <w:bCs w:val="1"/>
          <w:u w:val="single" w:color="auto"/>
          <w:color w:val="auto"/>
        </w:rPr>
        <w:t>Suspension Not Allowed</w:t>
      </w:r>
      <w:r>
        <w:rPr>
          <w:rFonts w:ascii="Arial" w:cs="Arial" w:eastAsia="Arial" w:hAnsi="Arial"/>
          <w:sz w:val="22"/>
          <w:szCs w:val="22"/>
          <w:b w:val="1"/>
          <w:bCs w:val="1"/>
          <w:color w:val="auto"/>
        </w:rPr>
        <w:t>.</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If a Director whose distributions have commenced becomes eligible again to defer compensation</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under any plan maintained by a Related Company, distribution of any remaining amounts in his Accounts may not be suspended.</w:t>
      </w: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8</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Beneficiary Designation</w:t>
      </w:r>
    </w:p>
    <w:p>
      <w:pPr>
        <w:spacing w:after="0" w:line="236" w:lineRule="exact"/>
        <w:rPr>
          <w:sz w:val="20"/>
          <w:szCs w:val="20"/>
          <w:color w:val="auto"/>
        </w:rPr>
      </w:pPr>
    </w:p>
    <w:p>
      <w:pPr>
        <w:ind w:left="660" w:right="300" w:hanging="647"/>
        <w:spacing w:after="0" w:line="261" w:lineRule="auto"/>
        <w:tabs>
          <w:tab w:leader="none" w:pos="640" w:val="left"/>
        </w:tabs>
        <w:rPr>
          <w:sz w:val="20"/>
          <w:szCs w:val="20"/>
          <w:color w:val="auto"/>
        </w:rPr>
      </w:pPr>
      <w:r>
        <w:rPr>
          <w:rFonts w:ascii="Arial" w:cs="Arial" w:eastAsia="Arial" w:hAnsi="Arial"/>
          <w:sz w:val="22"/>
          <w:szCs w:val="22"/>
          <w:color w:val="auto"/>
        </w:rPr>
        <w:t>8.1</w:t>
      </w:r>
      <w:r>
        <w:rPr>
          <w:sz w:val="20"/>
          <w:szCs w:val="20"/>
          <w:color w:val="auto"/>
        </w:rPr>
        <w:tab/>
      </w:r>
      <w:r>
        <w:rPr>
          <w:rFonts w:ascii="Arial" w:cs="Arial" w:eastAsia="Arial" w:hAnsi="Arial"/>
          <w:sz w:val="21"/>
          <w:szCs w:val="21"/>
          <w:b w:val="1"/>
          <w:bCs w:val="1"/>
          <w:u w:val="single" w:color="auto"/>
          <w:color w:val="auto"/>
        </w:rPr>
        <w:t>Beneficiary</w:t>
      </w:r>
      <w:r>
        <w:rPr>
          <w:rFonts w:ascii="Arial" w:cs="Arial" w:eastAsia="Arial" w:hAnsi="Arial"/>
          <w:sz w:val="21"/>
          <w:szCs w:val="21"/>
          <w:b w:val="1"/>
          <w:bCs w:val="1"/>
          <w:color w:val="auto"/>
        </w:rPr>
        <w:t>.</w:t>
      </w:r>
      <w:r>
        <w:rPr>
          <w:rFonts w:ascii="Arial" w:cs="Arial" w:eastAsia="Arial" w:hAnsi="Arial"/>
          <w:sz w:val="21"/>
          <w:szCs w:val="21"/>
          <w:b w:val="1"/>
          <w:bCs w:val="1"/>
          <w:u w:val="single" w:color="auto"/>
          <w:color w:val="auto"/>
        </w:rPr>
        <w:t xml:space="preserve"> </w:t>
      </w:r>
      <w:r>
        <w:rPr>
          <w:rFonts w:ascii="Arial" w:cs="Arial" w:eastAsia="Arial" w:hAnsi="Arial"/>
          <w:sz w:val="21"/>
          <w:szCs w:val="21"/>
          <w:color w:val="auto"/>
        </w:rPr>
        <w:t>Each Director shall have the right, at any time, to designate a Beneficiary(ies) (both primary as well as</w:t>
      </w:r>
      <w:r>
        <w:rPr>
          <w:rFonts w:ascii="Arial" w:cs="Arial" w:eastAsia="Arial" w:hAnsi="Arial"/>
          <w:sz w:val="21"/>
          <w:szCs w:val="21"/>
          <w:b w:val="1"/>
          <w:bCs w:val="1"/>
          <w:u w:val="single" w:color="auto"/>
          <w:color w:val="auto"/>
        </w:rPr>
        <w:t xml:space="preserve"> </w:t>
      </w:r>
      <w:r>
        <w:rPr>
          <w:rFonts w:ascii="Arial" w:cs="Arial" w:eastAsia="Arial" w:hAnsi="Arial"/>
          <w:sz w:val="21"/>
          <w:szCs w:val="21"/>
          <w:color w:val="auto"/>
        </w:rPr>
        <w:t>contingent) to whom a Director's Accounts shall be paid if a Director dies prior to complete distribution of the Accounts. Each Beneficiary designation shall be in a written form prescribed by the Administrator, and will be effective only when filed with the Administrator during the Director's lifetime. Any Beneficiary designation may be changed by a Director without the consent of the previously named Beneficiary by filing a new Beneficiary designation with the Administrator. The most recent Beneficiary designation received by the Administrator shall control the distribution of a Director's Accounts in the event of the Director's death.</w:t>
      </w:r>
    </w:p>
    <w:p>
      <w:pPr>
        <w:spacing w:after="0" w:line="215" w:lineRule="exact"/>
        <w:rPr>
          <w:sz w:val="20"/>
          <w:szCs w:val="20"/>
          <w:color w:val="auto"/>
        </w:rPr>
      </w:pPr>
    </w:p>
    <w:p>
      <w:pPr>
        <w:ind w:left="660" w:hanging="647"/>
        <w:spacing w:after="0" w:line="252" w:lineRule="auto"/>
        <w:tabs>
          <w:tab w:leader="none" w:pos="640" w:val="left"/>
        </w:tabs>
        <w:rPr>
          <w:sz w:val="20"/>
          <w:szCs w:val="20"/>
          <w:color w:val="auto"/>
        </w:rPr>
      </w:pPr>
      <w:r>
        <w:rPr>
          <w:rFonts w:ascii="Arial" w:cs="Arial" w:eastAsia="Arial" w:hAnsi="Arial"/>
          <w:sz w:val="22"/>
          <w:szCs w:val="22"/>
          <w:color w:val="auto"/>
        </w:rPr>
        <w:t>8.2</w:t>
      </w:r>
      <w:r>
        <w:rPr>
          <w:sz w:val="20"/>
          <w:szCs w:val="20"/>
          <w:color w:val="auto"/>
        </w:rPr>
        <w:tab/>
      </w:r>
      <w:r>
        <w:rPr>
          <w:rFonts w:ascii="Arial" w:cs="Arial" w:eastAsia="Arial" w:hAnsi="Arial"/>
          <w:sz w:val="22"/>
          <w:szCs w:val="22"/>
          <w:b w:val="1"/>
          <w:bCs w:val="1"/>
          <w:u w:val="single" w:color="auto"/>
          <w:color w:val="auto"/>
        </w:rPr>
        <w:t>No Beneficiary Designation</w:t>
      </w:r>
      <w:r>
        <w:rPr>
          <w:rFonts w:ascii="Arial" w:cs="Arial" w:eastAsia="Arial" w:hAnsi="Arial"/>
          <w:sz w:val="22"/>
          <w:szCs w:val="22"/>
          <w:b w:val="1"/>
          <w:bCs w:val="1"/>
          <w:color w:val="auto"/>
        </w:rPr>
        <w:t>.</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In the absence of an effective Beneficiary designation, or if all designated Beneficiaries</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predecease the Director or die prior to the complete distribution of the Director's Accounts, the Accounts shall be paid in the following order of precedence: (a) the Director's surviving spouse; (b) the Director's children (including adopted children), per stirpes; or (c) the Director's estate.</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9</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Claims Procedures</w:t>
      </w:r>
    </w:p>
    <w:p>
      <w:pPr>
        <w:spacing w:after="0" w:line="242" w:lineRule="exact"/>
        <w:rPr>
          <w:sz w:val="20"/>
          <w:szCs w:val="20"/>
          <w:color w:val="auto"/>
        </w:rPr>
      </w:pPr>
    </w:p>
    <w:p>
      <w:pPr>
        <w:ind w:right="200" w:firstLine="648"/>
        <w:spacing w:after="0" w:line="253" w:lineRule="auto"/>
        <w:rPr>
          <w:sz w:val="20"/>
          <w:szCs w:val="20"/>
          <w:color w:val="auto"/>
        </w:rPr>
      </w:pPr>
      <w:r>
        <w:rPr>
          <w:rFonts w:ascii="Arial" w:cs="Arial" w:eastAsia="Arial" w:hAnsi="Arial"/>
          <w:sz w:val="22"/>
          <w:szCs w:val="22"/>
          <w:color w:val="auto"/>
        </w:rPr>
        <w:t>Any Director or Beneficiary, or his or her authorized representative, may file a claim for benefits due him or her under the Plan by written request to the Company, setting forth with specificity the facts and events which give rise to the claim. The Company shall promptly respond, consistent with any legal requirements that might apply.</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591" w:right="259" w:bottom="1440" w:gutter="0" w:footer="0" w:header="0"/>
        </w:sectPr>
      </w:pPr>
    </w:p>
    <w:bookmarkStart w:id="164" w:name="page165"/>
    <w:bookmarkEnd w:id="164"/>
    <w:p>
      <w:pPr>
        <w:jc w:val="center"/>
        <w:ind w:right="-19"/>
        <w:spacing w:after="0"/>
        <w:rPr>
          <w:sz w:val="20"/>
          <w:szCs w:val="20"/>
          <w:color w:val="auto"/>
        </w:rPr>
      </w:pPr>
      <w:r>
        <w:rPr>
          <w:rFonts w:ascii="Arial" w:cs="Arial" w:eastAsia="Arial" w:hAnsi="Arial"/>
          <w:sz w:val="22"/>
          <w:szCs w:val="22"/>
          <w:b w:val="1"/>
          <w:bCs w:val="1"/>
          <w:color w:val="auto"/>
        </w:rPr>
        <w:t>ARTCILE 10</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Amendment or Termination</w:t>
      </w:r>
    </w:p>
    <w:p>
      <w:pPr>
        <w:spacing w:after="0" w:line="242" w:lineRule="exact"/>
        <w:rPr>
          <w:sz w:val="20"/>
          <w:szCs w:val="20"/>
          <w:color w:val="auto"/>
        </w:rPr>
      </w:pPr>
    </w:p>
    <w:p>
      <w:pPr>
        <w:ind w:firstLine="648"/>
        <w:spacing w:after="0" w:line="288" w:lineRule="auto"/>
        <w:rPr>
          <w:sz w:val="20"/>
          <w:szCs w:val="20"/>
          <w:color w:val="auto"/>
        </w:rPr>
      </w:pPr>
      <w:r>
        <w:rPr>
          <w:rFonts w:ascii="Arial" w:cs="Arial" w:eastAsia="Arial" w:hAnsi="Arial"/>
          <w:sz w:val="19"/>
          <w:szCs w:val="19"/>
          <w:color w:val="auto"/>
        </w:rPr>
        <w:t>The Company hereby reserves the right to amend, modify, or terminate the Plan at any time by action of the Board, with or without prior notice. No amendment or termination shall reduce any Director's Accounts without the written consent of the affected Director. Notwithstanding anything herein to the contrary, to the extent consistent with Section 409A, the Board may terminate the Plan and distribute to each Director the amount in his or her Accounts in a lump sum; provided that all distributions (i) commence no earlier than the date that is twelve (12) months following the termination date (or any earlier date that would comply with Section 409A) and (ii) are completed by the date that is twenty-four (24) months following the termination date (or any later date that would comply with Section 409A). In addition, distributions may be accelerated upon a Plan termination as provided above only if, to the extent required under Section 409A, (i) all other nonqualified deferred compensation “account balance plans” (within the meaning of Section 409A), in which any Director participates are terminated along with the Plan, and (ii) the Company does not adopt any new nonqualified deferred compensation “account balance plan” (within the meaning of Section 409A), for three years following the date of Plan termination.</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11</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Miscellaneous Provisions</w:t>
      </w:r>
    </w:p>
    <w:p>
      <w:pPr>
        <w:spacing w:after="0" w:line="236" w:lineRule="exact"/>
        <w:rPr>
          <w:sz w:val="20"/>
          <w:szCs w:val="20"/>
          <w:color w:val="auto"/>
        </w:rPr>
      </w:pPr>
    </w:p>
    <w:p>
      <w:pPr>
        <w:ind w:left="660" w:right="120" w:hanging="647"/>
        <w:spacing w:after="0" w:line="267" w:lineRule="auto"/>
        <w:tabs>
          <w:tab w:leader="none" w:pos="640" w:val="left"/>
        </w:tabs>
        <w:rPr>
          <w:sz w:val="20"/>
          <w:szCs w:val="20"/>
          <w:color w:val="auto"/>
        </w:rPr>
      </w:pPr>
      <w:r>
        <w:rPr>
          <w:rFonts w:ascii="Arial" w:cs="Arial" w:eastAsia="Arial" w:hAnsi="Arial"/>
          <w:sz w:val="22"/>
          <w:szCs w:val="22"/>
          <w:color w:val="auto"/>
        </w:rPr>
        <w:t>11.1</w:t>
      </w:r>
      <w:r>
        <w:rPr>
          <w:sz w:val="20"/>
          <w:szCs w:val="20"/>
          <w:color w:val="auto"/>
        </w:rPr>
        <w:tab/>
      </w:r>
      <w:r>
        <w:rPr>
          <w:rFonts w:ascii="Arial" w:cs="Arial" w:eastAsia="Arial" w:hAnsi="Arial"/>
          <w:sz w:val="21"/>
          <w:szCs w:val="21"/>
          <w:b w:val="1"/>
          <w:bCs w:val="1"/>
          <w:u w:val="single" w:color="auto"/>
          <w:color w:val="auto"/>
        </w:rPr>
        <w:t>Unsecured General Creditor</w:t>
      </w:r>
      <w:r>
        <w:rPr>
          <w:rFonts w:ascii="Arial" w:cs="Arial" w:eastAsia="Arial" w:hAnsi="Arial"/>
          <w:sz w:val="21"/>
          <w:szCs w:val="21"/>
          <w:b w:val="1"/>
          <w:bCs w:val="1"/>
          <w:color w:val="auto"/>
        </w:rPr>
        <w:t>.</w:t>
      </w:r>
      <w:r>
        <w:rPr>
          <w:rFonts w:ascii="Arial" w:cs="Arial" w:eastAsia="Arial" w:hAnsi="Arial"/>
          <w:sz w:val="21"/>
          <w:szCs w:val="21"/>
          <w:b w:val="1"/>
          <w:bCs w:val="1"/>
          <w:u w:val="single" w:color="auto"/>
          <w:color w:val="auto"/>
        </w:rPr>
        <w:t xml:space="preserve"> </w:t>
      </w:r>
      <w:r>
        <w:rPr>
          <w:rFonts w:ascii="Arial" w:cs="Arial" w:eastAsia="Arial" w:hAnsi="Arial"/>
          <w:sz w:val="21"/>
          <w:szCs w:val="21"/>
          <w:color w:val="auto"/>
        </w:rPr>
        <w:t>Directors and their Beneficiaries, heirs, successors and assigns shall have no legal or</w:t>
      </w:r>
      <w:r>
        <w:rPr>
          <w:rFonts w:ascii="Arial" w:cs="Arial" w:eastAsia="Arial" w:hAnsi="Arial"/>
          <w:sz w:val="21"/>
          <w:szCs w:val="21"/>
          <w:b w:val="1"/>
          <w:bCs w:val="1"/>
          <w:u w:val="single" w:color="auto"/>
          <w:color w:val="auto"/>
        </w:rPr>
        <w:t xml:space="preserve"> </w:t>
      </w:r>
      <w:r>
        <w:rPr>
          <w:rFonts w:ascii="Arial" w:cs="Arial" w:eastAsia="Arial" w:hAnsi="Arial"/>
          <w:sz w:val="21"/>
          <w:szCs w:val="21"/>
          <w:color w:val="auto"/>
        </w:rPr>
        <w:t>equitable rights, interests or claims in any property or assets of the Company. Any and all of the Company's assets shall be, and remain, the general, unpledged unrestricted assets of the Company. The Company's obligation under the Plan shall be merely that of an unfunded and unsecured promise to pay money in the future.</w:t>
      </w:r>
    </w:p>
    <w:p>
      <w:pPr>
        <w:spacing w:after="0" w:line="208" w:lineRule="exact"/>
        <w:rPr>
          <w:sz w:val="20"/>
          <w:szCs w:val="20"/>
          <w:color w:val="auto"/>
        </w:rPr>
      </w:pPr>
    </w:p>
    <w:p>
      <w:pPr>
        <w:ind w:left="660" w:right="60" w:hanging="647"/>
        <w:spacing w:after="0" w:line="249" w:lineRule="auto"/>
        <w:tabs>
          <w:tab w:leader="none" w:pos="640" w:val="left"/>
        </w:tabs>
        <w:rPr>
          <w:sz w:val="20"/>
          <w:szCs w:val="20"/>
          <w:color w:val="auto"/>
        </w:rPr>
      </w:pPr>
      <w:r>
        <w:rPr>
          <w:rFonts w:ascii="Arial" w:cs="Arial" w:eastAsia="Arial" w:hAnsi="Arial"/>
          <w:sz w:val="22"/>
          <w:szCs w:val="22"/>
          <w:color w:val="auto"/>
        </w:rPr>
        <w:t>11.2</w:t>
      </w:r>
      <w:r>
        <w:rPr>
          <w:sz w:val="20"/>
          <w:szCs w:val="20"/>
          <w:color w:val="auto"/>
        </w:rPr>
        <w:tab/>
      </w:r>
      <w:r>
        <w:rPr>
          <w:rFonts w:ascii="Arial" w:cs="Arial" w:eastAsia="Arial" w:hAnsi="Arial"/>
          <w:sz w:val="22"/>
          <w:szCs w:val="22"/>
          <w:b w:val="1"/>
          <w:bCs w:val="1"/>
          <w:u w:val="single" w:color="auto"/>
          <w:color w:val="auto"/>
        </w:rPr>
        <w:t>Trust Fund</w:t>
      </w:r>
      <w:r>
        <w:rPr>
          <w:rFonts w:ascii="Arial" w:cs="Arial" w:eastAsia="Arial" w:hAnsi="Arial"/>
          <w:sz w:val="22"/>
          <w:szCs w:val="22"/>
          <w:b w:val="1"/>
          <w:bCs w:val="1"/>
          <w:color w:val="auto"/>
        </w:rPr>
        <w:t>.</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At its discretion, the Company may establish a Trust, with such trustees as the Company may approve, for the</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purpose of providing for the distribution of benefits owed under this Plan. The Trust's assets shall be held for distribution of all the Company's general creditors in the event of insolvency or bankruptcy. To the extent any Plan benefits are paid from any such Trust, the Company shall have no further obligations to pay them. If not paid from the Trust, such benefits shall remain the obligation of the Company.</w:t>
      </w:r>
    </w:p>
    <w:p>
      <w:pPr>
        <w:spacing w:after="0" w:line="227" w:lineRule="exact"/>
        <w:rPr>
          <w:sz w:val="20"/>
          <w:szCs w:val="20"/>
          <w:color w:val="auto"/>
        </w:rPr>
      </w:pPr>
    </w:p>
    <w:p>
      <w:pPr>
        <w:ind w:left="660" w:right="80" w:hanging="647"/>
        <w:spacing w:after="0" w:line="249" w:lineRule="auto"/>
        <w:tabs>
          <w:tab w:leader="none" w:pos="640" w:val="left"/>
        </w:tabs>
        <w:rPr>
          <w:sz w:val="20"/>
          <w:szCs w:val="20"/>
          <w:color w:val="auto"/>
        </w:rPr>
      </w:pPr>
      <w:r>
        <w:rPr>
          <w:rFonts w:ascii="Arial" w:cs="Arial" w:eastAsia="Arial" w:hAnsi="Arial"/>
          <w:sz w:val="22"/>
          <w:szCs w:val="22"/>
          <w:color w:val="auto"/>
        </w:rPr>
        <w:t>11.3</w:t>
      </w:r>
      <w:r>
        <w:rPr>
          <w:sz w:val="20"/>
          <w:szCs w:val="20"/>
          <w:color w:val="auto"/>
        </w:rPr>
        <w:tab/>
      </w:r>
      <w:r>
        <w:rPr>
          <w:rFonts w:ascii="Arial" w:cs="Arial" w:eastAsia="Arial" w:hAnsi="Arial"/>
          <w:sz w:val="22"/>
          <w:szCs w:val="22"/>
          <w:b w:val="1"/>
          <w:bCs w:val="1"/>
          <w:u w:val="single" w:color="auto"/>
          <w:color w:val="auto"/>
        </w:rPr>
        <w:t>Section 409A Compliance</w:t>
      </w:r>
      <w:r>
        <w:rPr>
          <w:rFonts w:ascii="Arial" w:cs="Arial" w:eastAsia="Arial" w:hAnsi="Arial"/>
          <w:sz w:val="22"/>
          <w:szCs w:val="22"/>
          <w:b w:val="1"/>
          <w:bCs w:val="1"/>
          <w:color w:val="auto"/>
        </w:rPr>
        <w:t>.</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All provisions of the Plan shall be interpreted and administered to the extent possible in a</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manner consistent with Section 409A. To the extent that any provision of the Plan would cause a conflict with the requirements of Section 409A, or would cause the administration of the Plan to fail to satisfy Section 409A, such provision shall be deemed null and void to the extent permitted by applicable law. Nothing herein shall be construed as a guarantee of any particular tax treatment to a Director.</w:t>
      </w:r>
    </w:p>
    <w:p>
      <w:pPr>
        <w:spacing w:after="0" w:line="227" w:lineRule="exact"/>
        <w:rPr>
          <w:sz w:val="20"/>
          <w:szCs w:val="20"/>
          <w:color w:val="auto"/>
        </w:rPr>
      </w:pPr>
    </w:p>
    <w:p>
      <w:pPr>
        <w:ind w:left="660" w:right="700" w:hanging="647"/>
        <w:spacing w:after="0" w:line="269" w:lineRule="auto"/>
        <w:tabs>
          <w:tab w:leader="none" w:pos="640" w:val="left"/>
        </w:tabs>
        <w:rPr>
          <w:sz w:val="20"/>
          <w:szCs w:val="20"/>
          <w:color w:val="auto"/>
        </w:rPr>
      </w:pPr>
      <w:r>
        <w:rPr>
          <w:rFonts w:ascii="Arial" w:cs="Arial" w:eastAsia="Arial" w:hAnsi="Arial"/>
          <w:sz w:val="22"/>
          <w:szCs w:val="22"/>
          <w:color w:val="auto"/>
        </w:rPr>
        <w:t>11.4</w:t>
      </w:r>
      <w:r>
        <w:rPr>
          <w:sz w:val="20"/>
          <w:szCs w:val="20"/>
          <w:color w:val="auto"/>
        </w:rPr>
        <w:tab/>
      </w:r>
      <w:r>
        <w:rPr>
          <w:rFonts w:ascii="Arial" w:cs="Arial" w:eastAsia="Arial" w:hAnsi="Arial"/>
          <w:sz w:val="22"/>
          <w:szCs w:val="22"/>
          <w:b w:val="1"/>
          <w:bCs w:val="1"/>
          <w:u w:val="single" w:color="auto"/>
          <w:color w:val="auto"/>
        </w:rPr>
        <w:t>Company's Liability</w:t>
      </w:r>
      <w:r>
        <w:rPr>
          <w:rFonts w:ascii="Arial" w:cs="Arial" w:eastAsia="Arial" w:hAnsi="Arial"/>
          <w:sz w:val="22"/>
          <w:szCs w:val="22"/>
          <w:b w:val="1"/>
          <w:bCs w:val="1"/>
          <w:color w:val="auto"/>
        </w:rPr>
        <w:t>.</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The Company's liability for the distribution of benefits shall be defined only by the Plan. The</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Company shall have no obligation to a Director except as expressly provided in the Plan.</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585" w:right="239" w:bottom="1440" w:gutter="0" w:footer="0" w:header="0"/>
        </w:sectPr>
      </w:pPr>
    </w:p>
    <w:bookmarkStart w:id="165" w:name="page166"/>
    <w:bookmarkEnd w:id="165"/>
    <w:p>
      <w:pPr>
        <w:ind w:left="660" w:right="180" w:hanging="647"/>
        <w:spacing w:after="0" w:line="293" w:lineRule="auto"/>
        <w:tabs>
          <w:tab w:leader="none" w:pos="640" w:val="left"/>
        </w:tabs>
        <w:rPr>
          <w:sz w:val="20"/>
          <w:szCs w:val="20"/>
          <w:color w:val="auto"/>
        </w:rPr>
      </w:pPr>
      <w:r>
        <w:rPr>
          <w:rFonts w:ascii="Arial" w:cs="Arial" w:eastAsia="Arial" w:hAnsi="Arial"/>
          <w:sz w:val="22"/>
          <w:szCs w:val="22"/>
          <w:color w:val="auto"/>
        </w:rPr>
        <w:t>11.5</w:t>
      </w:r>
      <w:r>
        <w:rPr>
          <w:sz w:val="20"/>
          <w:szCs w:val="20"/>
          <w:color w:val="auto"/>
        </w:rPr>
        <w:tab/>
      </w:r>
      <w:r>
        <w:rPr>
          <w:rFonts w:ascii="Arial" w:cs="Arial" w:eastAsia="Arial" w:hAnsi="Arial"/>
          <w:sz w:val="19"/>
          <w:szCs w:val="19"/>
          <w:b w:val="1"/>
          <w:bCs w:val="1"/>
          <w:u w:val="single" w:color="auto"/>
          <w:color w:val="auto"/>
        </w:rPr>
        <w:t>Nonassignability</w:t>
      </w:r>
      <w:r>
        <w:rPr>
          <w:rFonts w:ascii="Arial" w:cs="Arial" w:eastAsia="Arial" w:hAnsi="Arial"/>
          <w:sz w:val="19"/>
          <w:szCs w:val="19"/>
          <w:b w:val="1"/>
          <w:bCs w:val="1"/>
          <w:color w:val="auto"/>
        </w:rPr>
        <w:t>.</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Neither a Director nor any other person shall have any right to commute, sell, assign, transfer, pledge,</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anticipate, mortgage or otherwise encumber, transfer, hypothecate, alienate or convey in advance of actual receipt, the amounts, if any, payable hereunder, or any part thereof, which are, and all rights to which are expressly declared to be, unassignable and non-transferable. No part of the amounts payable shall, prior to actual payment, be subject to seizure, attachment, garnishment or sequestration for the payment of any debts, judgments, alimony or separate maintenance owed by a Director or any other person, be transferable by operation of law in the event of a Director's or any other person's bankruptcy or insolvency or be transferable to a spouse as a result of a property settlement or otherwise.</w:t>
      </w:r>
    </w:p>
    <w:p>
      <w:pPr>
        <w:spacing w:after="0" w:line="186" w:lineRule="exact"/>
        <w:rPr>
          <w:sz w:val="20"/>
          <w:szCs w:val="20"/>
          <w:color w:val="auto"/>
        </w:rPr>
      </w:pPr>
    </w:p>
    <w:p>
      <w:pPr>
        <w:ind w:left="660" w:hanging="647"/>
        <w:spacing w:after="0" w:line="274" w:lineRule="auto"/>
        <w:tabs>
          <w:tab w:leader="none" w:pos="640" w:val="left"/>
        </w:tabs>
        <w:rPr>
          <w:sz w:val="20"/>
          <w:szCs w:val="20"/>
          <w:color w:val="auto"/>
        </w:rPr>
      </w:pPr>
      <w:r>
        <w:rPr>
          <w:rFonts w:ascii="Arial" w:cs="Arial" w:eastAsia="Arial" w:hAnsi="Arial"/>
          <w:sz w:val="22"/>
          <w:szCs w:val="22"/>
          <w:color w:val="auto"/>
        </w:rPr>
        <w:t>11.6</w:t>
      </w:r>
      <w:r>
        <w:rPr>
          <w:sz w:val="20"/>
          <w:szCs w:val="20"/>
          <w:color w:val="auto"/>
        </w:rPr>
        <w:tab/>
      </w:r>
      <w:r>
        <w:rPr>
          <w:rFonts w:ascii="Arial" w:cs="Arial" w:eastAsia="Arial" w:hAnsi="Arial"/>
          <w:sz w:val="21"/>
          <w:szCs w:val="21"/>
          <w:b w:val="1"/>
          <w:bCs w:val="1"/>
          <w:u w:val="single" w:color="auto"/>
          <w:color w:val="auto"/>
        </w:rPr>
        <w:t>No Right to Board Position</w:t>
      </w:r>
      <w:r>
        <w:rPr>
          <w:rFonts w:ascii="Arial" w:cs="Arial" w:eastAsia="Arial" w:hAnsi="Arial"/>
          <w:sz w:val="21"/>
          <w:szCs w:val="21"/>
          <w:b w:val="1"/>
          <w:bCs w:val="1"/>
          <w:color w:val="auto"/>
        </w:rPr>
        <w:t>.</w:t>
      </w:r>
      <w:r>
        <w:rPr>
          <w:rFonts w:ascii="Arial" w:cs="Arial" w:eastAsia="Arial" w:hAnsi="Arial"/>
          <w:sz w:val="21"/>
          <w:szCs w:val="21"/>
          <w:b w:val="1"/>
          <w:bCs w:val="1"/>
          <w:u w:val="single" w:color="auto"/>
          <w:color w:val="auto"/>
        </w:rPr>
        <w:t xml:space="preserve"> </w:t>
      </w:r>
      <w:r>
        <w:rPr>
          <w:rFonts w:ascii="Arial" w:cs="Arial" w:eastAsia="Arial" w:hAnsi="Arial"/>
          <w:sz w:val="21"/>
          <w:szCs w:val="21"/>
          <w:color w:val="auto"/>
        </w:rPr>
        <w:t>Nothing in the Plan shall be deemed to create any obligation on the part of the Board to</w:t>
      </w:r>
      <w:r>
        <w:rPr>
          <w:rFonts w:ascii="Arial" w:cs="Arial" w:eastAsia="Arial" w:hAnsi="Arial"/>
          <w:sz w:val="21"/>
          <w:szCs w:val="21"/>
          <w:b w:val="1"/>
          <w:bCs w:val="1"/>
          <w:u w:val="single" w:color="auto"/>
          <w:color w:val="auto"/>
        </w:rPr>
        <w:t xml:space="preserve"> </w:t>
      </w:r>
      <w:r>
        <w:rPr>
          <w:rFonts w:ascii="Arial" w:cs="Arial" w:eastAsia="Arial" w:hAnsi="Arial"/>
          <w:sz w:val="21"/>
          <w:szCs w:val="21"/>
          <w:color w:val="auto"/>
        </w:rPr>
        <w:t>nominate any of its members for reelection by the Company's stockholders, nor confer upon any Director the right to remain a member of the Board for any period of time, or at any particular rate of compensation.</w:t>
      </w:r>
    </w:p>
    <w:p>
      <w:pPr>
        <w:spacing w:after="0" w:line="199" w:lineRule="exact"/>
        <w:rPr>
          <w:sz w:val="20"/>
          <w:szCs w:val="20"/>
          <w:color w:val="auto"/>
        </w:rPr>
      </w:pPr>
    </w:p>
    <w:p>
      <w:pPr>
        <w:ind w:left="660" w:hanging="647"/>
        <w:spacing w:after="0" w:line="295" w:lineRule="auto"/>
        <w:tabs>
          <w:tab w:leader="none" w:pos="640" w:val="left"/>
        </w:tabs>
        <w:rPr>
          <w:sz w:val="20"/>
          <w:szCs w:val="20"/>
          <w:color w:val="auto"/>
        </w:rPr>
      </w:pPr>
      <w:r>
        <w:rPr>
          <w:rFonts w:ascii="Arial" w:cs="Arial" w:eastAsia="Arial" w:hAnsi="Arial"/>
          <w:sz w:val="22"/>
          <w:szCs w:val="22"/>
          <w:color w:val="auto"/>
        </w:rPr>
        <w:t>11.7</w:t>
      </w:r>
      <w:r>
        <w:rPr>
          <w:sz w:val="20"/>
          <w:szCs w:val="20"/>
          <w:color w:val="auto"/>
        </w:rPr>
        <w:tab/>
      </w:r>
      <w:r>
        <w:rPr>
          <w:rFonts w:ascii="Arial" w:cs="Arial" w:eastAsia="Arial" w:hAnsi="Arial"/>
          <w:sz w:val="19"/>
          <w:szCs w:val="19"/>
          <w:b w:val="1"/>
          <w:bCs w:val="1"/>
          <w:u w:val="single" w:color="auto"/>
          <w:color w:val="auto"/>
        </w:rPr>
        <w:t>Incompetency</w:t>
      </w:r>
      <w:r>
        <w:rPr>
          <w:rFonts w:ascii="Arial" w:cs="Arial" w:eastAsia="Arial" w:hAnsi="Arial"/>
          <w:sz w:val="19"/>
          <w:szCs w:val="19"/>
          <w:b w:val="1"/>
          <w:bCs w:val="1"/>
          <w:color w:val="auto"/>
        </w:rPr>
        <w:t>.</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If the Administrator determines that a distribution under this Plan is to be paid to a minor, to a person</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declared incompetent or to a person incapable of handling the disposition of that person's property, the Administrator may direct such distribution to be paid to the guardian, legal representative or person having the care and custody of such minor, incompetent or incapable person. The Administrator may require proof of majority, competence, capacity, guardianship or status as a legal representative, as it may deem appropriate prior to distribution. Any distribution shall be for the account of the Director and the Director's Beneficiary, as the case may be, and shall completely discharge any liability for such amount.</w:t>
      </w:r>
    </w:p>
    <w:p>
      <w:pPr>
        <w:spacing w:after="0" w:line="185" w:lineRule="exact"/>
        <w:rPr>
          <w:sz w:val="20"/>
          <w:szCs w:val="20"/>
          <w:color w:val="auto"/>
        </w:rPr>
      </w:pPr>
    </w:p>
    <w:p>
      <w:pPr>
        <w:ind w:left="660" w:right="400" w:hanging="647"/>
        <w:spacing w:after="0" w:line="256" w:lineRule="auto"/>
        <w:tabs>
          <w:tab w:leader="none" w:pos="640" w:val="left"/>
        </w:tabs>
        <w:rPr>
          <w:sz w:val="20"/>
          <w:szCs w:val="20"/>
          <w:color w:val="auto"/>
        </w:rPr>
      </w:pPr>
      <w:r>
        <w:rPr>
          <w:rFonts w:ascii="Arial" w:cs="Arial" w:eastAsia="Arial" w:hAnsi="Arial"/>
          <w:sz w:val="22"/>
          <w:szCs w:val="22"/>
          <w:color w:val="auto"/>
        </w:rPr>
        <w:t>11.8</w:t>
      </w:r>
      <w:r>
        <w:rPr>
          <w:sz w:val="20"/>
          <w:szCs w:val="20"/>
          <w:color w:val="auto"/>
        </w:rPr>
        <w:tab/>
      </w:r>
      <w:r>
        <w:rPr>
          <w:rFonts w:ascii="Arial" w:cs="Arial" w:eastAsia="Arial" w:hAnsi="Arial"/>
          <w:sz w:val="22"/>
          <w:szCs w:val="22"/>
          <w:b w:val="1"/>
          <w:bCs w:val="1"/>
          <w:u w:val="single" w:color="auto"/>
          <w:color w:val="auto"/>
        </w:rPr>
        <w:t>Furnishing Information</w:t>
      </w:r>
      <w:r>
        <w:rPr>
          <w:rFonts w:ascii="Arial" w:cs="Arial" w:eastAsia="Arial" w:hAnsi="Arial"/>
          <w:sz w:val="22"/>
          <w:szCs w:val="22"/>
          <w:b w:val="1"/>
          <w:bCs w:val="1"/>
          <w:color w:val="auto"/>
        </w:rPr>
        <w:t>.</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A Director or his Beneficiary will cooperate with the Administrator by furnishing any and all</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information requested by the Administrator and take such other actions as may be requested in order to facilitate the administration of the Plan and the distributions hereunder.</w:t>
      </w:r>
    </w:p>
    <w:p>
      <w:pPr>
        <w:spacing w:after="0" w:line="217" w:lineRule="exact"/>
        <w:rPr>
          <w:sz w:val="20"/>
          <w:szCs w:val="20"/>
          <w:color w:val="auto"/>
        </w:rPr>
      </w:pPr>
    </w:p>
    <w:p>
      <w:pPr>
        <w:ind w:left="660" w:right="40" w:hanging="647"/>
        <w:spacing w:after="0" w:line="249" w:lineRule="auto"/>
        <w:tabs>
          <w:tab w:leader="none" w:pos="640" w:val="left"/>
        </w:tabs>
        <w:rPr>
          <w:sz w:val="20"/>
          <w:szCs w:val="20"/>
          <w:color w:val="auto"/>
        </w:rPr>
      </w:pPr>
      <w:r>
        <w:rPr>
          <w:rFonts w:ascii="Arial" w:cs="Arial" w:eastAsia="Arial" w:hAnsi="Arial"/>
          <w:sz w:val="22"/>
          <w:szCs w:val="22"/>
          <w:color w:val="auto"/>
        </w:rPr>
        <w:t>11.9</w:t>
      </w:r>
      <w:r>
        <w:rPr>
          <w:sz w:val="20"/>
          <w:szCs w:val="20"/>
          <w:color w:val="auto"/>
        </w:rPr>
        <w:tab/>
      </w:r>
      <w:r>
        <w:rPr>
          <w:rFonts w:ascii="Arial" w:cs="Arial" w:eastAsia="Arial" w:hAnsi="Arial"/>
          <w:sz w:val="22"/>
          <w:szCs w:val="22"/>
          <w:b w:val="1"/>
          <w:bCs w:val="1"/>
          <w:u w:val="single" w:color="auto"/>
          <w:color w:val="auto"/>
        </w:rPr>
        <w:t>Notice</w:t>
      </w:r>
      <w:r>
        <w:rPr>
          <w:rFonts w:ascii="Arial" w:cs="Arial" w:eastAsia="Arial" w:hAnsi="Arial"/>
          <w:sz w:val="22"/>
          <w:szCs w:val="22"/>
          <w:b w:val="1"/>
          <w:bCs w:val="1"/>
          <w:color w:val="auto"/>
        </w:rPr>
        <w:t>.</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Any notice or filing required or permitted under the Plan shall be sufficient if in writing and if (i) hand-delivered or</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sent by telecopy, (ii) sent by registered or certified mail, or (iii) sent by nationally-recognized overnight courier. Such notice shall be deemed given as of (i) the date of delivery if hand-delivered or sent by telecopy, (ii) as of the date shown on the postmark on the receipt for registration or certification, if delivery is by mail, or (iii) on the first business day after dispatch, if sent by nationally-recognized overnight courier.</w:t>
      </w:r>
    </w:p>
    <w:p>
      <w:pPr>
        <w:spacing w:after="0" w:line="227" w:lineRule="exact"/>
        <w:rPr>
          <w:sz w:val="20"/>
          <w:szCs w:val="20"/>
          <w:color w:val="auto"/>
        </w:rPr>
      </w:pPr>
    </w:p>
    <w:p>
      <w:pPr>
        <w:ind w:left="660" w:right="120" w:hanging="647"/>
        <w:spacing w:after="0" w:line="258" w:lineRule="auto"/>
        <w:tabs>
          <w:tab w:leader="none" w:pos="640" w:val="left"/>
        </w:tabs>
        <w:rPr>
          <w:sz w:val="20"/>
          <w:szCs w:val="20"/>
          <w:color w:val="auto"/>
        </w:rPr>
      </w:pPr>
      <w:r>
        <w:rPr>
          <w:rFonts w:ascii="Arial" w:cs="Arial" w:eastAsia="Arial" w:hAnsi="Arial"/>
          <w:sz w:val="22"/>
          <w:szCs w:val="22"/>
          <w:color w:val="auto"/>
        </w:rPr>
        <w:t>11.10</w:t>
      </w:r>
      <w:r>
        <w:rPr>
          <w:sz w:val="20"/>
          <w:szCs w:val="20"/>
          <w:color w:val="auto"/>
        </w:rPr>
        <w:tab/>
      </w:r>
      <w:r>
        <w:rPr>
          <w:rFonts w:ascii="Arial" w:cs="Arial" w:eastAsia="Arial" w:hAnsi="Arial"/>
          <w:sz w:val="21"/>
          <w:szCs w:val="21"/>
          <w:b w:val="1"/>
          <w:bCs w:val="1"/>
          <w:u w:val="single" w:color="auto"/>
          <w:color w:val="auto"/>
        </w:rPr>
        <w:t>Compliance with Government Regulations</w:t>
      </w:r>
      <w:r>
        <w:rPr>
          <w:rFonts w:ascii="Arial" w:cs="Arial" w:eastAsia="Arial" w:hAnsi="Arial"/>
          <w:sz w:val="21"/>
          <w:szCs w:val="21"/>
          <w:b w:val="1"/>
          <w:bCs w:val="1"/>
          <w:color w:val="auto"/>
        </w:rPr>
        <w:t>.</w:t>
      </w:r>
      <w:r>
        <w:rPr>
          <w:rFonts w:ascii="Arial" w:cs="Arial" w:eastAsia="Arial" w:hAnsi="Arial"/>
          <w:sz w:val="21"/>
          <w:szCs w:val="21"/>
          <w:b w:val="1"/>
          <w:bCs w:val="1"/>
          <w:u w:val="single" w:color="auto"/>
          <w:color w:val="auto"/>
        </w:rPr>
        <w:t xml:space="preserve"> </w:t>
      </w:r>
      <w:r>
        <w:rPr>
          <w:rFonts w:ascii="Arial" w:cs="Arial" w:eastAsia="Arial" w:hAnsi="Arial"/>
          <w:sz w:val="21"/>
          <w:szCs w:val="21"/>
          <w:color w:val="auto"/>
        </w:rPr>
        <w:t>Neither the Plan nor the Company shall be obligated to issue any shares of</w:t>
      </w:r>
      <w:r>
        <w:rPr>
          <w:rFonts w:ascii="Arial" w:cs="Arial" w:eastAsia="Arial" w:hAnsi="Arial"/>
          <w:sz w:val="21"/>
          <w:szCs w:val="21"/>
          <w:b w:val="1"/>
          <w:bCs w:val="1"/>
          <w:u w:val="single" w:color="auto"/>
          <w:color w:val="auto"/>
        </w:rPr>
        <w:t xml:space="preserve"> </w:t>
      </w:r>
      <w:r>
        <w:rPr>
          <w:rFonts w:ascii="Arial" w:cs="Arial" w:eastAsia="Arial" w:hAnsi="Arial"/>
          <w:sz w:val="21"/>
          <w:szCs w:val="21"/>
          <w:color w:val="auto"/>
        </w:rPr>
        <w:t>Common Stock pursuant to the Plan at any time unless and until all applicable requirements imposed by any federal and state securities and other laws, rules and regulations, by any regulatory agencies or by any stock exchanges upon which the Common Stock may be listed have been fully met. As a condition precedent to any issuance of shares of Common Stock and delivery of certificates evidencing such shares pursuant to the Plan, the Board or the Administrator may require a Director to take any such action and to make any such covenants,</w:t>
      </w:r>
    </w:p>
    <w:p>
      <w:pPr>
        <w:spacing w:after="0" w:line="6" w:lineRule="exact"/>
        <w:rPr>
          <w:sz w:val="20"/>
          <w:szCs w:val="20"/>
          <w:color w:val="auto"/>
        </w:rPr>
      </w:pPr>
    </w:p>
    <w:p>
      <w:pPr>
        <w:ind w:left="660" w:firstLine="648"/>
        <w:spacing w:after="0" w:line="292" w:lineRule="auto"/>
        <w:rPr>
          <w:sz w:val="20"/>
          <w:szCs w:val="20"/>
          <w:color w:val="auto"/>
        </w:rPr>
      </w:pPr>
      <w:r>
        <w:rPr>
          <w:rFonts w:ascii="Arial" w:cs="Arial" w:eastAsia="Arial" w:hAnsi="Arial"/>
          <w:sz w:val="19"/>
          <w:szCs w:val="19"/>
          <w:color w:val="auto"/>
        </w:rPr>
        <w:t>agreements, and representations as the Board or the Administrator, as the case may be, in its discretion deems necessary or advisable to ensure compliance with such requirements. The Company shall in no event be obligated to register the shares of Common Stock deliverable under the Plan pursuant to the Securities Act of 1933, as amended, or to qualify or register such shares under any securities laws of any state upon their issuance under the Plan or at any time thereafter, or to take any other action in order to cause the issuance and delivery of such shares under the Plan</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585" w:right="239" w:bottom="1440" w:gutter="0" w:footer="0" w:header="0"/>
        </w:sectPr>
      </w:pPr>
    </w:p>
    <w:bookmarkStart w:id="166" w:name="page167"/>
    <w:bookmarkEnd w:id="166"/>
    <w:p>
      <w:pPr>
        <w:ind w:left="620" w:right="20" w:firstLine="648"/>
        <w:spacing w:after="0" w:line="260" w:lineRule="auto"/>
        <w:rPr>
          <w:sz w:val="20"/>
          <w:szCs w:val="20"/>
          <w:color w:val="auto"/>
        </w:rPr>
      </w:pPr>
      <w:r>
        <w:rPr>
          <w:rFonts w:ascii="Arial" w:cs="Arial" w:eastAsia="Arial" w:hAnsi="Arial"/>
          <w:sz w:val="21"/>
          <w:szCs w:val="21"/>
          <w:color w:val="auto"/>
        </w:rPr>
        <w:t>or any subsequent offer, sale, or other transfer of such shares to comply with any such law, regulation, or requirement. Directors are responsible for complying with all applicable federal and state securities and other laws, rules, and regulations in connection with any offer, sale, or other transfer of the shares of Common Stock issued under the Plan or any interest therein including, without limitation, compliance with the registration requirements of the Securities Act of 1933 as amended (unless an exception therefrom is available) or with the provisions of Rule 144 promulgated thereunder, if applicable, or any successor provisions. Certificates for shares of Common Stock may be legended as the Administrator shall deem appropriate.</w:t>
      </w:r>
    </w:p>
    <w:p>
      <w:pPr>
        <w:spacing w:after="0" w:line="216" w:lineRule="exact"/>
        <w:rPr>
          <w:sz w:val="20"/>
          <w:szCs w:val="20"/>
          <w:color w:val="auto"/>
        </w:rPr>
      </w:pPr>
    </w:p>
    <w:p>
      <w:pPr>
        <w:ind w:left="620" w:hanging="647"/>
        <w:spacing w:after="0" w:line="298" w:lineRule="auto"/>
        <w:tabs>
          <w:tab w:leader="none" w:pos="600" w:val="left"/>
        </w:tabs>
        <w:rPr>
          <w:sz w:val="20"/>
          <w:szCs w:val="20"/>
          <w:color w:val="auto"/>
        </w:rPr>
      </w:pPr>
      <w:r>
        <w:rPr>
          <w:rFonts w:ascii="Arial" w:cs="Arial" w:eastAsia="Arial" w:hAnsi="Arial"/>
          <w:sz w:val="22"/>
          <w:szCs w:val="22"/>
          <w:color w:val="auto"/>
        </w:rPr>
        <w:t>11.11</w:t>
      </w:r>
      <w:r>
        <w:rPr>
          <w:sz w:val="20"/>
          <w:szCs w:val="20"/>
          <w:color w:val="auto"/>
        </w:rPr>
        <w:tab/>
      </w:r>
      <w:r>
        <w:rPr>
          <w:rFonts w:ascii="Arial" w:cs="Arial" w:eastAsia="Arial" w:hAnsi="Arial"/>
          <w:sz w:val="19"/>
          <w:szCs w:val="19"/>
          <w:b w:val="1"/>
          <w:bCs w:val="1"/>
          <w:u w:val="single" w:color="auto"/>
          <w:color w:val="auto"/>
        </w:rPr>
        <w:t>Exchange Act Exemption</w:t>
      </w:r>
      <w:r>
        <w:rPr>
          <w:rFonts w:ascii="Arial" w:cs="Arial" w:eastAsia="Arial" w:hAnsi="Arial"/>
          <w:sz w:val="19"/>
          <w:szCs w:val="19"/>
          <w:b w:val="1"/>
          <w:bCs w:val="1"/>
          <w:color w:val="auto"/>
        </w:rPr>
        <w:t>.</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It is the intent of the Company that transactions pursuant to this Plan satisfy and be interpreted</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in a manner that satisfies the applicable requirements of Rule 16b-3 promulgated under the Exchange Act (“Rule 16b-3”) so that, to the extent elections are timely, the crediting of Stock Deferrals and Dividend Equivalents, the distribution of shares of Common Stock and any other event with respect to Stock Deferrals under the Plan will be entitled to the benefits of Rule 16b-3 or other exemptive rules under Section 16 of the Exchange Act and will not be subjected to liability thereunder.</w:t>
      </w:r>
    </w:p>
    <w:p>
      <w:pPr>
        <w:spacing w:after="0" w:line="183" w:lineRule="exact"/>
        <w:rPr>
          <w:sz w:val="20"/>
          <w:szCs w:val="20"/>
          <w:color w:val="auto"/>
        </w:rPr>
      </w:pPr>
    </w:p>
    <w:p>
      <w:pPr>
        <w:ind w:left="620" w:right="660" w:hanging="647"/>
        <w:spacing w:after="0" w:line="350" w:lineRule="auto"/>
        <w:tabs>
          <w:tab w:leader="none" w:pos="600" w:val="left"/>
        </w:tabs>
        <w:rPr>
          <w:sz w:val="20"/>
          <w:szCs w:val="20"/>
          <w:color w:val="auto"/>
        </w:rPr>
      </w:pPr>
      <w:r>
        <w:rPr>
          <w:rFonts w:ascii="Arial" w:cs="Arial" w:eastAsia="Arial" w:hAnsi="Arial"/>
          <w:sz w:val="22"/>
          <w:szCs w:val="22"/>
          <w:color w:val="auto"/>
        </w:rPr>
        <w:t>11.12</w:t>
      </w:r>
      <w:r>
        <w:rPr>
          <w:sz w:val="20"/>
          <w:szCs w:val="20"/>
          <w:color w:val="auto"/>
        </w:rPr>
        <w:tab/>
      </w:r>
      <w:r>
        <w:rPr>
          <w:rFonts w:ascii="Arial" w:cs="Arial" w:eastAsia="Arial" w:hAnsi="Arial"/>
          <w:sz w:val="19"/>
          <w:szCs w:val="19"/>
          <w:b w:val="1"/>
          <w:bCs w:val="1"/>
          <w:u w:val="single" w:color="auto"/>
          <w:color w:val="auto"/>
        </w:rPr>
        <w:t>Gender and Number</w:t>
      </w:r>
      <w:r>
        <w:rPr>
          <w:rFonts w:ascii="Arial" w:cs="Arial" w:eastAsia="Arial" w:hAnsi="Arial"/>
          <w:sz w:val="19"/>
          <w:szCs w:val="19"/>
          <w:b w:val="1"/>
          <w:bCs w:val="1"/>
          <w:color w:val="auto"/>
        </w:rPr>
        <w:t>.</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Except when otherwise indicated by context, words in the masculine gender shall include the</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feminine and neuter genders, the singular shall include the plural, and the plural shall include the singular.</w:t>
      </w:r>
    </w:p>
    <w:p>
      <w:pPr>
        <w:spacing w:after="0" w:line="133" w:lineRule="exact"/>
        <w:rPr>
          <w:sz w:val="20"/>
          <w:szCs w:val="20"/>
          <w:color w:val="auto"/>
        </w:rPr>
      </w:pPr>
    </w:p>
    <w:p>
      <w:pPr>
        <w:ind w:left="620" w:right="600" w:hanging="647"/>
        <w:spacing w:after="0" w:line="269" w:lineRule="auto"/>
        <w:tabs>
          <w:tab w:leader="none" w:pos="600" w:val="left"/>
        </w:tabs>
        <w:rPr>
          <w:sz w:val="20"/>
          <w:szCs w:val="20"/>
          <w:color w:val="auto"/>
        </w:rPr>
      </w:pPr>
      <w:r>
        <w:rPr>
          <w:rFonts w:ascii="Arial" w:cs="Arial" w:eastAsia="Arial" w:hAnsi="Arial"/>
          <w:sz w:val="22"/>
          <w:szCs w:val="22"/>
          <w:color w:val="auto"/>
        </w:rPr>
        <w:t>11.13</w:t>
      </w:r>
      <w:r>
        <w:rPr>
          <w:sz w:val="20"/>
          <w:szCs w:val="20"/>
          <w:color w:val="auto"/>
        </w:rPr>
        <w:tab/>
      </w:r>
      <w:r>
        <w:rPr>
          <w:rFonts w:ascii="Arial" w:cs="Arial" w:eastAsia="Arial" w:hAnsi="Arial"/>
          <w:sz w:val="22"/>
          <w:szCs w:val="22"/>
          <w:b w:val="1"/>
          <w:bCs w:val="1"/>
          <w:u w:val="single" w:color="auto"/>
          <w:color w:val="auto"/>
        </w:rPr>
        <w:t>Headings</w:t>
      </w:r>
      <w:r>
        <w:rPr>
          <w:rFonts w:ascii="Arial" w:cs="Arial" w:eastAsia="Arial" w:hAnsi="Arial"/>
          <w:sz w:val="22"/>
          <w:szCs w:val="22"/>
          <w:b w:val="1"/>
          <w:bCs w:val="1"/>
          <w:color w:val="auto"/>
        </w:rPr>
        <w:t>.</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The headings contained in this Plan are for convenience only and will not control or affect the meaning or</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construction of any of the terms or provisions of this Plan</w:t>
      </w:r>
      <w:r>
        <w:rPr>
          <w:rFonts w:ascii="Arial" w:cs="Arial" w:eastAsia="Arial" w:hAnsi="Arial"/>
          <w:sz w:val="22"/>
          <w:szCs w:val="22"/>
          <w:b w:val="1"/>
          <w:bCs w:val="1"/>
          <w:color w:val="auto"/>
        </w:rPr>
        <w:t>.</w:t>
      </w:r>
    </w:p>
    <w:p>
      <w:pPr>
        <w:spacing w:after="0" w:line="203" w:lineRule="exact"/>
        <w:rPr>
          <w:sz w:val="20"/>
          <w:szCs w:val="20"/>
          <w:color w:val="auto"/>
        </w:rPr>
      </w:pPr>
    </w:p>
    <w:p>
      <w:pPr>
        <w:ind w:left="620" w:right="340" w:hanging="647"/>
        <w:spacing w:after="0" w:line="269" w:lineRule="auto"/>
        <w:tabs>
          <w:tab w:leader="none" w:pos="600" w:val="left"/>
        </w:tabs>
        <w:rPr>
          <w:sz w:val="20"/>
          <w:szCs w:val="20"/>
          <w:color w:val="auto"/>
        </w:rPr>
      </w:pPr>
      <w:r>
        <w:rPr>
          <w:rFonts w:ascii="Arial" w:cs="Arial" w:eastAsia="Arial" w:hAnsi="Arial"/>
          <w:sz w:val="22"/>
          <w:szCs w:val="22"/>
          <w:color w:val="auto"/>
        </w:rPr>
        <w:t>11.14</w:t>
      </w:r>
      <w:r>
        <w:rPr>
          <w:sz w:val="20"/>
          <w:szCs w:val="20"/>
          <w:color w:val="auto"/>
        </w:rPr>
        <w:tab/>
      </w:r>
      <w:r>
        <w:rPr>
          <w:rFonts w:ascii="Arial" w:cs="Arial" w:eastAsia="Arial" w:hAnsi="Arial"/>
          <w:sz w:val="22"/>
          <w:szCs w:val="22"/>
          <w:b w:val="1"/>
          <w:bCs w:val="1"/>
          <w:u w:val="single" w:color="auto"/>
          <w:color w:val="auto"/>
        </w:rPr>
        <w:t>Applicable Law and Construction</w:t>
      </w:r>
      <w:r>
        <w:rPr>
          <w:rFonts w:ascii="Arial" w:cs="Arial" w:eastAsia="Arial" w:hAnsi="Arial"/>
          <w:sz w:val="22"/>
          <w:szCs w:val="22"/>
          <w:b w:val="1"/>
          <w:bCs w:val="1"/>
          <w:color w:val="auto"/>
        </w:rPr>
        <w:t>.</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This Plan shall be governed by, construed and administered in accordance with the</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laws of the State of Minnesota, other than its laws respecting choice of law.</w:t>
      </w:r>
    </w:p>
    <w:p>
      <w:pPr>
        <w:spacing w:after="0" w:line="203" w:lineRule="exact"/>
        <w:rPr>
          <w:sz w:val="20"/>
          <w:szCs w:val="20"/>
          <w:color w:val="auto"/>
        </w:rPr>
      </w:pPr>
    </w:p>
    <w:p>
      <w:pPr>
        <w:ind w:left="620" w:right="180" w:hanging="647"/>
        <w:spacing w:after="0" w:line="252" w:lineRule="auto"/>
        <w:tabs>
          <w:tab w:leader="none" w:pos="600" w:val="left"/>
        </w:tabs>
        <w:rPr>
          <w:sz w:val="20"/>
          <w:szCs w:val="20"/>
          <w:color w:val="auto"/>
        </w:rPr>
      </w:pPr>
      <w:r>
        <w:rPr>
          <w:rFonts w:ascii="Arial" w:cs="Arial" w:eastAsia="Arial" w:hAnsi="Arial"/>
          <w:sz w:val="22"/>
          <w:szCs w:val="22"/>
          <w:color w:val="auto"/>
        </w:rPr>
        <w:t>11.15</w:t>
      </w:r>
      <w:r>
        <w:rPr>
          <w:sz w:val="20"/>
          <w:szCs w:val="20"/>
          <w:color w:val="auto"/>
        </w:rPr>
        <w:tab/>
      </w:r>
      <w:r>
        <w:rPr>
          <w:rFonts w:ascii="Arial" w:cs="Arial" w:eastAsia="Arial" w:hAnsi="Arial"/>
          <w:sz w:val="22"/>
          <w:szCs w:val="22"/>
          <w:b w:val="1"/>
          <w:bCs w:val="1"/>
          <w:u w:val="single" w:color="auto"/>
          <w:color w:val="auto"/>
        </w:rPr>
        <w:t>Invalid or Unenforceable Provisions</w:t>
      </w:r>
      <w:r>
        <w:rPr>
          <w:rFonts w:ascii="Arial" w:cs="Arial" w:eastAsia="Arial" w:hAnsi="Arial"/>
          <w:sz w:val="22"/>
          <w:szCs w:val="22"/>
          <w:b w:val="1"/>
          <w:bCs w:val="1"/>
          <w:color w:val="auto"/>
        </w:rPr>
        <w:t>.</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If any provision of this Plan shall be held invalid or unenforceable, such invalidity</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or unenforceability shall not affect any other provisions hereof and the Administrator may elect in its sole discretion to construe such invalid or unenforceable provisions in a manner that conforms to applicable law or as if such provisions, to the extent invalid or unenforceable, had not been included.</w:t>
      </w:r>
    </w:p>
    <w:p>
      <w:pPr>
        <w:spacing w:after="0" w:line="221" w:lineRule="exact"/>
        <w:rPr>
          <w:sz w:val="20"/>
          <w:szCs w:val="20"/>
          <w:color w:val="auto"/>
        </w:rPr>
      </w:pPr>
    </w:p>
    <w:p>
      <w:pPr>
        <w:ind w:left="620" w:right="20" w:hanging="647"/>
        <w:spacing w:after="0" w:line="249" w:lineRule="auto"/>
        <w:tabs>
          <w:tab w:leader="none" w:pos="600" w:val="left"/>
        </w:tabs>
        <w:rPr>
          <w:sz w:val="20"/>
          <w:szCs w:val="20"/>
          <w:color w:val="auto"/>
        </w:rPr>
      </w:pPr>
      <w:r>
        <w:rPr>
          <w:rFonts w:ascii="Arial" w:cs="Arial" w:eastAsia="Arial" w:hAnsi="Arial"/>
          <w:sz w:val="22"/>
          <w:szCs w:val="22"/>
          <w:color w:val="auto"/>
        </w:rPr>
        <w:t>11.16</w:t>
      </w:r>
      <w:r>
        <w:rPr>
          <w:sz w:val="20"/>
          <w:szCs w:val="20"/>
          <w:color w:val="auto"/>
        </w:rPr>
        <w:tab/>
      </w:r>
      <w:r>
        <w:rPr>
          <w:rFonts w:ascii="Arial" w:cs="Arial" w:eastAsia="Arial" w:hAnsi="Arial"/>
          <w:sz w:val="22"/>
          <w:szCs w:val="22"/>
          <w:b w:val="1"/>
          <w:bCs w:val="1"/>
          <w:u w:val="single" w:color="auto"/>
          <w:color w:val="auto"/>
        </w:rPr>
        <w:t>Successors</w:t>
      </w:r>
      <w:r>
        <w:rPr>
          <w:rFonts w:ascii="Arial" w:cs="Arial" w:eastAsia="Arial" w:hAnsi="Arial"/>
          <w:sz w:val="22"/>
          <w:szCs w:val="22"/>
          <w:b w:val="1"/>
          <w:bCs w:val="1"/>
          <w:color w:val="auto"/>
        </w:rPr>
        <w:t>.</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This Plan shall bind any successor (whether direct or indirect, by purchase, merger, consolidation or otherwise)</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to all or substantially all of the business or assets of the Company, in the same manner and to the same extent that the Company would be obligated under this Plan if no succession had taken place. In the case of any transaction in which a successor would not by the</w:t>
      </w:r>
    </w:p>
    <w:p>
      <w:pPr>
        <w:spacing w:after="0" w:line="1" w:lineRule="exact"/>
        <w:rPr>
          <w:sz w:val="20"/>
          <w:szCs w:val="20"/>
          <w:color w:val="auto"/>
        </w:rPr>
      </w:pPr>
    </w:p>
    <w:p>
      <w:pPr>
        <w:ind w:left="620" w:right="100" w:firstLine="648"/>
        <w:spacing w:after="0" w:line="244" w:lineRule="auto"/>
        <w:rPr>
          <w:sz w:val="20"/>
          <w:szCs w:val="20"/>
          <w:color w:val="auto"/>
        </w:rPr>
      </w:pPr>
      <w:r>
        <w:rPr>
          <w:rFonts w:ascii="Arial" w:cs="Arial" w:eastAsia="Arial" w:hAnsi="Arial"/>
          <w:sz w:val="22"/>
          <w:szCs w:val="22"/>
          <w:color w:val="auto"/>
        </w:rPr>
        <w:t>foregoing provision or by operation of law be bound by this Plan, the Company shall require such successor expressly and unconditionally to assume and agree to perform the obligations of the Company and each Company under this Plan, in the same manner and to the same extent that the Company and each Company would be required to perform if no such succession had taken place.</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40"/>
          </w:cols>
          <w:pgMar w:left="280" w:top="591" w:right="279" w:bottom="1440" w:gutter="0" w:footer="0" w:header="0"/>
        </w:sectPr>
      </w:pPr>
    </w:p>
    <w:bookmarkStart w:id="167" w:name="page168"/>
    <w:bookmarkEnd w:id="167"/>
    <w:p>
      <w:pPr>
        <w:jc w:val="center"/>
        <w:ind w:right="-59"/>
        <w:spacing w:after="0"/>
        <w:rPr>
          <w:sz w:val="20"/>
          <w:szCs w:val="20"/>
          <w:color w:val="auto"/>
        </w:rPr>
      </w:pPr>
      <w:r>
        <w:rPr>
          <w:rFonts w:ascii="Arial" w:cs="Arial" w:eastAsia="Arial" w:hAnsi="Arial"/>
          <w:sz w:val="22"/>
          <w:szCs w:val="22"/>
          <w:b w:val="1"/>
          <w:bCs w:val="1"/>
          <w:color w:val="auto"/>
        </w:rPr>
        <w:t>ARTICLE 12</w:t>
      </w:r>
    </w:p>
    <w:p>
      <w:pPr>
        <w:spacing w:after="0" w:line="28"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u w:val="single" w:color="auto"/>
          <w:color w:val="auto"/>
        </w:rPr>
        <w:t>Definitions</w:t>
      </w:r>
    </w:p>
    <w:p>
      <w:pPr>
        <w:spacing w:after="0" w:line="24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following terms shall have the meanings set forth below:</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“Account” or “Accounts” shall mean a Director's Deferral Account, Stock Account, or both, as the context so requires.</w:t>
      </w:r>
    </w:p>
    <w:p>
      <w:pPr>
        <w:spacing w:after="0" w:line="25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“Administrator” means the Executive Compensation Committee of the Board.</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“Annual Cash Retainer” means that portion of the Director's Annual Retainer payable in cash.</w:t>
      </w:r>
    </w:p>
    <w:p>
      <w:pPr>
        <w:spacing w:after="0" w:line="220" w:lineRule="exact"/>
        <w:rPr>
          <w:sz w:val="20"/>
          <w:szCs w:val="20"/>
          <w:color w:val="auto"/>
        </w:rPr>
      </w:pPr>
    </w:p>
    <w:p>
      <w:pPr>
        <w:ind w:right="340" w:firstLine="648"/>
        <w:spacing w:after="0" w:line="253" w:lineRule="auto"/>
        <w:rPr>
          <w:sz w:val="20"/>
          <w:szCs w:val="20"/>
          <w:color w:val="auto"/>
        </w:rPr>
      </w:pPr>
      <w:r>
        <w:rPr>
          <w:rFonts w:ascii="Arial" w:cs="Arial" w:eastAsia="Arial" w:hAnsi="Arial"/>
          <w:sz w:val="22"/>
          <w:szCs w:val="22"/>
          <w:color w:val="auto"/>
        </w:rPr>
        <w:t>“Annual Retainer” means the compensation, consisting of the Annual Cash Retainer and the Annual Stock Retainer and excluding perquisites and reimbursements, paid to a Director pursuant to the Stock Plan for service on the Board and any committee of the Board.</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“Annual Stock Retainer” means that portion of a Director's Annual Retainer payable in Company Stock.</w:t>
      </w:r>
    </w:p>
    <w:p>
      <w:pPr>
        <w:spacing w:after="0" w:line="220" w:lineRule="exact"/>
        <w:rPr>
          <w:sz w:val="20"/>
          <w:szCs w:val="20"/>
          <w:color w:val="auto"/>
        </w:rPr>
      </w:pPr>
    </w:p>
    <w:p>
      <w:pPr>
        <w:ind w:right="140" w:firstLine="648"/>
        <w:spacing w:after="0" w:line="263" w:lineRule="auto"/>
        <w:rPr>
          <w:sz w:val="20"/>
          <w:szCs w:val="20"/>
          <w:color w:val="auto"/>
        </w:rPr>
      </w:pPr>
      <w:r>
        <w:rPr>
          <w:rFonts w:ascii="Arial" w:cs="Arial" w:eastAsia="Arial" w:hAnsi="Arial"/>
          <w:sz w:val="22"/>
          <w:szCs w:val="22"/>
          <w:color w:val="auto"/>
        </w:rPr>
        <w:t>“Beneficiary” means one or more persons, trusts, estates or other entities, designated in accordance with this Plan, that are entitled to receive Plan benefits upon the death of a Director.</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“Board” means the Board of Directors of the Company.</w:t>
      </w:r>
    </w:p>
    <w:p>
      <w:pPr>
        <w:spacing w:after="0" w:line="220" w:lineRule="exact"/>
        <w:rPr>
          <w:sz w:val="20"/>
          <w:szCs w:val="20"/>
          <w:color w:val="auto"/>
        </w:rPr>
      </w:pPr>
    </w:p>
    <w:p>
      <w:pPr>
        <w:ind w:right="200" w:firstLine="648"/>
        <w:spacing w:after="0" w:line="287" w:lineRule="auto"/>
        <w:rPr>
          <w:sz w:val="20"/>
          <w:szCs w:val="20"/>
          <w:color w:val="auto"/>
        </w:rPr>
      </w:pPr>
      <w:r>
        <w:rPr>
          <w:rFonts w:ascii="Arial" w:cs="Arial" w:eastAsia="Arial" w:hAnsi="Arial"/>
          <w:sz w:val="21"/>
          <w:szCs w:val="21"/>
          <w:color w:val="auto"/>
        </w:rPr>
        <w:t>“Cash Account” means the bookkeeping account maintained by the Company for each Director that is credited with Cash Deferrals, and such other accounts or sub-accounts as the Administrator deems necessary or appropriate.</w:t>
      </w:r>
    </w:p>
    <w:p>
      <w:pPr>
        <w:spacing w:after="0" w:line="152" w:lineRule="exact"/>
        <w:rPr>
          <w:sz w:val="20"/>
          <w:szCs w:val="20"/>
          <w:color w:val="auto"/>
        </w:rPr>
      </w:pPr>
    </w:p>
    <w:p>
      <w:pPr>
        <w:ind w:right="160" w:firstLine="648"/>
        <w:spacing w:after="0" w:line="263" w:lineRule="auto"/>
        <w:rPr>
          <w:sz w:val="20"/>
          <w:szCs w:val="20"/>
          <w:color w:val="auto"/>
        </w:rPr>
      </w:pPr>
      <w:r>
        <w:rPr>
          <w:rFonts w:ascii="Arial" w:cs="Arial" w:eastAsia="Arial" w:hAnsi="Arial"/>
          <w:sz w:val="22"/>
          <w:szCs w:val="22"/>
          <w:color w:val="auto"/>
        </w:rPr>
        <w:t>“Cash Deferral” means any portion of a Director's Annual Cash Retainer that a Director elects to defer in accordance with the Plan.</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“Code” means the Internal Revenue Code of 1986, as it may be amended from time to time.</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“Common Stock” means the common stock of ALLETE, Inc.</w:t>
      </w:r>
    </w:p>
    <w:p>
      <w:pPr>
        <w:spacing w:after="0" w:line="220"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“Company” means ALLETE, Inc., a Minnesota Corporation, and any successor to all, or substantially all, of the Company's assets or business.</w:t>
      </w:r>
    </w:p>
    <w:p>
      <w:pPr>
        <w:spacing w:after="0" w:line="175" w:lineRule="exact"/>
        <w:rPr>
          <w:sz w:val="20"/>
          <w:szCs w:val="20"/>
          <w:color w:val="auto"/>
        </w:rPr>
      </w:pPr>
    </w:p>
    <w:p>
      <w:pPr>
        <w:ind w:right="140" w:firstLine="648"/>
        <w:spacing w:after="0" w:line="263" w:lineRule="auto"/>
        <w:rPr>
          <w:sz w:val="20"/>
          <w:szCs w:val="20"/>
          <w:color w:val="auto"/>
        </w:rPr>
      </w:pPr>
      <w:r>
        <w:rPr>
          <w:rFonts w:ascii="Arial" w:cs="Arial" w:eastAsia="Arial" w:hAnsi="Arial"/>
          <w:sz w:val="22"/>
          <w:szCs w:val="22"/>
          <w:color w:val="auto"/>
        </w:rPr>
        <w:t>“Deferrals” means the Cash Deferrals, Stock Deferrals, or both, that a Director elects to defer in accordance with the Plan, as the context so requires.</w:t>
      </w:r>
    </w:p>
    <w:p>
      <w:pPr>
        <w:spacing w:after="0" w:line="200" w:lineRule="exact"/>
        <w:rPr>
          <w:sz w:val="20"/>
          <w:szCs w:val="20"/>
          <w:color w:val="auto"/>
        </w:rPr>
      </w:pP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60"/>
          </w:cols>
          <w:pgMar w:left="240" w:top="585" w:right="299" w:bottom="1440" w:gutter="0" w:footer="0" w:header="0"/>
        </w:sectPr>
      </w:pPr>
    </w:p>
    <w:bookmarkStart w:id="168" w:name="page169"/>
    <w:bookmarkEnd w:id="168"/>
    <w:p>
      <w:pPr>
        <w:ind w:left="660"/>
        <w:spacing w:after="0"/>
        <w:rPr>
          <w:sz w:val="20"/>
          <w:szCs w:val="20"/>
          <w:color w:val="auto"/>
        </w:rPr>
      </w:pPr>
      <w:r>
        <w:rPr>
          <w:rFonts w:ascii="Arial" w:cs="Arial" w:eastAsia="Arial" w:hAnsi="Arial"/>
          <w:sz w:val="22"/>
          <w:szCs w:val="22"/>
          <w:color w:val="auto"/>
        </w:rPr>
        <w:t>“Director” means a member of the Board who is not an employee of any Related Company.</w:t>
      </w:r>
    </w:p>
    <w:p>
      <w:pPr>
        <w:spacing w:after="0" w:line="220" w:lineRule="exact"/>
        <w:rPr>
          <w:sz w:val="20"/>
          <w:szCs w:val="20"/>
          <w:color w:val="auto"/>
        </w:rPr>
      </w:pPr>
    </w:p>
    <w:p>
      <w:pPr>
        <w:ind w:right="140" w:firstLine="648"/>
        <w:spacing w:after="0" w:line="263" w:lineRule="auto"/>
        <w:rPr>
          <w:sz w:val="20"/>
          <w:szCs w:val="20"/>
          <w:color w:val="auto"/>
        </w:rPr>
      </w:pPr>
      <w:r>
        <w:rPr>
          <w:rFonts w:ascii="Arial" w:cs="Arial" w:eastAsia="Arial" w:hAnsi="Arial"/>
          <w:sz w:val="22"/>
          <w:szCs w:val="22"/>
          <w:color w:val="auto"/>
        </w:rPr>
        <w:t>“Distribution Event” means a Specified Year, a Separation from Service or the Administrator's determination regarding the occurrence of an Unforeseeable Emergency.</w:t>
      </w:r>
    </w:p>
    <w:p>
      <w:pPr>
        <w:spacing w:after="0" w:line="175"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“Dividend Equivalent” means the amount of cash dividends or other cash distributions paid by the Company on that number of shares of Common Stock equal to the number of Stock Deferrals credited to a Director's Stock Account as of the applicable record date for the dividend or other distribution, and which shall be credited in the form of additional Stock Deferrals to the Director's Stock Account, as provided in Section 5.3.3.</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“Exchange Act” means the Securities Exchange Act of 1934, as amended from time to time.</w:t>
      </w:r>
    </w:p>
    <w:p>
      <w:pPr>
        <w:spacing w:after="0" w:line="220"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“Fair Market Value” means the closing sale price as reported in the composite reporting system or, if there is no such sale on the relevant date, then on the last previous day on which a sale was reported.</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“IRS” means the Internal Revenue Service.</w:t>
      </w:r>
    </w:p>
    <w:p>
      <w:pPr>
        <w:spacing w:after="0" w:line="220" w:lineRule="exact"/>
        <w:rPr>
          <w:sz w:val="20"/>
          <w:szCs w:val="20"/>
          <w:color w:val="auto"/>
        </w:rPr>
      </w:pPr>
    </w:p>
    <w:p>
      <w:pPr>
        <w:ind w:right="740" w:firstLine="648"/>
        <w:spacing w:after="0" w:line="263" w:lineRule="auto"/>
        <w:rPr>
          <w:sz w:val="20"/>
          <w:szCs w:val="20"/>
          <w:color w:val="auto"/>
        </w:rPr>
      </w:pPr>
      <w:r>
        <w:rPr>
          <w:rFonts w:ascii="Arial" w:cs="Arial" w:eastAsia="Arial" w:hAnsi="Arial"/>
          <w:sz w:val="22"/>
          <w:szCs w:val="22"/>
          <w:color w:val="auto"/>
        </w:rPr>
        <w:t>“Plan” means the ALLETE, Inc. Amended and Restated Non-Employee Director Compensation Deferral Plan II, as amended from time to time.</w:t>
      </w:r>
    </w:p>
    <w:p>
      <w:pPr>
        <w:spacing w:after="0" w:line="175" w:lineRule="exact"/>
        <w:rPr>
          <w:sz w:val="20"/>
          <w:szCs w:val="20"/>
          <w:color w:val="auto"/>
        </w:rPr>
      </w:pPr>
    </w:p>
    <w:p>
      <w:pPr>
        <w:ind w:right="440" w:firstLine="648"/>
        <w:spacing w:after="0" w:line="263" w:lineRule="auto"/>
        <w:rPr>
          <w:sz w:val="20"/>
          <w:szCs w:val="20"/>
          <w:color w:val="auto"/>
        </w:rPr>
      </w:pPr>
      <w:r>
        <w:rPr>
          <w:rFonts w:ascii="Arial" w:cs="Arial" w:eastAsia="Arial" w:hAnsi="Arial"/>
          <w:sz w:val="22"/>
          <w:szCs w:val="22"/>
          <w:color w:val="auto"/>
        </w:rPr>
        <w:t>“Plan Year” means a period beginning on January 1 of each calendar year and continuing through December 31 of such calendar year.</w:t>
      </w:r>
    </w:p>
    <w:p>
      <w:pPr>
        <w:spacing w:after="0" w:line="175" w:lineRule="exact"/>
        <w:rPr>
          <w:sz w:val="20"/>
          <w:szCs w:val="20"/>
          <w:color w:val="auto"/>
        </w:rPr>
      </w:pPr>
    </w:p>
    <w:p>
      <w:pPr>
        <w:ind w:right="120" w:firstLine="648"/>
        <w:spacing w:after="0" w:line="290" w:lineRule="auto"/>
        <w:rPr>
          <w:sz w:val="20"/>
          <w:szCs w:val="20"/>
          <w:color w:val="auto"/>
        </w:rPr>
      </w:pPr>
      <w:r>
        <w:rPr>
          <w:rFonts w:ascii="Arial" w:cs="Arial" w:eastAsia="Arial" w:hAnsi="Arial"/>
          <w:sz w:val="19"/>
          <w:szCs w:val="19"/>
          <w:color w:val="auto"/>
        </w:rPr>
        <w:t>“Related Company” means the Company and all persons with whom the Company would be considered a single employer under Code section 414(b) (employees of controlled group of corporations), and all persons with whom such person would be considered a single employer under Code section 414(c) (employees of partnerships, proprietorships, etc., under common control); provided that in applying Code sections 1563(a)(1), (2), and (3) for purposes of determining a controlled group of corporations under Code section 414(b), the language “at least 50 percent” is used instead of “at least 80 percent” each place it appears in Code sections 1563(a)(1), (2), and (3), and in applying Treasury Regulations section 1.414(c)-2 for purposes of determining trades or businesses (whether or not incorporated) that are under common control for purposes of Code section 414(c), “at least 50 percent” is used instead of “at least 80 percent” each place it appears in Treasury Regulations section 1.414(c)-2.</w:t>
      </w:r>
    </w:p>
    <w:p>
      <w:pPr>
        <w:spacing w:after="0" w:line="157" w:lineRule="exact"/>
        <w:rPr>
          <w:sz w:val="20"/>
          <w:szCs w:val="20"/>
          <w:color w:val="auto"/>
        </w:rPr>
      </w:pPr>
    </w:p>
    <w:p>
      <w:pPr>
        <w:ind w:right="160" w:firstLine="648"/>
        <w:spacing w:after="0" w:line="263" w:lineRule="auto"/>
        <w:rPr>
          <w:sz w:val="20"/>
          <w:szCs w:val="20"/>
          <w:color w:val="auto"/>
        </w:rPr>
      </w:pPr>
      <w:r>
        <w:rPr>
          <w:rFonts w:ascii="Arial" w:cs="Arial" w:eastAsia="Arial" w:hAnsi="Arial"/>
          <w:sz w:val="22"/>
          <w:szCs w:val="22"/>
          <w:color w:val="auto"/>
        </w:rPr>
        <w:t>“Section 409A” means section 409A of the Code (and any successor provision), and regulations and other guidance issued by the Treasury Department and Internal Revenue Service thereunder.</w:t>
      </w:r>
    </w:p>
    <w:p>
      <w:pPr>
        <w:spacing w:after="0" w:line="175" w:lineRule="exact"/>
        <w:rPr>
          <w:sz w:val="20"/>
          <w:szCs w:val="20"/>
          <w:color w:val="auto"/>
        </w:rPr>
      </w:pPr>
    </w:p>
    <w:p>
      <w:pPr>
        <w:ind w:right="120" w:firstLine="648"/>
        <w:spacing w:after="0" w:line="263" w:lineRule="auto"/>
        <w:rPr>
          <w:sz w:val="20"/>
          <w:szCs w:val="20"/>
          <w:color w:val="auto"/>
        </w:rPr>
      </w:pPr>
      <w:r>
        <w:rPr>
          <w:rFonts w:ascii="Arial" w:cs="Arial" w:eastAsia="Arial" w:hAnsi="Arial"/>
          <w:sz w:val="22"/>
          <w:szCs w:val="22"/>
          <w:color w:val="auto"/>
        </w:rPr>
        <w:t>“Separation from Service” means that the Director ceases to perform services as a Director and the Company does not then anticipate that the Director will continue to perform services in any capacity for any Related Company.</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591" w:right="239" w:bottom="1440" w:gutter="0" w:footer="0" w:header="0"/>
        </w:sectPr>
      </w:pPr>
    </w:p>
    <w:bookmarkStart w:id="169" w:name="page170"/>
    <w:bookmarkEnd w:id="169"/>
    <w:p>
      <w:pPr>
        <w:ind w:firstLine="648"/>
        <w:spacing w:after="0" w:line="250" w:lineRule="auto"/>
        <w:rPr>
          <w:sz w:val="20"/>
          <w:szCs w:val="20"/>
          <w:color w:val="auto"/>
        </w:rPr>
      </w:pPr>
      <w:r>
        <w:rPr>
          <w:rFonts w:ascii="Arial" w:cs="Arial" w:eastAsia="Arial" w:hAnsi="Arial"/>
          <w:sz w:val="22"/>
          <w:szCs w:val="22"/>
          <w:color w:val="auto"/>
        </w:rPr>
        <w:t>“Service Period” means, with respect to the Annual Cash Retainer, a Plan Year, and with respect to the Annual Stock Retainer, the 12-month period beginning on June 1 of each Plan Year or, with respect to a Director who first becomes eligible to participate in the Plan after June 1 of a Plan Year, such lesser period beginning on the date the Director joins the Board and ending on the following May 31.</w:t>
      </w:r>
    </w:p>
    <w:p>
      <w:pPr>
        <w:spacing w:after="0" w:line="188" w:lineRule="exact"/>
        <w:rPr>
          <w:sz w:val="20"/>
          <w:szCs w:val="20"/>
          <w:color w:val="auto"/>
        </w:rPr>
      </w:pPr>
    </w:p>
    <w:p>
      <w:pPr>
        <w:ind w:right="380" w:firstLine="648"/>
        <w:spacing w:after="0" w:line="253" w:lineRule="auto"/>
        <w:rPr>
          <w:sz w:val="20"/>
          <w:szCs w:val="20"/>
          <w:color w:val="auto"/>
        </w:rPr>
      </w:pPr>
      <w:r>
        <w:rPr>
          <w:rFonts w:ascii="Arial" w:cs="Arial" w:eastAsia="Arial" w:hAnsi="Arial"/>
          <w:sz w:val="22"/>
          <w:szCs w:val="22"/>
          <w:color w:val="auto"/>
        </w:rPr>
        <w:t>“Specified Year” means the year specified by a Director as the year in which the Director will receive a distribution payment of all or a portion of his Account(s). The Specified Year must be at least two years after the year the Annual Retainer would have been paid but for the Director's deferral election.</w:t>
      </w:r>
    </w:p>
    <w:p>
      <w:pPr>
        <w:spacing w:after="0" w:line="186" w:lineRule="exact"/>
        <w:rPr>
          <w:sz w:val="20"/>
          <w:szCs w:val="20"/>
          <w:color w:val="auto"/>
        </w:rPr>
      </w:pPr>
    </w:p>
    <w:p>
      <w:pPr>
        <w:ind w:right="120" w:firstLine="648"/>
        <w:spacing w:after="0" w:line="253" w:lineRule="auto"/>
        <w:rPr>
          <w:sz w:val="20"/>
          <w:szCs w:val="20"/>
          <w:color w:val="auto"/>
        </w:rPr>
      </w:pPr>
      <w:r>
        <w:rPr>
          <w:rFonts w:ascii="Arial" w:cs="Arial" w:eastAsia="Arial" w:hAnsi="Arial"/>
          <w:sz w:val="22"/>
          <w:szCs w:val="22"/>
          <w:color w:val="auto"/>
        </w:rPr>
        <w:t>“Stock Account” means the bookkeeping Account maintained by the Company for each Director that is credited with any Stock Deferrals and Dividend Equivalents with respect to such Stock Deferrals, and such other accounts or sub-accounts as the Administrator deems necessary or appropriate.</w:t>
      </w:r>
    </w:p>
    <w:p>
      <w:pPr>
        <w:spacing w:after="0" w:line="186" w:lineRule="exact"/>
        <w:rPr>
          <w:sz w:val="20"/>
          <w:szCs w:val="20"/>
          <w:color w:val="auto"/>
        </w:rPr>
      </w:pPr>
    </w:p>
    <w:p>
      <w:pPr>
        <w:ind w:right="100" w:firstLine="648"/>
        <w:spacing w:after="0" w:line="253" w:lineRule="auto"/>
        <w:rPr>
          <w:sz w:val="20"/>
          <w:szCs w:val="20"/>
          <w:color w:val="auto"/>
        </w:rPr>
      </w:pPr>
      <w:r>
        <w:rPr>
          <w:rFonts w:ascii="Arial" w:cs="Arial" w:eastAsia="Arial" w:hAnsi="Arial"/>
          <w:sz w:val="22"/>
          <w:szCs w:val="22"/>
          <w:color w:val="auto"/>
        </w:rPr>
        <w:t>“Stock Deferral” means a non-voting unit of measurement, which is deemed solely for bookkeeping purposes under this Plan to be equivalent to one outstanding share of Common Stock. No Director shall be entitled to any voting or other stockholder rights with respect to Stock Deferrals credited under this Plan.</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“Stock Plan” means the ALLETE Director Stock Plan, dated May 9, 1995, as amended, or any predecessor or successor</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plan.</w:t>
      </w:r>
    </w:p>
    <w:p>
      <w:pPr>
        <w:spacing w:after="0" w:line="202" w:lineRule="exact"/>
        <w:rPr>
          <w:sz w:val="20"/>
          <w:szCs w:val="20"/>
          <w:color w:val="auto"/>
        </w:rPr>
      </w:pPr>
    </w:p>
    <w:p>
      <w:pPr>
        <w:ind w:right="140" w:firstLine="648"/>
        <w:spacing w:after="0" w:line="343" w:lineRule="auto"/>
        <w:rPr>
          <w:sz w:val="20"/>
          <w:szCs w:val="20"/>
          <w:color w:val="auto"/>
        </w:rPr>
      </w:pPr>
      <w:r>
        <w:rPr>
          <w:rFonts w:ascii="Arial" w:cs="Arial" w:eastAsia="Arial" w:hAnsi="Arial"/>
          <w:sz w:val="19"/>
          <w:szCs w:val="19"/>
          <w:color w:val="auto"/>
        </w:rPr>
        <w:t>“Trust” means one or more trusts established pursuant to the ALLETE, Inc. Non-Employee Director Compensation Trust Agreement, effective October 11, 2004, between the Company and the trustee named therein, as amended from time to time.</w:t>
      </w:r>
    </w:p>
    <w:p>
      <w:pPr>
        <w:spacing w:after="0" w:line="105" w:lineRule="exact"/>
        <w:rPr>
          <w:sz w:val="20"/>
          <w:szCs w:val="20"/>
          <w:color w:val="auto"/>
        </w:rPr>
      </w:pPr>
    </w:p>
    <w:p>
      <w:pPr>
        <w:ind w:firstLine="648"/>
        <w:spacing w:after="0" w:line="247" w:lineRule="auto"/>
        <w:rPr>
          <w:sz w:val="20"/>
          <w:szCs w:val="20"/>
          <w:color w:val="auto"/>
        </w:rPr>
      </w:pPr>
      <w:r>
        <w:rPr>
          <w:rFonts w:ascii="Arial" w:cs="Arial" w:eastAsia="Arial" w:hAnsi="Arial"/>
          <w:sz w:val="22"/>
          <w:szCs w:val="22"/>
          <w:color w:val="auto"/>
        </w:rPr>
        <w:t>“Unforeseeable Emergency” means an unanticipated emergency that is caused by an event beyond the control of the Director that would result in severe financial hardship to the Director resulting from (i) an illness or accident of the Director or the Director's spouse, the Director's beneficiary, or the Director's dependent (as defined in Code section 152, without regard to Code sections 152(b)(1), (b)(2), and (d)(1)(B)), (ii) a loss of the Director's property due to casualty, or (iii) such other similar extraordinary and unforeseeable circumstances arising as a result of events beyond the control of the Director, all as determined in the sole discretion of the Administrator.</w:t>
      </w:r>
    </w:p>
    <w:p>
      <w:pPr>
        <w:spacing w:after="0" w:line="194" w:lineRule="exact"/>
        <w:rPr>
          <w:sz w:val="20"/>
          <w:szCs w:val="20"/>
          <w:color w:val="auto"/>
        </w:rPr>
      </w:pPr>
    </w:p>
    <w:p>
      <w:pPr>
        <w:ind w:right="1060" w:firstLine="648"/>
        <w:spacing w:after="0" w:line="263" w:lineRule="auto"/>
        <w:rPr>
          <w:sz w:val="20"/>
          <w:szCs w:val="20"/>
          <w:color w:val="auto"/>
        </w:rPr>
      </w:pPr>
      <w:r>
        <w:rPr>
          <w:rFonts w:ascii="Arial" w:cs="Arial" w:eastAsia="Arial" w:hAnsi="Arial"/>
          <w:sz w:val="22"/>
          <w:szCs w:val="22"/>
          <w:color w:val="auto"/>
        </w:rPr>
        <w:t>“Valuation Date” means each day that the U.S. stock markets are open or such other dates as may be set by the Administrator from time to time.</w:t>
      </w:r>
    </w:p>
    <w:p>
      <w:pPr>
        <w:spacing w:after="0" w:line="200" w:lineRule="exact"/>
        <w:rPr>
          <w:sz w:val="20"/>
          <w:szCs w:val="20"/>
          <w:color w:val="auto"/>
        </w:rPr>
      </w:pPr>
    </w:p>
    <w:p>
      <w:pPr>
        <w:spacing w:after="0" w:line="21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80"/>
          </w:cols>
          <w:pgMar w:left="240" w:top="591" w:right="379" w:bottom="1440" w:gutter="0" w:footer="0" w:header="0"/>
        </w:sectPr>
      </w:pPr>
    </w:p>
    <w:bookmarkStart w:id="170" w:name="page171"/>
    <w:bookmarkEnd w:id="170"/>
    <w:p>
      <w:pPr>
        <w:spacing w:after="0" w:line="263" w:lineRule="auto"/>
        <w:rPr>
          <w:sz w:val="20"/>
          <w:szCs w:val="20"/>
          <w:color w:val="auto"/>
        </w:rPr>
      </w:pPr>
      <w:r>
        <w:rPr>
          <w:rFonts w:ascii="Arial" w:cs="Arial" w:eastAsia="Arial" w:hAnsi="Arial"/>
          <w:sz w:val="22"/>
          <w:szCs w:val="22"/>
          <w:color w:val="auto"/>
        </w:rPr>
        <w:t>IN WITNESS WHEREOF, ALLETE, Inc. has caused these presents to be signed and its corporate seal to be hereunto affixed by its duly authorized officers, effective as of July 24, 2012.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ALLETE, Inc.:</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3920"/>
        <w:spacing w:after="0"/>
        <w:rPr>
          <w:sz w:val="20"/>
          <w:szCs w:val="20"/>
          <w:color w:val="auto"/>
        </w:rPr>
      </w:pPr>
      <w:r>
        <w:rPr>
          <w:rFonts w:ascii="Arial" w:cs="Arial" w:eastAsia="Arial" w:hAnsi="Arial"/>
          <w:sz w:val="22"/>
          <w:szCs w:val="22"/>
          <w:color w:val="auto"/>
        </w:rPr>
        <w:t>/s/ Alan R. Hodnik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24765</wp:posOffset>
            </wp:positionV>
            <wp:extent cx="194691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pacing w:after="0" w:line="7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Alan R. Hodnik</w:t>
      </w:r>
    </w:p>
    <w:p>
      <w:pPr>
        <w:spacing w:after="0" w:line="2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Chairman, President &amp; Chief Executive Officer</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22"/>
          <w:szCs w:val="22"/>
          <w:color w:val="auto"/>
        </w:rPr>
        <w:t>ATTEST:</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40"/>
        <w:spacing w:after="0"/>
        <w:rPr>
          <w:sz w:val="20"/>
          <w:szCs w:val="20"/>
          <w:color w:val="auto"/>
        </w:rPr>
      </w:pPr>
      <w:r>
        <w:rPr>
          <w:rFonts w:ascii="Arial" w:cs="Arial" w:eastAsia="Arial" w:hAnsi="Arial"/>
          <w:sz w:val="22"/>
          <w:szCs w:val="22"/>
          <w:color w:val="auto"/>
        </w:rPr>
        <w:t>/s/ Deborah A. Amberg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274447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78" w:lineRule="exact"/>
        <w:rPr>
          <w:sz w:val="20"/>
          <w:szCs w:val="20"/>
          <w:color w:val="auto"/>
        </w:rPr>
      </w:pPr>
    </w:p>
    <w:p>
      <w:pPr>
        <w:spacing w:after="0"/>
        <w:rPr>
          <w:sz w:val="20"/>
          <w:szCs w:val="20"/>
          <w:color w:val="auto"/>
        </w:rPr>
      </w:pPr>
      <w:r>
        <w:rPr>
          <w:rFonts w:ascii="Arial" w:cs="Arial" w:eastAsia="Arial" w:hAnsi="Arial"/>
          <w:sz w:val="22"/>
          <w:szCs w:val="22"/>
          <w:color w:val="auto"/>
        </w:rPr>
        <w:t>Deborah A. Amberg</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Senior Vice President, General Counsel and Secretary</w:t>
      </w:r>
    </w:p>
    <w:p>
      <w:pPr>
        <w:spacing w:after="0" w:line="22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591" w:right="279" w:bottom="1440" w:gutter="0" w:footer="0" w:header="0"/>
        </w:sectPr>
      </w:pPr>
    </w:p>
    <w:bookmarkStart w:id="171" w:name="page172"/>
    <w:bookmarkEnd w:id="171"/>
    <w:p>
      <w:pPr>
        <w:jc w:val="right"/>
        <w:spacing w:after="0"/>
        <w:rPr>
          <w:sz w:val="20"/>
          <w:szCs w:val="20"/>
          <w:color w:val="auto"/>
        </w:rPr>
      </w:pPr>
      <w:r>
        <w:rPr>
          <w:rFonts w:ascii="Arial" w:cs="Arial" w:eastAsia="Arial" w:hAnsi="Arial"/>
          <w:sz w:val="18"/>
          <w:szCs w:val="18"/>
          <w:b w:val="1"/>
          <w:bCs w:val="1"/>
          <w:color w:val="auto"/>
        </w:rPr>
        <w:t>Exhibit 10(p)2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200"/>
        <w:spacing w:after="0"/>
        <w:rPr>
          <w:sz w:val="20"/>
          <w:szCs w:val="20"/>
          <w:color w:val="auto"/>
        </w:rPr>
      </w:pPr>
      <w:r>
        <w:rPr>
          <w:rFonts w:ascii="Arial" w:cs="Arial" w:eastAsia="Arial" w:hAnsi="Arial"/>
          <w:sz w:val="32"/>
          <w:szCs w:val="32"/>
          <w:b w:val="1"/>
          <w:bCs w:val="1"/>
          <w:color w:val="auto"/>
        </w:rPr>
        <w:t>ALLETE, INC. AMENDED AND RESTATED</w:t>
      </w:r>
    </w:p>
    <w:p>
      <w:pPr>
        <w:spacing w:after="0" w:line="46" w:lineRule="exact"/>
        <w:rPr>
          <w:sz w:val="20"/>
          <w:szCs w:val="20"/>
          <w:color w:val="auto"/>
        </w:rPr>
      </w:pPr>
    </w:p>
    <w:p>
      <w:pPr>
        <w:jc w:val="center"/>
        <w:ind w:right="1200"/>
        <w:spacing w:after="0"/>
        <w:rPr>
          <w:sz w:val="20"/>
          <w:szCs w:val="20"/>
          <w:color w:val="auto"/>
        </w:rPr>
      </w:pPr>
      <w:r>
        <w:rPr>
          <w:rFonts w:ascii="Arial" w:cs="Arial" w:eastAsia="Arial" w:hAnsi="Arial"/>
          <w:sz w:val="32"/>
          <w:szCs w:val="32"/>
          <w:b w:val="1"/>
          <w:bCs w:val="1"/>
          <w:color w:val="auto"/>
        </w:rPr>
        <w:t>DIRECTOR COMPENSATION TRUST AGREEMENT</w:t>
      </w:r>
    </w:p>
    <w:p>
      <w:pPr>
        <w:spacing w:after="0" w:line="204" w:lineRule="exact"/>
        <w:rPr>
          <w:sz w:val="20"/>
          <w:szCs w:val="20"/>
          <w:color w:val="auto"/>
        </w:rPr>
      </w:pPr>
    </w:p>
    <w:p>
      <w:pPr>
        <w:ind w:left="3200"/>
        <w:spacing w:after="0"/>
        <w:rPr>
          <w:sz w:val="20"/>
          <w:szCs w:val="20"/>
          <w:color w:val="auto"/>
        </w:rPr>
      </w:pPr>
      <w:r>
        <w:rPr>
          <w:rFonts w:ascii="Arial" w:cs="Arial" w:eastAsia="Arial" w:hAnsi="Arial"/>
          <w:sz w:val="22"/>
          <w:szCs w:val="22"/>
          <w:b w:val="1"/>
          <w:bCs w:val="1"/>
          <w:color w:val="auto"/>
        </w:rPr>
        <w:t>Effective December 15, 2012</w:t>
      </w:r>
    </w:p>
    <w:p>
      <w:pPr>
        <w:sectPr>
          <w:pgSz w:w="11900" w:h="16838" w:orient="portrait"/>
          <w:cols w:equalWidth="0" w:num="1">
            <w:col w:w="10220"/>
          </w:cols>
          <w:pgMar w:left="1440" w:top="580" w:right="239" w:bottom="1440" w:gutter="0" w:footer="0" w:header="0"/>
        </w:sectPr>
      </w:pPr>
    </w:p>
    <w:bookmarkStart w:id="172" w:name="page173"/>
    <w:bookmarkEnd w:id="172"/>
    <w:p>
      <w:pPr>
        <w:jc w:val="center"/>
        <w:ind w:right="-19"/>
        <w:spacing w:after="0"/>
        <w:rPr>
          <w:sz w:val="20"/>
          <w:szCs w:val="20"/>
          <w:color w:val="auto"/>
        </w:rPr>
      </w:pPr>
      <w:r>
        <w:rPr>
          <w:rFonts w:ascii="Arial" w:cs="Arial" w:eastAsia="Arial" w:hAnsi="Arial"/>
          <w:sz w:val="32"/>
          <w:szCs w:val="32"/>
          <w:b w:val="1"/>
          <w:bCs w:val="1"/>
          <w:color w:val="auto"/>
        </w:rPr>
        <w:t>ALLETE, INC. AMENDED AND RESTATED</w:t>
      </w:r>
    </w:p>
    <w:p>
      <w:pPr>
        <w:spacing w:after="0" w:line="46"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DIRECTOR COMPENSATION TRUST AGREEMENT</w:t>
      </w:r>
    </w:p>
    <w:p>
      <w:pPr>
        <w:spacing w:after="0" w:line="200" w:lineRule="exact"/>
        <w:rPr>
          <w:sz w:val="20"/>
          <w:szCs w:val="20"/>
          <w:color w:val="auto"/>
        </w:rPr>
      </w:pPr>
    </w:p>
    <w:p>
      <w:pPr>
        <w:spacing w:after="0" w:line="220" w:lineRule="exact"/>
        <w:rPr>
          <w:sz w:val="20"/>
          <w:szCs w:val="20"/>
          <w:color w:val="auto"/>
        </w:rPr>
      </w:pPr>
    </w:p>
    <w:p>
      <w:pPr>
        <w:spacing w:after="0" w:line="315" w:lineRule="auto"/>
        <w:rPr>
          <w:sz w:val="20"/>
          <w:szCs w:val="20"/>
          <w:color w:val="auto"/>
        </w:rPr>
      </w:pPr>
      <w:r>
        <w:rPr>
          <w:rFonts w:ascii="Arial" w:cs="Arial" w:eastAsia="Arial" w:hAnsi="Arial"/>
          <w:sz w:val="19"/>
          <w:szCs w:val="19"/>
          <w:color w:val="auto"/>
        </w:rPr>
        <w:t>This Grantor Trust Agreement (the “</w:t>
      </w:r>
      <w:r>
        <w:rPr>
          <w:rFonts w:ascii="Arial" w:cs="Arial" w:eastAsia="Arial" w:hAnsi="Arial"/>
          <w:sz w:val="19"/>
          <w:szCs w:val="19"/>
          <w:b w:val="1"/>
          <w:bCs w:val="1"/>
          <w:color w:val="auto"/>
        </w:rPr>
        <w:t>Trust Agreement</w:t>
      </w:r>
      <w:r>
        <w:rPr>
          <w:rFonts w:ascii="Arial" w:cs="Arial" w:eastAsia="Arial" w:hAnsi="Arial"/>
          <w:sz w:val="19"/>
          <w:szCs w:val="19"/>
          <w:color w:val="auto"/>
        </w:rPr>
        <w:t xml:space="preserve">”) is made this 15th day of December, 2012 by and between </w:t>
      </w:r>
      <w:r>
        <w:rPr>
          <w:rFonts w:ascii="Arial" w:cs="Arial" w:eastAsia="Arial" w:hAnsi="Arial"/>
          <w:sz w:val="19"/>
          <w:szCs w:val="19"/>
          <w:b w:val="1"/>
          <w:bCs w:val="1"/>
          <w:color w:val="auto"/>
        </w:rPr>
        <w:t>ALLETE, INC.</w:t>
      </w:r>
      <w:r>
        <w:rPr>
          <w:rFonts w:ascii="Arial" w:cs="Arial" w:eastAsia="Arial" w:hAnsi="Arial"/>
          <w:sz w:val="19"/>
          <w:szCs w:val="19"/>
          <w:color w:val="auto"/>
        </w:rPr>
        <w:t xml:space="preserve"> (“the </w:t>
      </w:r>
      <w:r>
        <w:rPr>
          <w:rFonts w:ascii="Arial" w:cs="Arial" w:eastAsia="Arial" w:hAnsi="Arial"/>
          <w:sz w:val="19"/>
          <w:szCs w:val="19"/>
          <w:b w:val="1"/>
          <w:bCs w:val="1"/>
          <w:color w:val="auto"/>
        </w:rPr>
        <w:t>Company</w:t>
      </w:r>
      <w:r>
        <w:rPr>
          <w:rFonts w:ascii="Arial" w:cs="Arial" w:eastAsia="Arial" w:hAnsi="Arial"/>
          <w:sz w:val="19"/>
          <w:szCs w:val="19"/>
          <w:color w:val="auto"/>
        </w:rPr>
        <w:t xml:space="preserve">”) and </w:t>
      </w:r>
      <w:r>
        <w:rPr>
          <w:rFonts w:ascii="Arial" w:cs="Arial" w:eastAsia="Arial" w:hAnsi="Arial"/>
          <w:sz w:val="19"/>
          <w:szCs w:val="19"/>
          <w:b w:val="1"/>
          <w:bCs w:val="1"/>
          <w:color w:val="auto"/>
        </w:rPr>
        <w:t>WELLS FARGO BANK, NATIONAL ASSOCIATION</w:t>
      </w:r>
      <w:r>
        <w:rPr>
          <w:rFonts w:ascii="Arial" w:cs="Arial" w:eastAsia="Arial" w:hAnsi="Arial"/>
          <w:sz w:val="19"/>
          <w:szCs w:val="19"/>
          <w:color w:val="auto"/>
        </w:rPr>
        <w:t xml:space="preserve"> (“the </w:t>
      </w:r>
      <w:r>
        <w:rPr>
          <w:rFonts w:ascii="Arial" w:cs="Arial" w:eastAsia="Arial" w:hAnsi="Arial"/>
          <w:sz w:val="19"/>
          <w:szCs w:val="19"/>
          <w:b w:val="1"/>
          <w:bCs w:val="1"/>
          <w:color w:val="auto"/>
        </w:rPr>
        <w:t>Trustee</w:t>
      </w:r>
      <w:r>
        <w:rPr>
          <w:rFonts w:ascii="Arial" w:cs="Arial" w:eastAsia="Arial" w:hAnsi="Arial"/>
          <w:sz w:val="19"/>
          <w:szCs w:val="19"/>
          <w:color w:val="auto"/>
        </w:rPr>
        <w:t>”) and hereby amends and restates the ALLETE, Inc. Director Compensation Trust Agreement (the “</w:t>
      </w:r>
      <w:r>
        <w:rPr>
          <w:rFonts w:ascii="Arial" w:cs="Arial" w:eastAsia="Arial" w:hAnsi="Arial"/>
          <w:sz w:val="19"/>
          <w:szCs w:val="19"/>
          <w:b w:val="1"/>
          <w:bCs w:val="1"/>
          <w:color w:val="auto"/>
        </w:rPr>
        <w:t>Original Trust Agreement</w:t>
      </w:r>
      <w:r>
        <w:rPr>
          <w:rFonts w:ascii="Arial" w:cs="Arial" w:eastAsia="Arial" w:hAnsi="Arial"/>
          <w:sz w:val="19"/>
          <w:szCs w:val="19"/>
          <w:color w:val="auto"/>
        </w:rPr>
        <w:t>”), effective October 11, 2004.</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u w:val="single" w:color="auto"/>
          <w:color w:val="auto"/>
        </w:rPr>
        <w:t>Recitals</w:t>
      </w:r>
    </w:p>
    <w:p>
      <w:pPr>
        <w:spacing w:after="0" w:line="200" w:lineRule="exact"/>
        <w:rPr>
          <w:sz w:val="20"/>
          <w:szCs w:val="20"/>
          <w:color w:val="auto"/>
        </w:rPr>
      </w:pPr>
    </w:p>
    <w:p>
      <w:pPr>
        <w:spacing w:after="0" w:line="251" w:lineRule="exact"/>
        <w:rPr>
          <w:sz w:val="20"/>
          <w:szCs w:val="20"/>
          <w:color w:val="auto"/>
        </w:rPr>
      </w:pPr>
    </w:p>
    <w:p>
      <w:pPr>
        <w:ind w:left="660" w:right="1500" w:hanging="328"/>
        <w:spacing w:after="0" w:line="350" w:lineRule="auto"/>
        <w:tabs>
          <w:tab w:leader="none" w:pos="660" w:val="left"/>
        </w:tabs>
        <w:numPr>
          <w:ilvl w:val="0"/>
          <w:numId w:val="86"/>
        </w:numPr>
        <w:rPr>
          <w:rFonts w:ascii="Arial" w:cs="Arial" w:eastAsia="Arial" w:hAnsi="Arial"/>
          <w:sz w:val="19"/>
          <w:szCs w:val="19"/>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the Company has adopted the nonqualified deferred compensation plans and agreements (the</w:t>
      </w:r>
      <w:r>
        <w:rPr>
          <w:rFonts w:ascii="Arial" w:cs="Arial" w:eastAsia="Arial" w:hAnsi="Arial"/>
          <w:sz w:val="19"/>
          <w:szCs w:val="19"/>
          <w:b w:val="1"/>
          <w:bCs w:val="1"/>
          <w:color w:val="auto"/>
        </w:rPr>
        <w:t xml:space="preserve"> </w:t>
      </w:r>
      <w:r>
        <w:rPr>
          <w:rFonts w:ascii="Arial" w:cs="Arial" w:eastAsia="Arial" w:hAnsi="Arial"/>
          <w:sz w:val="19"/>
          <w:szCs w:val="19"/>
          <w:color w:val="auto"/>
        </w:rPr>
        <w:t>“</w:t>
      </w:r>
      <w:r>
        <w:rPr>
          <w:rFonts w:ascii="Arial" w:cs="Arial" w:eastAsia="Arial" w:hAnsi="Arial"/>
          <w:sz w:val="19"/>
          <w:szCs w:val="19"/>
          <w:b w:val="1"/>
          <w:bCs w:val="1"/>
          <w:color w:val="auto"/>
        </w:rPr>
        <w:t>Arrangements</w:t>
      </w:r>
      <w:r>
        <w:rPr>
          <w:rFonts w:ascii="Arial" w:cs="Arial" w:eastAsia="Arial" w:hAnsi="Arial"/>
          <w:sz w:val="19"/>
          <w:szCs w:val="19"/>
          <w:color w:val="auto"/>
        </w:rPr>
        <w:t>”) attached hereto as Attachment A, which may be amended from time to time;</w:t>
      </w:r>
    </w:p>
    <w:p>
      <w:pPr>
        <w:spacing w:after="0" w:line="132" w:lineRule="exact"/>
        <w:rPr>
          <w:rFonts w:ascii="Arial" w:cs="Arial" w:eastAsia="Arial" w:hAnsi="Arial"/>
          <w:sz w:val="19"/>
          <w:szCs w:val="19"/>
          <w:color w:val="auto"/>
        </w:rPr>
      </w:pPr>
    </w:p>
    <w:p>
      <w:pPr>
        <w:ind w:left="660" w:right="180" w:hanging="328"/>
        <w:spacing w:after="0" w:line="252" w:lineRule="auto"/>
        <w:tabs>
          <w:tab w:leader="none" w:pos="660" w:val="left"/>
        </w:tabs>
        <w:numPr>
          <w:ilvl w:val="0"/>
          <w:numId w:val="86"/>
        </w:numPr>
        <w:rPr>
          <w:rFonts w:ascii="Arial" w:cs="Arial" w:eastAsia="Arial" w:hAnsi="Arial"/>
          <w:sz w:val="22"/>
          <w:szCs w:val="22"/>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Company has incurred or expects to incur liability under the terms of such Arrangements with respect to</w:t>
      </w:r>
      <w:r>
        <w:rPr>
          <w:rFonts w:ascii="Arial" w:cs="Arial" w:eastAsia="Arial" w:hAnsi="Arial"/>
          <w:sz w:val="22"/>
          <w:szCs w:val="22"/>
          <w:b w:val="1"/>
          <w:bCs w:val="1"/>
          <w:color w:val="auto"/>
        </w:rPr>
        <w:t xml:space="preserve"> </w:t>
      </w:r>
      <w:r>
        <w:rPr>
          <w:rFonts w:ascii="Arial" w:cs="Arial" w:eastAsia="Arial" w:hAnsi="Arial"/>
          <w:sz w:val="22"/>
          <w:szCs w:val="22"/>
          <w:color w:val="auto"/>
        </w:rPr>
        <w:t>the individuals participating in such Arrangements or beneficiaries designated by such participants who are entitled to receive benefits under the terms of such arrangements as the result of the death of the participant (collectively, the “</w:t>
      </w:r>
      <w:r>
        <w:rPr>
          <w:rFonts w:ascii="Arial" w:cs="Arial" w:eastAsia="Arial" w:hAnsi="Arial"/>
          <w:sz w:val="22"/>
          <w:szCs w:val="22"/>
          <w:b w:val="1"/>
          <w:bCs w:val="1"/>
          <w:color w:val="auto"/>
        </w:rPr>
        <w:t>Participants”);</w:t>
      </w:r>
    </w:p>
    <w:p>
      <w:pPr>
        <w:spacing w:after="0" w:line="220" w:lineRule="exact"/>
        <w:rPr>
          <w:rFonts w:ascii="Arial" w:cs="Arial" w:eastAsia="Arial" w:hAnsi="Arial"/>
          <w:sz w:val="22"/>
          <w:szCs w:val="22"/>
          <w:color w:val="auto"/>
        </w:rPr>
      </w:pPr>
    </w:p>
    <w:p>
      <w:pPr>
        <w:ind w:left="660" w:hanging="328"/>
        <w:spacing w:after="0" w:line="252" w:lineRule="auto"/>
        <w:tabs>
          <w:tab w:leader="none" w:pos="660" w:val="left"/>
        </w:tabs>
        <w:numPr>
          <w:ilvl w:val="0"/>
          <w:numId w:val="86"/>
        </w:numPr>
        <w:rPr>
          <w:rFonts w:ascii="Arial" w:cs="Arial" w:eastAsia="Arial" w:hAnsi="Arial"/>
          <w:sz w:val="22"/>
          <w:szCs w:val="22"/>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Company hereby establishes a Trust (the “</w:t>
      </w:r>
      <w:r>
        <w:rPr>
          <w:rFonts w:ascii="Arial" w:cs="Arial" w:eastAsia="Arial" w:hAnsi="Arial"/>
          <w:sz w:val="22"/>
          <w:szCs w:val="22"/>
          <w:b w:val="1"/>
          <w:bCs w:val="1"/>
          <w:color w:val="auto"/>
        </w:rPr>
        <w:t>Trust</w:t>
      </w:r>
      <w:r>
        <w:rPr>
          <w:rFonts w:ascii="Arial" w:cs="Arial" w:eastAsia="Arial" w:hAnsi="Arial"/>
          <w:sz w:val="22"/>
          <w:szCs w:val="22"/>
          <w:color w:val="auto"/>
        </w:rPr>
        <w:t>”) and shall contribute to the Trust assets that shall be held</w:t>
      </w:r>
      <w:r>
        <w:rPr>
          <w:rFonts w:ascii="Arial" w:cs="Arial" w:eastAsia="Arial" w:hAnsi="Arial"/>
          <w:sz w:val="22"/>
          <w:szCs w:val="22"/>
          <w:b w:val="1"/>
          <w:bCs w:val="1"/>
          <w:color w:val="auto"/>
        </w:rPr>
        <w:t xml:space="preserve"> </w:t>
      </w:r>
      <w:r>
        <w:rPr>
          <w:rFonts w:ascii="Arial" w:cs="Arial" w:eastAsia="Arial" w:hAnsi="Arial"/>
          <w:sz w:val="22"/>
          <w:szCs w:val="22"/>
          <w:color w:val="auto"/>
        </w:rPr>
        <w:t>therein, subject to the claims of the Company's creditors in the event the Company becomes Insolvent, as defined in Section 3(a), until paid to Participants in such manner and at such times as specified in the Arrangements and in this Trust Agreement;</w:t>
      </w:r>
    </w:p>
    <w:p>
      <w:pPr>
        <w:spacing w:after="0" w:line="220" w:lineRule="exact"/>
        <w:rPr>
          <w:rFonts w:ascii="Arial" w:cs="Arial" w:eastAsia="Arial" w:hAnsi="Arial"/>
          <w:sz w:val="22"/>
          <w:szCs w:val="22"/>
          <w:color w:val="auto"/>
        </w:rPr>
      </w:pPr>
    </w:p>
    <w:p>
      <w:pPr>
        <w:ind w:left="660" w:hanging="328"/>
        <w:spacing w:after="0" w:line="256" w:lineRule="auto"/>
        <w:tabs>
          <w:tab w:leader="none" w:pos="660" w:val="left"/>
        </w:tabs>
        <w:numPr>
          <w:ilvl w:val="0"/>
          <w:numId w:val="86"/>
        </w:numPr>
        <w:rPr>
          <w:rFonts w:ascii="Arial" w:cs="Arial" w:eastAsia="Arial" w:hAnsi="Arial"/>
          <w:sz w:val="22"/>
          <w:szCs w:val="22"/>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it is the intention of the parties that this Trust shall constitute an unfunded arrangement and shall not affect the</w:t>
      </w:r>
      <w:r>
        <w:rPr>
          <w:rFonts w:ascii="Arial" w:cs="Arial" w:eastAsia="Arial" w:hAnsi="Arial"/>
          <w:sz w:val="22"/>
          <w:szCs w:val="22"/>
          <w:b w:val="1"/>
          <w:bCs w:val="1"/>
          <w:color w:val="auto"/>
        </w:rPr>
        <w:t xml:space="preserve"> </w:t>
      </w:r>
      <w:r>
        <w:rPr>
          <w:rFonts w:ascii="Arial" w:cs="Arial" w:eastAsia="Arial" w:hAnsi="Arial"/>
          <w:sz w:val="22"/>
          <w:szCs w:val="22"/>
          <w:color w:val="auto"/>
        </w:rPr>
        <w:t>status of the Arrangements as an unfunded plan maintained for the purpose of providing deferred compensation for a select group of non-employee directors of ALLETE, Inc.;</w:t>
      </w:r>
    </w:p>
    <w:p>
      <w:pPr>
        <w:spacing w:after="0" w:line="216" w:lineRule="exact"/>
        <w:rPr>
          <w:rFonts w:ascii="Arial" w:cs="Arial" w:eastAsia="Arial" w:hAnsi="Arial"/>
          <w:sz w:val="22"/>
          <w:szCs w:val="22"/>
          <w:color w:val="auto"/>
        </w:rPr>
      </w:pPr>
    </w:p>
    <w:p>
      <w:pPr>
        <w:ind w:left="660" w:right="240" w:hanging="328"/>
        <w:spacing w:after="0" w:line="256" w:lineRule="auto"/>
        <w:tabs>
          <w:tab w:leader="none" w:pos="660" w:val="left"/>
        </w:tabs>
        <w:numPr>
          <w:ilvl w:val="0"/>
          <w:numId w:val="86"/>
        </w:numPr>
        <w:rPr>
          <w:rFonts w:ascii="Arial" w:cs="Arial" w:eastAsia="Arial" w:hAnsi="Arial"/>
          <w:sz w:val="22"/>
          <w:szCs w:val="22"/>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it is the intention of the parties that this Trust shall be interpreted in all respects to comply with Internal</w:t>
      </w:r>
      <w:r>
        <w:rPr>
          <w:rFonts w:ascii="Arial" w:cs="Arial" w:eastAsia="Arial" w:hAnsi="Arial"/>
          <w:sz w:val="22"/>
          <w:szCs w:val="22"/>
          <w:b w:val="1"/>
          <w:bCs w:val="1"/>
          <w:color w:val="auto"/>
        </w:rPr>
        <w:t xml:space="preserve"> </w:t>
      </w:r>
      <w:r>
        <w:rPr>
          <w:rFonts w:ascii="Arial" w:cs="Arial" w:eastAsia="Arial" w:hAnsi="Arial"/>
          <w:sz w:val="22"/>
          <w:szCs w:val="22"/>
          <w:color w:val="auto"/>
        </w:rPr>
        <w:t>Revenue Code Section 409A (IRC Section 409A) and applicable authorities promulgated thereunder as may change from time to time; and</w:t>
      </w:r>
    </w:p>
    <w:p>
      <w:pPr>
        <w:spacing w:after="0" w:line="216" w:lineRule="exact"/>
        <w:rPr>
          <w:rFonts w:ascii="Arial" w:cs="Arial" w:eastAsia="Arial" w:hAnsi="Arial"/>
          <w:sz w:val="22"/>
          <w:szCs w:val="22"/>
          <w:color w:val="auto"/>
        </w:rPr>
      </w:pPr>
    </w:p>
    <w:p>
      <w:pPr>
        <w:ind w:left="660" w:right="240" w:hanging="328"/>
        <w:spacing w:after="0" w:line="269" w:lineRule="auto"/>
        <w:tabs>
          <w:tab w:leader="none" w:pos="660" w:val="left"/>
        </w:tabs>
        <w:numPr>
          <w:ilvl w:val="0"/>
          <w:numId w:val="86"/>
        </w:numPr>
        <w:rPr>
          <w:rFonts w:ascii="Arial" w:cs="Arial" w:eastAsia="Arial" w:hAnsi="Arial"/>
          <w:sz w:val="22"/>
          <w:szCs w:val="22"/>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it is the intention of the Company to make contributions to the Trust to provide itself with a source of funds</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(“the </w:t>
      </w:r>
      <w:r>
        <w:rPr>
          <w:rFonts w:ascii="Arial" w:cs="Arial" w:eastAsia="Arial" w:hAnsi="Arial"/>
          <w:sz w:val="22"/>
          <w:szCs w:val="22"/>
          <w:b w:val="1"/>
          <w:bCs w:val="1"/>
          <w:color w:val="auto"/>
        </w:rPr>
        <w:t>Fund</w:t>
      </w:r>
      <w:r>
        <w:rPr>
          <w:rFonts w:ascii="Arial" w:cs="Arial" w:eastAsia="Arial" w:hAnsi="Arial"/>
          <w:sz w:val="22"/>
          <w:szCs w:val="22"/>
          <w:color w:val="auto"/>
        </w:rPr>
        <w:t>”) to assist it in satisfying its liabilities under the Arrangements.</w:t>
      </w:r>
    </w:p>
    <w:p>
      <w:pPr>
        <w:spacing w:after="0" w:line="203" w:lineRule="exact"/>
        <w:rPr>
          <w:sz w:val="20"/>
          <w:szCs w:val="20"/>
          <w:color w:val="auto"/>
        </w:rPr>
      </w:pPr>
    </w:p>
    <w:p>
      <w:pPr>
        <w:ind w:right="220"/>
        <w:spacing w:after="0" w:line="269" w:lineRule="auto"/>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the parties do hereby establish the Trust and agree that the Trust shall be comprised, held and disposed of</w:t>
      </w:r>
      <w:r>
        <w:rPr>
          <w:rFonts w:ascii="Arial" w:cs="Arial" w:eastAsia="Arial" w:hAnsi="Arial"/>
          <w:sz w:val="22"/>
          <w:szCs w:val="22"/>
          <w:b w:val="1"/>
          <w:bCs w:val="1"/>
          <w:color w:val="auto"/>
        </w:rPr>
        <w:t xml:space="preserve"> </w:t>
      </w:r>
      <w:r>
        <w:rPr>
          <w:rFonts w:ascii="Arial" w:cs="Arial" w:eastAsia="Arial" w:hAnsi="Arial"/>
          <w:sz w:val="22"/>
          <w:szCs w:val="22"/>
          <w:color w:val="auto"/>
        </w:rPr>
        <w:t>as follows:</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571" w:right="259" w:bottom="1440" w:gutter="0" w:footer="0" w:header="0"/>
        </w:sectPr>
      </w:pPr>
    </w:p>
    <w:bookmarkStart w:id="173" w:name="page174"/>
    <w:bookmarkEnd w:id="173"/>
    <w:p>
      <w:pPr>
        <w:spacing w:after="0"/>
        <w:rPr>
          <w:sz w:val="20"/>
          <w:szCs w:val="20"/>
          <w:color w:val="auto"/>
        </w:rPr>
      </w:pPr>
      <w:r>
        <w:rPr>
          <w:rFonts w:ascii="Arial" w:cs="Arial" w:eastAsia="Arial" w:hAnsi="Arial"/>
          <w:sz w:val="22"/>
          <w:szCs w:val="22"/>
          <w:b w:val="1"/>
          <w:bCs w:val="1"/>
          <w:i w:val="1"/>
          <w:iCs w:val="1"/>
          <w:color w:val="auto"/>
        </w:rPr>
        <w:t>ALLETE, Inc. Amended and Restated Director Compensation Trust Agreement</w:t>
      </w:r>
    </w:p>
    <w:p>
      <w:pPr>
        <w:spacing w:after="0" w:line="254" w:lineRule="exact"/>
        <w:rPr>
          <w:sz w:val="20"/>
          <w:szCs w:val="20"/>
          <w:color w:val="auto"/>
        </w:rPr>
      </w:pPr>
    </w:p>
    <w:p>
      <w:pPr>
        <w:spacing w:after="0"/>
        <w:tabs>
          <w:tab w:leader="none" w:pos="1100" w:val="left"/>
        </w:tabs>
        <w:rPr>
          <w:sz w:val="20"/>
          <w:szCs w:val="20"/>
          <w:color w:val="auto"/>
        </w:rPr>
      </w:pPr>
      <w:r>
        <w:rPr>
          <w:rFonts w:ascii="Arial" w:cs="Arial" w:eastAsia="Arial" w:hAnsi="Arial"/>
          <w:sz w:val="22"/>
          <w:szCs w:val="22"/>
          <w:b w:val="1"/>
          <w:bCs w:val="1"/>
          <w:color w:val="auto"/>
        </w:rPr>
        <w:t>Section 1.</w:t>
      </w:r>
      <w:r>
        <w:rPr>
          <w:sz w:val="20"/>
          <w:szCs w:val="20"/>
          <w:color w:val="auto"/>
        </w:rPr>
        <w:tab/>
      </w:r>
      <w:r>
        <w:rPr>
          <w:rFonts w:ascii="Arial" w:cs="Arial" w:eastAsia="Arial" w:hAnsi="Arial"/>
          <w:sz w:val="19"/>
          <w:szCs w:val="19"/>
          <w:b w:val="1"/>
          <w:bCs w:val="1"/>
          <w:u w:val="single" w:color="auto"/>
          <w:color w:val="auto"/>
        </w:rPr>
        <w:t>Establishment of The Trust</w:t>
      </w:r>
    </w:p>
    <w:p>
      <w:pPr>
        <w:spacing w:after="0" w:line="266" w:lineRule="exact"/>
        <w:rPr>
          <w:sz w:val="20"/>
          <w:szCs w:val="20"/>
          <w:color w:val="auto"/>
        </w:rPr>
      </w:pPr>
    </w:p>
    <w:p>
      <w:pPr>
        <w:jc w:val="both"/>
        <w:ind w:left="660" w:right="220" w:hanging="328"/>
        <w:spacing w:after="0" w:line="343" w:lineRule="auto"/>
        <w:tabs>
          <w:tab w:leader="none" w:pos="660" w:val="left"/>
        </w:tabs>
        <w:numPr>
          <w:ilvl w:val="0"/>
          <w:numId w:val="87"/>
        </w:numPr>
        <w:rPr>
          <w:rFonts w:ascii="Arial" w:cs="Arial" w:eastAsia="Arial" w:hAnsi="Arial"/>
          <w:sz w:val="19"/>
          <w:szCs w:val="19"/>
          <w:color w:val="auto"/>
        </w:rPr>
      </w:pPr>
      <w:r>
        <w:rPr>
          <w:rFonts w:ascii="Arial" w:cs="Arial" w:eastAsia="Arial" w:hAnsi="Arial"/>
          <w:sz w:val="19"/>
          <w:szCs w:val="19"/>
          <w:color w:val="auto"/>
        </w:rPr>
        <w:t>The Trust is intended to be a Grantor Trust, of which the Company is the Grantor, within the meaning of subpart E, part I, subchapter J, chapter 1, subtitle A of the Internal Revenue Code of 1986, as amended, and shall be construed accordingly.</w:t>
      </w:r>
    </w:p>
    <w:p>
      <w:pPr>
        <w:spacing w:after="0" w:line="145" w:lineRule="exact"/>
        <w:rPr>
          <w:rFonts w:ascii="Arial" w:cs="Arial" w:eastAsia="Arial" w:hAnsi="Arial"/>
          <w:sz w:val="19"/>
          <w:szCs w:val="19"/>
          <w:color w:val="auto"/>
        </w:rPr>
      </w:pPr>
    </w:p>
    <w:p>
      <w:pPr>
        <w:ind w:left="660" w:hanging="328"/>
        <w:spacing w:after="0"/>
        <w:tabs>
          <w:tab w:leader="none" w:pos="660" w:val="left"/>
        </w:tabs>
        <w:numPr>
          <w:ilvl w:val="0"/>
          <w:numId w:val="87"/>
        </w:numPr>
        <w:rPr>
          <w:rFonts w:ascii="Arial" w:cs="Arial" w:eastAsia="Arial" w:hAnsi="Arial"/>
          <w:sz w:val="22"/>
          <w:szCs w:val="22"/>
          <w:color w:val="auto"/>
        </w:rPr>
      </w:pPr>
      <w:r>
        <w:rPr>
          <w:rFonts w:ascii="Arial" w:cs="Arial" w:eastAsia="Arial" w:hAnsi="Arial"/>
          <w:sz w:val="22"/>
          <w:szCs w:val="22"/>
          <w:color w:val="auto"/>
        </w:rPr>
        <w:t>The Company shall be considered a Grantor for the purposes of the Trust.</w:t>
      </w:r>
    </w:p>
    <w:p>
      <w:pPr>
        <w:spacing w:after="0" w:line="260" w:lineRule="exact"/>
        <w:rPr>
          <w:rFonts w:ascii="Arial" w:cs="Arial" w:eastAsia="Arial" w:hAnsi="Arial"/>
          <w:sz w:val="22"/>
          <w:szCs w:val="22"/>
          <w:color w:val="auto"/>
        </w:rPr>
      </w:pPr>
    </w:p>
    <w:p>
      <w:pPr>
        <w:ind w:left="660" w:hanging="328"/>
        <w:spacing w:after="0"/>
        <w:tabs>
          <w:tab w:leader="none" w:pos="660" w:val="left"/>
        </w:tabs>
        <w:numPr>
          <w:ilvl w:val="0"/>
          <w:numId w:val="87"/>
        </w:numPr>
        <w:rPr>
          <w:rFonts w:ascii="Arial" w:cs="Arial" w:eastAsia="Arial" w:hAnsi="Arial"/>
          <w:sz w:val="22"/>
          <w:szCs w:val="22"/>
          <w:color w:val="auto"/>
        </w:rPr>
      </w:pPr>
      <w:r>
        <w:rPr>
          <w:rFonts w:ascii="Arial" w:cs="Arial" w:eastAsia="Arial" w:hAnsi="Arial"/>
          <w:sz w:val="22"/>
          <w:szCs w:val="22"/>
          <w:color w:val="auto"/>
        </w:rPr>
        <w:t>Subject to Section 1(i), the Trust hereby established is irrevocable.</w:t>
      </w:r>
    </w:p>
    <w:p>
      <w:pPr>
        <w:spacing w:after="0" w:line="260" w:lineRule="exact"/>
        <w:rPr>
          <w:rFonts w:ascii="Arial" w:cs="Arial" w:eastAsia="Arial" w:hAnsi="Arial"/>
          <w:sz w:val="22"/>
          <w:szCs w:val="22"/>
          <w:color w:val="auto"/>
        </w:rPr>
      </w:pPr>
    </w:p>
    <w:p>
      <w:pPr>
        <w:jc w:val="both"/>
        <w:ind w:left="660" w:right="400" w:hanging="328"/>
        <w:spacing w:after="0" w:line="312" w:lineRule="auto"/>
        <w:tabs>
          <w:tab w:leader="none" w:pos="660" w:val="left"/>
        </w:tabs>
        <w:numPr>
          <w:ilvl w:val="0"/>
          <w:numId w:val="87"/>
        </w:numPr>
        <w:rPr>
          <w:rFonts w:ascii="Arial" w:cs="Arial" w:eastAsia="Arial" w:hAnsi="Arial"/>
          <w:sz w:val="19"/>
          <w:szCs w:val="19"/>
          <w:color w:val="auto"/>
        </w:rPr>
      </w:pPr>
      <w:r>
        <w:rPr>
          <w:rFonts w:ascii="Arial" w:cs="Arial" w:eastAsia="Arial" w:hAnsi="Arial"/>
          <w:sz w:val="19"/>
          <w:szCs w:val="19"/>
          <w:color w:val="auto"/>
        </w:rPr>
        <w:t>The Company hereby deposits with the Trustee those assets previously held under the Original Trust Agreement, which assets are listed in Attachment B hereto (the “Initial Contribution”) which shall become the principal of this Trust to be held, administered and disposed of by the Trustee as provided in this Trust Agreement.</w:t>
      </w:r>
    </w:p>
    <w:p>
      <w:pPr>
        <w:spacing w:after="0" w:line="174" w:lineRule="exact"/>
        <w:rPr>
          <w:rFonts w:ascii="Arial" w:cs="Arial" w:eastAsia="Arial" w:hAnsi="Arial"/>
          <w:sz w:val="19"/>
          <w:szCs w:val="19"/>
          <w:color w:val="auto"/>
        </w:rPr>
      </w:pPr>
    </w:p>
    <w:p>
      <w:pPr>
        <w:ind w:left="660" w:hanging="328"/>
        <w:spacing w:after="0" w:line="294" w:lineRule="auto"/>
        <w:tabs>
          <w:tab w:leader="none" w:pos="660" w:val="left"/>
        </w:tabs>
        <w:numPr>
          <w:ilvl w:val="0"/>
          <w:numId w:val="87"/>
        </w:numPr>
        <w:rPr>
          <w:rFonts w:ascii="Arial" w:cs="Arial" w:eastAsia="Arial" w:hAnsi="Arial"/>
          <w:sz w:val="19"/>
          <w:szCs w:val="19"/>
          <w:color w:val="auto"/>
        </w:rPr>
      </w:pPr>
      <w:r>
        <w:rPr>
          <w:rFonts w:ascii="Arial" w:cs="Arial" w:eastAsia="Arial" w:hAnsi="Arial"/>
          <w:sz w:val="19"/>
          <w:szCs w:val="19"/>
          <w:color w:val="auto"/>
        </w:rPr>
        <w:t>The principal of the Trust, and any earnings thereon shall be held separate and apart from other funds of the Company and shall be used exclusively for the uses and purposes of Participants and general creditors as herein set forth. Participants shall have no preferred claim on, or any beneficial ownership interest in, any assets of the Trust. Any rights created under the Arrangements and this Trust Agreement shall be unsecured contractual rights of Participants against the Company. Any assets held by the Trust will be subject to the claims of the general creditors of the Company under federal and state law in the event the Company is Insolvent, as defined in Section 3(a) herein.</w:t>
      </w:r>
    </w:p>
    <w:p>
      <w:pPr>
        <w:spacing w:after="0" w:line="190" w:lineRule="exact"/>
        <w:rPr>
          <w:rFonts w:ascii="Arial" w:cs="Arial" w:eastAsia="Arial" w:hAnsi="Arial"/>
          <w:sz w:val="19"/>
          <w:szCs w:val="19"/>
          <w:color w:val="auto"/>
        </w:rPr>
      </w:pPr>
    </w:p>
    <w:p>
      <w:pPr>
        <w:ind w:left="660" w:right="20" w:hanging="328"/>
        <w:spacing w:after="0" w:line="297" w:lineRule="auto"/>
        <w:tabs>
          <w:tab w:leader="none" w:pos="660" w:val="left"/>
        </w:tabs>
        <w:numPr>
          <w:ilvl w:val="0"/>
          <w:numId w:val="87"/>
        </w:numPr>
        <w:rPr>
          <w:rFonts w:ascii="Arial" w:cs="Arial" w:eastAsia="Arial" w:hAnsi="Arial"/>
          <w:sz w:val="19"/>
          <w:szCs w:val="19"/>
          <w:color w:val="auto"/>
        </w:rPr>
      </w:pPr>
      <w:r>
        <w:rPr>
          <w:rFonts w:ascii="Arial" w:cs="Arial" w:eastAsia="Arial" w:hAnsi="Arial"/>
          <w:sz w:val="19"/>
          <w:szCs w:val="19"/>
          <w:color w:val="auto"/>
        </w:rPr>
        <w:t>The Company, in its sole discretion, may at any time, or from time to time, make additional deposits of cash or other property acceptable to the Trustee in the Trust to augment the principal to be held, administered and disposed of by the Trustee as provided in this Trust Agreement. Prior to a Change in Control (as defined in Section 15) or, if earlier, a Potential Change in Control (as defined in Section 15) (a “</w:t>
      </w:r>
      <w:r>
        <w:rPr>
          <w:rFonts w:ascii="Arial" w:cs="Arial" w:eastAsia="Arial" w:hAnsi="Arial"/>
          <w:sz w:val="19"/>
          <w:szCs w:val="19"/>
          <w:b w:val="1"/>
          <w:bCs w:val="1"/>
          <w:color w:val="auto"/>
        </w:rPr>
        <w:t>Triggering Event,</w:t>
      </w:r>
      <w:r>
        <w:rPr>
          <w:rFonts w:ascii="Arial" w:cs="Arial" w:eastAsia="Arial" w:hAnsi="Arial"/>
          <w:sz w:val="19"/>
          <w:szCs w:val="19"/>
          <w:color w:val="auto"/>
        </w:rPr>
        <w:t>” as such term is more fully defined in Section 15), neither the Trustee nor any Participant shall have any right to compel additional deposits.</w:t>
      </w:r>
    </w:p>
    <w:p>
      <w:pPr>
        <w:spacing w:after="0" w:line="187" w:lineRule="exact"/>
        <w:rPr>
          <w:rFonts w:ascii="Arial" w:cs="Arial" w:eastAsia="Arial" w:hAnsi="Arial"/>
          <w:sz w:val="19"/>
          <w:szCs w:val="19"/>
          <w:color w:val="auto"/>
        </w:rPr>
      </w:pPr>
    </w:p>
    <w:p>
      <w:pPr>
        <w:ind w:left="660" w:hanging="328"/>
        <w:spacing w:after="0" w:line="247" w:lineRule="auto"/>
        <w:tabs>
          <w:tab w:leader="none" w:pos="660" w:val="left"/>
        </w:tabs>
        <w:numPr>
          <w:ilvl w:val="0"/>
          <w:numId w:val="87"/>
        </w:numPr>
        <w:rPr>
          <w:rFonts w:ascii="Arial" w:cs="Arial" w:eastAsia="Arial" w:hAnsi="Arial"/>
          <w:sz w:val="22"/>
          <w:szCs w:val="22"/>
          <w:color w:val="auto"/>
        </w:rPr>
      </w:pPr>
      <w:r>
        <w:rPr>
          <w:rFonts w:ascii="Arial" w:cs="Arial" w:eastAsia="Arial" w:hAnsi="Arial"/>
          <w:sz w:val="22"/>
          <w:szCs w:val="22"/>
          <w:color w:val="auto"/>
        </w:rPr>
        <w:t>In addition to the Initial Contribution, the Company shall make such other contributions as shall from time to time be authorized by due corporate action. Any such payments made by the Company may be in cash, by letter of credit or, prior to the date as of which a Triggering Event, occurs, in such property (including, without limitation, securities issued by the Company) as the Company may determine. The Company shall keep accurate books and records with respect to the interest of each Executive in any Arrangement and shall provide copies of such books and records to the Trustee at any time as the Trustee shall request.</w:t>
      </w:r>
    </w:p>
    <w:p>
      <w:pPr>
        <w:spacing w:after="0" w:line="234" w:lineRule="exact"/>
        <w:rPr>
          <w:rFonts w:ascii="Arial" w:cs="Arial" w:eastAsia="Arial" w:hAnsi="Arial"/>
          <w:sz w:val="22"/>
          <w:szCs w:val="22"/>
          <w:color w:val="auto"/>
        </w:rPr>
      </w:pPr>
    </w:p>
    <w:p>
      <w:pPr>
        <w:ind w:left="660" w:right="80" w:hanging="328"/>
        <w:spacing w:after="0" w:line="261" w:lineRule="auto"/>
        <w:tabs>
          <w:tab w:leader="none" w:pos="660" w:val="left"/>
        </w:tabs>
        <w:numPr>
          <w:ilvl w:val="0"/>
          <w:numId w:val="87"/>
        </w:numPr>
        <w:rPr>
          <w:rFonts w:ascii="Arial" w:cs="Arial" w:eastAsia="Arial" w:hAnsi="Arial"/>
          <w:sz w:val="21"/>
          <w:szCs w:val="21"/>
          <w:color w:val="auto"/>
        </w:rPr>
      </w:pPr>
      <w:r>
        <w:rPr>
          <w:rFonts w:ascii="Arial" w:cs="Arial" w:eastAsia="Arial" w:hAnsi="Arial"/>
          <w:sz w:val="21"/>
          <w:szCs w:val="21"/>
          <w:color w:val="auto"/>
        </w:rPr>
        <w:t>Upon a Triggering Event, the Company shall, as soon as possible, but in no event longer than thirty (30) days following the occurrence of the Triggering Event, make a contribution to the Trust in an amount that is sufficient (taking into account the Trust assets, if any, resulting from prior contributions) to fund the Trust in an amount equal to no less than 100% of the Required Funding and the Expense Reserve. The Required Funding shall be equal to the amount necessary to pay each Participant the benefits to which Participants would be entitled pursuant to the terms of the Arrangements as of the date on which the Triggering Event occurred. The Expense Reserve shall</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591" w:right="259" w:bottom="1440" w:gutter="0" w:footer="0" w:header="0"/>
        </w:sectPr>
      </w:pPr>
    </w:p>
    <w:bookmarkStart w:id="174" w:name="page175"/>
    <w:bookmarkEnd w:id="174"/>
    <w:p>
      <w:pPr>
        <w:spacing w:after="0"/>
        <w:rPr>
          <w:sz w:val="20"/>
          <w:szCs w:val="20"/>
          <w:color w:val="auto"/>
        </w:rPr>
      </w:pPr>
      <w:r>
        <w:rPr>
          <w:rFonts w:ascii="Arial" w:cs="Arial" w:eastAsia="Arial" w:hAnsi="Arial"/>
          <w:sz w:val="22"/>
          <w:szCs w:val="22"/>
          <w:b w:val="1"/>
          <w:bCs w:val="1"/>
          <w:i w:val="1"/>
          <w:iCs w:val="1"/>
          <w:color w:val="auto"/>
        </w:rPr>
        <w:t>ALLETE, Inc. Amended and Restated Director Compensation Trust Agreement</w:t>
      </w:r>
    </w:p>
    <w:p>
      <w:pPr>
        <w:spacing w:after="0" w:line="260" w:lineRule="exact"/>
        <w:rPr>
          <w:sz w:val="20"/>
          <w:szCs w:val="20"/>
          <w:color w:val="auto"/>
        </w:rPr>
      </w:pPr>
    </w:p>
    <w:p>
      <w:pPr>
        <w:ind w:left="660"/>
        <w:spacing w:after="0" w:line="248" w:lineRule="auto"/>
        <w:rPr>
          <w:sz w:val="20"/>
          <w:szCs w:val="20"/>
          <w:color w:val="auto"/>
        </w:rPr>
      </w:pPr>
      <w:r>
        <w:rPr>
          <w:rFonts w:ascii="Arial" w:cs="Arial" w:eastAsia="Arial" w:hAnsi="Arial"/>
          <w:sz w:val="22"/>
          <w:szCs w:val="22"/>
          <w:color w:val="auto"/>
        </w:rPr>
        <w:t>be equal to the greater of: 1) the estimated trustee and record-keeper expenses and fees for one year or 2) fifty thousand dollars ($50,000). Annually, the Company shall recalculate the Required Funding and the Expense Reserve as of December 31 of the preceding year and, if the assets of the trust are less than the sum of the Required Funding and the Expense Reserve, the Company shall make a contribution to the Trust in an amount equal to no less than 100% of the Required Funding and the Expense Reserve.</w:t>
      </w:r>
    </w:p>
    <w:p>
      <w:pPr>
        <w:spacing w:after="0" w:line="233" w:lineRule="exact"/>
        <w:rPr>
          <w:sz w:val="20"/>
          <w:szCs w:val="20"/>
          <w:color w:val="auto"/>
        </w:rPr>
      </w:pPr>
    </w:p>
    <w:p>
      <w:pPr>
        <w:ind w:left="660" w:right="20" w:hanging="328"/>
        <w:spacing w:after="0" w:line="248" w:lineRule="auto"/>
        <w:tabs>
          <w:tab w:leader="none" w:pos="660" w:val="left"/>
        </w:tabs>
        <w:numPr>
          <w:ilvl w:val="0"/>
          <w:numId w:val="88"/>
        </w:numPr>
        <w:rPr>
          <w:rFonts w:ascii="Arial" w:cs="Arial" w:eastAsia="Arial" w:hAnsi="Arial"/>
          <w:sz w:val="22"/>
          <w:szCs w:val="22"/>
          <w:color w:val="auto"/>
        </w:rPr>
      </w:pPr>
      <w:r>
        <w:rPr>
          <w:rFonts w:ascii="Arial" w:cs="Arial" w:eastAsia="Arial" w:hAnsi="Arial"/>
          <w:sz w:val="22"/>
          <w:szCs w:val="22"/>
          <w:color w:val="auto"/>
        </w:rPr>
        <w:t>In the event a Change in Control does not occur within two years of a Potential Change in Control or, earlier if, within such two year period, the Chief Executive Officer of the Company determines that the Potential Change in Control no longer exists in accordance with Section 15(b), the Company shall have the right to recover any amounts contributed to and remaining on hand in the Trust pursuant to a payment made upon the occurrence of a Potential Change in Control in accordance with Section 1(h).</w:t>
      </w:r>
    </w:p>
    <w:p>
      <w:pPr>
        <w:spacing w:after="0" w:line="232" w:lineRule="exact"/>
        <w:rPr>
          <w:rFonts w:ascii="Arial" w:cs="Arial" w:eastAsia="Arial" w:hAnsi="Arial"/>
          <w:sz w:val="22"/>
          <w:szCs w:val="22"/>
          <w:color w:val="auto"/>
        </w:rPr>
      </w:pPr>
    </w:p>
    <w:p>
      <w:pPr>
        <w:ind w:left="660" w:hanging="328"/>
        <w:spacing w:after="0" w:line="285" w:lineRule="auto"/>
        <w:tabs>
          <w:tab w:leader="none" w:pos="660" w:val="left"/>
        </w:tabs>
        <w:numPr>
          <w:ilvl w:val="0"/>
          <w:numId w:val="88"/>
        </w:numPr>
        <w:rPr>
          <w:rFonts w:ascii="Arial" w:cs="Arial" w:eastAsia="Arial" w:hAnsi="Arial"/>
          <w:sz w:val="19"/>
          <w:szCs w:val="19"/>
          <w:color w:val="auto"/>
        </w:rPr>
      </w:pPr>
      <w:r>
        <w:rPr>
          <w:rFonts w:ascii="Arial" w:cs="Arial" w:eastAsia="Arial" w:hAnsi="Arial"/>
          <w:sz w:val="19"/>
          <w:szCs w:val="19"/>
          <w:color w:val="auto"/>
        </w:rPr>
        <w:t>At the direction of the Company, the Trustee shall establish separate subtrusts for separate Arrangements or groups of Participants covered by the Trust. At the discretion of the Company, such subtrusts may reflect a segregation of particular assets or may reflect an undivided interest in the assets of the Trust, not requiring any segregation of assets. If a Triggering Event occurs, the Trustee shall establish a separate subtrust for all then-existing Participants in the Arrangement (or, at the written direction of either the Company or the Executive Compensation Committee of the Board of Directors (the “</w:t>
      </w:r>
      <w:r>
        <w:rPr>
          <w:rFonts w:ascii="Arial" w:cs="Arial" w:eastAsia="Arial" w:hAnsi="Arial"/>
          <w:sz w:val="19"/>
          <w:szCs w:val="19"/>
          <w:b w:val="1"/>
          <w:bCs w:val="1"/>
          <w:color w:val="auto"/>
        </w:rPr>
        <w:t>Committee</w:t>
      </w:r>
      <w:r>
        <w:rPr>
          <w:rFonts w:ascii="Arial" w:cs="Arial" w:eastAsia="Arial" w:hAnsi="Arial"/>
          <w:sz w:val="19"/>
          <w:szCs w:val="19"/>
          <w:color w:val="auto"/>
        </w:rPr>
        <w:t>”), for each Participant in the Arrangement who is covered by the Trust). The subtrust established for all then-existing Participants upon a Triggering Event shall require segregation of particular assets. However, individual subtrusts established for each Participant may reflect an undivided interest in the assets of the subtrust for all then-existing Participants and shall not require segregation of particular assets among particular individual subtrusts. Whenever separate subtrusts are established, the then-existing assets of the Trust or affected portion thereof shall be allocated, as directed by the Committee, in proportion to the vested accrued benefits, and, then, if any assets remain, the unvested (if any) accrued benefits of the Participants affected thereby, in both instances as of the end of the month immediately preceding such allocation. With respect to any new contributions to the Trust by the Company after separate subtrusts have been established, the Company shall designate the subtrust for which such contributions are made. Except as provided in Section 5(b) herein, after separate subtrusts are established, assets allocated to one subtrust may not be utilized to provide benefits under any other subtrust until all benefits payable under such subtrust have been paid in full. Payments to general creditors in the event of the Company becoming Insolvent shall be charged against the subtrusts in proportion to their account balances, except that payment of benefits to a Participant as a general creditor shall be charged against the subtrust for that Participant.</w:t>
      </w:r>
    </w:p>
    <w:p>
      <w:pPr>
        <w:spacing w:after="0" w:line="200" w:lineRule="exact"/>
        <w:rPr>
          <w:rFonts w:ascii="Arial" w:cs="Arial" w:eastAsia="Arial" w:hAnsi="Arial"/>
          <w:sz w:val="19"/>
          <w:szCs w:val="19"/>
          <w:color w:val="auto"/>
        </w:rPr>
      </w:pPr>
    </w:p>
    <w:p>
      <w:pPr>
        <w:spacing w:after="0" w:line="261" w:lineRule="exact"/>
        <w:rPr>
          <w:rFonts w:ascii="Arial" w:cs="Arial" w:eastAsia="Arial" w:hAnsi="Arial"/>
          <w:sz w:val="19"/>
          <w:szCs w:val="19"/>
          <w:color w:val="auto"/>
        </w:rPr>
      </w:pPr>
    </w:p>
    <w:p>
      <w:pPr>
        <w:ind w:left="660" w:right="120" w:hanging="328"/>
        <w:spacing w:after="0" w:line="253" w:lineRule="auto"/>
        <w:tabs>
          <w:tab w:leader="none" w:pos="660" w:val="left"/>
        </w:tabs>
        <w:numPr>
          <w:ilvl w:val="0"/>
          <w:numId w:val="88"/>
        </w:numPr>
        <w:rPr>
          <w:rFonts w:ascii="Arial" w:cs="Arial" w:eastAsia="Arial" w:hAnsi="Arial"/>
          <w:sz w:val="22"/>
          <w:szCs w:val="22"/>
          <w:color w:val="auto"/>
        </w:rPr>
      </w:pPr>
      <w:r>
        <w:rPr>
          <w:rFonts w:ascii="Arial" w:cs="Arial" w:eastAsia="Arial" w:hAnsi="Arial"/>
          <w:sz w:val="22"/>
          <w:szCs w:val="22"/>
          <w:color w:val="auto"/>
        </w:rPr>
        <w:t>Notwithstanding the foregoing provisions or any other provision of the Arrangements, no contribution shall be required or made if such contribution would violate the provisions of IRC Section 409A and any applicable authorities promulgated thereunder.</w:t>
      </w:r>
    </w:p>
    <w:p>
      <w:pPr>
        <w:spacing w:after="0" w:line="200" w:lineRule="exact"/>
        <w:rPr>
          <w:sz w:val="20"/>
          <w:szCs w:val="20"/>
          <w:color w:val="auto"/>
        </w:rPr>
      </w:pPr>
    </w:p>
    <w:p>
      <w:pPr>
        <w:spacing w:after="0" w:line="26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40"/>
          </w:cols>
          <w:pgMar w:left="240" w:top="591" w:right="319" w:bottom="1440" w:gutter="0" w:footer="0" w:header="0"/>
        </w:sectPr>
      </w:pPr>
    </w:p>
    <w:bookmarkStart w:id="175" w:name="page176"/>
    <w:bookmarkEnd w:id="175"/>
    <w:p>
      <w:pPr>
        <w:spacing w:after="0"/>
        <w:rPr>
          <w:sz w:val="20"/>
          <w:szCs w:val="20"/>
          <w:color w:val="auto"/>
        </w:rPr>
      </w:pPr>
      <w:r>
        <w:rPr>
          <w:rFonts w:ascii="Arial" w:cs="Arial" w:eastAsia="Arial" w:hAnsi="Arial"/>
          <w:sz w:val="22"/>
          <w:szCs w:val="22"/>
          <w:b w:val="1"/>
          <w:bCs w:val="1"/>
          <w:i w:val="1"/>
          <w:iCs w:val="1"/>
          <w:color w:val="auto"/>
        </w:rPr>
        <w:t>ALLETE, Inc. Amended and Restated Director Compensation Trust Agreement</w:t>
      </w: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2.</w:t>
      </w:r>
      <w:r>
        <w:rPr>
          <w:rFonts w:ascii="Arial" w:cs="Arial" w:eastAsia="Arial" w:hAnsi="Arial"/>
          <w:sz w:val="22"/>
          <w:szCs w:val="22"/>
          <w:b w:val="1"/>
          <w:bCs w:val="1"/>
          <w:u w:val="single" w:color="auto"/>
          <w:color w:val="auto"/>
        </w:rPr>
        <w:t>Payments to Participants</w:t>
      </w:r>
    </w:p>
    <w:p>
      <w:pPr>
        <w:spacing w:after="0" w:line="266" w:lineRule="exact"/>
        <w:rPr>
          <w:sz w:val="20"/>
          <w:szCs w:val="20"/>
          <w:color w:val="auto"/>
        </w:rPr>
      </w:pPr>
    </w:p>
    <w:p>
      <w:pPr>
        <w:ind w:left="660" w:right="140" w:hanging="328"/>
        <w:spacing w:after="0" w:line="292" w:lineRule="auto"/>
        <w:tabs>
          <w:tab w:leader="none" w:pos="660" w:val="left"/>
        </w:tabs>
        <w:numPr>
          <w:ilvl w:val="0"/>
          <w:numId w:val="89"/>
        </w:numPr>
        <w:rPr>
          <w:rFonts w:ascii="Arial" w:cs="Arial" w:eastAsia="Arial" w:hAnsi="Arial"/>
          <w:sz w:val="19"/>
          <w:szCs w:val="19"/>
          <w:color w:val="auto"/>
        </w:rPr>
      </w:pPr>
      <w:r>
        <w:rPr>
          <w:rFonts w:ascii="Arial" w:cs="Arial" w:eastAsia="Arial" w:hAnsi="Arial"/>
          <w:sz w:val="19"/>
          <w:szCs w:val="19"/>
          <w:color w:val="auto"/>
        </w:rPr>
        <w:t>Prior to a Triggering Event, any distributions from the Trust shall be made by the Trustee to Participants at the direction of the Company. Prior to a Triggering Event, the entitlement of a Participant to benefits under the Arrangements shall be determined by the Committee, and any claim for such benefits shall be considered and reviewed under the procedures set out in the Arrangements. Prior to a Triggering Event, the Company may appoint a third-party administrator (“</w:t>
      </w:r>
      <w:r>
        <w:rPr>
          <w:rFonts w:ascii="Arial" w:cs="Arial" w:eastAsia="Arial" w:hAnsi="Arial"/>
          <w:sz w:val="19"/>
          <w:szCs w:val="19"/>
          <w:b w:val="1"/>
          <w:bCs w:val="1"/>
          <w:color w:val="auto"/>
        </w:rPr>
        <w:t>TPA</w:t>
      </w:r>
      <w:r>
        <w:rPr>
          <w:rFonts w:ascii="Arial" w:cs="Arial" w:eastAsia="Arial" w:hAnsi="Arial"/>
          <w:sz w:val="19"/>
          <w:szCs w:val="19"/>
          <w:color w:val="auto"/>
        </w:rPr>
        <w:t>”) to direct the Trustee with respect to the amount and timing of such payments. After a Triggering Event, the TPA previously appointed by the Company shall continue unless and until the Trustee shall appoint a new TPA to act on its behalf in directing the Trustee with respect to the amount and timing of payments from the Trust.</w:t>
      </w:r>
    </w:p>
    <w:p>
      <w:pPr>
        <w:spacing w:after="0" w:line="192" w:lineRule="exact"/>
        <w:rPr>
          <w:rFonts w:ascii="Arial" w:cs="Arial" w:eastAsia="Arial" w:hAnsi="Arial"/>
          <w:sz w:val="19"/>
          <w:szCs w:val="19"/>
          <w:color w:val="auto"/>
        </w:rPr>
      </w:pPr>
    </w:p>
    <w:p>
      <w:pPr>
        <w:ind w:left="660" w:hanging="328"/>
        <w:spacing w:after="0" w:line="289" w:lineRule="auto"/>
        <w:tabs>
          <w:tab w:leader="none" w:pos="660" w:val="left"/>
        </w:tabs>
        <w:numPr>
          <w:ilvl w:val="0"/>
          <w:numId w:val="89"/>
        </w:numPr>
        <w:rPr>
          <w:rFonts w:ascii="Arial" w:cs="Arial" w:eastAsia="Arial" w:hAnsi="Arial"/>
          <w:sz w:val="19"/>
          <w:szCs w:val="19"/>
          <w:color w:val="auto"/>
        </w:rPr>
      </w:pPr>
      <w:r>
        <w:rPr>
          <w:rFonts w:ascii="Arial" w:cs="Arial" w:eastAsia="Arial" w:hAnsi="Arial"/>
          <w:sz w:val="19"/>
          <w:szCs w:val="19"/>
          <w:color w:val="auto"/>
        </w:rPr>
        <w:t>The Company may direct the Trustee to make payments of benefits to Participants, or the Company may make payments of benefits directly to Participants as they become due under the terms of the Arrangements and may obtain full or partial reimbursement for such benefit payments from the Trust (or offset required contributions to the Trust) within twelve (12) months following the date such payments are made. In addition, if the principal of the Trust, and any earnings thereon, are not sufficient to make payments of benefits in accordance with the terms of the Arrangements, the Company shall make the balance of each such payment as it falls due in accordance with the Arrangements. The Trustee shall notify the Company when principal and earnings are not sufficient to make payments the Trustee has been directed to make by the Company, the Committee, or the TPA. Nothing in this Agreement shall relieve the Company of its liabilities to pay benefits due under the Arrangements except to the extent such liabilities are met by application of assets of the Trust.</w:t>
      </w:r>
    </w:p>
    <w:p>
      <w:pPr>
        <w:spacing w:after="0" w:line="198" w:lineRule="exact"/>
        <w:rPr>
          <w:rFonts w:ascii="Arial" w:cs="Arial" w:eastAsia="Arial" w:hAnsi="Arial"/>
          <w:sz w:val="19"/>
          <w:szCs w:val="19"/>
          <w:color w:val="auto"/>
        </w:rPr>
      </w:pPr>
    </w:p>
    <w:p>
      <w:pPr>
        <w:ind w:left="660" w:hanging="328"/>
        <w:spacing w:after="0" w:line="285" w:lineRule="auto"/>
        <w:tabs>
          <w:tab w:leader="none" w:pos="660" w:val="left"/>
        </w:tabs>
        <w:numPr>
          <w:ilvl w:val="0"/>
          <w:numId w:val="89"/>
        </w:numPr>
        <w:rPr>
          <w:rFonts w:ascii="Arial" w:cs="Arial" w:eastAsia="Arial" w:hAnsi="Arial"/>
          <w:sz w:val="19"/>
          <w:szCs w:val="19"/>
          <w:color w:val="auto"/>
        </w:rPr>
      </w:pPr>
      <w:r>
        <w:rPr>
          <w:rFonts w:ascii="Arial" w:cs="Arial" w:eastAsia="Arial" w:hAnsi="Arial"/>
          <w:sz w:val="19"/>
          <w:szCs w:val="19"/>
          <w:color w:val="auto"/>
        </w:rPr>
        <w:t>The Company shall deliver to the Trustee a schedule of benefits, to include state and federal tax withholding guidelines, due under the Arrangements on an annual basis. Immediately, as soon as administratively practicable, after a Potential Change in Control and before a Change in Control, the Company shall deliver to the Trustee an updated schedule of benefits due under the Arrangements. After a Triggering Event, the Trustee shall pay benefits (unless Company pays pursuant to Section 2(b)) due in accordance with such schedule. After a Triggering Event, the TPA shall make the determination of benefits due to Participants and shall provide the Trustee with an updated schedule, to include state and federal tax withholding guidelines, of benefits due; provided however, a Participant may make application to the Trustee for an independent decision as to the amount or form of their benefits due under the Arrangements. In making any determination required or permitted to be made by the Trustee under this Section, the Trustee shall, in each such case, reach its own independent determination, in its absolute and sole discretion, as to the Participant's entitlement to a payment hereunder. In making its determination, the Trustee may consult with and make such inquiries of such persons, including the Participant, the Company, legal counsel, actuaries or other persons, as the Trustee may reasonably deem necessary. Any reasonable costs incurred by the Trustee in arriving at its determination shall be reimbursed by the Company and, to the extent not paid by the Company within a reasonable time, shall be charged to the Trust. The Company waives any right to contest any amount paid over by the Trustee hereunder pursuant to a good faith determination made by the Trustee notwithstanding any claim by or on behalf of the Company (absent a legal violation or manifest abuse of discretion by the Trustee) that such payments should not be made.</w:t>
      </w: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591" w:right="279" w:bottom="1440" w:gutter="0" w:footer="0" w:header="0"/>
        </w:sectPr>
      </w:pPr>
    </w:p>
    <w:bookmarkStart w:id="176" w:name="page177"/>
    <w:bookmarkEnd w:id="176"/>
    <w:p>
      <w:pPr>
        <w:spacing w:after="0"/>
        <w:rPr>
          <w:sz w:val="20"/>
          <w:szCs w:val="20"/>
          <w:color w:val="auto"/>
        </w:rPr>
      </w:pPr>
      <w:r>
        <w:rPr>
          <w:rFonts w:ascii="Arial" w:cs="Arial" w:eastAsia="Arial" w:hAnsi="Arial"/>
          <w:sz w:val="22"/>
          <w:szCs w:val="22"/>
          <w:b w:val="1"/>
          <w:bCs w:val="1"/>
          <w:i w:val="1"/>
          <w:iCs w:val="1"/>
          <w:color w:val="auto"/>
        </w:rPr>
        <w:t>ALLETE, Inc. Amended and Restated Director Compensation Trust Agreement</w:t>
      </w:r>
    </w:p>
    <w:p>
      <w:pPr>
        <w:spacing w:after="0" w:line="260" w:lineRule="exact"/>
        <w:rPr>
          <w:sz w:val="20"/>
          <w:szCs w:val="20"/>
          <w:color w:val="auto"/>
        </w:rPr>
      </w:pPr>
    </w:p>
    <w:p>
      <w:pPr>
        <w:ind w:left="660" w:right="160" w:hanging="328"/>
        <w:spacing w:after="0" w:line="294" w:lineRule="auto"/>
        <w:tabs>
          <w:tab w:leader="none" w:pos="660" w:val="left"/>
        </w:tabs>
        <w:numPr>
          <w:ilvl w:val="0"/>
          <w:numId w:val="90"/>
        </w:numPr>
        <w:rPr>
          <w:rFonts w:ascii="Arial" w:cs="Arial" w:eastAsia="Arial" w:hAnsi="Arial"/>
          <w:sz w:val="19"/>
          <w:szCs w:val="19"/>
          <w:color w:val="auto"/>
        </w:rPr>
      </w:pPr>
      <w:r>
        <w:rPr>
          <w:rFonts w:ascii="Arial" w:cs="Arial" w:eastAsia="Arial" w:hAnsi="Arial"/>
          <w:sz w:val="19"/>
          <w:szCs w:val="19"/>
          <w:color w:val="auto"/>
        </w:rPr>
        <w:t>The Trustee agrees that it will not itself institute any action at law or at equity, whether in the nature of an accounting, interpleading action, request for a declaratory judgment or otherwise, requesting a court or administrative or quasi-judicial body to make the determination required to be made by the Trustee under this Section 2 in the place and stead of the Trustee. The Trustee may (and, if necessary or appropriate, shall) institute an action to collect a contribution due the Trust following a Triggering Event or in the event that the Trust should ever experience a short-fall in the amount of assets necessary to make payments pursuant to the terms of the Arrangements.</w:t>
      </w:r>
    </w:p>
    <w:p>
      <w:pPr>
        <w:spacing w:after="0" w:line="184"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b w:val="1"/>
          <w:bCs w:val="1"/>
          <w:color w:val="auto"/>
        </w:rPr>
        <w:t>Section 3.</w:t>
      </w:r>
      <w:r>
        <w:rPr>
          <w:sz w:val="20"/>
          <w:szCs w:val="20"/>
          <w:color w:val="auto"/>
        </w:rPr>
        <w:tab/>
      </w:r>
      <w:r>
        <w:rPr>
          <w:rFonts w:ascii="Arial" w:cs="Arial" w:eastAsia="Arial" w:hAnsi="Arial"/>
          <w:sz w:val="19"/>
          <w:szCs w:val="19"/>
          <w:b w:val="1"/>
          <w:bCs w:val="1"/>
          <w:color w:val="auto"/>
        </w:rPr>
        <w:t>Trustee Responsibility Regarding Payments</w:t>
      </w:r>
    </w:p>
    <w:p>
      <w:pPr>
        <w:spacing w:after="0" w:line="28" w:lineRule="exact"/>
        <w:rPr>
          <w:sz w:val="20"/>
          <w:szCs w:val="20"/>
          <w:color w:val="auto"/>
        </w:rPr>
      </w:pPr>
    </w:p>
    <w:p>
      <w:pPr>
        <w:ind w:left="1960"/>
        <w:spacing w:after="0"/>
        <w:rPr>
          <w:sz w:val="20"/>
          <w:szCs w:val="20"/>
          <w:color w:val="auto"/>
        </w:rPr>
      </w:pPr>
      <w:r>
        <w:rPr>
          <w:rFonts w:ascii="Arial" w:cs="Arial" w:eastAsia="Arial" w:hAnsi="Arial"/>
          <w:sz w:val="22"/>
          <w:szCs w:val="22"/>
          <w:b w:val="1"/>
          <w:bCs w:val="1"/>
          <w:u w:val="single" w:color="auto"/>
          <w:color w:val="auto"/>
        </w:rPr>
        <w:t>To The Trust Beneficiary When The Company Is Insolvent</w:t>
      </w:r>
    </w:p>
    <w:p>
      <w:pPr>
        <w:spacing w:after="0" w:line="242" w:lineRule="exact"/>
        <w:rPr>
          <w:sz w:val="20"/>
          <w:szCs w:val="20"/>
          <w:color w:val="auto"/>
        </w:rPr>
      </w:pPr>
    </w:p>
    <w:p>
      <w:pPr>
        <w:ind w:left="660" w:right="160" w:hanging="328"/>
        <w:spacing w:after="0" w:line="312" w:lineRule="auto"/>
        <w:tabs>
          <w:tab w:leader="none" w:pos="660" w:val="left"/>
        </w:tabs>
        <w:numPr>
          <w:ilvl w:val="0"/>
          <w:numId w:val="91"/>
        </w:numPr>
        <w:rPr>
          <w:rFonts w:ascii="Arial" w:cs="Arial" w:eastAsia="Arial" w:hAnsi="Arial"/>
          <w:sz w:val="19"/>
          <w:szCs w:val="19"/>
          <w:color w:val="auto"/>
        </w:rPr>
      </w:pPr>
      <w:r>
        <w:rPr>
          <w:rFonts w:ascii="Arial" w:cs="Arial" w:eastAsia="Arial" w:hAnsi="Arial"/>
          <w:sz w:val="19"/>
          <w:szCs w:val="19"/>
          <w:color w:val="auto"/>
        </w:rPr>
        <w:t>The Trustee shall cease payment of benefits to Participants if the Company is Insolvent. The Company shall be considered “</w:t>
      </w:r>
      <w:r>
        <w:rPr>
          <w:rFonts w:ascii="Arial" w:cs="Arial" w:eastAsia="Arial" w:hAnsi="Arial"/>
          <w:sz w:val="19"/>
          <w:szCs w:val="19"/>
          <w:b w:val="1"/>
          <w:bCs w:val="1"/>
          <w:color w:val="auto"/>
        </w:rPr>
        <w:t>Insolvent</w:t>
      </w:r>
      <w:r>
        <w:rPr>
          <w:rFonts w:ascii="Arial" w:cs="Arial" w:eastAsia="Arial" w:hAnsi="Arial"/>
          <w:sz w:val="19"/>
          <w:szCs w:val="19"/>
          <w:color w:val="auto"/>
        </w:rPr>
        <w:t>” for purposes of this Trust Agreement if (i) the Company is unable to pay its debts as they become due, or (ii) the Company is subject to a pending proceeding as a debtor under the United States Bankruptcy Code.</w:t>
      </w:r>
    </w:p>
    <w:p>
      <w:pPr>
        <w:spacing w:after="0" w:line="174" w:lineRule="exact"/>
        <w:rPr>
          <w:rFonts w:ascii="Arial" w:cs="Arial" w:eastAsia="Arial" w:hAnsi="Arial"/>
          <w:sz w:val="19"/>
          <w:szCs w:val="19"/>
          <w:color w:val="auto"/>
        </w:rPr>
      </w:pPr>
    </w:p>
    <w:p>
      <w:pPr>
        <w:ind w:left="660" w:right="140" w:hanging="328"/>
        <w:spacing w:after="0" w:line="263" w:lineRule="auto"/>
        <w:tabs>
          <w:tab w:leader="none" w:pos="660" w:val="left"/>
        </w:tabs>
        <w:numPr>
          <w:ilvl w:val="0"/>
          <w:numId w:val="91"/>
        </w:numPr>
        <w:rPr>
          <w:rFonts w:ascii="Arial" w:cs="Arial" w:eastAsia="Arial" w:hAnsi="Arial"/>
          <w:sz w:val="22"/>
          <w:szCs w:val="22"/>
          <w:color w:val="auto"/>
        </w:rPr>
      </w:pPr>
      <w:r>
        <w:rPr>
          <w:rFonts w:ascii="Arial" w:cs="Arial" w:eastAsia="Arial" w:hAnsi="Arial"/>
          <w:sz w:val="22"/>
          <w:szCs w:val="22"/>
          <w:color w:val="auto"/>
        </w:rPr>
        <w:t>At all times during the continuance of this Trust, the principal and income of the Trust shall be subject to claims of general unsecured creditors of the Company under federal and state law as set forth below.</w:t>
      </w:r>
    </w:p>
    <w:p>
      <w:pPr>
        <w:spacing w:after="0" w:line="215" w:lineRule="exact"/>
        <w:rPr>
          <w:rFonts w:ascii="Arial" w:cs="Arial" w:eastAsia="Arial" w:hAnsi="Arial"/>
          <w:sz w:val="22"/>
          <w:szCs w:val="22"/>
          <w:color w:val="auto"/>
        </w:rPr>
      </w:pPr>
    </w:p>
    <w:p>
      <w:pPr>
        <w:jc w:val="both"/>
        <w:ind w:left="1300" w:right="60" w:hanging="644"/>
        <w:spacing w:after="0" w:line="302" w:lineRule="auto"/>
        <w:tabs>
          <w:tab w:leader="none" w:pos="1300" w:val="left"/>
        </w:tabs>
        <w:numPr>
          <w:ilvl w:val="1"/>
          <w:numId w:val="91"/>
        </w:numPr>
        <w:rPr>
          <w:rFonts w:ascii="Arial" w:cs="Arial" w:eastAsia="Arial" w:hAnsi="Arial"/>
          <w:sz w:val="19"/>
          <w:szCs w:val="19"/>
          <w:color w:val="auto"/>
        </w:rPr>
      </w:pPr>
      <w:r>
        <w:rPr>
          <w:rFonts w:ascii="Arial" w:cs="Arial" w:eastAsia="Arial" w:hAnsi="Arial"/>
          <w:sz w:val="19"/>
          <w:szCs w:val="19"/>
          <w:color w:val="auto"/>
        </w:rPr>
        <w:t>The Board of Directors and the Chief Executive Officer of the Company shall have the duty to inform the Trustee in writing that the Company is Insolvent. If a person claiming to be a creditor of the Company alleges in writing to the Trustee that the Company has become Insolvent, the Trustee shall determine whether the Company is Insolvent and, pending such determination, the Trustee shall discontinue payment of benefits to Participants.</w:t>
      </w:r>
    </w:p>
    <w:p>
      <w:pPr>
        <w:spacing w:after="0" w:line="183" w:lineRule="exact"/>
        <w:rPr>
          <w:rFonts w:ascii="Arial" w:cs="Arial" w:eastAsia="Arial" w:hAnsi="Arial"/>
          <w:sz w:val="19"/>
          <w:szCs w:val="19"/>
          <w:color w:val="auto"/>
        </w:rPr>
      </w:pPr>
    </w:p>
    <w:p>
      <w:pPr>
        <w:ind w:left="1300" w:right="20" w:hanging="644"/>
        <w:spacing w:after="0" w:line="263" w:lineRule="auto"/>
        <w:tabs>
          <w:tab w:leader="none" w:pos="1300" w:val="left"/>
        </w:tabs>
        <w:numPr>
          <w:ilvl w:val="1"/>
          <w:numId w:val="91"/>
        </w:numPr>
        <w:rPr>
          <w:rFonts w:ascii="Arial" w:cs="Arial" w:eastAsia="Arial" w:hAnsi="Arial"/>
          <w:sz w:val="21"/>
          <w:szCs w:val="21"/>
          <w:color w:val="auto"/>
        </w:rPr>
      </w:pPr>
      <w:r>
        <w:rPr>
          <w:rFonts w:ascii="Arial" w:cs="Arial" w:eastAsia="Arial" w:hAnsi="Arial"/>
          <w:sz w:val="21"/>
          <w:szCs w:val="21"/>
          <w:color w:val="auto"/>
        </w:rPr>
        <w:t>Unless the Trustee has actual knowledge that the Company is Insolvent, or has received notice from the Company or a person claiming to be a creditor alleging that the Company is Insolvent, the Trustee shall have no duty to inquire whether the Company is Insolvent. The Trustee may in all events rely on such evidence concerning the Company's solvency as may be furnished to the Trustee and that provides the Trustee with a reasonable basis for making a determination concerning the Company's solvency.</w:t>
      </w:r>
    </w:p>
    <w:p>
      <w:pPr>
        <w:spacing w:after="0" w:line="216" w:lineRule="exact"/>
        <w:rPr>
          <w:rFonts w:ascii="Arial" w:cs="Arial" w:eastAsia="Arial" w:hAnsi="Arial"/>
          <w:sz w:val="21"/>
          <w:szCs w:val="21"/>
          <w:color w:val="auto"/>
        </w:rPr>
      </w:pPr>
    </w:p>
    <w:p>
      <w:pPr>
        <w:ind w:left="1300" w:hanging="644"/>
        <w:spacing w:after="0" w:line="302" w:lineRule="auto"/>
        <w:tabs>
          <w:tab w:leader="none" w:pos="1300" w:val="left"/>
        </w:tabs>
        <w:numPr>
          <w:ilvl w:val="1"/>
          <w:numId w:val="91"/>
        </w:numPr>
        <w:rPr>
          <w:rFonts w:ascii="Arial" w:cs="Arial" w:eastAsia="Arial" w:hAnsi="Arial"/>
          <w:sz w:val="19"/>
          <w:szCs w:val="19"/>
          <w:color w:val="auto"/>
        </w:rPr>
      </w:pPr>
      <w:r>
        <w:rPr>
          <w:rFonts w:ascii="Arial" w:cs="Arial" w:eastAsia="Arial" w:hAnsi="Arial"/>
          <w:sz w:val="19"/>
          <w:szCs w:val="19"/>
          <w:color w:val="auto"/>
        </w:rPr>
        <w:t>If at any time the Trustee has determined that the Company is Insolvent, the Trustee shall discontinue payments to Participants and shall hold the assets of the Trust for the benefit of the Company's general creditors. Nothing in this Trust Agreement shall in any way diminish any rights of Participants to pursue their rights as general creditors of the Company with respect to benefits due under the Arrangements or otherwise.</w:t>
      </w:r>
    </w:p>
    <w:p>
      <w:pPr>
        <w:spacing w:after="0" w:line="1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591" w:right="259" w:bottom="1440" w:gutter="0" w:footer="0" w:header="0"/>
        </w:sectPr>
      </w:pPr>
    </w:p>
    <w:bookmarkStart w:id="177" w:name="page178"/>
    <w:bookmarkEnd w:id="177"/>
    <w:p>
      <w:pPr>
        <w:spacing w:after="0"/>
        <w:rPr>
          <w:sz w:val="20"/>
          <w:szCs w:val="20"/>
          <w:color w:val="auto"/>
        </w:rPr>
      </w:pPr>
      <w:r>
        <w:rPr>
          <w:rFonts w:ascii="Arial" w:cs="Arial" w:eastAsia="Arial" w:hAnsi="Arial"/>
          <w:sz w:val="22"/>
          <w:szCs w:val="22"/>
          <w:b w:val="1"/>
          <w:bCs w:val="1"/>
          <w:i w:val="1"/>
          <w:iCs w:val="1"/>
          <w:color w:val="auto"/>
        </w:rPr>
        <w:t>ALLETE, Inc. Amended and Restated Director Compensation Trust Agreement</w:t>
      </w:r>
    </w:p>
    <w:p>
      <w:pPr>
        <w:spacing w:after="0" w:line="260" w:lineRule="exact"/>
        <w:rPr>
          <w:sz w:val="20"/>
          <w:szCs w:val="20"/>
          <w:color w:val="auto"/>
        </w:rPr>
      </w:pPr>
    </w:p>
    <w:p>
      <w:pPr>
        <w:ind w:left="2440" w:right="380" w:hanging="1784"/>
        <w:spacing w:after="0" w:line="253" w:lineRule="auto"/>
        <w:tabs>
          <w:tab w:leader="none" w:pos="1306" w:val="left"/>
        </w:tabs>
        <w:numPr>
          <w:ilvl w:val="1"/>
          <w:numId w:val="92"/>
        </w:numPr>
        <w:rPr>
          <w:rFonts w:ascii="Arial" w:cs="Arial" w:eastAsia="Arial" w:hAnsi="Arial"/>
          <w:sz w:val="22"/>
          <w:szCs w:val="22"/>
          <w:color w:val="auto"/>
        </w:rPr>
      </w:pPr>
      <w:r>
        <w:rPr>
          <w:rFonts w:ascii="Arial" w:cs="Arial" w:eastAsia="Arial" w:hAnsi="Arial"/>
          <w:sz w:val="22"/>
          <w:szCs w:val="22"/>
          <w:color w:val="auto"/>
        </w:rPr>
        <w:t>The Trustee shall resume the payment of benefits to Participants in accordance with Section 2 of this Trust Agreement only after the Trustee has determined that the Company is not Insolvent (or is no longer Insolvent).</w:t>
      </w:r>
    </w:p>
    <w:p>
      <w:pPr>
        <w:spacing w:after="0" w:line="226" w:lineRule="exact"/>
        <w:rPr>
          <w:rFonts w:ascii="Arial" w:cs="Arial" w:eastAsia="Arial" w:hAnsi="Arial"/>
          <w:sz w:val="22"/>
          <w:szCs w:val="22"/>
          <w:color w:val="auto"/>
        </w:rPr>
      </w:pPr>
    </w:p>
    <w:p>
      <w:pPr>
        <w:ind w:left="660" w:right="20" w:hanging="328"/>
        <w:spacing w:after="0" w:line="297" w:lineRule="auto"/>
        <w:tabs>
          <w:tab w:leader="none" w:pos="660" w:val="left"/>
        </w:tabs>
        <w:numPr>
          <w:ilvl w:val="0"/>
          <w:numId w:val="93"/>
        </w:numPr>
        <w:rPr>
          <w:rFonts w:ascii="Arial" w:cs="Arial" w:eastAsia="Arial" w:hAnsi="Arial"/>
          <w:sz w:val="19"/>
          <w:szCs w:val="19"/>
          <w:color w:val="auto"/>
        </w:rPr>
      </w:pPr>
      <w:r>
        <w:rPr>
          <w:rFonts w:ascii="Arial" w:cs="Arial" w:eastAsia="Arial" w:hAnsi="Arial"/>
          <w:sz w:val="19"/>
          <w:szCs w:val="19"/>
          <w:color w:val="auto"/>
        </w:rPr>
        <w:t>Provided that there are sufficient assets, if the Trustee discontinues the payment of benefits from the Trust pursuant to Section 3(b) hereof and subsequently resumes such payments, the first payment following such discontinuance shall include the aggregate amount of all payments due to Participants under the terms of the Arrangements for the period of such discontinuance, less the aggregate amount of any payments made to Participants by the Company in lieu of the payments provided for hereunder during any such period of discontinuance.</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4.</w:t>
      </w:r>
      <w:r>
        <w:rPr>
          <w:rFonts w:ascii="Arial" w:cs="Arial" w:eastAsia="Arial" w:hAnsi="Arial"/>
          <w:sz w:val="22"/>
          <w:szCs w:val="22"/>
          <w:b w:val="1"/>
          <w:bCs w:val="1"/>
          <w:u w:val="single" w:color="auto"/>
          <w:color w:val="auto"/>
        </w:rPr>
        <w:t>Payments When a Short-Fall of The Trust Assets Occurs</w:t>
      </w:r>
    </w:p>
    <w:p>
      <w:pPr>
        <w:spacing w:after="0" w:line="266" w:lineRule="exact"/>
        <w:rPr>
          <w:sz w:val="20"/>
          <w:szCs w:val="20"/>
          <w:color w:val="auto"/>
        </w:rPr>
      </w:pPr>
    </w:p>
    <w:p>
      <w:pPr>
        <w:ind w:left="660" w:hanging="328"/>
        <w:spacing w:after="0" w:line="312" w:lineRule="auto"/>
        <w:tabs>
          <w:tab w:leader="none" w:pos="660" w:val="left"/>
        </w:tabs>
        <w:numPr>
          <w:ilvl w:val="0"/>
          <w:numId w:val="94"/>
        </w:numPr>
        <w:rPr>
          <w:rFonts w:ascii="Arial" w:cs="Arial" w:eastAsia="Arial" w:hAnsi="Arial"/>
          <w:sz w:val="19"/>
          <w:szCs w:val="19"/>
          <w:color w:val="auto"/>
        </w:rPr>
      </w:pPr>
      <w:r>
        <w:rPr>
          <w:rFonts w:ascii="Arial" w:cs="Arial" w:eastAsia="Arial" w:hAnsi="Arial"/>
          <w:sz w:val="19"/>
          <w:szCs w:val="19"/>
          <w:color w:val="auto"/>
        </w:rPr>
        <w:t>If there are not sufficient assets for the payment of current and expected future benefits pursuant to Section 2 or Section 3(c) hereof and the Company does not otherwise make such payments within a reasonable time after demand from the Trustee, the Trustee shall allocate the Trust assets among the Participants of a particular subtrust in the following order of priority:</w:t>
      </w:r>
    </w:p>
    <w:p>
      <w:pPr>
        <w:spacing w:after="0" w:line="174" w:lineRule="exact"/>
        <w:rPr>
          <w:rFonts w:ascii="Arial" w:cs="Arial" w:eastAsia="Arial" w:hAnsi="Arial"/>
          <w:sz w:val="19"/>
          <w:szCs w:val="19"/>
          <w:color w:val="auto"/>
        </w:rPr>
      </w:pPr>
    </w:p>
    <w:p>
      <w:pPr>
        <w:ind w:left="1960" w:hanging="750"/>
        <w:spacing w:after="0"/>
        <w:tabs>
          <w:tab w:leader="none" w:pos="1960" w:val="left"/>
        </w:tabs>
        <w:numPr>
          <w:ilvl w:val="1"/>
          <w:numId w:val="94"/>
        </w:numPr>
        <w:rPr>
          <w:rFonts w:ascii="Arial" w:cs="Arial" w:eastAsia="Arial" w:hAnsi="Arial"/>
          <w:sz w:val="22"/>
          <w:szCs w:val="22"/>
          <w:color w:val="auto"/>
        </w:rPr>
      </w:pPr>
      <w:r>
        <w:rPr>
          <w:rFonts w:ascii="Arial" w:cs="Arial" w:eastAsia="Arial" w:hAnsi="Arial"/>
          <w:sz w:val="22"/>
          <w:szCs w:val="22"/>
          <w:color w:val="auto"/>
        </w:rPr>
        <w:t>vested Participants; and</w:t>
      </w:r>
    </w:p>
    <w:p>
      <w:pPr>
        <w:spacing w:after="0" w:line="260" w:lineRule="exact"/>
        <w:rPr>
          <w:rFonts w:ascii="Arial" w:cs="Arial" w:eastAsia="Arial" w:hAnsi="Arial"/>
          <w:sz w:val="22"/>
          <w:szCs w:val="22"/>
          <w:color w:val="auto"/>
        </w:rPr>
      </w:pPr>
    </w:p>
    <w:p>
      <w:pPr>
        <w:ind w:left="1960" w:hanging="750"/>
        <w:spacing w:after="0"/>
        <w:tabs>
          <w:tab w:leader="none" w:pos="1960" w:val="left"/>
        </w:tabs>
        <w:numPr>
          <w:ilvl w:val="1"/>
          <w:numId w:val="94"/>
        </w:numPr>
        <w:rPr>
          <w:rFonts w:ascii="Arial" w:cs="Arial" w:eastAsia="Arial" w:hAnsi="Arial"/>
          <w:sz w:val="22"/>
          <w:szCs w:val="22"/>
          <w:color w:val="auto"/>
        </w:rPr>
      </w:pPr>
      <w:r>
        <w:rPr>
          <w:rFonts w:ascii="Arial" w:cs="Arial" w:eastAsia="Arial" w:hAnsi="Arial"/>
          <w:sz w:val="22"/>
          <w:szCs w:val="22"/>
          <w:color w:val="auto"/>
        </w:rPr>
        <w:t>non-vested Participants.</w:t>
      </w:r>
    </w:p>
    <w:p>
      <w:pPr>
        <w:spacing w:after="0" w:line="260" w:lineRule="exact"/>
        <w:rPr>
          <w:rFonts w:ascii="Arial" w:cs="Arial" w:eastAsia="Arial" w:hAnsi="Arial"/>
          <w:sz w:val="22"/>
          <w:szCs w:val="22"/>
          <w:color w:val="auto"/>
        </w:rPr>
      </w:pPr>
    </w:p>
    <w:p>
      <w:pPr>
        <w:ind w:left="660" w:right="80" w:hanging="328"/>
        <w:spacing w:after="0" w:line="302" w:lineRule="auto"/>
        <w:tabs>
          <w:tab w:leader="none" w:pos="660" w:val="left"/>
        </w:tabs>
        <w:numPr>
          <w:ilvl w:val="0"/>
          <w:numId w:val="94"/>
        </w:numPr>
        <w:rPr>
          <w:rFonts w:ascii="Arial" w:cs="Arial" w:eastAsia="Arial" w:hAnsi="Arial"/>
          <w:sz w:val="19"/>
          <w:szCs w:val="19"/>
          <w:color w:val="auto"/>
        </w:rPr>
      </w:pPr>
      <w:r>
        <w:rPr>
          <w:rFonts w:ascii="Arial" w:cs="Arial" w:eastAsia="Arial" w:hAnsi="Arial"/>
          <w:sz w:val="19"/>
          <w:szCs w:val="19"/>
          <w:color w:val="auto"/>
        </w:rPr>
        <w:t>Within each category, assets shall be allocated pro-rata with respect to the total present value of benefits expected for each Participant within the category, and payments due under the terms of the Arrangements to each Participant shall be made to the extent of the assets allocated to each Participant. For purposes of the foregoing, calculations of present values shall be performed within normal actuarial practice and within the most current Actuarial Standards of Practice.</w:t>
      </w:r>
    </w:p>
    <w:p>
      <w:pPr>
        <w:spacing w:after="0" w:line="183" w:lineRule="exact"/>
        <w:rPr>
          <w:rFonts w:ascii="Arial" w:cs="Arial" w:eastAsia="Arial" w:hAnsi="Arial"/>
          <w:sz w:val="19"/>
          <w:szCs w:val="19"/>
          <w:color w:val="auto"/>
        </w:rPr>
      </w:pPr>
    </w:p>
    <w:p>
      <w:pPr>
        <w:ind w:left="660" w:right="80" w:hanging="328"/>
        <w:spacing w:after="0" w:line="312" w:lineRule="auto"/>
        <w:tabs>
          <w:tab w:leader="none" w:pos="660" w:val="left"/>
        </w:tabs>
        <w:numPr>
          <w:ilvl w:val="0"/>
          <w:numId w:val="94"/>
        </w:numPr>
        <w:rPr>
          <w:rFonts w:ascii="Arial" w:cs="Arial" w:eastAsia="Arial" w:hAnsi="Arial"/>
          <w:sz w:val="19"/>
          <w:szCs w:val="19"/>
          <w:color w:val="auto"/>
        </w:rPr>
      </w:pPr>
      <w:r>
        <w:rPr>
          <w:rFonts w:ascii="Arial" w:cs="Arial" w:eastAsia="Arial" w:hAnsi="Arial"/>
          <w:sz w:val="19"/>
          <w:szCs w:val="19"/>
          <w:color w:val="auto"/>
        </w:rPr>
        <w:t>Upon receipt of a contribution from the Company necessary to make up for a short-fall in the payments due, the Trustee shall resume payments to all the Participants under the Arrangements. Following a Triggering Event, the Trustee shall have the right and duty to compel a contribution to the Trust from the Company to make-up for any short-fall.</w:t>
      </w:r>
    </w:p>
    <w:p>
      <w:pPr>
        <w:spacing w:after="0" w:line="168" w:lineRule="exact"/>
        <w:rPr>
          <w:sz w:val="20"/>
          <w:szCs w:val="20"/>
          <w:color w:val="auto"/>
        </w:rPr>
      </w:pPr>
    </w:p>
    <w:p>
      <w:pPr>
        <w:spacing w:after="0"/>
        <w:tabs>
          <w:tab w:leader="none" w:pos="1100" w:val="left"/>
        </w:tabs>
        <w:rPr>
          <w:sz w:val="20"/>
          <w:szCs w:val="20"/>
          <w:color w:val="auto"/>
        </w:rPr>
      </w:pPr>
      <w:r>
        <w:rPr>
          <w:rFonts w:ascii="Arial" w:cs="Arial" w:eastAsia="Arial" w:hAnsi="Arial"/>
          <w:sz w:val="22"/>
          <w:szCs w:val="22"/>
          <w:b w:val="1"/>
          <w:bCs w:val="1"/>
          <w:color w:val="auto"/>
        </w:rPr>
        <w:t>Section 5.</w:t>
      </w:r>
      <w:r>
        <w:rPr>
          <w:sz w:val="20"/>
          <w:szCs w:val="20"/>
          <w:color w:val="auto"/>
        </w:rPr>
        <w:tab/>
      </w:r>
      <w:r>
        <w:rPr>
          <w:rFonts w:ascii="Arial" w:cs="Arial" w:eastAsia="Arial" w:hAnsi="Arial"/>
          <w:sz w:val="19"/>
          <w:szCs w:val="19"/>
          <w:b w:val="1"/>
          <w:bCs w:val="1"/>
          <w:u w:val="single" w:color="auto"/>
          <w:color w:val="auto"/>
        </w:rPr>
        <w:t>Payments to the Company</w:t>
      </w:r>
    </w:p>
    <w:p>
      <w:pPr>
        <w:spacing w:after="0" w:line="266" w:lineRule="exact"/>
        <w:rPr>
          <w:sz w:val="20"/>
          <w:szCs w:val="20"/>
          <w:color w:val="auto"/>
        </w:rPr>
      </w:pPr>
    </w:p>
    <w:p>
      <w:pPr>
        <w:ind w:left="660" w:right="20" w:hanging="328"/>
        <w:spacing w:after="0" w:line="271" w:lineRule="auto"/>
        <w:tabs>
          <w:tab w:leader="none" w:pos="660" w:val="left"/>
        </w:tabs>
        <w:numPr>
          <w:ilvl w:val="0"/>
          <w:numId w:val="95"/>
        </w:numPr>
        <w:rPr>
          <w:rFonts w:ascii="Arial" w:cs="Arial" w:eastAsia="Arial" w:hAnsi="Arial"/>
          <w:sz w:val="21"/>
          <w:szCs w:val="21"/>
          <w:color w:val="auto"/>
        </w:rPr>
      </w:pPr>
      <w:r>
        <w:rPr>
          <w:rFonts w:ascii="Arial" w:cs="Arial" w:eastAsia="Arial" w:hAnsi="Arial"/>
          <w:sz w:val="21"/>
          <w:szCs w:val="21"/>
          <w:color w:val="auto"/>
        </w:rPr>
        <w:t>Except as provided in Section 1(i), Section 2, Section 3, Section 5(b), and Section 8 hereof, the Company shall have no right or power to direct the Trustee to return to the Company or to divert to others any of the Trust assets before all payment of benefits have been made to Participants pursuant to the terms of the Arrangements.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591" w:right="259" w:bottom="1440" w:gutter="0" w:footer="0" w:header="0"/>
        </w:sectPr>
      </w:pPr>
    </w:p>
    <w:bookmarkStart w:id="178" w:name="page179"/>
    <w:bookmarkEnd w:id="178"/>
    <w:p>
      <w:pPr>
        <w:spacing w:after="0"/>
        <w:rPr>
          <w:sz w:val="20"/>
          <w:szCs w:val="20"/>
          <w:color w:val="auto"/>
        </w:rPr>
      </w:pPr>
      <w:r>
        <w:rPr>
          <w:rFonts w:ascii="Arial" w:cs="Arial" w:eastAsia="Arial" w:hAnsi="Arial"/>
          <w:sz w:val="22"/>
          <w:szCs w:val="22"/>
          <w:b w:val="1"/>
          <w:bCs w:val="1"/>
          <w:i w:val="1"/>
          <w:iCs w:val="1"/>
          <w:color w:val="auto"/>
        </w:rPr>
        <w:t>ALLETE, Inc. Amended and Restated Director Compensation Trust Agreement</w:t>
      </w:r>
    </w:p>
    <w:p>
      <w:pPr>
        <w:spacing w:after="0" w:line="260" w:lineRule="exact"/>
        <w:rPr>
          <w:sz w:val="20"/>
          <w:szCs w:val="20"/>
          <w:color w:val="auto"/>
        </w:rPr>
      </w:pPr>
    </w:p>
    <w:p>
      <w:pPr>
        <w:ind w:left="660" w:right="20" w:hanging="328"/>
        <w:spacing w:after="0" w:line="287" w:lineRule="auto"/>
        <w:tabs>
          <w:tab w:leader="none" w:pos="660" w:val="left"/>
        </w:tabs>
        <w:numPr>
          <w:ilvl w:val="0"/>
          <w:numId w:val="96"/>
        </w:numPr>
        <w:rPr>
          <w:rFonts w:ascii="Arial" w:cs="Arial" w:eastAsia="Arial" w:hAnsi="Arial"/>
          <w:sz w:val="19"/>
          <w:szCs w:val="19"/>
          <w:color w:val="auto"/>
        </w:rPr>
      </w:pPr>
      <w:r>
        <w:rPr>
          <w:rFonts w:ascii="Arial" w:cs="Arial" w:eastAsia="Arial" w:hAnsi="Arial"/>
          <w:sz w:val="19"/>
          <w:szCs w:val="19"/>
          <w:color w:val="auto"/>
        </w:rPr>
        <w:t>In the event that the Company, prior to a Triggering Event, or the Trustee in its sole and absolute discretion, after a Triggering Event, determines that the Trust assets exceed one-hundred twenty-five percent (125%) of the anticipated benefit obligations and administrative expenses that are to be paid under the Arrangements and that all of the subtrusts' assets exceed one-hundred percent (100%) of the anticipated benefit obligations and administrative expenses that are to be paid under the Arrangements, the Trustee, at the written direction of the Company, prior to a Triggering Event, or the Trustee in its sole and absolute discretion, after a Triggering Event, shall distribute to the Company such excess portion of Trust assets. For purposes of the foregoing, in the event that the Company, prior to a Triggering Event, or the Trustee in its sole and absolute discretion, after a Triggering Event, determines that the Trust assets in a particular subtrust exceed one-hundred percent (100%) of the anticipated benefit obligations and administrative expenses that are to be paid under the Arrangements from such subtrust, such excess amounts may be allocated to other subtrusts whose assets are less than one-hundred percent (100%) of the anticipated benefit obligations and administrative expenses that are to be paid under the Arrangements from such subtrust.</w:t>
      </w:r>
    </w:p>
    <w:p>
      <w:pPr>
        <w:spacing w:after="0" w:line="200" w:lineRule="exact"/>
        <w:rPr>
          <w:sz w:val="20"/>
          <w:szCs w:val="20"/>
          <w:color w:val="auto"/>
        </w:rPr>
      </w:pPr>
    </w:p>
    <w:p>
      <w:pPr>
        <w:spacing w:after="0" w:line="256" w:lineRule="exact"/>
        <w:rPr>
          <w:sz w:val="20"/>
          <w:szCs w:val="20"/>
          <w:color w:val="auto"/>
        </w:rPr>
      </w:pPr>
    </w:p>
    <w:p>
      <w:pPr>
        <w:spacing w:after="0"/>
        <w:tabs>
          <w:tab w:leader="none" w:pos="1100" w:val="left"/>
        </w:tabs>
        <w:rPr>
          <w:sz w:val="20"/>
          <w:szCs w:val="20"/>
          <w:color w:val="auto"/>
        </w:rPr>
      </w:pPr>
      <w:r>
        <w:rPr>
          <w:rFonts w:ascii="Arial" w:cs="Arial" w:eastAsia="Arial" w:hAnsi="Arial"/>
          <w:sz w:val="22"/>
          <w:szCs w:val="22"/>
          <w:b w:val="1"/>
          <w:bCs w:val="1"/>
          <w:color w:val="auto"/>
        </w:rPr>
        <w:t>Section 6.</w:t>
      </w:r>
      <w:r>
        <w:rPr>
          <w:sz w:val="20"/>
          <w:szCs w:val="20"/>
          <w:color w:val="auto"/>
        </w:rPr>
        <w:tab/>
      </w:r>
      <w:r>
        <w:rPr>
          <w:rFonts w:ascii="Arial" w:cs="Arial" w:eastAsia="Arial" w:hAnsi="Arial"/>
          <w:sz w:val="19"/>
          <w:szCs w:val="19"/>
          <w:b w:val="1"/>
          <w:bCs w:val="1"/>
          <w:u w:val="single" w:color="auto"/>
          <w:color w:val="auto"/>
        </w:rPr>
        <w:t>Investment Authority</w:t>
      </w:r>
    </w:p>
    <w:p>
      <w:pPr>
        <w:spacing w:after="0" w:line="266" w:lineRule="exact"/>
        <w:rPr>
          <w:sz w:val="20"/>
          <w:szCs w:val="20"/>
          <w:color w:val="auto"/>
        </w:rPr>
      </w:pPr>
    </w:p>
    <w:p>
      <w:pPr>
        <w:ind w:left="880" w:right="60" w:hanging="318"/>
        <w:spacing w:after="0" w:line="263" w:lineRule="auto"/>
        <w:tabs>
          <w:tab w:leader="none" w:pos="880" w:val="left"/>
        </w:tabs>
        <w:numPr>
          <w:ilvl w:val="0"/>
          <w:numId w:val="97"/>
        </w:numPr>
        <w:rPr>
          <w:rFonts w:ascii="Arial" w:cs="Arial" w:eastAsia="Arial" w:hAnsi="Arial"/>
          <w:sz w:val="22"/>
          <w:szCs w:val="22"/>
          <w:color w:val="auto"/>
        </w:rPr>
      </w:pPr>
      <w:r>
        <w:rPr>
          <w:rFonts w:ascii="Arial" w:cs="Arial" w:eastAsia="Arial" w:hAnsi="Arial"/>
          <w:sz w:val="22"/>
          <w:szCs w:val="22"/>
          <w:color w:val="auto"/>
        </w:rPr>
        <w:t>Prior to a Triggering Event, the Company shall have the right, subject to this Section, to direct the Trustee with respect to investments.</w:t>
      </w:r>
    </w:p>
    <w:p>
      <w:pPr>
        <w:spacing w:after="0" w:line="215" w:lineRule="exact"/>
        <w:rPr>
          <w:rFonts w:ascii="Arial" w:cs="Arial" w:eastAsia="Arial" w:hAnsi="Arial"/>
          <w:sz w:val="22"/>
          <w:szCs w:val="22"/>
          <w:color w:val="auto"/>
        </w:rPr>
      </w:pPr>
    </w:p>
    <w:p>
      <w:pPr>
        <w:ind w:left="1300" w:right="100" w:hanging="644"/>
        <w:spacing w:after="0" w:line="261" w:lineRule="auto"/>
        <w:tabs>
          <w:tab w:leader="none" w:pos="1300" w:val="left"/>
        </w:tabs>
        <w:numPr>
          <w:ilvl w:val="1"/>
          <w:numId w:val="97"/>
        </w:numPr>
        <w:rPr>
          <w:rFonts w:ascii="Arial" w:cs="Arial" w:eastAsia="Arial" w:hAnsi="Arial"/>
          <w:sz w:val="21"/>
          <w:szCs w:val="21"/>
          <w:color w:val="auto"/>
        </w:rPr>
      </w:pPr>
      <w:r>
        <w:rPr>
          <w:rFonts w:ascii="Arial" w:cs="Arial" w:eastAsia="Arial" w:hAnsi="Arial"/>
          <w:sz w:val="21"/>
          <w:szCs w:val="21"/>
          <w:color w:val="auto"/>
        </w:rPr>
        <w:t>The Company may direct the Trustee to segregate all or a portion of the Fund in a separate investment account or accounts and may appoint one or more investment managers and/or an investment committee established by the Company to direct the investment and reinvestment of each such investment account or accounts. In such event, the Company shall notify the Trustee of the appointment of each such investment manager and/or investment committee. No such investment manager shall be related, directly or indirectly, to the Company, but members of the investment committee may be employees of the Company.</w:t>
      </w:r>
    </w:p>
    <w:p>
      <w:pPr>
        <w:spacing w:after="0" w:line="220" w:lineRule="exact"/>
        <w:rPr>
          <w:rFonts w:ascii="Arial" w:cs="Arial" w:eastAsia="Arial" w:hAnsi="Arial"/>
          <w:sz w:val="21"/>
          <w:szCs w:val="21"/>
          <w:color w:val="auto"/>
        </w:rPr>
      </w:pPr>
    </w:p>
    <w:p>
      <w:pPr>
        <w:ind w:left="1300" w:hanging="644"/>
        <w:spacing w:after="0" w:line="294" w:lineRule="auto"/>
        <w:tabs>
          <w:tab w:leader="none" w:pos="1300" w:val="left"/>
        </w:tabs>
        <w:numPr>
          <w:ilvl w:val="1"/>
          <w:numId w:val="97"/>
        </w:numPr>
        <w:rPr>
          <w:rFonts w:ascii="Arial" w:cs="Arial" w:eastAsia="Arial" w:hAnsi="Arial"/>
          <w:sz w:val="19"/>
          <w:szCs w:val="19"/>
          <w:color w:val="auto"/>
        </w:rPr>
      </w:pPr>
      <w:r>
        <w:rPr>
          <w:rFonts w:ascii="Arial" w:cs="Arial" w:eastAsia="Arial" w:hAnsi="Arial"/>
          <w:sz w:val="19"/>
          <w:szCs w:val="19"/>
          <w:color w:val="auto"/>
        </w:rPr>
        <w:t>Thereafter, until a Triggering Event, the Trustee shall make every sale or investment with respect to such investment account as directed in writing by the investment manager or investment committee. It shall be the duty of the Trustee to act strictly in accordance with each direction. The Trustee shall be under no duty to question any such direction of the investment manager or investment committee, to review any securities or other property held in such investment account or accounts acquired by it pursuant to such directions or to make any recommendations to the investment managers or investment committee with respect to such securities or other property.</w:t>
      </w:r>
    </w:p>
    <w:p>
      <w:pPr>
        <w:spacing w:after="0" w:line="190" w:lineRule="exact"/>
        <w:rPr>
          <w:rFonts w:ascii="Arial" w:cs="Arial" w:eastAsia="Arial" w:hAnsi="Arial"/>
          <w:sz w:val="19"/>
          <w:szCs w:val="19"/>
          <w:color w:val="auto"/>
        </w:rPr>
      </w:pPr>
    </w:p>
    <w:p>
      <w:pPr>
        <w:ind w:left="1300" w:right="80" w:hanging="644"/>
        <w:spacing w:after="0" w:line="246" w:lineRule="auto"/>
        <w:tabs>
          <w:tab w:leader="none" w:pos="1300" w:val="left"/>
        </w:tabs>
        <w:numPr>
          <w:ilvl w:val="1"/>
          <w:numId w:val="97"/>
        </w:numPr>
        <w:rPr>
          <w:rFonts w:ascii="Arial" w:cs="Arial" w:eastAsia="Arial" w:hAnsi="Arial"/>
          <w:sz w:val="22"/>
          <w:szCs w:val="22"/>
          <w:color w:val="auto"/>
        </w:rPr>
      </w:pPr>
      <w:r>
        <w:rPr>
          <w:rFonts w:ascii="Arial" w:cs="Arial" w:eastAsia="Arial" w:hAnsi="Arial"/>
          <w:sz w:val="22"/>
          <w:szCs w:val="22"/>
          <w:color w:val="auto"/>
        </w:rPr>
        <w:t>Notwithstanding the foregoing, the Trustee, without obtaining prior approval or direction from an investment manager or investment committee, shall invest cash balances held by it from time to time in short term cash equivalents including, but not limited to, through the medium of any short term common, collective, or commingled trust fund established and maintained by the Trustee subject to the instrument establishing such trust fund, U.S. Treasury Bills, commercial paper (including such forms of commercial paper as may be available through the Trustee's Trust Department), certificates of deposit (including certificates issued by the Trustee in its separate corporate capacity), and similar type</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91" w:right="239" w:bottom="1440" w:gutter="0" w:footer="0" w:header="0"/>
        </w:sectPr>
      </w:pPr>
    </w:p>
    <w:bookmarkStart w:id="179" w:name="page180"/>
    <w:bookmarkEnd w:id="179"/>
    <w:p>
      <w:pPr>
        <w:ind w:left="4"/>
        <w:spacing w:after="0"/>
        <w:rPr>
          <w:sz w:val="20"/>
          <w:szCs w:val="20"/>
          <w:color w:val="auto"/>
        </w:rPr>
      </w:pPr>
      <w:r>
        <w:rPr>
          <w:rFonts w:ascii="Arial" w:cs="Arial" w:eastAsia="Arial" w:hAnsi="Arial"/>
          <w:sz w:val="22"/>
          <w:szCs w:val="22"/>
          <w:b w:val="1"/>
          <w:bCs w:val="1"/>
          <w:i w:val="1"/>
          <w:iCs w:val="1"/>
          <w:color w:val="auto"/>
        </w:rPr>
        <w:t>ALLETE, Inc. Amended and Restated Director Compensation Trust Agreement</w:t>
      </w:r>
    </w:p>
    <w:p>
      <w:pPr>
        <w:spacing w:after="0" w:line="260" w:lineRule="exact"/>
        <w:rPr>
          <w:sz w:val="20"/>
          <w:szCs w:val="20"/>
          <w:color w:val="auto"/>
        </w:rPr>
      </w:pPr>
    </w:p>
    <w:p>
      <w:pPr>
        <w:ind w:left="644"/>
        <w:spacing w:after="0" w:line="253" w:lineRule="auto"/>
        <w:rPr>
          <w:sz w:val="20"/>
          <w:szCs w:val="20"/>
          <w:color w:val="auto"/>
        </w:rPr>
      </w:pPr>
      <w:r>
        <w:rPr>
          <w:rFonts w:ascii="Arial" w:cs="Arial" w:eastAsia="Arial" w:hAnsi="Arial"/>
          <w:sz w:val="22"/>
          <w:szCs w:val="22"/>
          <w:color w:val="auto"/>
        </w:rPr>
        <w:t>securities, with a maturity not to exceed one year; and, furthermore, sell such short term investments as may be necessary to carry out the instructions of an investment manager or investment committee regarding more permanent type investment and directed distributions.</w:t>
      </w:r>
    </w:p>
    <w:p>
      <w:pPr>
        <w:spacing w:after="0" w:line="226" w:lineRule="exact"/>
        <w:rPr>
          <w:sz w:val="20"/>
          <w:szCs w:val="20"/>
          <w:color w:val="auto"/>
        </w:rPr>
      </w:pPr>
    </w:p>
    <w:p>
      <w:pPr>
        <w:ind w:left="644" w:right="180" w:hanging="644"/>
        <w:spacing w:after="0" w:line="265" w:lineRule="auto"/>
        <w:tabs>
          <w:tab w:leader="none" w:pos="644" w:val="left"/>
        </w:tabs>
        <w:numPr>
          <w:ilvl w:val="0"/>
          <w:numId w:val="98"/>
        </w:numPr>
        <w:rPr>
          <w:rFonts w:ascii="Arial" w:cs="Arial" w:eastAsia="Arial" w:hAnsi="Arial"/>
          <w:sz w:val="21"/>
          <w:szCs w:val="21"/>
          <w:color w:val="auto"/>
        </w:rPr>
      </w:pPr>
      <w:r>
        <w:rPr>
          <w:rFonts w:ascii="Arial" w:cs="Arial" w:eastAsia="Arial" w:hAnsi="Arial"/>
          <w:sz w:val="21"/>
          <w:szCs w:val="21"/>
          <w:color w:val="auto"/>
        </w:rPr>
        <w:t>The Trustee shall neither be liable nor responsible for any loss resulting to the Fund by reason of any sale or purchase of an investment directed by an investment manager or investment committee nor by reason of the failure to take any action with respect to any investment which was acquired pursuant to any such direction in the absence of further directions of such investment manager or investment committee.</w:t>
      </w:r>
    </w:p>
    <w:p>
      <w:pPr>
        <w:spacing w:after="0" w:line="216" w:lineRule="exact"/>
        <w:rPr>
          <w:rFonts w:ascii="Arial" w:cs="Arial" w:eastAsia="Arial" w:hAnsi="Arial"/>
          <w:sz w:val="21"/>
          <w:szCs w:val="21"/>
          <w:color w:val="auto"/>
        </w:rPr>
      </w:pPr>
    </w:p>
    <w:p>
      <w:pPr>
        <w:ind w:left="1304" w:hanging="655"/>
        <w:spacing w:after="0" w:line="256" w:lineRule="auto"/>
        <w:tabs>
          <w:tab w:leader="none" w:pos="1304" w:val="left"/>
        </w:tabs>
        <w:numPr>
          <w:ilvl w:val="1"/>
          <w:numId w:val="98"/>
        </w:numPr>
        <w:rPr>
          <w:rFonts w:ascii="Arial" w:cs="Arial" w:eastAsia="Arial" w:hAnsi="Arial"/>
          <w:sz w:val="21"/>
          <w:szCs w:val="21"/>
          <w:color w:val="auto"/>
        </w:rPr>
      </w:pPr>
      <w:r>
        <w:rPr>
          <w:rFonts w:ascii="Arial" w:cs="Arial" w:eastAsia="Arial" w:hAnsi="Arial"/>
          <w:sz w:val="21"/>
          <w:szCs w:val="21"/>
          <w:color w:val="auto"/>
        </w:rPr>
        <w:t>Notwithstanding anything in this Agreement to the contrary, the Trustee shall be indemnified and saved harmless by the Company from and against any and all personal liability to which the Trustee may be subjected by carrying out any directions of an investment manager or investment committee issued pursuant hereto or for failure to act in the absence of directions of the investment manager or investment committee including all expenses reasonably incurred in its defense in the event the Company fails to provide such defense; provided, however, the Trustee shall not be so indemnified if it participates knowingly in, or knowingly undertakes to conceal, an act or omission of an investment manager or investment committee, having actual knowledge that such act or omission is a breach of a fiduciary duty; provided further, however, that the Trustee shall not be deemed to have knowingly participated in or knowingly undertaken to conceal an act or omission of an investment manager or investment committee with knowledge that such act or omission was a breach of fiduciary duty by merely complying with directions of an investment manager or investment committee or for failure to act in the absence of directions of an investment manager or investment committee. The Trustee may rely upon any order, certificate, notice, direction or other documentary confirmation purporting to have been issued by the investment manager or investment committee which the Trustee believes to be genuine and to have been issued by the investment manager or investment committee. The Trustee shall not be charged with knowledge of the termination of the appointment of any investment manager or investment committee until it receives written notice thereof from the Company.</w:t>
      </w:r>
    </w:p>
    <w:p>
      <w:pPr>
        <w:spacing w:after="0" w:line="238" w:lineRule="exact"/>
        <w:rPr>
          <w:rFonts w:ascii="Arial" w:cs="Arial" w:eastAsia="Arial" w:hAnsi="Arial"/>
          <w:sz w:val="21"/>
          <w:szCs w:val="21"/>
          <w:color w:val="auto"/>
        </w:rPr>
      </w:pPr>
    </w:p>
    <w:p>
      <w:pPr>
        <w:ind w:left="1304" w:right="80" w:hanging="655"/>
        <w:spacing w:after="0" w:line="263" w:lineRule="auto"/>
        <w:tabs>
          <w:tab w:leader="none" w:pos="1304" w:val="left"/>
        </w:tabs>
        <w:numPr>
          <w:ilvl w:val="1"/>
          <w:numId w:val="98"/>
        </w:numPr>
        <w:rPr>
          <w:rFonts w:ascii="Arial" w:cs="Arial" w:eastAsia="Arial" w:hAnsi="Arial"/>
          <w:sz w:val="22"/>
          <w:szCs w:val="22"/>
          <w:color w:val="auto"/>
        </w:rPr>
      </w:pPr>
      <w:r>
        <w:rPr>
          <w:rFonts w:ascii="Arial" w:cs="Arial" w:eastAsia="Arial" w:hAnsi="Arial"/>
          <w:sz w:val="22"/>
          <w:szCs w:val="22"/>
          <w:color w:val="auto"/>
        </w:rPr>
        <w:t>The Company, prior to a Triggering Event, may direct the Trustee to invest in securities (including stock and the rights to acquire stock) or obligations issued by the Company.</w:t>
      </w:r>
    </w:p>
    <w:p>
      <w:pPr>
        <w:spacing w:after="0" w:line="195" w:lineRule="exact"/>
        <w:rPr>
          <w:sz w:val="20"/>
          <w:szCs w:val="20"/>
          <w:color w:val="auto"/>
        </w:rPr>
      </w:pPr>
    </w:p>
    <w:p>
      <w:pPr>
        <w:ind w:left="5004"/>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764"/>
          </w:cols>
          <w:pgMar w:left="896" w:top="591" w:right="239" w:bottom="1440" w:gutter="0" w:footer="0" w:header="0"/>
        </w:sectPr>
      </w:pPr>
    </w:p>
    <w:bookmarkStart w:id="180" w:name="page181"/>
    <w:bookmarkEnd w:id="180"/>
    <w:p>
      <w:pPr>
        <w:spacing w:after="0"/>
        <w:rPr>
          <w:sz w:val="20"/>
          <w:szCs w:val="20"/>
          <w:color w:val="auto"/>
        </w:rPr>
      </w:pPr>
      <w:r>
        <w:rPr>
          <w:rFonts w:ascii="Arial" w:cs="Arial" w:eastAsia="Arial" w:hAnsi="Arial"/>
          <w:sz w:val="22"/>
          <w:szCs w:val="22"/>
          <w:b w:val="1"/>
          <w:bCs w:val="1"/>
          <w:i w:val="1"/>
          <w:iCs w:val="1"/>
          <w:color w:val="auto"/>
        </w:rPr>
        <w:t>ALLETE, Inc. Amended and Restated Director Compensation Trust Agreement</w:t>
      </w:r>
    </w:p>
    <w:p>
      <w:pPr>
        <w:spacing w:after="0" w:line="260" w:lineRule="exact"/>
        <w:rPr>
          <w:sz w:val="20"/>
          <w:szCs w:val="20"/>
          <w:color w:val="auto"/>
        </w:rPr>
      </w:pPr>
    </w:p>
    <w:p>
      <w:pPr>
        <w:ind w:left="1960" w:right="20" w:hanging="655"/>
        <w:spacing w:after="0" w:line="253" w:lineRule="auto"/>
        <w:tabs>
          <w:tab w:leader="none" w:pos="1960" w:val="left"/>
        </w:tabs>
        <w:numPr>
          <w:ilvl w:val="2"/>
          <w:numId w:val="99"/>
        </w:numPr>
        <w:rPr>
          <w:rFonts w:ascii="Arial" w:cs="Arial" w:eastAsia="Arial" w:hAnsi="Arial"/>
          <w:sz w:val="22"/>
          <w:szCs w:val="22"/>
          <w:color w:val="auto"/>
        </w:rPr>
      </w:pPr>
      <w:r>
        <w:rPr>
          <w:rFonts w:ascii="Arial" w:cs="Arial" w:eastAsia="Arial" w:hAnsi="Arial"/>
          <w:sz w:val="22"/>
          <w:szCs w:val="22"/>
          <w:color w:val="auto"/>
        </w:rPr>
        <w:t>All rights associated with respect to any investment held by the Trust, including but not limited to, exercising or voting of proxies, in person or by general or limited proxy, shall be in accordance with and as directed in writing by the Company or its authorized representative.</w:t>
      </w:r>
    </w:p>
    <w:p>
      <w:pPr>
        <w:spacing w:after="0" w:line="226" w:lineRule="exact"/>
        <w:rPr>
          <w:rFonts w:ascii="Arial" w:cs="Arial" w:eastAsia="Arial" w:hAnsi="Arial"/>
          <w:sz w:val="22"/>
          <w:szCs w:val="22"/>
          <w:color w:val="auto"/>
        </w:rPr>
      </w:pPr>
    </w:p>
    <w:p>
      <w:pPr>
        <w:ind w:left="880" w:right="920" w:hanging="318"/>
        <w:spacing w:after="0" w:line="263" w:lineRule="auto"/>
        <w:tabs>
          <w:tab w:leader="none" w:pos="880" w:val="left"/>
        </w:tabs>
        <w:numPr>
          <w:ilvl w:val="0"/>
          <w:numId w:val="100"/>
        </w:numPr>
        <w:rPr>
          <w:rFonts w:ascii="Arial" w:cs="Arial" w:eastAsia="Arial" w:hAnsi="Arial"/>
          <w:sz w:val="22"/>
          <w:szCs w:val="22"/>
          <w:color w:val="auto"/>
        </w:rPr>
      </w:pPr>
      <w:r>
        <w:rPr>
          <w:rFonts w:ascii="Arial" w:cs="Arial" w:eastAsia="Arial" w:hAnsi="Arial"/>
          <w:sz w:val="22"/>
          <w:szCs w:val="22"/>
          <w:color w:val="auto"/>
        </w:rPr>
        <w:t>Following a Triggering Event, the Trustee shall have the power in investing and reinvesting the Fund in its sole discretion, unless otherwise provided below:</w:t>
      </w:r>
    </w:p>
    <w:p>
      <w:pPr>
        <w:spacing w:after="0" w:line="215" w:lineRule="exact"/>
        <w:rPr>
          <w:rFonts w:ascii="Arial" w:cs="Arial" w:eastAsia="Arial" w:hAnsi="Arial"/>
          <w:sz w:val="22"/>
          <w:szCs w:val="22"/>
          <w:color w:val="auto"/>
        </w:rPr>
      </w:pPr>
    </w:p>
    <w:p>
      <w:pPr>
        <w:ind w:left="1300" w:hanging="644"/>
        <w:spacing w:after="0" w:line="287" w:lineRule="auto"/>
        <w:tabs>
          <w:tab w:leader="none" w:pos="1300" w:val="left"/>
        </w:tabs>
        <w:numPr>
          <w:ilvl w:val="1"/>
          <w:numId w:val="100"/>
        </w:numPr>
        <w:rPr>
          <w:rFonts w:ascii="Arial" w:cs="Arial" w:eastAsia="Arial" w:hAnsi="Arial"/>
          <w:sz w:val="19"/>
          <w:szCs w:val="19"/>
          <w:color w:val="auto"/>
        </w:rPr>
      </w:pPr>
      <w:r>
        <w:rPr>
          <w:rFonts w:ascii="Arial" w:cs="Arial" w:eastAsia="Arial" w:hAnsi="Arial"/>
          <w:sz w:val="19"/>
          <w:szCs w:val="19"/>
          <w:color w:val="auto"/>
        </w:rPr>
        <w:t>To invest and reinvest in any readily marketable common and preferred stocks (including any stock or security of the Company), bonds, notes, debentures (including convertible stocks and securities but not including any stock or security of the Trustee other than a de minimus amount held in a mutual fund), certificates of deposit or demand or time deposits (including any such deposits with the Trustee), limited partnerships or limited liability companies, private placements and shares of investment companies, and mutual funds, without being limited to the classes or property in which the Trustees are authorized to invest by any law or any rule of court of any state and without regard to the proportion any such property may bear to the entire amount of the Fund. Without limitation, the Trustee may invest the Trust in any investment company (including any investment company or companies for which Wells Fargo Bank, N.A. or an affiliated company acts as the investment advisor {“Special Investment Companies”}) or, any insurance contract or contracts issued by an insurance company or companies in each case as the Trustee may determine provided that the Trustee may in its sole discretion keep such portion of the Trust in cash or cash balances for such reasonable periods as may from time to time be deemed advisable pending investment or in order to meet contemplated payments of benefits;</w:t>
      </w:r>
    </w:p>
    <w:p>
      <w:pPr>
        <w:spacing w:after="0" w:line="200" w:lineRule="exact"/>
        <w:rPr>
          <w:rFonts w:ascii="Arial" w:cs="Arial" w:eastAsia="Arial" w:hAnsi="Arial"/>
          <w:sz w:val="19"/>
          <w:szCs w:val="19"/>
          <w:color w:val="auto"/>
        </w:rPr>
      </w:pPr>
    </w:p>
    <w:p>
      <w:pPr>
        <w:spacing w:after="0" w:line="257" w:lineRule="exact"/>
        <w:rPr>
          <w:rFonts w:ascii="Arial" w:cs="Arial" w:eastAsia="Arial" w:hAnsi="Arial"/>
          <w:sz w:val="19"/>
          <w:szCs w:val="19"/>
          <w:color w:val="auto"/>
        </w:rPr>
      </w:pPr>
    </w:p>
    <w:p>
      <w:pPr>
        <w:ind w:left="1300" w:right="20" w:hanging="644"/>
        <w:spacing w:after="0" w:line="263" w:lineRule="auto"/>
        <w:tabs>
          <w:tab w:leader="none" w:pos="1300" w:val="left"/>
        </w:tabs>
        <w:numPr>
          <w:ilvl w:val="1"/>
          <w:numId w:val="100"/>
        </w:numPr>
        <w:rPr>
          <w:rFonts w:ascii="Arial" w:cs="Arial" w:eastAsia="Arial" w:hAnsi="Arial"/>
          <w:sz w:val="22"/>
          <w:szCs w:val="22"/>
          <w:color w:val="auto"/>
        </w:rPr>
      </w:pPr>
      <w:r>
        <w:rPr>
          <w:rFonts w:ascii="Arial" w:cs="Arial" w:eastAsia="Arial" w:hAnsi="Arial"/>
          <w:sz w:val="22"/>
          <w:szCs w:val="22"/>
          <w:color w:val="auto"/>
        </w:rPr>
        <w:t>To invest and reinvest all or any portion of the Fund collectively through the medium of any proprietary mutual fund that may be established and maintained by the Trustee;</w:t>
      </w:r>
    </w:p>
    <w:p>
      <w:pPr>
        <w:spacing w:after="0" w:line="215" w:lineRule="exact"/>
        <w:rPr>
          <w:rFonts w:ascii="Arial" w:cs="Arial" w:eastAsia="Arial" w:hAnsi="Arial"/>
          <w:sz w:val="22"/>
          <w:szCs w:val="22"/>
          <w:color w:val="auto"/>
        </w:rPr>
      </w:pPr>
    </w:p>
    <w:p>
      <w:pPr>
        <w:jc w:val="both"/>
        <w:ind w:left="1300" w:right="200" w:hanging="644"/>
        <w:spacing w:after="0" w:line="253" w:lineRule="auto"/>
        <w:tabs>
          <w:tab w:leader="none" w:pos="1300" w:val="left"/>
        </w:tabs>
        <w:numPr>
          <w:ilvl w:val="1"/>
          <w:numId w:val="100"/>
        </w:numPr>
        <w:rPr>
          <w:rFonts w:ascii="Arial" w:cs="Arial" w:eastAsia="Arial" w:hAnsi="Arial"/>
          <w:sz w:val="22"/>
          <w:szCs w:val="22"/>
          <w:color w:val="auto"/>
        </w:rPr>
      </w:pPr>
      <w:r>
        <w:rPr>
          <w:rFonts w:ascii="Arial" w:cs="Arial" w:eastAsia="Arial" w:hAnsi="Arial"/>
          <w:sz w:val="22"/>
          <w:szCs w:val="22"/>
          <w:color w:val="auto"/>
        </w:rPr>
        <w:t>To commingle for investment purposes all or any portion of the Fund with assets of any other similar trust or trusts established by the Company with the Trustee for the purpose of safeguarding deferred compensation or retirement income benefits of its employees and/or directors;</w:t>
      </w:r>
    </w:p>
    <w:p>
      <w:pPr>
        <w:spacing w:after="0" w:line="226" w:lineRule="exact"/>
        <w:rPr>
          <w:rFonts w:ascii="Arial" w:cs="Arial" w:eastAsia="Arial" w:hAnsi="Arial"/>
          <w:sz w:val="22"/>
          <w:szCs w:val="22"/>
          <w:color w:val="auto"/>
        </w:rPr>
      </w:pPr>
    </w:p>
    <w:p>
      <w:pPr>
        <w:ind w:left="1300" w:hanging="644"/>
        <w:spacing w:after="0"/>
        <w:tabs>
          <w:tab w:leader="none" w:pos="1300" w:val="left"/>
        </w:tabs>
        <w:numPr>
          <w:ilvl w:val="1"/>
          <w:numId w:val="100"/>
        </w:numPr>
        <w:rPr>
          <w:rFonts w:ascii="Arial" w:cs="Arial" w:eastAsia="Arial" w:hAnsi="Arial"/>
          <w:sz w:val="22"/>
          <w:szCs w:val="22"/>
          <w:color w:val="auto"/>
        </w:rPr>
      </w:pPr>
      <w:r>
        <w:rPr>
          <w:rFonts w:ascii="Arial" w:cs="Arial" w:eastAsia="Arial" w:hAnsi="Arial"/>
          <w:sz w:val="22"/>
          <w:szCs w:val="22"/>
          <w:color w:val="auto"/>
        </w:rPr>
        <w:t>To retain any property at any time received by the Trustee;</w:t>
      </w:r>
    </w:p>
    <w:p>
      <w:pPr>
        <w:spacing w:after="0" w:line="260" w:lineRule="exact"/>
        <w:rPr>
          <w:rFonts w:ascii="Arial" w:cs="Arial" w:eastAsia="Arial" w:hAnsi="Arial"/>
          <w:sz w:val="22"/>
          <w:szCs w:val="22"/>
          <w:color w:val="auto"/>
        </w:rPr>
      </w:pPr>
    </w:p>
    <w:p>
      <w:pPr>
        <w:ind w:left="1300" w:right="100" w:hanging="644"/>
        <w:spacing w:after="0" w:line="312" w:lineRule="auto"/>
        <w:tabs>
          <w:tab w:leader="none" w:pos="1300" w:val="left"/>
        </w:tabs>
        <w:numPr>
          <w:ilvl w:val="1"/>
          <w:numId w:val="100"/>
        </w:numPr>
        <w:rPr>
          <w:rFonts w:ascii="Arial" w:cs="Arial" w:eastAsia="Arial" w:hAnsi="Arial"/>
          <w:sz w:val="19"/>
          <w:szCs w:val="19"/>
          <w:color w:val="auto"/>
        </w:rPr>
      </w:pPr>
      <w:r>
        <w:rPr>
          <w:rFonts w:ascii="Arial" w:cs="Arial" w:eastAsia="Arial" w:hAnsi="Arial"/>
          <w:sz w:val="19"/>
          <w:szCs w:val="19"/>
          <w:color w:val="auto"/>
        </w:rPr>
        <w:t>To sell or exchange any property held by it at public or private sale, for cash or on credit, to grant and exercise options for the purchase or exchange thereof, to exercise all conversion or subscription rights pertaining to any such property and to enter into any covenant or agreement to purchase any property in the future;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591" w:right="239" w:bottom="1440" w:gutter="0" w:footer="0" w:header="0"/>
        </w:sectPr>
      </w:pPr>
    </w:p>
    <w:bookmarkStart w:id="181" w:name="page182"/>
    <w:bookmarkEnd w:id="181"/>
    <w:p>
      <w:pPr>
        <w:spacing w:after="0"/>
        <w:rPr>
          <w:sz w:val="20"/>
          <w:szCs w:val="20"/>
          <w:color w:val="auto"/>
        </w:rPr>
      </w:pPr>
      <w:r>
        <w:rPr>
          <w:rFonts w:ascii="Arial" w:cs="Arial" w:eastAsia="Arial" w:hAnsi="Arial"/>
          <w:sz w:val="22"/>
          <w:szCs w:val="22"/>
          <w:b w:val="1"/>
          <w:bCs w:val="1"/>
          <w:i w:val="1"/>
          <w:iCs w:val="1"/>
          <w:color w:val="auto"/>
        </w:rPr>
        <w:t>ALLETE, Inc. Amended and Restated Director Compensation Trust Agreement</w:t>
      </w:r>
    </w:p>
    <w:p>
      <w:pPr>
        <w:spacing w:after="0" w:line="260" w:lineRule="exact"/>
        <w:rPr>
          <w:sz w:val="20"/>
          <w:szCs w:val="20"/>
          <w:color w:val="auto"/>
        </w:rPr>
      </w:pPr>
    </w:p>
    <w:p>
      <w:pPr>
        <w:jc w:val="both"/>
        <w:ind w:left="1300" w:right="320" w:hanging="644"/>
        <w:spacing w:after="0" w:line="253" w:lineRule="auto"/>
        <w:tabs>
          <w:tab w:leader="none" w:pos="1300" w:val="left"/>
        </w:tabs>
        <w:numPr>
          <w:ilvl w:val="0"/>
          <w:numId w:val="101"/>
        </w:numPr>
        <w:rPr>
          <w:rFonts w:ascii="Arial" w:cs="Arial" w:eastAsia="Arial" w:hAnsi="Arial"/>
          <w:sz w:val="22"/>
          <w:szCs w:val="22"/>
          <w:color w:val="auto"/>
        </w:rPr>
      </w:pPr>
      <w:r>
        <w:rPr>
          <w:rFonts w:ascii="Arial" w:cs="Arial" w:eastAsia="Arial" w:hAnsi="Arial"/>
          <w:sz w:val="22"/>
          <w:szCs w:val="22"/>
          <w:color w:val="auto"/>
        </w:rPr>
        <w:t>To participate in any plan of reorganization, consolidation, merger, combination, liquidation or other similar plan relating to property held by it and to consent to or oppose any such plan or any action thereunder or any contract, lease, mortgage, purchase, sale or other action by any person;</w:t>
      </w:r>
    </w:p>
    <w:p>
      <w:pPr>
        <w:spacing w:after="0" w:line="226" w:lineRule="exact"/>
        <w:rPr>
          <w:rFonts w:ascii="Arial" w:cs="Arial" w:eastAsia="Arial" w:hAnsi="Arial"/>
          <w:sz w:val="22"/>
          <w:szCs w:val="22"/>
          <w:color w:val="auto"/>
        </w:rPr>
      </w:pPr>
    </w:p>
    <w:p>
      <w:pPr>
        <w:ind w:left="1300" w:hanging="644"/>
        <w:spacing w:after="0" w:line="253" w:lineRule="auto"/>
        <w:tabs>
          <w:tab w:leader="none" w:pos="1300" w:val="left"/>
        </w:tabs>
        <w:numPr>
          <w:ilvl w:val="0"/>
          <w:numId w:val="101"/>
        </w:numPr>
        <w:rPr>
          <w:rFonts w:ascii="Arial" w:cs="Arial" w:eastAsia="Arial" w:hAnsi="Arial"/>
          <w:sz w:val="22"/>
          <w:szCs w:val="22"/>
          <w:color w:val="auto"/>
        </w:rPr>
      </w:pPr>
      <w:r>
        <w:rPr>
          <w:rFonts w:ascii="Arial" w:cs="Arial" w:eastAsia="Arial" w:hAnsi="Arial"/>
          <w:sz w:val="22"/>
          <w:szCs w:val="22"/>
          <w:color w:val="auto"/>
        </w:rPr>
        <w:t>To deposit any property held by it with any protective, reorganization or similar committee, to delegate discretionary power thereto, and to pay part of the expenses and compensation thereof for any assessments levied with respect to any such property to be deposited;</w:t>
      </w:r>
    </w:p>
    <w:p>
      <w:pPr>
        <w:spacing w:after="0" w:line="226" w:lineRule="exact"/>
        <w:rPr>
          <w:rFonts w:ascii="Arial" w:cs="Arial" w:eastAsia="Arial" w:hAnsi="Arial"/>
          <w:sz w:val="22"/>
          <w:szCs w:val="22"/>
          <w:color w:val="auto"/>
        </w:rPr>
      </w:pPr>
    </w:p>
    <w:p>
      <w:pPr>
        <w:ind w:left="1300" w:hanging="644"/>
        <w:spacing w:after="0"/>
        <w:tabs>
          <w:tab w:leader="none" w:pos="1300" w:val="left"/>
        </w:tabs>
        <w:numPr>
          <w:ilvl w:val="0"/>
          <w:numId w:val="101"/>
        </w:numPr>
        <w:rPr>
          <w:rFonts w:ascii="Arial" w:cs="Arial" w:eastAsia="Arial" w:hAnsi="Arial"/>
          <w:sz w:val="22"/>
          <w:szCs w:val="22"/>
          <w:color w:val="auto"/>
        </w:rPr>
      </w:pPr>
      <w:r>
        <w:rPr>
          <w:rFonts w:ascii="Arial" w:cs="Arial" w:eastAsia="Arial" w:hAnsi="Arial"/>
          <w:sz w:val="22"/>
          <w:szCs w:val="22"/>
          <w:color w:val="auto"/>
        </w:rPr>
        <w:t>To extend the time of payment of any obligation held by it;</w:t>
      </w:r>
    </w:p>
    <w:p>
      <w:pPr>
        <w:spacing w:after="0" w:line="260" w:lineRule="exact"/>
        <w:rPr>
          <w:rFonts w:ascii="Arial" w:cs="Arial" w:eastAsia="Arial" w:hAnsi="Arial"/>
          <w:sz w:val="22"/>
          <w:szCs w:val="22"/>
          <w:color w:val="auto"/>
        </w:rPr>
      </w:pPr>
    </w:p>
    <w:p>
      <w:pPr>
        <w:ind w:left="1300" w:right="580" w:hanging="644"/>
        <w:spacing w:after="0" w:line="263" w:lineRule="auto"/>
        <w:tabs>
          <w:tab w:leader="none" w:pos="1300" w:val="left"/>
        </w:tabs>
        <w:numPr>
          <w:ilvl w:val="0"/>
          <w:numId w:val="101"/>
        </w:numPr>
        <w:rPr>
          <w:rFonts w:ascii="Arial" w:cs="Arial" w:eastAsia="Arial" w:hAnsi="Arial"/>
          <w:sz w:val="22"/>
          <w:szCs w:val="22"/>
          <w:color w:val="auto"/>
        </w:rPr>
      </w:pPr>
      <w:r>
        <w:rPr>
          <w:rFonts w:ascii="Arial" w:cs="Arial" w:eastAsia="Arial" w:hAnsi="Arial"/>
          <w:sz w:val="22"/>
          <w:szCs w:val="22"/>
          <w:color w:val="auto"/>
        </w:rPr>
        <w:t>To hold uninvested any moneys received by it, without liability for interest thereon, but only in anticipation of payments due for investments, reinvestments, expenses or disbursements;</w:t>
      </w:r>
    </w:p>
    <w:p>
      <w:pPr>
        <w:spacing w:after="0" w:line="215" w:lineRule="exact"/>
        <w:rPr>
          <w:rFonts w:ascii="Arial" w:cs="Arial" w:eastAsia="Arial" w:hAnsi="Arial"/>
          <w:sz w:val="22"/>
          <w:szCs w:val="22"/>
          <w:color w:val="auto"/>
        </w:rPr>
      </w:pPr>
    </w:p>
    <w:p>
      <w:pPr>
        <w:ind w:left="1300" w:right="120" w:hanging="644"/>
        <w:spacing w:after="0" w:line="263" w:lineRule="auto"/>
        <w:tabs>
          <w:tab w:leader="none" w:pos="1300" w:val="left"/>
        </w:tabs>
        <w:numPr>
          <w:ilvl w:val="0"/>
          <w:numId w:val="101"/>
        </w:numPr>
        <w:rPr>
          <w:rFonts w:ascii="Arial" w:cs="Arial" w:eastAsia="Arial" w:hAnsi="Arial"/>
          <w:sz w:val="22"/>
          <w:szCs w:val="22"/>
          <w:color w:val="auto"/>
        </w:rPr>
      </w:pPr>
      <w:r>
        <w:rPr>
          <w:rFonts w:ascii="Arial" w:cs="Arial" w:eastAsia="Arial" w:hAnsi="Arial"/>
          <w:sz w:val="22"/>
          <w:szCs w:val="22"/>
          <w:color w:val="auto"/>
        </w:rPr>
        <w:t>To exercise all voting or other rights, at the direction of the Company, with respect to any property held by it and to grant proxies, discretionary or otherwise;</w:t>
      </w:r>
    </w:p>
    <w:p>
      <w:pPr>
        <w:spacing w:after="0" w:line="215" w:lineRule="exact"/>
        <w:rPr>
          <w:rFonts w:ascii="Arial" w:cs="Arial" w:eastAsia="Arial" w:hAnsi="Arial"/>
          <w:sz w:val="22"/>
          <w:szCs w:val="22"/>
          <w:color w:val="auto"/>
        </w:rPr>
      </w:pPr>
    </w:p>
    <w:p>
      <w:pPr>
        <w:ind w:left="1300" w:right="360" w:hanging="644"/>
        <w:spacing w:after="0" w:line="263" w:lineRule="auto"/>
        <w:tabs>
          <w:tab w:leader="none" w:pos="1300" w:val="left"/>
        </w:tabs>
        <w:numPr>
          <w:ilvl w:val="0"/>
          <w:numId w:val="101"/>
        </w:numPr>
        <w:rPr>
          <w:rFonts w:ascii="Arial" w:cs="Arial" w:eastAsia="Arial" w:hAnsi="Arial"/>
          <w:sz w:val="22"/>
          <w:szCs w:val="22"/>
          <w:color w:val="auto"/>
        </w:rPr>
      </w:pPr>
      <w:r>
        <w:rPr>
          <w:rFonts w:ascii="Arial" w:cs="Arial" w:eastAsia="Arial" w:hAnsi="Arial"/>
          <w:sz w:val="22"/>
          <w:szCs w:val="22"/>
          <w:color w:val="auto"/>
        </w:rPr>
        <w:t>For the purposes of the Trust, to borrow money from others, to issue its promissory note or notes therefor, and to secure the repayment thereof by pledging any property held by it;</w:t>
      </w:r>
    </w:p>
    <w:p>
      <w:pPr>
        <w:spacing w:after="0" w:line="215" w:lineRule="exact"/>
        <w:rPr>
          <w:rFonts w:ascii="Arial" w:cs="Arial" w:eastAsia="Arial" w:hAnsi="Arial"/>
          <w:sz w:val="22"/>
          <w:szCs w:val="22"/>
          <w:color w:val="auto"/>
        </w:rPr>
      </w:pPr>
    </w:p>
    <w:p>
      <w:pPr>
        <w:ind w:left="1300" w:right="100" w:hanging="644"/>
        <w:spacing w:after="0" w:line="287" w:lineRule="auto"/>
        <w:tabs>
          <w:tab w:leader="none" w:pos="1300" w:val="left"/>
        </w:tabs>
        <w:numPr>
          <w:ilvl w:val="0"/>
          <w:numId w:val="101"/>
        </w:numPr>
        <w:rPr>
          <w:rFonts w:ascii="Arial" w:cs="Arial" w:eastAsia="Arial" w:hAnsi="Arial"/>
          <w:sz w:val="21"/>
          <w:szCs w:val="21"/>
          <w:color w:val="auto"/>
        </w:rPr>
      </w:pPr>
      <w:r>
        <w:rPr>
          <w:rFonts w:ascii="Arial" w:cs="Arial" w:eastAsia="Arial" w:hAnsi="Arial"/>
          <w:sz w:val="21"/>
          <w:szCs w:val="21"/>
          <w:color w:val="auto"/>
        </w:rPr>
        <w:t>To employ suitable contractors and counsel, who may be counsel to the Company or to the Trustee, and to pay their reasonable expenses and compensation from the Fund to the extent not paid by the Company;</w:t>
      </w:r>
    </w:p>
    <w:p>
      <w:pPr>
        <w:spacing w:after="0" w:line="192" w:lineRule="exact"/>
        <w:rPr>
          <w:rFonts w:ascii="Arial" w:cs="Arial" w:eastAsia="Arial" w:hAnsi="Arial"/>
          <w:sz w:val="21"/>
          <w:szCs w:val="21"/>
          <w:color w:val="auto"/>
        </w:rPr>
      </w:pPr>
    </w:p>
    <w:p>
      <w:pPr>
        <w:ind w:left="1300" w:right="60" w:hanging="644"/>
        <w:spacing w:after="0" w:line="288" w:lineRule="auto"/>
        <w:tabs>
          <w:tab w:leader="none" w:pos="1300" w:val="left"/>
        </w:tabs>
        <w:numPr>
          <w:ilvl w:val="0"/>
          <w:numId w:val="101"/>
        </w:numPr>
        <w:rPr>
          <w:rFonts w:ascii="Arial" w:cs="Arial" w:eastAsia="Arial" w:hAnsi="Arial"/>
          <w:sz w:val="19"/>
          <w:szCs w:val="19"/>
          <w:color w:val="auto"/>
        </w:rPr>
      </w:pPr>
      <w:r>
        <w:rPr>
          <w:rFonts w:ascii="Arial" w:cs="Arial" w:eastAsia="Arial" w:hAnsi="Arial"/>
          <w:sz w:val="19"/>
          <w:szCs w:val="19"/>
          <w:color w:val="auto"/>
        </w:rPr>
        <w:t>To register investments in its own name or in the name of a nominee; and to combine certificates representing securities with certificates of the same issue held by it in other fiduciary capacities or to deposit or to arrange for the deposit of such securities with any depository, even though, when so deposited, such securities may be held in the name of the nominee of such depository with other securities deposited therewith by other persons, or to deposit or to arrange for the deposit of any securities issued or guaranteed by the United States government, or any agency or instrumentality thereof, including securities evidenced by book entries rather than by certificates, with the United States Department of the Treasury or a Federal Reserve Bank, even though, when so deposited, such securities may not be held separate from securities deposited therein by other persons; provided, however, that no securities held in the Fund shall be deposited with the United States Department of the Treasury or a Federal Reserve Bank or other depository in the same account as any individual property of the Trustee, and provided, further, that the books and records of the Trustee shall at all times show that all such securities are part of the Trust Fund;</w:t>
      </w:r>
    </w:p>
    <w:p>
      <w:pPr>
        <w:spacing w:after="0" w:line="195" w:lineRule="exact"/>
        <w:rPr>
          <w:rFonts w:ascii="Arial" w:cs="Arial" w:eastAsia="Arial" w:hAnsi="Arial"/>
          <w:sz w:val="19"/>
          <w:szCs w:val="19"/>
          <w:color w:val="auto"/>
        </w:rPr>
      </w:pPr>
    </w:p>
    <w:p>
      <w:pPr>
        <w:ind w:left="1300" w:right="60" w:hanging="644"/>
        <w:spacing w:after="0" w:line="297" w:lineRule="auto"/>
        <w:tabs>
          <w:tab w:leader="none" w:pos="1300" w:val="left"/>
        </w:tabs>
        <w:numPr>
          <w:ilvl w:val="0"/>
          <w:numId w:val="101"/>
        </w:numPr>
        <w:rPr>
          <w:rFonts w:ascii="Arial" w:cs="Arial" w:eastAsia="Arial" w:hAnsi="Arial"/>
          <w:sz w:val="19"/>
          <w:szCs w:val="19"/>
          <w:color w:val="auto"/>
        </w:rPr>
      </w:pPr>
      <w:r>
        <w:rPr>
          <w:rFonts w:ascii="Arial" w:cs="Arial" w:eastAsia="Arial" w:hAnsi="Arial"/>
          <w:sz w:val="19"/>
          <w:szCs w:val="19"/>
          <w:color w:val="auto"/>
        </w:rPr>
        <w:t>To settle, compromise or submit to arbitration any claims, debts or damages due or owing to or from the Trust, respectively, to commence or defend suits or legal proceedings to protect any interest of the Trust, and to represent the Trust in all suits or legal proceedings in any court or before any other body or tribunal; provided, however, that the Trustee shall not be required to take any such action unless it shall have been indemnified by the Company to its reasonable satisfaction against liability or expenses it might incur therefrom;</w:t>
      </w:r>
    </w:p>
    <w:p>
      <w:pPr>
        <w:spacing w:after="0" w:line="1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591" w:right="259" w:bottom="1440" w:gutter="0" w:footer="0" w:header="0"/>
        </w:sectPr>
      </w:pPr>
    </w:p>
    <w:bookmarkStart w:id="182" w:name="page183"/>
    <w:bookmarkEnd w:id="182"/>
    <w:p>
      <w:pPr>
        <w:spacing w:after="0"/>
        <w:rPr>
          <w:sz w:val="20"/>
          <w:szCs w:val="20"/>
          <w:color w:val="auto"/>
        </w:rPr>
      </w:pPr>
      <w:r>
        <w:rPr>
          <w:rFonts w:ascii="Arial" w:cs="Arial" w:eastAsia="Arial" w:hAnsi="Arial"/>
          <w:sz w:val="22"/>
          <w:szCs w:val="22"/>
          <w:b w:val="1"/>
          <w:bCs w:val="1"/>
          <w:i w:val="1"/>
          <w:iCs w:val="1"/>
          <w:color w:val="auto"/>
        </w:rPr>
        <w:t>ALLETE, Inc. Amended and Restated Director Compensation Trust Agreement</w:t>
      </w:r>
    </w:p>
    <w:p>
      <w:pPr>
        <w:spacing w:after="0" w:line="260" w:lineRule="exact"/>
        <w:rPr>
          <w:sz w:val="20"/>
          <w:szCs w:val="20"/>
          <w:color w:val="auto"/>
        </w:rPr>
      </w:pPr>
    </w:p>
    <w:p>
      <w:pPr>
        <w:jc w:val="both"/>
        <w:ind w:left="1300" w:right="160" w:hanging="644"/>
        <w:spacing w:after="0" w:line="253" w:lineRule="auto"/>
        <w:tabs>
          <w:tab w:leader="none" w:pos="1300" w:val="left"/>
        </w:tabs>
        <w:numPr>
          <w:ilvl w:val="0"/>
          <w:numId w:val="102"/>
        </w:numPr>
        <w:rPr>
          <w:rFonts w:ascii="Arial" w:cs="Arial" w:eastAsia="Arial" w:hAnsi="Arial"/>
          <w:sz w:val="22"/>
          <w:szCs w:val="22"/>
          <w:color w:val="auto"/>
        </w:rPr>
      </w:pPr>
      <w:r>
        <w:rPr>
          <w:rFonts w:ascii="Arial" w:cs="Arial" w:eastAsia="Arial" w:hAnsi="Arial"/>
          <w:sz w:val="22"/>
          <w:szCs w:val="22"/>
          <w:color w:val="auto"/>
        </w:rPr>
        <w:t>Subject to Section 7, to hold and retain policies of life insurance, annuity contracts, and other property of any kind which policies are contributed to the Trust by the Company or any subsidiary of the Company or are purchased by the Trustee;</w:t>
      </w:r>
    </w:p>
    <w:p>
      <w:pPr>
        <w:spacing w:after="0" w:line="226" w:lineRule="exact"/>
        <w:rPr>
          <w:sz w:val="20"/>
          <w:szCs w:val="20"/>
          <w:color w:val="auto"/>
        </w:rPr>
      </w:pPr>
    </w:p>
    <w:p>
      <w:pPr>
        <w:ind w:left="1300" w:hanging="639"/>
        <w:spacing w:after="0" w:line="263" w:lineRule="auto"/>
        <w:tabs>
          <w:tab w:leader="none" w:pos="1280" w:val="left"/>
        </w:tabs>
        <w:rPr>
          <w:sz w:val="20"/>
          <w:szCs w:val="20"/>
          <w:color w:val="auto"/>
        </w:rPr>
      </w:pPr>
      <w:r>
        <w:rPr>
          <w:rFonts w:ascii="Arial" w:cs="Arial" w:eastAsia="Arial" w:hAnsi="Arial"/>
          <w:sz w:val="22"/>
          <w:szCs w:val="22"/>
          <w:color w:val="auto"/>
        </w:rPr>
        <w:t>(16)</w:t>
        <w:tab/>
        <w:t>To hold any other class of assets which may be contributed by the Company and that is deemed reasonable by the Trustee, unless expressly prohibited herein;</w:t>
      </w:r>
    </w:p>
    <w:p>
      <w:pPr>
        <w:spacing w:after="0" w:line="215" w:lineRule="exact"/>
        <w:rPr>
          <w:sz w:val="20"/>
          <w:szCs w:val="20"/>
          <w:color w:val="auto"/>
        </w:rPr>
      </w:pPr>
    </w:p>
    <w:p>
      <w:pPr>
        <w:ind w:left="1300" w:right="20" w:hanging="644"/>
        <w:spacing w:after="0" w:line="253" w:lineRule="auto"/>
        <w:tabs>
          <w:tab w:leader="none" w:pos="1300" w:val="left"/>
        </w:tabs>
        <w:numPr>
          <w:ilvl w:val="1"/>
          <w:numId w:val="103"/>
        </w:numPr>
        <w:rPr>
          <w:rFonts w:ascii="Arial" w:cs="Arial" w:eastAsia="Arial" w:hAnsi="Arial"/>
          <w:sz w:val="22"/>
          <w:szCs w:val="22"/>
          <w:color w:val="auto"/>
        </w:rPr>
      </w:pPr>
      <w:r>
        <w:rPr>
          <w:rFonts w:ascii="Arial" w:cs="Arial" w:eastAsia="Arial" w:hAnsi="Arial"/>
          <w:sz w:val="22"/>
          <w:szCs w:val="22"/>
          <w:color w:val="auto"/>
        </w:rPr>
        <w:t>To loan any securities at any time held by it to brokers or dealers upon such security as may be deemed advisable, and during the terms of any such loan to permit the loaned securities to be transferred into the name of and voted by the borrower or others; and</w:t>
      </w:r>
    </w:p>
    <w:p>
      <w:pPr>
        <w:spacing w:after="0" w:line="226" w:lineRule="exact"/>
        <w:rPr>
          <w:rFonts w:ascii="Arial" w:cs="Arial" w:eastAsia="Arial" w:hAnsi="Arial"/>
          <w:sz w:val="22"/>
          <w:szCs w:val="22"/>
          <w:color w:val="auto"/>
        </w:rPr>
      </w:pPr>
    </w:p>
    <w:p>
      <w:pPr>
        <w:ind w:left="1300" w:right="120" w:hanging="644"/>
        <w:spacing w:after="0" w:line="263" w:lineRule="auto"/>
        <w:tabs>
          <w:tab w:leader="none" w:pos="1300" w:val="left"/>
        </w:tabs>
        <w:numPr>
          <w:ilvl w:val="1"/>
          <w:numId w:val="103"/>
        </w:numPr>
        <w:rPr>
          <w:rFonts w:ascii="Arial" w:cs="Arial" w:eastAsia="Arial" w:hAnsi="Arial"/>
          <w:sz w:val="22"/>
          <w:szCs w:val="22"/>
          <w:color w:val="auto"/>
        </w:rPr>
      </w:pPr>
      <w:r>
        <w:rPr>
          <w:rFonts w:ascii="Arial" w:cs="Arial" w:eastAsia="Arial" w:hAnsi="Arial"/>
          <w:sz w:val="22"/>
          <w:szCs w:val="22"/>
          <w:color w:val="auto"/>
        </w:rPr>
        <w:t>Generally, to do all acts, whether or not expressly authorized, that the Trustee may deem necessary or desirable for the protection of the Fund.</w:t>
      </w:r>
    </w:p>
    <w:p>
      <w:pPr>
        <w:spacing w:after="0" w:line="215" w:lineRule="exact"/>
        <w:rPr>
          <w:rFonts w:ascii="Arial" w:cs="Arial" w:eastAsia="Arial" w:hAnsi="Arial"/>
          <w:sz w:val="22"/>
          <w:szCs w:val="22"/>
          <w:color w:val="auto"/>
        </w:rPr>
      </w:pPr>
    </w:p>
    <w:p>
      <w:pPr>
        <w:ind w:left="880" w:right="380" w:hanging="318"/>
        <w:spacing w:after="0" w:line="253" w:lineRule="auto"/>
        <w:tabs>
          <w:tab w:leader="none" w:pos="880" w:val="left"/>
        </w:tabs>
        <w:numPr>
          <w:ilvl w:val="0"/>
          <w:numId w:val="104"/>
        </w:numPr>
        <w:rPr>
          <w:rFonts w:ascii="Arial" w:cs="Arial" w:eastAsia="Arial" w:hAnsi="Arial"/>
          <w:sz w:val="22"/>
          <w:szCs w:val="22"/>
          <w:color w:val="auto"/>
        </w:rPr>
      </w:pPr>
      <w:r>
        <w:rPr>
          <w:rFonts w:ascii="Arial" w:cs="Arial" w:eastAsia="Arial" w:hAnsi="Arial"/>
          <w:sz w:val="22"/>
          <w:szCs w:val="22"/>
          <w:color w:val="auto"/>
        </w:rPr>
        <w:t>Following a Triggering Event, the Trustee shall have the sole and absolute discretion in the management of the Trust assets and shall have all the powers set forth under this Section 6(c). In investing the Trust assets, the Trustee shall consider:</w:t>
      </w:r>
    </w:p>
    <w:p>
      <w:pPr>
        <w:spacing w:after="0" w:line="226" w:lineRule="exact"/>
        <w:rPr>
          <w:rFonts w:ascii="Arial" w:cs="Arial" w:eastAsia="Arial" w:hAnsi="Arial"/>
          <w:sz w:val="22"/>
          <w:szCs w:val="22"/>
          <w:color w:val="auto"/>
        </w:rPr>
      </w:pPr>
    </w:p>
    <w:p>
      <w:pPr>
        <w:ind w:left="1860" w:hanging="650"/>
        <w:spacing w:after="0"/>
        <w:tabs>
          <w:tab w:leader="none" w:pos="1860" w:val="left"/>
        </w:tabs>
        <w:numPr>
          <w:ilvl w:val="2"/>
          <w:numId w:val="104"/>
        </w:numPr>
        <w:rPr>
          <w:rFonts w:ascii="Arial" w:cs="Arial" w:eastAsia="Arial" w:hAnsi="Arial"/>
          <w:sz w:val="22"/>
          <w:szCs w:val="22"/>
          <w:color w:val="auto"/>
        </w:rPr>
      </w:pPr>
      <w:r>
        <w:rPr>
          <w:rFonts w:ascii="Arial" w:cs="Arial" w:eastAsia="Arial" w:hAnsi="Arial"/>
          <w:sz w:val="22"/>
          <w:szCs w:val="22"/>
          <w:color w:val="auto"/>
        </w:rPr>
        <w:t>the needs of the Arrangements;</w:t>
      </w:r>
    </w:p>
    <w:p>
      <w:pPr>
        <w:spacing w:after="0" w:line="260" w:lineRule="exact"/>
        <w:rPr>
          <w:rFonts w:ascii="Arial" w:cs="Arial" w:eastAsia="Arial" w:hAnsi="Arial"/>
          <w:sz w:val="22"/>
          <w:szCs w:val="22"/>
          <w:color w:val="auto"/>
        </w:rPr>
      </w:pPr>
    </w:p>
    <w:p>
      <w:pPr>
        <w:ind w:left="1860" w:hanging="650"/>
        <w:spacing w:after="0"/>
        <w:tabs>
          <w:tab w:leader="none" w:pos="1860" w:val="left"/>
        </w:tabs>
        <w:numPr>
          <w:ilvl w:val="2"/>
          <w:numId w:val="104"/>
        </w:numPr>
        <w:rPr>
          <w:rFonts w:ascii="Arial" w:cs="Arial" w:eastAsia="Arial" w:hAnsi="Arial"/>
          <w:sz w:val="22"/>
          <w:szCs w:val="22"/>
          <w:color w:val="auto"/>
        </w:rPr>
      </w:pPr>
      <w:r>
        <w:rPr>
          <w:rFonts w:ascii="Arial" w:cs="Arial" w:eastAsia="Arial" w:hAnsi="Arial"/>
          <w:sz w:val="22"/>
          <w:szCs w:val="22"/>
          <w:color w:val="auto"/>
        </w:rPr>
        <w:t>the need for matching of the Trust assets with the liabilities of the Arrangements; and</w:t>
      </w:r>
    </w:p>
    <w:p>
      <w:pPr>
        <w:spacing w:after="0" w:line="260" w:lineRule="exact"/>
        <w:rPr>
          <w:rFonts w:ascii="Arial" w:cs="Arial" w:eastAsia="Arial" w:hAnsi="Arial"/>
          <w:sz w:val="22"/>
          <w:szCs w:val="22"/>
          <w:color w:val="auto"/>
        </w:rPr>
      </w:pPr>
    </w:p>
    <w:p>
      <w:pPr>
        <w:ind w:left="1860" w:hanging="650"/>
        <w:spacing w:after="0"/>
        <w:tabs>
          <w:tab w:leader="none" w:pos="1860" w:val="left"/>
        </w:tabs>
        <w:numPr>
          <w:ilvl w:val="2"/>
          <w:numId w:val="104"/>
        </w:numPr>
        <w:rPr>
          <w:rFonts w:ascii="Arial" w:cs="Arial" w:eastAsia="Arial" w:hAnsi="Arial"/>
          <w:sz w:val="22"/>
          <w:szCs w:val="22"/>
          <w:color w:val="auto"/>
        </w:rPr>
      </w:pPr>
      <w:r>
        <w:rPr>
          <w:rFonts w:ascii="Arial" w:cs="Arial" w:eastAsia="Arial" w:hAnsi="Arial"/>
          <w:sz w:val="22"/>
          <w:szCs w:val="22"/>
          <w:color w:val="auto"/>
        </w:rPr>
        <w:t>the duty of the Trustee to act solely in the best interests of the Participants.</w:t>
      </w:r>
    </w:p>
    <w:p>
      <w:pPr>
        <w:spacing w:after="0" w:line="260" w:lineRule="exact"/>
        <w:rPr>
          <w:rFonts w:ascii="Arial" w:cs="Arial" w:eastAsia="Arial" w:hAnsi="Arial"/>
          <w:sz w:val="22"/>
          <w:szCs w:val="22"/>
          <w:color w:val="auto"/>
        </w:rPr>
      </w:pPr>
    </w:p>
    <w:p>
      <w:pPr>
        <w:ind w:left="880" w:hanging="318"/>
        <w:spacing w:after="0"/>
        <w:tabs>
          <w:tab w:leader="none" w:pos="880" w:val="left"/>
        </w:tabs>
        <w:numPr>
          <w:ilvl w:val="0"/>
          <w:numId w:val="104"/>
        </w:numPr>
        <w:rPr>
          <w:rFonts w:ascii="Arial" w:cs="Arial" w:eastAsia="Arial" w:hAnsi="Arial"/>
          <w:sz w:val="19"/>
          <w:szCs w:val="19"/>
          <w:color w:val="auto"/>
        </w:rPr>
      </w:pPr>
      <w:r>
        <w:rPr>
          <w:rFonts w:ascii="Arial" w:cs="Arial" w:eastAsia="Arial" w:hAnsi="Arial"/>
          <w:sz w:val="19"/>
          <w:szCs w:val="19"/>
          <w:color w:val="auto"/>
        </w:rPr>
        <w:t>In no event may the Trustee invest in offshore securities or any other investments prohibited by IRC Section 409A.</w:t>
      </w:r>
    </w:p>
    <w:p>
      <w:pPr>
        <w:spacing w:after="0" w:line="294" w:lineRule="exact"/>
        <w:rPr>
          <w:rFonts w:ascii="Arial" w:cs="Arial" w:eastAsia="Arial" w:hAnsi="Arial"/>
          <w:sz w:val="19"/>
          <w:szCs w:val="19"/>
          <w:color w:val="auto"/>
        </w:rPr>
      </w:pPr>
    </w:p>
    <w:p>
      <w:pPr>
        <w:ind w:left="880" w:right="40" w:hanging="318"/>
        <w:spacing w:after="0" w:line="250" w:lineRule="auto"/>
        <w:tabs>
          <w:tab w:leader="none" w:pos="880" w:val="left"/>
        </w:tabs>
        <w:numPr>
          <w:ilvl w:val="0"/>
          <w:numId w:val="104"/>
        </w:numPr>
        <w:rPr>
          <w:rFonts w:ascii="Arial" w:cs="Arial" w:eastAsia="Arial" w:hAnsi="Arial"/>
          <w:sz w:val="22"/>
          <w:szCs w:val="22"/>
          <w:color w:val="auto"/>
        </w:rPr>
      </w:pPr>
      <w:r>
        <w:rPr>
          <w:rFonts w:ascii="Arial" w:cs="Arial" w:eastAsia="Arial" w:hAnsi="Arial"/>
          <w:sz w:val="22"/>
          <w:szCs w:val="22"/>
          <w:color w:val="auto"/>
        </w:rPr>
        <w:t>The Trustee shall have the right, in its sole discretion, to delegate its investment responsibility to an investment manager who may be an affiliate of the Trustee. In the event the Trustee shall exercise this right, the Trustee shall remain, at all times responsible for the acts of an investment manager. The Trustee shall have the right to purchase an insurance policy or an annuity to fund the benefits of the Arrangements.</w:t>
      </w:r>
    </w:p>
    <w:p>
      <w:pPr>
        <w:spacing w:after="0" w:line="2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40"/>
          </w:cols>
          <w:pgMar w:left="240" w:top="591" w:right="319" w:bottom="1440" w:gutter="0" w:footer="0" w:header="0"/>
        </w:sectPr>
      </w:pPr>
    </w:p>
    <w:bookmarkStart w:id="183" w:name="page184"/>
    <w:bookmarkEnd w:id="183"/>
    <w:p>
      <w:pPr>
        <w:spacing w:after="0"/>
        <w:rPr>
          <w:sz w:val="20"/>
          <w:szCs w:val="20"/>
          <w:color w:val="auto"/>
        </w:rPr>
      </w:pPr>
      <w:r>
        <w:rPr>
          <w:rFonts w:ascii="Arial" w:cs="Arial" w:eastAsia="Arial" w:hAnsi="Arial"/>
          <w:sz w:val="22"/>
          <w:szCs w:val="22"/>
          <w:b w:val="1"/>
          <w:bCs w:val="1"/>
          <w:i w:val="1"/>
          <w:iCs w:val="1"/>
          <w:color w:val="auto"/>
        </w:rPr>
        <w:t>ALLETE, Inc. Amended and Restated Director Compensation Trust Agreement</w:t>
      </w:r>
    </w:p>
    <w:p>
      <w:pPr>
        <w:spacing w:after="0" w:line="260" w:lineRule="exact"/>
        <w:rPr>
          <w:sz w:val="20"/>
          <w:szCs w:val="20"/>
          <w:color w:val="auto"/>
        </w:rPr>
      </w:pPr>
    </w:p>
    <w:p>
      <w:pPr>
        <w:ind w:left="660" w:right="140" w:hanging="328"/>
        <w:spacing w:after="0" w:line="250" w:lineRule="auto"/>
        <w:tabs>
          <w:tab w:leader="none" w:pos="606" w:val="left"/>
        </w:tabs>
        <w:numPr>
          <w:ilvl w:val="0"/>
          <w:numId w:val="105"/>
        </w:numPr>
        <w:rPr>
          <w:rFonts w:ascii="Arial" w:cs="Arial" w:eastAsia="Arial" w:hAnsi="Arial"/>
          <w:sz w:val="22"/>
          <w:szCs w:val="22"/>
          <w:color w:val="auto"/>
        </w:rPr>
      </w:pPr>
      <w:r>
        <w:rPr>
          <w:rFonts w:ascii="Arial" w:cs="Arial" w:eastAsia="Arial" w:hAnsi="Arial"/>
          <w:sz w:val="22"/>
          <w:szCs w:val="22"/>
          <w:color w:val="auto"/>
        </w:rPr>
        <w:t>The Company shall have the right at any time to substitute assets (other than securities issued by the Trustee or the Company) of equal fair market value for any asset held by the Trust, provided, however, that no such substitution shall be permitted unless the Trustee determines that the fair market values of the substituted assets are equal (which determination shall be made on a timely basis).</w:t>
      </w:r>
    </w:p>
    <w:p>
      <w:pPr>
        <w:spacing w:after="0" w:line="223" w:lineRule="exact"/>
        <w:rPr>
          <w:sz w:val="20"/>
          <w:szCs w:val="20"/>
          <w:color w:val="auto"/>
        </w:rPr>
      </w:pPr>
    </w:p>
    <w:p>
      <w:pPr>
        <w:spacing w:after="0"/>
        <w:tabs>
          <w:tab w:leader="none" w:pos="1100" w:val="left"/>
        </w:tabs>
        <w:rPr>
          <w:sz w:val="20"/>
          <w:szCs w:val="20"/>
          <w:color w:val="auto"/>
        </w:rPr>
      </w:pPr>
      <w:r>
        <w:rPr>
          <w:rFonts w:ascii="Arial" w:cs="Arial" w:eastAsia="Arial" w:hAnsi="Arial"/>
          <w:sz w:val="22"/>
          <w:szCs w:val="22"/>
          <w:b w:val="1"/>
          <w:bCs w:val="1"/>
          <w:color w:val="auto"/>
        </w:rPr>
        <w:t>Section 7.</w:t>
      </w:r>
      <w:r>
        <w:rPr>
          <w:sz w:val="20"/>
          <w:szCs w:val="20"/>
          <w:color w:val="auto"/>
        </w:rPr>
        <w:tab/>
      </w:r>
      <w:r>
        <w:rPr>
          <w:rFonts w:ascii="Arial" w:cs="Arial" w:eastAsia="Arial" w:hAnsi="Arial"/>
          <w:sz w:val="19"/>
          <w:szCs w:val="19"/>
          <w:b w:val="1"/>
          <w:bCs w:val="1"/>
          <w:u w:val="single" w:color="auto"/>
          <w:color w:val="auto"/>
        </w:rPr>
        <w:t>Insurance Contracts</w:t>
      </w:r>
    </w:p>
    <w:p>
      <w:pPr>
        <w:spacing w:after="0" w:line="266" w:lineRule="exact"/>
        <w:rPr>
          <w:sz w:val="20"/>
          <w:szCs w:val="20"/>
          <w:color w:val="auto"/>
        </w:rPr>
      </w:pPr>
    </w:p>
    <w:p>
      <w:pPr>
        <w:jc w:val="both"/>
        <w:ind w:left="660" w:right="180" w:hanging="328"/>
        <w:spacing w:after="0" w:line="253" w:lineRule="auto"/>
        <w:tabs>
          <w:tab w:leader="none" w:pos="660" w:val="left"/>
        </w:tabs>
        <w:numPr>
          <w:ilvl w:val="0"/>
          <w:numId w:val="106"/>
        </w:numPr>
        <w:rPr>
          <w:rFonts w:ascii="Arial" w:cs="Arial" w:eastAsia="Arial" w:hAnsi="Arial"/>
          <w:sz w:val="22"/>
          <w:szCs w:val="22"/>
          <w:color w:val="auto"/>
        </w:rPr>
      </w:pPr>
      <w:r>
        <w:rPr>
          <w:rFonts w:ascii="Arial" w:cs="Arial" w:eastAsia="Arial" w:hAnsi="Arial"/>
          <w:sz w:val="22"/>
          <w:szCs w:val="22"/>
          <w:color w:val="auto"/>
        </w:rPr>
        <w:t>To the extent that the Trustee is directed by the Company prior to a Triggering Event to invest part or all of the Trust Fund in insurance contracts, the type and amount thereof shall be specified by the Company. The Trustee shall be under no duty to make inquiry as to the propriety of the type or amount so specified.</w:t>
      </w:r>
    </w:p>
    <w:p>
      <w:pPr>
        <w:spacing w:after="0" w:line="226" w:lineRule="exact"/>
        <w:rPr>
          <w:rFonts w:ascii="Arial" w:cs="Arial" w:eastAsia="Arial" w:hAnsi="Arial"/>
          <w:sz w:val="22"/>
          <w:szCs w:val="22"/>
          <w:color w:val="auto"/>
        </w:rPr>
      </w:pPr>
    </w:p>
    <w:p>
      <w:pPr>
        <w:ind w:left="660" w:hanging="328"/>
        <w:spacing w:after="0" w:line="265" w:lineRule="auto"/>
        <w:tabs>
          <w:tab w:leader="none" w:pos="660" w:val="left"/>
        </w:tabs>
        <w:numPr>
          <w:ilvl w:val="0"/>
          <w:numId w:val="106"/>
        </w:numPr>
        <w:rPr>
          <w:rFonts w:ascii="Arial" w:cs="Arial" w:eastAsia="Arial" w:hAnsi="Arial"/>
          <w:sz w:val="21"/>
          <w:szCs w:val="21"/>
          <w:color w:val="auto"/>
        </w:rPr>
      </w:pPr>
      <w:r>
        <w:rPr>
          <w:rFonts w:ascii="Arial" w:cs="Arial" w:eastAsia="Arial" w:hAnsi="Arial"/>
          <w:sz w:val="21"/>
          <w:szCs w:val="21"/>
          <w:color w:val="auto"/>
        </w:rPr>
        <w:t>Each insurance contract issued shall provide that the Trustee shall be the owner thereof with the power to exercise all rights, privileges, options and elections granted by or permitted under such contract or under the rules of the insurer. The exercise by the Trustee of any incidents of ownership under any contract shall, prior to a Triggering Event, be subject to the direction of the Company. After a Triggering Event, the Trustee shall have all such rights.</w:t>
      </w:r>
    </w:p>
    <w:p>
      <w:pPr>
        <w:spacing w:after="0" w:line="216" w:lineRule="exact"/>
        <w:rPr>
          <w:rFonts w:ascii="Arial" w:cs="Arial" w:eastAsia="Arial" w:hAnsi="Arial"/>
          <w:sz w:val="21"/>
          <w:szCs w:val="21"/>
          <w:color w:val="auto"/>
        </w:rPr>
      </w:pPr>
    </w:p>
    <w:p>
      <w:pPr>
        <w:ind w:left="660" w:right="60" w:hanging="328"/>
        <w:spacing w:after="0" w:line="253" w:lineRule="auto"/>
        <w:tabs>
          <w:tab w:leader="none" w:pos="660" w:val="left"/>
        </w:tabs>
        <w:numPr>
          <w:ilvl w:val="0"/>
          <w:numId w:val="106"/>
        </w:numPr>
        <w:rPr>
          <w:rFonts w:ascii="Arial" w:cs="Arial" w:eastAsia="Arial" w:hAnsi="Arial"/>
          <w:sz w:val="22"/>
          <w:szCs w:val="22"/>
          <w:color w:val="auto"/>
        </w:rPr>
      </w:pPr>
      <w:r>
        <w:rPr>
          <w:rFonts w:ascii="Arial" w:cs="Arial" w:eastAsia="Arial" w:hAnsi="Arial"/>
          <w:sz w:val="22"/>
          <w:szCs w:val="22"/>
          <w:color w:val="auto"/>
        </w:rPr>
        <w:t>The Trustee shall have no power to name a beneficiary of the policy other than the Trust, to assign the policy (as distinct from conversion of the policy to a different form) other than to a successor Trustee, or to loan to any person the proceeds of any borrowing against an insurance policy held in the Trust Fund.</w:t>
      </w:r>
    </w:p>
    <w:p>
      <w:pPr>
        <w:spacing w:after="0" w:line="226" w:lineRule="exact"/>
        <w:rPr>
          <w:rFonts w:ascii="Arial" w:cs="Arial" w:eastAsia="Arial" w:hAnsi="Arial"/>
          <w:sz w:val="22"/>
          <w:szCs w:val="22"/>
          <w:color w:val="auto"/>
        </w:rPr>
      </w:pPr>
    </w:p>
    <w:p>
      <w:pPr>
        <w:ind w:left="660" w:right="220" w:hanging="328"/>
        <w:spacing w:after="0" w:line="263" w:lineRule="auto"/>
        <w:tabs>
          <w:tab w:leader="none" w:pos="660" w:val="left"/>
        </w:tabs>
        <w:numPr>
          <w:ilvl w:val="0"/>
          <w:numId w:val="106"/>
        </w:numPr>
        <w:rPr>
          <w:rFonts w:ascii="Arial" w:cs="Arial" w:eastAsia="Arial" w:hAnsi="Arial"/>
          <w:sz w:val="22"/>
          <w:szCs w:val="22"/>
          <w:color w:val="auto"/>
        </w:rPr>
      </w:pPr>
      <w:r>
        <w:rPr>
          <w:rFonts w:ascii="Arial" w:cs="Arial" w:eastAsia="Arial" w:hAnsi="Arial"/>
          <w:sz w:val="22"/>
          <w:szCs w:val="22"/>
          <w:color w:val="auto"/>
        </w:rPr>
        <w:t>No insurer shall be deemed to be a party to the Trust and an insurer's obligations shall be measured and determined solely by the terms of contracts and other agreements executed by the insurer.</w:t>
      </w:r>
    </w:p>
    <w:p>
      <w:pPr>
        <w:spacing w:after="0" w:line="209" w:lineRule="exact"/>
        <w:rPr>
          <w:sz w:val="20"/>
          <w:szCs w:val="20"/>
          <w:color w:val="auto"/>
        </w:rPr>
      </w:pPr>
    </w:p>
    <w:p>
      <w:pPr>
        <w:spacing w:after="0"/>
        <w:tabs>
          <w:tab w:leader="none" w:pos="1100" w:val="left"/>
        </w:tabs>
        <w:rPr>
          <w:sz w:val="20"/>
          <w:szCs w:val="20"/>
          <w:color w:val="auto"/>
        </w:rPr>
      </w:pPr>
      <w:r>
        <w:rPr>
          <w:rFonts w:ascii="Arial" w:cs="Arial" w:eastAsia="Arial" w:hAnsi="Arial"/>
          <w:sz w:val="22"/>
          <w:szCs w:val="22"/>
          <w:b w:val="1"/>
          <w:bCs w:val="1"/>
          <w:color w:val="auto"/>
        </w:rPr>
        <w:t>Section 8.</w:t>
      </w:r>
      <w:r>
        <w:rPr>
          <w:sz w:val="20"/>
          <w:szCs w:val="20"/>
          <w:color w:val="auto"/>
        </w:rPr>
        <w:tab/>
      </w:r>
      <w:r>
        <w:rPr>
          <w:rFonts w:ascii="Arial" w:cs="Arial" w:eastAsia="Arial" w:hAnsi="Arial"/>
          <w:sz w:val="19"/>
          <w:szCs w:val="19"/>
          <w:b w:val="1"/>
          <w:bCs w:val="1"/>
          <w:u w:val="single" w:color="auto"/>
          <w:color w:val="auto"/>
        </w:rPr>
        <w:t>Disposition of Income</w:t>
      </w:r>
    </w:p>
    <w:p>
      <w:pPr>
        <w:spacing w:after="0" w:line="266" w:lineRule="exact"/>
        <w:rPr>
          <w:sz w:val="20"/>
          <w:szCs w:val="20"/>
          <w:color w:val="auto"/>
        </w:rPr>
      </w:pPr>
    </w:p>
    <w:p>
      <w:pPr>
        <w:ind w:left="660" w:right="40" w:hanging="328"/>
        <w:spacing w:after="0" w:line="263" w:lineRule="auto"/>
        <w:tabs>
          <w:tab w:leader="none" w:pos="660" w:val="left"/>
        </w:tabs>
        <w:numPr>
          <w:ilvl w:val="0"/>
          <w:numId w:val="107"/>
        </w:numPr>
        <w:rPr>
          <w:rFonts w:ascii="Arial" w:cs="Arial" w:eastAsia="Arial" w:hAnsi="Arial"/>
          <w:sz w:val="22"/>
          <w:szCs w:val="22"/>
          <w:color w:val="auto"/>
        </w:rPr>
      </w:pPr>
      <w:r>
        <w:rPr>
          <w:rFonts w:ascii="Arial" w:cs="Arial" w:eastAsia="Arial" w:hAnsi="Arial"/>
          <w:sz w:val="22"/>
          <w:szCs w:val="22"/>
          <w:color w:val="auto"/>
        </w:rPr>
        <w:t>Prior to a Triggering Event, all income received by the Trust, net of expenses and taxes, may be returned to the Company or accumulated and reinvested within the Trust at the direction of the Company.</w:t>
      </w:r>
    </w:p>
    <w:p>
      <w:pPr>
        <w:spacing w:after="0" w:line="215" w:lineRule="exact"/>
        <w:rPr>
          <w:rFonts w:ascii="Arial" w:cs="Arial" w:eastAsia="Arial" w:hAnsi="Arial"/>
          <w:sz w:val="22"/>
          <w:szCs w:val="22"/>
          <w:color w:val="auto"/>
        </w:rPr>
      </w:pPr>
    </w:p>
    <w:p>
      <w:pPr>
        <w:ind w:left="660" w:right="400" w:hanging="328"/>
        <w:spacing w:after="0" w:line="263" w:lineRule="auto"/>
        <w:tabs>
          <w:tab w:leader="none" w:pos="660" w:val="left"/>
        </w:tabs>
        <w:numPr>
          <w:ilvl w:val="0"/>
          <w:numId w:val="107"/>
        </w:numPr>
        <w:rPr>
          <w:rFonts w:ascii="Arial" w:cs="Arial" w:eastAsia="Arial" w:hAnsi="Arial"/>
          <w:sz w:val="22"/>
          <w:szCs w:val="22"/>
          <w:color w:val="auto"/>
        </w:rPr>
      </w:pPr>
      <w:r>
        <w:rPr>
          <w:rFonts w:ascii="Arial" w:cs="Arial" w:eastAsia="Arial" w:hAnsi="Arial"/>
          <w:sz w:val="22"/>
          <w:szCs w:val="22"/>
          <w:color w:val="auto"/>
        </w:rPr>
        <w:t>Following a Triggering Event, all income received by the Trust, net of expenses and taxes payable by the Trust, shall be accumulated and reinvested within the Trust.</w:t>
      </w:r>
    </w:p>
    <w:p>
      <w:pPr>
        <w:spacing w:after="0" w:line="209" w:lineRule="exact"/>
        <w:rPr>
          <w:sz w:val="20"/>
          <w:szCs w:val="20"/>
          <w:color w:val="auto"/>
        </w:rPr>
      </w:pPr>
    </w:p>
    <w:p>
      <w:pPr>
        <w:spacing w:after="0"/>
        <w:tabs>
          <w:tab w:leader="none" w:pos="1100" w:val="left"/>
        </w:tabs>
        <w:rPr>
          <w:sz w:val="20"/>
          <w:szCs w:val="20"/>
          <w:color w:val="auto"/>
        </w:rPr>
      </w:pPr>
      <w:r>
        <w:rPr>
          <w:rFonts w:ascii="Arial" w:cs="Arial" w:eastAsia="Arial" w:hAnsi="Arial"/>
          <w:sz w:val="22"/>
          <w:szCs w:val="22"/>
          <w:b w:val="1"/>
          <w:bCs w:val="1"/>
          <w:color w:val="auto"/>
        </w:rPr>
        <w:t>Section 9.</w:t>
      </w:r>
      <w:r>
        <w:rPr>
          <w:sz w:val="20"/>
          <w:szCs w:val="20"/>
          <w:color w:val="auto"/>
        </w:rPr>
        <w:tab/>
      </w:r>
      <w:r>
        <w:rPr>
          <w:rFonts w:ascii="Arial" w:cs="Arial" w:eastAsia="Arial" w:hAnsi="Arial"/>
          <w:sz w:val="19"/>
          <w:szCs w:val="19"/>
          <w:b w:val="1"/>
          <w:bCs w:val="1"/>
          <w:u w:val="single" w:color="auto"/>
          <w:color w:val="auto"/>
        </w:rPr>
        <w:t>Accounting by The Trustee</w:t>
      </w:r>
    </w:p>
    <w:p>
      <w:pPr>
        <w:spacing w:after="0" w:line="266" w:lineRule="exact"/>
        <w:rPr>
          <w:sz w:val="20"/>
          <w:szCs w:val="20"/>
          <w:color w:val="auto"/>
        </w:rPr>
      </w:pPr>
    </w:p>
    <w:p>
      <w:pPr>
        <w:ind w:right="80"/>
        <w:spacing w:after="0" w:line="292" w:lineRule="auto"/>
        <w:rPr>
          <w:sz w:val="20"/>
          <w:szCs w:val="20"/>
          <w:color w:val="auto"/>
        </w:rPr>
      </w:pPr>
      <w:r>
        <w:rPr>
          <w:rFonts w:ascii="Arial" w:cs="Arial" w:eastAsia="Arial" w:hAnsi="Arial"/>
          <w:sz w:val="19"/>
          <w:szCs w:val="19"/>
          <w:color w:val="auto"/>
        </w:rPr>
        <w:t>The Trustee shall keep accurate and detailed records of all investments, receipts, disbursements, and all other transactions required to be made, including such specific records as shall be agreed upon in writing between the Company and the Trustee. Within forty-five (45) days following the close of each calendar year and within forty-five (45) days after the removal or resignation of the Trustee, the Trustee shall deliver to the Company a written account of its administration of the Trust during such year or during the period from the close of the last preceding year to the date of such removal or resignation setting forth all investments, receipts, disbursements and other transactions effected by it, including a description of all securities and investments purchased and sold with the cost or net proceeds of such purchases or sales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591" w:right="259" w:bottom="1440" w:gutter="0" w:footer="0" w:header="0"/>
        </w:sectPr>
      </w:pPr>
    </w:p>
    <w:bookmarkStart w:id="184" w:name="page185"/>
    <w:bookmarkEnd w:id="184"/>
    <w:p>
      <w:pPr>
        <w:spacing w:after="0"/>
        <w:rPr>
          <w:sz w:val="20"/>
          <w:szCs w:val="20"/>
          <w:color w:val="auto"/>
        </w:rPr>
      </w:pPr>
      <w:r>
        <w:rPr>
          <w:rFonts w:ascii="Arial" w:cs="Arial" w:eastAsia="Arial" w:hAnsi="Arial"/>
          <w:sz w:val="22"/>
          <w:szCs w:val="22"/>
          <w:b w:val="1"/>
          <w:bCs w:val="1"/>
          <w:i w:val="1"/>
          <w:iCs w:val="1"/>
          <w:color w:val="auto"/>
        </w:rPr>
        <w:t>ALLETE, Inc. Amended and Restated Director Compensation Trust Agreement</w:t>
      </w:r>
    </w:p>
    <w:p>
      <w:pPr>
        <w:spacing w:after="0" w:line="260" w:lineRule="exact"/>
        <w:rPr>
          <w:sz w:val="20"/>
          <w:szCs w:val="20"/>
          <w:color w:val="auto"/>
        </w:rPr>
      </w:pPr>
    </w:p>
    <w:p>
      <w:pPr>
        <w:spacing w:after="0" w:line="289" w:lineRule="auto"/>
        <w:rPr>
          <w:sz w:val="20"/>
          <w:szCs w:val="20"/>
          <w:color w:val="auto"/>
        </w:rPr>
      </w:pPr>
      <w:r>
        <w:rPr>
          <w:rFonts w:ascii="Arial" w:cs="Arial" w:eastAsia="Arial" w:hAnsi="Arial"/>
          <w:sz w:val="19"/>
          <w:szCs w:val="19"/>
          <w:color w:val="auto"/>
        </w:rPr>
        <w:t>(accrued interest paid or receivable being shown separately), and showing all cash, securities and other property held in the Trust at the end of such year or as of the date of such removal or resignation, as the case may be. The Company may approve such account by an instrument in writing delivered to the Trustee. In the absence of the Company's filing with the Trustee objections to any such account within one hundred and eighty (180) days after its receipt, the Company shall be deemed to have so approved such account. In such case, or upon the written approval by the Company of any such account, the Trustee shall, to the extent permitted by law, be discharged from all liability to the Company for its acts or failures to act described by such account. The foregoing, however, shall not preclude the Trustee from having its accounting settled by a court of competent jurisdiction. The Trustee shall be entitled to hold and to commingle the assets of the Trust in one Fund for investment purposes but at the direction of the Company prior to a Change in Control, the Trustee shall create one or more sub-accounts.</w:t>
      </w:r>
    </w:p>
    <w:p>
      <w:pPr>
        <w:spacing w:after="0" w:line="192" w:lineRule="exact"/>
        <w:rPr>
          <w:sz w:val="20"/>
          <w:szCs w:val="20"/>
          <w:color w:val="auto"/>
        </w:rPr>
      </w:pPr>
    </w:p>
    <w:p>
      <w:pPr>
        <w:spacing w:after="0"/>
        <w:tabs>
          <w:tab w:leader="none" w:pos="1200" w:val="left"/>
        </w:tabs>
        <w:rPr>
          <w:sz w:val="20"/>
          <w:szCs w:val="20"/>
          <w:color w:val="auto"/>
        </w:rPr>
      </w:pPr>
      <w:r>
        <w:rPr>
          <w:rFonts w:ascii="Arial" w:cs="Arial" w:eastAsia="Arial" w:hAnsi="Arial"/>
          <w:sz w:val="22"/>
          <w:szCs w:val="22"/>
          <w:b w:val="1"/>
          <w:bCs w:val="1"/>
          <w:color w:val="auto"/>
        </w:rPr>
        <w:t>Section 10.</w:t>
      </w:r>
      <w:r>
        <w:rPr>
          <w:sz w:val="20"/>
          <w:szCs w:val="20"/>
          <w:color w:val="auto"/>
        </w:rPr>
        <w:tab/>
      </w:r>
      <w:r>
        <w:rPr>
          <w:rFonts w:ascii="Arial" w:cs="Arial" w:eastAsia="Arial" w:hAnsi="Arial"/>
          <w:sz w:val="19"/>
          <w:szCs w:val="19"/>
          <w:b w:val="1"/>
          <w:bCs w:val="1"/>
          <w:u w:val="single" w:color="auto"/>
          <w:color w:val="auto"/>
        </w:rPr>
        <w:t>Responsibility of The Trustee</w:t>
      </w:r>
    </w:p>
    <w:p>
      <w:pPr>
        <w:spacing w:after="0" w:line="266" w:lineRule="exact"/>
        <w:rPr>
          <w:sz w:val="20"/>
          <w:szCs w:val="20"/>
          <w:color w:val="auto"/>
        </w:rPr>
      </w:pPr>
    </w:p>
    <w:p>
      <w:pPr>
        <w:ind w:left="660" w:right="20" w:hanging="328"/>
        <w:spacing w:after="0" w:line="246" w:lineRule="auto"/>
        <w:tabs>
          <w:tab w:leader="none" w:pos="660" w:val="left"/>
        </w:tabs>
        <w:numPr>
          <w:ilvl w:val="0"/>
          <w:numId w:val="108"/>
        </w:numPr>
        <w:rPr>
          <w:rFonts w:ascii="Arial" w:cs="Arial" w:eastAsia="Arial" w:hAnsi="Arial"/>
          <w:sz w:val="22"/>
          <w:szCs w:val="22"/>
          <w:color w:val="auto"/>
        </w:rPr>
      </w:pPr>
      <w:r>
        <w:rPr>
          <w:rFonts w:ascii="Arial" w:cs="Arial" w:eastAsia="Arial" w:hAnsi="Arial"/>
          <w:sz w:val="22"/>
          <w:szCs w:val="22"/>
          <w:color w:val="auto"/>
        </w:rPr>
        <w:t>The Trustee shall act with the care, skill, prudence and diligence under the circumstances then prevailing that a prudent person acting in like capacity and familiar with such matters would use in the conduct of an enterprise of a like character and with like aims, provided, however, that the Trustee shall incur no liability to any person for any action taken pursuant to a direction, request or approval given by the Company which is contemplated by, and in conformity with, the terms of the Arrangements or this Trust and is given in writing by the Company. In the event of a dispute between the Company and a party, the Trustee may apply to a court of competent jurisdiction to resolve the dispute, subject, however to Section 2(d) hereof.</w:t>
      </w:r>
    </w:p>
    <w:p>
      <w:pPr>
        <w:spacing w:after="0" w:line="237" w:lineRule="exact"/>
        <w:rPr>
          <w:rFonts w:ascii="Arial" w:cs="Arial" w:eastAsia="Arial" w:hAnsi="Arial"/>
          <w:sz w:val="22"/>
          <w:szCs w:val="22"/>
          <w:color w:val="auto"/>
        </w:rPr>
      </w:pPr>
    </w:p>
    <w:p>
      <w:pPr>
        <w:ind w:left="660" w:right="140" w:hanging="328"/>
        <w:spacing w:after="0" w:line="288" w:lineRule="auto"/>
        <w:tabs>
          <w:tab w:leader="none" w:pos="660" w:val="left"/>
        </w:tabs>
        <w:numPr>
          <w:ilvl w:val="0"/>
          <w:numId w:val="108"/>
        </w:numPr>
        <w:rPr>
          <w:rFonts w:ascii="Arial" w:cs="Arial" w:eastAsia="Arial" w:hAnsi="Arial"/>
          <w:sz w:val="19"/>
          <w:szCs w:val="19"/>
          <w:color w:val="auto"/>
        </w:rPr>
      </w:pPr>
      <w:r>
        <w:rPr>
          <w:rFonts w:ascii="Arial" w:cs="Arial" w:eastAsia="Arial" w:hAnsi="Arial"/>
          <w:sz w:val="19"/>
          <w:szCs w:val="19"/>
          <w:color w:val="auto"/>
        </w:rPr>
        <w:t>The Company hereby indemnifies the Trustee against losses, liabilities, claims, costs and expenses in connection with the administration of the Trust, unless resulting from the negligence or willful misconduct of Trustee. The Trustee hereby indemnifies the Company against liabilities, claims, costs and expenses resulting from negligence or willful misconduct of the Trustee. The Trustee shall not be liable under any circumstances for indirect, incidental, consequential, punitive, or special damages in connection with the administration of this Trust. To the extent the Company fails to make any payment on account of an indemnity provided in this Section 10(b), in a reasonably timely manner, the Trustee may obtain payment from the Trust. If the Trustee undertakes or defends any litigation arising in connection with this Trust or to protect a Participant's rights under the Arrangements, the Company agrees to indemnify the Trustee against the Trustee's costs, reasonable expenses and liabilities (including, without limitation, attorneys' fees and expenses) relating thereto and to be primarily liable for such payments. If the Company does not pay such costs, expenses and liabilities in a reasonably timely manner, the Trustee may obtain payment from the Trust.</w:t>
      </w:r>
    </w:p>
    <w:p>
      <w:pPr>
        <w:spacing w:after="0" w:line="195" w:lineRule="exact"/>
        <w:rPr>
          <w:rFonts w:ascii="Arial" w:cs="Arial" w:eastAsia="Arial" w:hAnsi="Arial"/>
          <w:sz w:val="19"/>
          <w:szCs w:val="19"/>
          <w:color w:val="auto"/>
        </w:rPr>
      </w:pPr>
    </w:p>
    <w:p>
      <w:pPr>
        <w:ind w:left="660" w:right="60" w:hanging="328"/>
        <w:spacing w:after="0" w:line="263" w:lineRule="auto"/>
        <w:tabs>
          <w:tab w:leader="none" w:pos="660" w:val="left"/>
        </w:tabs>
        <w:numPr>
          <w:ilvl w:val="0"/>
          <w:numId w:val="108"/>
        </w:numPr>
        <w:rPr>
          <w:rFonts w:ascii="Arial" w:cs="Arial" w:eastAsia="Arial" w:hAnsi="Arial"/>
          <w:sz w:val="22"/>
          <w:szCs w:val="22"/>
          <w:color w:val="auto"/>
        </w:rPr>
      </w:pPr>
      <w:r>
        <w:rPr>
          <w:rFonts w:ascii="Arial" w:cs="Arial" w:eastAsia="Arial" w:hAnsi="Arial"/>
          <w:sz w:val="22"/>
          <w:szCs w:val="22"/>
          <w:color w:val="auto"/>
        </w:rPr>
        <w:t>The Trustee may consult with legal counsel (who may also be counsel for the Company generally) with respect to any of its duties or obligations hereunder.</w:t>
      </w:r>
    </w:p>
    <w:p>
      <w:pPr>
        <w:spacing w:after="0" w:line="1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591" w:right="259" w:bottom="1440" w:gutter="0" w:footer="0" w:header="0"/>
        </w:sectPr>
      </w:pPr>
    </w:p>
    <w:bookmarkStart w:id="185" w:name="page186"/>
    <w:bookmarkEnd w:id="185"/>
    <w:p>
      <w:pPr>
        <w:spacing w:after="0"/>
        <w:rPr>
          <w:sz w:val="20"/>
          <w:szCs w:val="20"/>
          <w:color w:val="auto"/>
        </w:rPr>
      </w:pPr>
      <w:r>
        <w:rPr>
          <w:rFonts w:ascii="Arial" w:cs="Arial" w:eastAsia="Arial" w:hAnsi="Arial"/>
          <w:sz w:val="22"/>
          <w:szCs w:val="22"/>
          <w:b w:val="1"/>
          <w:bCs w:val="1"/>
          <w:i w:val="1"/>
          <w:iCs w:val="1"/>
          <w:color w:val="auto"/>
        </w:rPr>
        <w:t>ALLETE, Inc. Amended and Restated Director Compensation Trust Agreement</w:t>
      </w:r>
    </w:p>
    <w:p>
      <w:pPr>
        <w:spacing w:after="0" w:line="260" w:lineRule="exact"/>
        <w:rPr>
          <w:sz w:val="20"/>
          <w:szCs w:val="20"/>
          <w:color w:val="auto"/>
        </w:rPr>
      </w:pPr>
    </w:p>
    <w:p>
      <w:pPr>
        <w:ind w:left="660" w:right="240" w:hanging="328"/>
        <w:spacing w:after="0" w:line="253" w:lineRule="auto"/>
        <w:tabs>
          <w:tab w:leader="none" w:pos="660" w:val="left"/>
        </w:tabs>
        <w:numPr>
          <w:ilvl w:val="0"/>
          <w:numId w:val="109"/>
        </w:numPr>
        <w:rPr>
          <w:rFonts w:ascii="Arial" w:cs="Arial" w:eastAsia="Arial" w:hAnsi="Arial"/>
          <w:sz w:val="22"/>
          <w:szCs w:val="22"/>
          <w:color w:val="auto"/>
        </w:rPr>
      </w:pPr>
      <w:r>
        <w:rPr>
          <w:rFonts w:ascii="Arial" w:cs="Arial" w:eastAsia="Arial" w:hAnsi="Arial"/>
          <w:sz w:val="22"/>
          <w:szCs w:val="22"/>
          <w:color w:val="auto"/>
        </w:rPr>
        <w:t>The Trustee may hire agents, accountants, actuaries, investment advisors, financial consultants or other professionals to assist it in performing any of its duties or obligations hereunder and may rely on any determinations made by such agents and information provided to it by the Company.</w:t>
      </w:r>
    </w:p>
    <w:p>
      <w:pPr>
        <w:spacing w:after="0" w:line="226" w:lineRule="exact"/>
        <w:rPr>
          <w:rFonts w:ascii="Arial" w:cs="Arial" w:eastAsia="Arial" w:hAnsi="Arial"/>
          <w:sz w:val="22"/>
          <w:szCs w:val="22"/>
          <w:color w:val="auto"/>
        </w:rPr>
      </w:pPr>
    </w:p>
    <w:p>
      <w:pPr>
        <w:ind w:left="660" w:right="40" w:hanging="328"/>
        <w:spacing w:after="0" w:line="263" w:lineRule="auto"/>
        <w:tabs>
          <w:tab w:leader="none" w:pos="660" w:val="left"/>
        </w:tabs>
        <w:numPr>
          <w:ilvl w:val="0"/>
          <w:numId w:val="109"/>
        </w:numPr>
        <w:rPr>
          <w:rFonts w:ascii="Arial" w:cs="Arial" w:eastAsia="Arial" w:hAnsi="Arial"/>
          <w:sz w:val="22"/>
          <w:szCs w:val="22"/>
          <w:color w:val="auto"/>
        </w:rPr>
      </w:pPr>
      <w:r>
        <w:rPr>
          <w:rFonts w:ascii="Arial" w:cs="Arial" w:eastAsia="Arial" w:hAnsi="Arial"/>
          <w:sz w:val="22"/>
          <w:szCs w:val="22"/>
          <w:color w:val="auto"/>
        </w:rPr>
        <w:t>The Trustee shall have, without exclusion, all powers conferred on the Trustee by applicable law, unless expressly provided otherwise herein.</w:t>
      </w:r>
    </w:p>
    <w:p>
      <w:pPr>
        <w:spacing w:after="0" w:line="215" w:lineRule="exact"/>
        <w:rPr>
          <w:rFonts w:ascii="Arial" w:cs="Arial" w:eastAsia="Arial" w:hAnsi="Arial"/>
          <w:sz w:val="22"/>
          <w:szCs w:val="22"/>
          <w:color w:val="auto"/>
        </w:rPr>
      </w:pPr>
    </w:p>
    <w:p>
      <w:pPr>
        <w:ind w:left="660" w:right="120" w:hanging="328"/>
        <w:spacing w:after="0" w:line="250" w:lineRule="auto"/>
        <w:tabs>
          <w:tab w:leader="none" w:pos="660" w:val="left"/>
        </w:tabs>
        <w:numPr>
          <w:ilvl w:val="0"/>
          <w:numId w:val="109"/>
        </w:numPr>
        <w:rPr>
          <w:rFonts w:ascii="Arial" w:cs="Arial" w:eastAsia="Arial" w:hAnsi="Arial"/>
          <w:sz w:val="22"/>
          <w:szCs w:val="22"/>
          <w:color w:val="auto"/>
        </w:rPr>
      </w:pPr>
      <w:r>
        <w:rPr>
          <w:rFonts w:ascii="Arial" w:cs="Arial" w:eastAsia="Arial" w:hAnsi="Arial"/>
          <w:sz w:val="22"/>
          <w:szCs w:val="22"/>
          <w:color w:val="auto"/>
        </w:rPr>
        <w:t>Notwithstanding any powers granted to the Trustee pursuant to this Trust Agreement or to applicable law, the Trustee shall not have any power that could give this Trust the objective of carrying on a business and dividing the gains therefrom, within the meaning of section 301.7701-2 of the Procedure and Administrative Regulations promulgated pursuant to the Internal Revenue Code.</w:t>
      </w:r>
    </w:p>
    <w:p>
      <w:pPr>
        <w:spacing w:after="0" w:line="223" w:lineRule="exact"/>
        <w:rPr>
          <w:sz w:val="20"/>
          <w:szCs w:val="20"/>
          <w:color w:val="auto"/>
        </w:rPr>
      </w:pPr>
    </w:p>
    <w:p>
      <w:pPr>
        <w:spacing w:after="0"/>
        <w:tabs>
          <w:tab w:leader="none" w:pos="1180" w:val="left"/>
        </w:tabs>
        <w:rPr>
          <w:sz w:val="20"/>
          <w:szCs w:val="20"/>
          <w:color w:val="auto"/>
        </w:rPr>
      </w:pPr>
      <w:r>
        <w:rPr>
          <w:rFonts w:ascii="Arial" w:cs="Arial" w:eastAsia="Arial" w:hAnsi="Arial"/>
          <w:sz w:val="22"/>
          <w:szCs w:val="22"/>
          <w:b w:val="1"/>
          <w:bCs w:val="1"/>
          <w:color w:val="auto"/>
        </w:rPr>
        <w:t>Section 11.</w:t>
      </w:r>
      <w:r>
        <w:rPr>
          <w:sz w:val="20"/>
          <w:szCs w:val="20"/>
          <w:color w:val="auto"/>
        </w:rPr>
        <w:tab/>
      </w:r>
      <w:r>
        <w:rPr>
          <w:rFonts w:ascii="Arial" w:cs="Arial" w:eastAsia="Arial" w:hAnsi="Arial"/>
          <w:sz w:val="19"/>
          <w:szCs w:val="19"/>
          <w:b w:val="1"/>
          <w:bCs w:val="1"/>
          <w:u w:val="single" w:color="auto"/>
          <w:color w:val="auto"/>
        </w:rPr>
        <w:t>Compensation and Expenses of The Trustee</w:t>
      </w:r>
    </w:p>
    <w:p>
      <w:pPr>
        <w:spacing w:after="0" w:line="226" w:lineRule="exact"/>
        <w:rPr>
          <w:sz w:val="20"/>
          <w:szCs w:val="20"/>
          <w:color w:val="auto"/>
        </w:rPr>
      </w:pPr>
    </w:p>
    <w:p>
      <w:pPr>
        <w:ind w:right="240"/>
        <w:spacing w:after="0" w:line="312" w:lineRule="auto"/>
        <w:rPr>
          <w:sz w:val="20"/>
          <w:szCs w:val="20"/>
          <w:color w:val="auto"/>
        </w:rPr>
      </w:pPr>
      <w:r>
        <w:rPr>
          <w:rFonts w:ascii="Arial" w:cs="Arial" w:eastAsia="Arial" w:hAnsi="Arial"/>
          <w:sz w:val="19"/>
          <w:szCs w:val="19"/>
          <w:color w:val="auto"/>
        </w:rPr>
        <w:t>The Trustee's compensation shall be as agreed in writing from time to time by the Company and the Trustee. The Company shall pay all administrative expenses and the Trustee's fees and shall promptly reimburse the Trustee for any fees and expenses of its agents. If not so paid within thirty (30) days of being invoiced, the fees and expenses shall be paid from the Trust.</w:t>
      </w:r>
    </w:p>
    <w:p>
      <w:pPr>
        <w:spacing w:after="0" w:line="168" w:lineRule="exact"/>
        <w:rPr>
          <w:sz w:val="20"/>
          <w:szCs w:val="20"/>
          <w:color w:val="auto"/>
        </w:rPr>
      </w:pPr>
    </w:p>
    <w:p>
      <w:pPr>
        <w:spacing w:after="0"/>
        <w:tabs>
          <w:tab w:leader="none" w:pos="1200" w:val="left"/>
        </w:tabs>
        <w:rPr>
          <w:sz w:val="20"/>
          <w:szCs w:val="20"/>
          <w:color w:val="auto"/>
        </w:rPr>
      </w:pPr>
      <w:r>
        <w:rPr>
          <w:rFonts w:ascii="Arial" w:cs="Arial" w:eastAsia="Arial" w:hAnsi="Arial"/>
          <w:sz w:val="22"/>
          <w:szCs w:val="22"/>
          <w:b w:val="1"/>
          <w:bCs w:val="1"/>
          <w:color w:val="auto"/>
        </w:rPr>
        <w:t>Section 12.</w:t>
      </w:r>
      <w:r>
        <w:rPr>
          <w:sz w:val="20"/>
          <w:szCs w:val="20"/>
          <w:color w:val="auto"/>
        </w:rPr>
        <w:tab/>
      </w:r>
      <w:r>
        <w:rPr>
          <w:rFonts w:ascii="Arial" w:cs="Arial" w:eastAsia="Arial" w:hAnsi="Arial"/>
          <w:sz w:val="19"/>
          <w:szCs w:val="19"/>
          <w:b w:val="1"/>
          <w:bCs w:val="1"/>
          <w:u w:val="single" w:color="auto"/>
          <w:color w:val="auto"/>
        </w:rPr>
        <w:t>Resignation and Removal of The Trustee</w:t>
      </w:r>
    </w:p>
    <w:p>
      <w:pPr>
        <w:spacing w:after="0" w:line="266" w:lineRule="exact"/>
        <w:rPr>
          <w:sz w:val="20"/>
          <w:szCs w:val="20"/>
          <w:color w:val="auto"/>
        </w:rPr>
      </w:pPr>
    </w:p>
    <w:p>
      <w:pPr>
        <w:ind w:left="660" w:right="20" w:hanging="328"/>
        <w:spacing w:after="0" w:line="292" w:lineRule="auto"/>
        <w:tabs>
          <w:tab w:leader="none" w:pos="660" w:val="left"/>
        </w:tabs>
        <w:numPr>
          <w:ilvl w:val="0"/>
          <w:numId w:val="110"/>
        </w:numPr>
        <w:rPr>
          <w:rFonts w:ascii="Arial" w:cs="Arial" w:eastAsia="Arial" w:hAnsi="Arial"/>
          <w:sz w:val="19"/>
          <w:szCs w:val="19"/>
          <w:color w:val="auto"/>
        </w:rPr>
      </w:pPr>
      <w:r>
        <w:rPr>
          <w:rFonts w:ascii="Arial" w:cs="Arial" w:eastAsia="Arial" w:hAnsi="Arial"/>
          <w:sz w:val="19"/>
          <w:szCs w:val="19"/>
          <w:color w:val="auto"/>
        </w:rPr>
        <w:t>Prior to a Triggering Event, the Trustee may resign at any time by written notice to the Committee, which shall be effective sixty (60) days after receipt of such notice unless the Committee and the Trustee agree otherwise. Following a Triggering Event, the Trustee may resign thirty-six (36) months or more after the Triggering Event by written notice to the Committee, which shall be effective sixty (60) days after receipt of such notice or upon shorter notice as the Committee and the Trustee agree. Or, following a Triggering Event, the Trustee may resign twenty-four (24) months or more after the Triggering Event if a successor Trustee has been appointed by the Committee in accordance with Section 13 or the Trustee has received written consent from a Majority of the Participants as defined in Section 15.</w:t>
      </w:r>
    </w:p>
    <w:p>
      <w:pPr>
        <w:spacing w:after="0" w:line="192" w:lineRule="exact"/>
        <w:rPr>
          <w:rFonts w:ascii="Arial" w:cs="Arial" w:eastAsia="Arial" w:hAnsi="Arial"/>
          <w:sz w:val="19"/>
          <w:szCs w:val="19"/>
          <w:color w:val="auto"/>
        </w:rPr>
      </w:pPr>
    </w:p>
    <w:p>
      <w:pPr>
        <w:ind w:left="660" w:hanging="328"/>
        <w:spacing w:after="0" w:line="253" w:lineRule="auto"/>
        <w:tabs>
          <w:tab w:leader="none" w:pos="660" w:val="left"/>
        </w:tabs>
        <w:numPr>
          <w:ilvl w:val="0"/>
          <w:numId w:val="110"/>
        </w:numPr>
        <w:rPr>
          <w:rFonts w:ascii="Arial" w:cs="Arial" w:eastAsia="Arial" w:hAnsi="Arial"/>
          <w:sz w:val="22"/>
          <w:szCs w:val="22"/>
          <w:color w:val="auto"/>
        </w:rPr>
      </w:pPr>
      <w:r>
        <w:rPr>
          <w:rFonts w:ascii="Arial" w:cs="Arial" w:eastAsia="Arial" w:hAnsi="Arial"/>
          <w:sz w:val="22"/>
          <w:szCs w:val="22"/>
          <w:color w:val="auto"/>
        </w:rPr>
        <w:t>Prior to a Triggering Event, the Trustee may be removed by the Committee on sixty (60) days written notice or upon shorter notice accepted by the Trustee. After a Triggering Event, the Trustee may be removed by the Committee with written consent from a Majority of the Participants.</w:t>
      </w:r>
    </w:p>
    <w:p>
      <w:pPr>
        <w:spacing w:after="0" w:line="226" w:lineRule="exact"/>
        <w:rPr>
          <w:rFonts w:ascii="Arial" w:cs="Arial" w:eastAsia="Arial" w:hAnsi="Arial"/>
          <w:sz w:val="22"/>
          <w:szCs w:val="22"/>
          <w:color w:val="auto"/>
        </w:rPr>
      </w:pPr>
    </w:p>
    <w:p>
      <w:pPr>
        <w:ind w:left="660" w:right="380" w:hanging="328"/>
        <w:spacing w:after="0" w:line="312" w:lineRule="auto"/>
        <w:tabs>
          <w:tab w:leader="none" w:pos="660" w:val="left"/>
        </w:tabs>
        <w:numPr>
          <w:ilvl w:val="0"/>
          <w:numId w:val="110"/>
        </w:numPr>
        <w:rPr>
          <w:rFonts w:ascii="Arial" w:cs="Arial" w:eastAsia="Arial" w:hAnsi="Arial"/>
          <w:sz w:val="19"/>
          <w:szCs w:val="19"/>
          <w:color w:val="auto"/>
        </w:rPr>
      </w:pPr>
      <w:r>
        <w:rPr>
          <w:rFonts w:ascii="Arial" w:cs="Arial" w:eastAsia="Arial" w:hAnsi="Arial"/>
          <w:sz w:val="19"/>
          <w:szCs w:val="19"/>
          <w:color w:val="auto"/>
        </w:rPr>
        <w:t>If the Trustee resigns following a Triggering Event and if the Committee fails to appoint a successor Trustee within a reasonable period of time following such resignation, the Trustee shall apply to a court of competent jurisdiction for the appointment of a successor Trustee which satisfies the requirements of Section 13 or for instructions.</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591" w:right="279" w:bottom="1440" w:gutter="0" w:footer="0" w:header="0"/>
        </w:sectPr>
      </w:pPr>
    </w:p>
    <w:bookmarkStart w:id="186" w:name="page187"/>
    <w:bookmarkEnd w:id="186"/>
    <w:p>
      <w:pPr>
        <w:spacing w:after="0"/>
        <w:rPr>
          <w:sz w:val="20"/>
          <w:szCs w:val="20"/>
          <w:color w:val="auto"/>
        </w:rPr>
      </w:pPr>
      <w:r>
        <w:rPr>
          <w:rFonts w:ascii="Arial" w:cs="Arial" w:eastAsia="Arial" w:hAnsi="Arial"/>
          <w:sz w:val="22"/>
          <w:szCs w:val="22"/>
          <w:b w:val="1"/>
          <w:bCs w:val="1"/>
          <w:i w:val="1"/>
          <w:iCs w:val="1"/>
          <w:color w:val="auto"/>
        </w:rPr>
        <w:t>ALLETE, Inc. Amended and Restated Director Compensation Trust Agreement</w:t>
      </w:r>
    </w:p>
    <w:p>
      <w:pPr>
        <w:spacing w:after="0" w:line="260" w:lineRule="exact"/>
        <w:rPr>
          <w:sz w:val="20"/>
          <w:szCs w:val="20"/>
          <w:color w:val="auto"/>
        </w:rPr>
      </w:pPr>
    </w:p>
    <w:p>
      <w:pPr>
        <w:jc w:val="both"/>
        <w:ind w:left="660" w:right="760" w:hanging="328"/>
        <w:spacing w:after="0" w:line="271" w:lineRule="auto"/>
        <w:tabs>
          <w:tab w:leader="none" w:pos="660" w:val="left"/>
        </w:tabs>
        <w:numPr>
          <w:ilvl w:val="0"/>
          <w:numId w:val="111"/>
        </w:numPr>
        <w:rPr>
          <w:rFonts w:ascii="Arial" w:cs="Arial" w:eastAsia="Arial" w:hAnsi="Arial"/>
          <w:sz w:val="21"/>
          <w:szCs w:val="21"/>
          <w:color w:val="auto"/>
        </w:rPr>
      </w:pPr>
      <w:r>
        <w:rPr>
          <w:rFonts w:ascii="Arial" w:cs="Arial" w:eastAsia="Arial" w:hAnsi="Arial"/>
          <w:sz w:val="21"/>
          <w:szCs w:val="21"/>
          <w:color w:val="auto"/>
        </w:rPr>
        <w:t>Upon resignation or removal of the Trustee and appointment of a successor Trustee, all assets shall subsequently be transferred to the successor Trustee. The transfer shall be completed within sixty (60) days after receipt of notice of resignation, removal or transfer, unless the Committee extends the time limit.</w:t>
      </w:r>
    </w:p>
    <w:p>
      <w:pPr>
        <w:spacing w:after="0" w:line="208" w:lineRule="exact"/>
        <w:rPr>
          <w:rFonts w:ascii="Arial" w:cs="Arial" w:eastAsia="Arial" w:hAnsi="Arial"/>
          <w:sz w:val="21"/>
          <w:szCs w:val="21"/>
          <w:color w:val="auto"/>
        </w:rPr>
      </w:pPr>
    </w:p>
    <w:p>
      <w:pPr>
        <w:ind w:left="660" w:right="160" w:hanging="328"/>
        <w:spacing w:after="0" w:line="248" w:lineRule="auto"/>
        <w:tabs>
          <w:tab w:leader="none" w:pos="660" w:val="left"/>
        </w:tabs>
        <w:numPr>
          <w:ilvl w:val="0"/>
          <w:numId w:val="111"/>
        </w:numPr>
        <w:rPr>
          <w:rFonts w:ascii="Arial" w:cs="Arial" w:eastAsia="Arial" w:hAnsi="Arial"/>
          <w:sz w:val="22"/>
          <w:szCs w:val="22"/>
          <w:color w:val="auto"/>
        </w:rPr>
      </w:pPr>
      <w:r>
        <w:rPr>
          <w:rFonts w:ascii="Arial" w:cs="Arial" w:eastAsia="Arial" w:hAnsi="Arial"/>
          <w:sz w:val="22"/>
          <w:szCs w:val="22"/>
          <w:color w:val="auto"/>
        </w:rPr>
        <w:t>If the Trustee resigns or is removed, a successor Trustee shall be appointed by the Committee, in accordance with Section 13 hereof, by the effective date of resignation or removal under paragraph(s) (a) or (b) of this section. If no such appointment has been made, the Trustee may apply to a court of competent jurisdiction for appointment of a successor or for instructions. All expenses of the Trustee in connection with the proceeding shall be allowed as administrative expenses of the Trust.</w:t>
      </w:r>
    </w:p>
    <w:p>
      <w:pPr>
        <w:spacing w:after="0" w:line="227" w:lineRule="exact"/>
        <w:rPr>
          <w:sz w:val="20"/>
          <w:szCs w:val="20"/>
          <w:color w:val="auto"/>
        </w:rPr>
      </w:pPr>
    </w:p>
    <w:p>
      <w:pPr>
        <w:spacing w:after="0"/>
        <w:tabs>
          <w:tab w:leader="none" w:pos="1200" w:val="left"/>
        </w:tabs>
        <w:rPr>
          <w:sz w:val="20"/>
          <w:szCs w:val="20"/>
          <w:color w:val="auto"/>
        </w:rPr>
      </w:pPr>
      <w:r>
        <w:rPr>
          <w:rFonts w:ascii="Arial" w:cs="Arial" w:eastAsia="Arial" w:hAnsi="Arial"/>
          <w:sz w:val="22"/>
          <w:szCs w:val="22"/>
          <w:b w:val="1"/>
          <w:bCs w:val="1"/>
          <w:color w:val="auto"/>
        </w:rPr>
        <w:t>Section 13.</w:t>
      </w:r>
      <w:r>
        <w:rPr>
          <w:sz w:val="20"/>
          <w:szCs w:val="20"/>
          <w:color w:val="auto"/>
        </w:rPr>
        <w:tab/>
      </w:r>
      <w:r>
        <w:rPr>
          <w:rFonts w:ascii="Arial" w:cs="Arial" w:eastAsia="Arial" w:hAnsi="Arial"/>
          <w:sz w:val="19"/>
          <w:szCs w:val="19"/>
          <w:b w:val="1"/>
          <w:bCs w:val="1"/>
          <w:u w:val="single" w:color="auto"/>
          <w:color w:val="auto"/>
        </w:rPr>
        <w:t>Appointment of Successor</w:t>
      </w:r>
    </w:p>
    <w:p>
      <w:pPr>
        <w:spacing w:after="0" w:line="266" w:lineRule="exact"/>
        <w:rPr>
          <w:sz w:val="20"/>
          <w:szCs w:val="20"/>
          <w:color w:val="auto"/>
        </w:rPr>
      </w:pPr>
    </w:p>
    <w:p>
      <w:pPr>
        <w:ind w:left="660" w:right="140" w:hanging="328"/>
        <w:spacing w:after="0" w:line="263" w:lineRule="auto"/>
        <w:tabs>
          <w:tab w:leader="none" w:pos="660" w:val="left"/>
        </w:tabs>
        <w:numPr>
          <w:ilvl w:val="0"/>
          <w:numId w:val="112"/>
        </w:numPr>
        <w:rPr>
          <w:rFonts w:ascii="Arial" w:cs="Arial" w:eastAsia="Arial" w:hAnsi="Arial"/>
          <w:sz w:val="21"/>
          <w:szCs w:val="21"/>
          <w:color w:val="auto"/>
        </w:rPr>
      </w:pPr>
      <w:r>
        <w:rPr>
          <w:rFonts w:ascii="Arial" w:cs="Arial" w:eastAsia="Arial" w:hAnsi="Arial"/>
          <w:sz w:val="21"/>
          <w:szCs w:val="21"/>
          <w:color w:val="auto"/>
        </w:rPr>
        <w:t>If the Trustee resigns or is removed in accordance with Section 12 hereof, the Committee may appoint, subject to Section 12, any third party national banking association with a market capitalization exceeding $25,000,000 to replace the Trustee upon resignation or removal. The successor Trustee shall have all of the rights and powers of the former Trustee, including ownership rights in the Trust. The former Trustee shall execute any instrument necessary or reasonably requested by the Committee or the successor Trustee to evidence the transfer.</w:t>
      </w:r>
    </w:p>
    <w:p>
      <w:pPr>
        <w:spacing w:after="0" w:line="216" w:lineRule="exact"/>
        <w:rPr>
          <w:rFonts w:ascii="Arial" w:cs="Arial" w:eastAsia="Arial" w:hAnsi="Arial"/>
          <w:sz w:val="21"/>
          <w:szCs w:val="21"/>
          <w:color w:val="auto"/>
        </w:rPr>
      </w:pPr>
    </w:p>
    <w:p>
      <w:pPr>
        <w:ind w:left="660" w:right="240" w:hanging="328"/>
        <w:spacing w:after="0" w:line="302" w:lineRule="auto"/>
        <w:tabs>
          <w:tab w:leader="none" w:pos="660" w:val="left"/>
        </w:tabs>
        <w:numPr>
          <w:ilvl w:val="0"/>
          <w:numId w:val="112"/>
        </w:numPr>
        <w:rPr>
          <w:rFonts w:ascii="Arial" w:cs="Arial" w:eastAsia="Arial" w:hAnsi="Arial"/>
          <w:sz w:val="19"/>
          <w:szCs w:val="19"/>
          <w:color w:val="auto"/>
        </w:rPr>
      </w:pPr>
      <w:r>
        <w:rPr>
          <w:rFonts w:ascii="Arial" w:cs="Arial" w:eastAsia="Arial" w:hAnsi="Arial"/>
          <w:sz w:val="19"/>
          <w:szCs w:val="19"/>
          <w:color w:val="auto"/>
        </w:rPr>
        <w:t>The successor Trustee need not examine the records and acts of any prior Trustee and may retain or dispose of existing Trust assets, subject to Section 9 and 10 hereof. The successor Trustee shall not be responsible for and the Company shall indemnify and defend the successor Trustee from any claim or liability resulting from any action or inaction of any prior Trustee or from any other past event, or any condition existing at the time it becomes successor Trustee.</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14.</w:t>
      </w:r>
      <w:r>
        <w:rPr>
          <w:rFonts w:ascii="Arial" w:cs="Arial" w:eastAsia="Arial" w:hAnsi="Arial"/>
          <w:sz w:val="22"/>
          <w:szCs w:val="22"/>
          <w:b w:val="1"/>
          <w:bCs w:val="1"/>
          <w:u w:val="single" w:color="auto"/>
          <w:color w:val="auto"/>
        </w:rPr>
        <w:t>Amendment or Termination</w:t>
      </w:r>
    </w:p>
    <w:p>
      <w:pPr>
        <w:spacing w:after="0" w:line="266" w:lineRule="exact"/>
        <w:rPr>
          <w:sz w:val="20"/>
          <w:szCs w:val="20"/>
          <w:color w:val="auto"/>
        </w:rPr>
      </w:pPr>
    </w:p>
    <w:p>
      <w:pPr>
        <w:ind w:left="660" w:right="80" w:hanging="328"/>
        <w:spacing w:after="0" w:line="297" w:lineRule="auto"/>
        <w:tabs>
          <w:tab w:leader="none" w:pos="660" w:val="left"/>
        </w:tabs>
        <w:numPr>
          <w:ilvl w:val="0"/>
          <w:numId w:val="113"/>
        </w:numPr>
        <w:rPr>
          <w:rFonts w:ascii="Arial" w:cs="Arial" w:eastAsia="Arial" w:hAnsi="Arial"/>
          <w:sz w:val="19"/>
          <w:szCs w:val="19"/>
          <w:color w:val="auto"/>
        </w:rPr>
      </w:pPr>
      <w:r>
        <w:rPr>
          <w:rFonts w:ascii="Arial" w:cs="Arial" w:eastAsia="Arial" w:hAnsi="Arial"/>
          <w:sz w:val="19"/>
          <w:szCs w:val="19"/>
          <w:color w:val="auto"/>
        </w:rPr>
        <w:t>The Board of Directors and the Trustee may amend this Trust Agreement at any time by a written instrument executed by both parties. No such amendment shall conflict with the terms of the Arrangements or shall make the Trust revocable, except as provided in Section 14(c). No amendment shall cause the principal and income of the Trust to fail to be subject to claims of the Company's general unsecured creditors under federal and state law in the event the Company becomes Insolvent as defined in Section 3(a). No amendment may violate the provisions of IRC Section 409A.</w:t>
      </w:r>
    </w:p>
    <w:p>
      <w:pPr>
        <w:spacing w:after="0" w:line="187" w:lineRule="exact"/>
        <w:rPr>
          <w:rFonts w:ascii="Arial" w:cs="Arial" w:eastAsia="Arial" w:hAnsi="Arial"/>
          <w:sz w:val="19"/>
          <w:szCs w:val="19"/>
          <w:color w:val="auto"/>
        </w:rPr>
      </w:pPr>
    </w:p>
    <w:p>
      <w:pPr>
        <w:ind w:left="660" w:hanging="328"/>
        <w:spacing w:after="0" w:line="248" w:lineRule="auto"/>
        <w:tabs>
          <w:tab w:leader="none" w:pos="660" w:val="left"/>
        </w:tabs>
        <w:numPr>
          <w:ilvl w:val="0"/>
          <w:numId w:val="113"/>
        </w:numPr>
        <w:rPr>
          <w:rFonts w:ascii="Arial" w:cs="Arial" w:eastAsia="Arial" w:hAnsi="Arial"/>
          <w:sz w:val="22"/>
          <w:szCs w:val="22"/>
          <w:color w:val="auto"/>
        </w:rPr>
      </w:pPr>
      <w:r>
        <w:rPr>
          <w:rFonts w:ascii="Arial" w:cs="Arial" w:eastAsia="Arial" w:hAnsi="Arial"/>
          <w:sz w:val="22"/>
          <w:szCs w:val="22"/>
          <w:color w:val="auto"/>
        </w:rPr>
        <w:t>Following a Triggering Event, the Trust shall not terminate until the date on which Participants have received all of the benefits due to them under the terms and conditions of the Arrangements, except as provided in Section 14(c). Notwithstanding the foregoing, after individual subtrusts have been created, an individual subtrust may be terminated on the date on which all Participants have received all of the benefits due to them under the terms and conditions of the Arrangements covered by such subtrust.</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591" w:right="259" w:bottom="1440" w:gutter="0" w:footer="0" w:header="0"/>
        </w:sectPr>
      </w:pPr>
    </w:p>
    <w:bookmarkStart w:id="187" w:name="page188"/>
    <w:bookmarkEnd w:id="187"/>
    <w:p>
      <w:pPr>
        <w:spacing w:after="0"/>
        <w:rPr>
          <w:sz w:val="20"/>
          <w:szCs w:val="20"/>
          <w:color w:val="auto"/>
        </w:rPr>
      </w:pPr>
      <w:r>
        <w:rPr>
          <w:rFonts w:ascii="Arial" w:cs="Arial" w:eastAsia="Arial" w:hAnsi="Arial"/>
          <w:sz w:val="22"/>
          <w:szCs w:val="22"/>
          <w:b w:val="1"/>
          <w:bCs w:val="1"/>
          <w:i w:val="1"/>
          <w:iCs w:val="1"/>
          <w:color w:val="auto"/>
        </w:rPr>
        <w:t>ALLETE, Inc. Amended and Restated Director Compensation Trust Agreement</w:t>
      </w:r>
    </w:p>
    <w:p>
      <w:pPr>
        <w:spacing w:after="0" w:line="260" w:lineRule="exact"/>
        <w:rPr>
          <w:sz w:val="20"/>
          <w:szCs w:val="20"/>
          <w:color w:val="auto"/>
        </w:rPr>
      </w:pPr>
    </w:p>
    <w:p>
      <w:pPr>
        <w:jc w:val="both"/>
        <w:ind w:left="660" w:right="460" w:hanging="328"/>
        <w:spacing w:after="0" w:line="253" w:lineRule="auto"/>
        <w:tabs>
          <w:tab w:leader="none" w:pos="660" w:val="left"/>
        </w:tabs>
        <w:numPr>
          <w:ilvl w:val="0"/>
          <w:numId w:val="114"/>
        </w:numPr>
        <w:rPr>
          <w:rFonts w:ascii="Arial" w:cs="Arial" w:eastAsia="Arial" w:hAnsi="Arial"/>
          <w:sz w:val="22"/>
          <w:szCs w:val="22"/>
          <w:color w:val="auto"/>
        </w:rPr>
      </w:pPr>
      <w:r>
        <w:rPr>
          <w:rFonts w:ascii="Arial" w:cs="Arial" w:eastAsia="Arial" w:hAnsi="Arial"/>
          <w:sz w:val="22"/>
          <w:szCs w:val="22"/>
          <w:color w:val="auto"/>
        </w:rPr>
        <w:t>Upon written approval of all Participants entitled to payment of benefits pursuant to the terms of the Arrangements, the Company may terminate this Trust prior to the time all benefit payments under the Arrangements have been made. All assets in the Trust at termination shall be returned to the Company.</w:t>
      </w:r>
    </w:p>
    <w:p>
      <w:pPr>
        <w:spacing w:after="0" w:line="220" w:lineRule="exact"/>
        <w:rPr>
          <w:sz w:val="20"/>
          <w:szCs w:val="20"/>
          <w:color w:val="auto"/>
        </w:rPr>
      </w:pPr>
    </w:p>
    <w:p>
      <w:pPr>
        <w:spacing w:after="0"/>
        <w:tabs>
          <w:tab w:leader="none" w:pos="1200" w:val="left"/>
        </w:tabs>
        <w:rPr>
          <w:sz w:val="20"/>
          <w:szCs w:val="20"/>
          <w:color w:val="auto"/>
        </w:rPr>
      </w:pPr>
      <w:r>
        <w:rPr>
          <w:rFonts w:ascii="Arial" w:cs="Arial" w:eastAsia="Arial" w:hAnsi="Arial"/>
          <w:sz w:val="22"/>
          <w:szCs w:val="22"/>
          <w:b w:val="1"/>
          <w:bCs w:val="1"/>
          <w:color w:val="auto"/>
        </w:rPr>
        <w:t>Section 15.</w:t>
      </w:r>
      <w:r>
        <w:rPr>
          <w:sz w:val="20"/>
          <w:szCs w:val="20"/>
          <w:color w:val="auto"/>
        </w:rPr>
        <w:tab/>
      </w:r>
      <w:r>
        <w:rPr>
          <w:rFonts w:ascii="Arial" w:cs="Arial" w:eastAsia="Arial" w:hAnsi="Arial"/>
          <w:sz w:val="19"/>
          <w:szCs w:val="19"/>
          <w:b w:val="1"/>
          <w:bCs w:val="1"/>
          <w:u w:val="single" w:color="auto"/>
          <w:color w:val="auto"/>
        </w:rPr>
        <w:t>Definitions</w:t>
      </w:r>
    </w:p>
    <w:p>
      <w:pPr>
        <w:spacing w:after="0" w:line="266" w:lineRule="exact"/>
        <w:rPr>
          <w:sz w:val="20"/>
          <w:szCs w:val="20"/>
          <w:color w:val="auto"/>
        </w:rPr>
      </w:pPr>
    </w:p>
    <w:p>
      <w:pPr>
        <w:ind w:left="660" w:hanging="328"/>
        <w:spacing w:after="0"/>
        <w:tabs>
          <w:tab w:leader="none" w:pos="660" w:val="left"/>
        </w:tabs>
        <w:numPr>
          <w:ilvl w:val="0"/>
          <w:numId w:val="115"/>
        </w:numPr>
        <w:rPr>
          <w:rFonts w:ascii="Arial" w:cs="Arial" w:eastAsia="Arial" w:hAnsi="Arial"/>
          <w:sz w:val="22"/>
          <w:szCs w:val="22"/>
          <w:color w:val="auto"/>
        </w:rPr>
      </w:pPr>
      <w:r>
        <w:rPr>
          <w:rFonts w:ascii="Arial" w:cs="Arial" w:eastAsia="Arial" w:hAnsi="Arial"/>
          <w:sz w:val="22"/>
          <w:szCs w:val="22"/>
          <w:color w:val="auto"/>
        </w:rPr>
        <w:t>For purposes of this Trust, the following terms shall be defined as set forth below:</w:t>
      </w:r>
    </w:p>
    <w:p>
      <w:pPr>
        <w:spacing w:after="0" w:line="254" w:lineRule="exact"/>
        <w:rPr>
          <w:rFonts w:ascii="Arial" w:cs="Arial" w:eastAsia="Arial" w:hAnsi="Arial"/>
          <w:sz w:val="22"/>
          <w:szCs w:val="22"/>
          <w:color w:val="auto"/>
        </w:rPr>
      </w:pPr>
    </w:p>
    <w:p>
      <w:pPr>
        <w:ind w:left="1620" w:hanging="640"/>
        <w:spacing w:after="0"/>
        <w:tabs>
          <w:tab w:leader="none" w:pos="1620" w:val="left"/>
        </w:tabs>
        <w:numPr>
          <w:ilvl w:val="1"/>
          <w:numId w:val="11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Potential Change in Control</w:t>
      </w:r>
      <w:r>
        <w:rPr>
          <w:rFonts w:ascii="Arial" w:cs="Arial" w:eastAsia="Arial" w:hAnsi="Arial"/>
          <w:sz w:val="22"/>
          <w:szCs w:val="22"/>
          <w:color w:val="auto"/>
        </w:rPr>
        <w:t>” shall mean:</w:t>
      </w:r>
    </w:p>
    <w:p>
      <w:pPr>
        <w:spacing w:after="0" w:line="266" w:lineRule="exact"/>
        <w:rPr>
          <w:rFonts w:ascii="Arial" w:cs="Arial" w:eastAsia="Arial" w:hAnsi="Arial"/>
          <w:sz w:val="22"/>
          <w:szCs w:val="22"/>
          <w:color w:val="auto"/>
        </w:rPr>
      </w:pPr>
    </w:p>
    <w:p>
      <w:pPr>
        <w:ind w:left="2120" w:right="60" w:hanging="329"/>
        <w:spacing w:after="0" w:line="261" w:lineRule="auto"/>
        <w:tabs>
          <w:tab w:leader="none" w:pos="2120" w:val="left"/>
        </w:tabs>
        <w:numPr>
          <w:ilvl w:val="2"/>
          <w:numId w:val="115"/>
        </w:numPr>
        <w:rPr>
          <w:rFonts w:ascii="Arial" w:cs="Arial" w:eastAsia="Arial" w:hAnsi="Arial"/>
          <w:sz w:val="21"/>
          <w:szCs w:val="21"/>
          <w:color w:val="auto"/>
        </w:rPr>
      </w:pPr>
      <w:r>
        <w:rPr>
          <w:rFonts w:ascii="Arial" w:cs="Arial" w:eastAsia="Arial" w:hAnsi="Arial"/>
          <w:sz w:val="21"/>
          <w:szCs w:val="21"/>
          <w:color w:val="auto"/>
        </w:rPr>
        <w:t>the purchase or other acquisition by any person, entity or group of persons, within the meaning of Section 13(d) or 14(d) of the Securities Exchange Act of 1934 (“Act”), or any comparable successor provisions, other than the trustee of any other trust or plan maintained for the benefit of employees of the Company, of beneficial ownership (within the meaning of Rule 13d-3 promulgated under the Act) of 20% or more of either the outstanding shares of common stock or the combined voting power of the Company's then outstanding voting securities entitled to vote generally;</w:t>
      </w:r>
    </w:p>
    <w:p>
      <w:pPr>
        <w:spacing w:after="0" w:line="220" w:lineRule="exact"/>
        <w:rPr>
          <w:rFonts w:ascii="Arial" w:cs="Arial" w:eastAsia="Arial" w:hAnsi="Arial"/>
          <w:sz w:val="21"/>
          <w:szCs w:val="21"/>
          <w:color w:val="auto"/>
        </w:rPr>
      </w:pPr>
    </w:p>
    <w:p>
      <w:pPr>
        <w:jc w:val="both"/>
        <w:ind w:left="2120" w:right="20" w:hanging="329"/>
        <w:spacing w:after="0" w:line="253" w:lineRule="auto"/>
        <w:tabs>
          <w:tab w:leader="none" w:pos="2120" w:val="left"/>
        </w:tabs>
        <w:numPr>
          <w:ilvl w:val="2"/>
          <w:numId w:val="115"/>
        </w:numPr>
        <w:rPr>
          <w:rFonts w:ascii="Arial" w:cs="Arial" w:eastAsia="Arial" w:hAnsi="Arial"/>
          <w:sz w:val="22"/>
          <w:szCs w:val="22"/>
          <w:color w:val="auto"/>
        </w:rPr>
      </w:pPr>
      <w:r>
        <w:rPr>
          <w:rFonts w:ascii="Arial" w:cs="Arial" w:eastAsia="Arial" w:hAnsi="Arial"/>
          <w:sz w:val="22"/>
          <w:szCs w:val="22"/>
          <w:color w:val="auto"/>
        </w:rPr>
        <w:t>the announcement by any person of an intention to take actions which might reasonably result in a business combination between the Company and an entity which has a market capitalization equal to or greater than 80% of the Company;</w:t>
      </w:r>
    </w:p>
    <w:p>
      <w:pPr>
        <w:spacing w:after="0" w:line="226" w:lineRule="exact"/>
        <w:rPr>
          <w:rFonts w:ascii="Arial" w:cs="Arial" w:eastAsia="Arial" w:hAnsi="Arial"/>
          <w:sz w:val="22"/>
          <w:szCs w:val="22"/>
          <w:color w:val="auto"/>
        </w:rPr>
      </w:pPr>
    </w:p>
    <w:p>
      <w:pPr>
        <w:ind w:left="2120" w:hanging="329"/>
        <w:spacing w:after="0" w:line="250" w:lineRule="auto"/>
        <w:tabs>
          <w:tab w:leader="none" w:pos="2120" w:val="left"/>
        </w:tabs>
        <w:numPr>
          <w:ilvl w:val="2"/>
          <w:numId w:val="115"/>
        </w:numPr>
        <w:rPr>
          <w:rFonts w:ascii="Arial" w:cs="Arial" w:eastAsia="Arial" w:hAnsi="Arial"/>
          <w:sz w:val="22"/>
          <w:szCs w:val="22"/>
          <w:color w:val="auto"/>
        </w:rPr>
      </w:pPr>
      <w:r>
        <w:rPr>
          <w:rFonts w:ascii="Arial" w:cs="Arial" w:eastAsia="Arial" w:hAnsi="Arial"/>
          <w:sz w:val="22"/>
          <w:szCs w:val="22"/>
          <w:color w:val="auto"/>
        </w:rPr>
        <w:t>the issuance of a proxy statement by the Company with respect to an election of directors for which there is proposed one or more directors who are not recommended by the Board of Directors of the Company or its nominating committee, where the election of such proposed director or directors would result in a Change in Control as defined in Section 15(a)(2)(iii); or</w:t>
      </w:r>
    </w:p>
    <w:p>
      <w:pPr>
        <w:spacing w:after="0" w:line="228" w:lineRule="exact"/>
        <w:rPr>
          <w:rFonts w:ascii="Arial" w:cs="Arial" w:eastAsia="Arial" w:hAnsi="Arial"/>
          <w:sz w:val="22"/>
          <w:szCs w:val="22"/>
          <w:color w:val="auto"/>
        </w:rPr>
      </w:pPr>
    </w:p>
    <w:p>
      <w:pPr>
        <w:ind w:left="2120" w:right="140" w:hanging="329"/>
        <w:spacing w:after="0" w:line="253" w:lineRule="auto"/>
        <w:tabs>
          <w:tab w:leader="none" w:pos="2120" w:val="left"/>
        </w:tabs>
        <w:numPr>
          <w:ilvl w:val="2"/>
          <w:numId w:val="115"/>
        </w:numPr>
        <w:rPr>
          <w:rFonts w:ascii="Arial" w:cs="Arial" w:eastAsia="Arial" w:hAnsi="Arial"/>
          <w:sz w:val="22"/>
          <w:szCs w:val="22"/>
          <w:color w:val="auto"/>
        </w:rPr>
      </w:pPr>
      <w:r>
        <w:rPr>
          <w:rFonts w:ascii="Arial" w:cs="Arial" w:eastAsia="Arial" w:hAnsi="Arial"/>
          <w:sz w:val="22"/>
          <w:szCs w:val="22"/>
          <w:color w:val="auto"/>
        </w:rPr>
        <w:t>submission to the individuals who, as of the date hereof, constitute the Board of Directors, of nominations which, if approved, would change the Executive Officer configuration of the Company (at the Executive Vice President level and above) by 50% or more.</w:t>
      </w:r>
    </w:p>
    <w:p>
      <w:pPr>
        <w:spacing w:after="0" w:line="220" w:lineRule="exact"/>
        <w:rPr>
          <w:rFonts w:ascii="Arial" w:cs="Arial" w:eastAsia="Arial" w:hAnsi="Arial"/>
          <w:sz w:val="22"/>
          <w:szCs w:val="22"/>
          <w:color w:val="auto"/>
        </w:rPr>
      </w:pPr>
    </w:p>
    <w:p>
      <w:pPr>
        <w:ind w:left="1620" w:hanging="640"/>
        <w:spacing w:after="0"/>
        <w:tabs>
          <w:tab w:leader="none" w:pos="1620" w:val="left"/>
        </w:tabs>
        <w:numPr>
          <w:ilvl w:val="1"/>
          <w:numId w:val="11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Change in Control</w:t>
      </w:r>
      <w:r>
        <w:rPr>
          <w:rFonts w:ascii="Arial" w:cs="Arial" w:eastAsia="Arial" w:hAnsi="Arial"/>
          <w:sz w:val="22"/>
          <w:szCs w:val="22"/>
          <w:color w:val="auto"/>
        </w:rPr>
        <w:t>” shall mean the earliest of:</w:t>
      </w:r>
    </w:p>
    <w:p>
      <w:pPr>
        <w:spacing w:after="0" w:line="266" w:lineRule="exact"/>
        <w:rPr>
          <w:rFonts w:ascii="Arial" w:cs="Arial" w:eastAsia="Arial" w:hAnsi="Arial"/>
          <w:sz w:val="22"/>
          <w:szCs w:val="22"/>
          <w:color w:val="auto"/>
        </w:rPr>
      </w:pPr>
    </w:p>
    <w:p>
      <w:pPr>
        <w:ind w:left="2120" w:right="20" w:hanging="329"/>
        <w:spacing w:after="0" w:line="286" w:lineRule="auto"/>
        <w:tabs>
          <w:tab w:leader="none" w:pos="2120" w:val="left"/>
        </w:tabs>
        <w:numPr>
          <w:ilvl w:val="2"/>
          <w:numId w:val="115"/>
        </w:numPr>
        <w:rPr>
          <w:rFonts w:ascii="Arial" w:cs="Arial" w:eastAsia="Arial" w:hAnsi="Arial"/>
          <w:sz w:val="19"/>
          <w:szCs w:val="19"/>
          <w:color w:val="auto"/>
        </w:rPr>
      </w:pPr>
      <w:r>
        <w:rPr>
          <w:rFonts w:ascii="Arial" w:cs="Arial" w:eastAsia="Arial" w:hAnsi="Arial"/>
          <w:sz w:val="19"/>
          <w:szCs w:val="19"/>
          <w:color w:val="auto"/>
        </w:rPr>
        <w:t>the date any one person, or more than one person acting as a group (as the term “group” is used in Treasury Regulations section 1.409A-3(i)(5)(v)(B)), acquires ownership of stock of the Company that, together with stock previously held by the acquirer, constitutes more than fifty (50%) percent of the total fair market value or total voting power of Company stock. If any one person, or more than one person acting as a</w:t>
      </w:r>
    </w:p>
    <w:p>
      <w:pPr>
        <w:spacing w:after="0" w:line="3" w:lineRule="exact"/>
        <w:rPr>
          <w:sz w:val="20"/>
          <w:szCs w:val="20"/>
          <w:color w:val="auto"/>
        </w:rPr>
      </w:pPr>
    </w:p>
    <w:p>
      <w:pPr>
        <w:ind w:left="2120" w:right="460"/>
        <w:spacing w:after="0" w:line="255" w:lineRule="auto"/>
        <w:rPr>
          <w:sz w:val="20"/>
          <w:szCs w:val="20"/>
          <w:color w:val="auto"/>
        </w:rPr>
      </w:pPr>
      <w:r>
        <w:rPr>
          <w:rFonts w:ascii="Arial" w:cs="Arial" w:eastAsia="Arial" w:hAnsi="Arial"/>
          <w:sz w:val="21"/>
          <w:szCs w:val="21"/>
          <w:color w:val="auto"/>
        </w:rPr>
        <w:t>group, is considered to own more than fifty (50%) percent of the total fair market value or total voting power of Company stock, the acquisition of additional stock by the same person or persons acting as a group does not cause a Change in Control. An increase in the percentage of stock owned by any one person, or persons acting as a group, as a result of a transaction</w:t>
      </w:r>
    </w:p>
    <w:p>
      <w:pPr>
        <w:spacing w:after="0"/>
        <w:rPr>
          <w:sz w:val="20"/>
          <w:szCs w:val="20"/>
          <w:color w:val="auto"/>
        </w:rPr>
      </w:pPr>
      <w:r>
        <w:rPr>
          <w:rFonts w:ascii="Arial" w:cs="Arial" w:eastAsia="Arial" w:hAnsi="Arial"/>
          <w:sz w:val="22"/>
          <w:szCs w:val="22"/>
          <w:b w:val="1"/>
          <w:bCs w:val="1"/>
          <w:i w:val="1"/>
          <w:iCs w:val="1"/>
          <w:color w:val="auto"/>
        </w:rPr>
        <w:t>ALLETE, Inc. Amended and Restated Director Compensation Trust Agreement</w:t>
      </w:r>
    </w:p>
    <w:p>
      <w:pPr>
        <w:spacing w:after="0" w:line="242" w:lineRule="exact"/>
        <w:rPr>
          <w:sz w:val="20"/>
          <w:szCs w:val="20"/>
          <w:color w:val="auto"/>
        </w:rPr>
      </w:pPr>
    </w:p>
    <w:p>
      <w:pPr>
        <w:ind w:left="2760"/>
        <w:spacing w:after="0"/>
        <w:rPr>
          <w:sz w:val="20"/>
          <w:szCs w:val="20"/>
          <w:color w:val="auto"/>
        </w:rPr>
      </w:pPr>
      <w:r>
        <w:rPr>
          <w:rFonts w:ascii="Arial" w:cs="Arial" w:eastAsia="Arial" w:hAnsi="Arial"/>
          <w:sz w:val="19"/>
          <w:szCs w:val="19"/>
          <w:color w:val="auto"/>
        </w:rPr>
        <w:t>in which Company acquires its stock in exchange for property, is treated as an acquisition of stock;</w:t>
      </w:r>
    </w:p>
    <w:p>
      <w:pPr>
        <w:spacing w:after="0" w:line="295" w:lineRule="exact"/>
        <w:rPr>
          <w:sz w:val="20"/>
          <w:szCs w:val="20"/>
          <w:color w:val="auto"/>
        </w:rPr>
      </w:pPr>
    </w:p>
    <w:p>
      <w:pPr>
        <w:ind w:left="2120" w:right="20" w:hanging="329"/>
        <w:spacing w:after="0" w:line="302" w:lineRule="auto"/>
        <w:tabs>
          <w:tab w:leader="none" w:pos="2120" w:val="left"/>
        </w:tabs>
        <w:numPr>
          <w:ilvl w:val="0"/>
          <w:numId w:val="116"/>
        </w:numPr>
        <w:rPr>
          <w:rFonts w:ascii="Arial" w:cs="Arial" w:eastAsia="Arial" w:hAnsi="Arial"/>
          <w:sz w:val="19"/>
          <w:szCs w:val="19"/>
          <w:color w:val="auto"/>
        </w:rPr>
      </w:pPr>
      <w:r>
        <w:rPr>
          <w:rFonts w:ascii="Arial" w:cs="Arial" w:eastAsia="Arial" w:hAnsi="Arial"/>
          <w:sz w:val="19"/>
          <w:szCs w:val="19"/>
          <w:color w:val="auto"/>
        </w:rPr>
        <w:t>the date any one person, or more than one person acting as a group (as the term “group” is used in Treasury Regulations section 1.409A-3(i)(5)(v)(B)), acquires (or has acquired during the twelve (12) month period ending on the date of the most recent acquisition by that person or persons) ownership of Company stock possessing at least thirty (30%) percent of the total voting power of Company stock;</w:t>
      </w:r>
    </w:p>
    <w:p>
      <w:pPr>
        <w:spacing w:after="0" w:line="183" w:lineRule="exact"/>
        <w:rPr>
          <w:rFonts w:ascii="Arial" w:cs="Arial" w:eastAsia="Arial" w:hAnsi="Arial"/>
          <w:sz w:val="19"/>
          <w:szCs w:val="19"/>
          <w:color w:val="auto"/>
        </w:rPr>
      </w:pPr>
    </w:p>
    <w:p>
      <w:pPr>
        <w:jc w:val="both"/>
        <w:ind w:left="2120" w:right="120" w:hanging="329"/>
        <w:spacing w:after="0" w:line="271" w:lineRule="auto"/>
        <w:tabs>
          <w:tab w:leader="none" w:pos="2120" w:val="left"/>
        </w:tabs>
        <w:numPr>
          <w:ilvl w:val="0"/>
          <w:numId w:val="116"/>
        </w:numPr>
        <w:rPr>
          <w:rFonts w:ascii="Arial" w:cs="Arial" w:eastAsia="Arial" w:hAnsi="Arial"/>
          <w:sz w:val="21"/>
          <w:szCs w:val="21"/>
          <w:color w:val="auto"/>
        </w:rPr>
      </w:pPr>
      <w:r>
        <w:rPr>
          <w:rFonts w:ascii="Arial" w:cs="Arial" w:eastAsia="Arial" w:hAnsi="Arial"/>
          <w:sz w:val="21"/>
          <w:szCs w:val="21"/>
          <w:color w:val="auto"/>
        </w:rPr>
        <w:t>the date a majority of the members of the Company's board of directors is replaced during any twelve (12) month period by directors whose appointment or election is not endorsed by a majority of the members of the board of directors prior to the date of appointment or election; or</w:t>
      </w:r>
    </w:p>
    <w:p>
      <w:pPr>
        <w:spacing w:after="0" w:line="208" w:lineRule="exact"/>
        <w:rPr>
          <w:rFonts w:ascii="Arial" w:cs="Arial" w:eastAsia="Arial" w:hAnsi="Arial"/>
          <w:sz w:val="21"/>
          <w:szCs w:val="21"/>
          <w:color w:val="auto"/>
        </w:rPr>
      </w:pPr>
    </w:p>
    <w:p>
      <w:pPr>
        <w:ind w:left="2120" w:right="20" w:hanging="329"/>
        <w:spacing w:after="0" w:line="292" w:lineRule="auto"/>
        <w:tabs>
          <w:tab w:leader="none" w:pos="2120" w:val="left"/>
        </w:tabs>
        <w:numPr>
          <w:ilvl w:val="0"/>
          <w:numId w:val="116"/>
        </w:numPr>
        <w:rPr>
          <w:rFonts w:ascii="Arial" w:cs="Arial" w:eastAsia="Arial" w:hAnsi="Arial"/>
          <w:sz w:val="19"/>
          <w:szCs w:val="19"/>
          <w:color w:val="auto"/>
        </w:rPr>
      </w:pPr>
      <w:r>
        <w:rPr>
          <w:rFonts w:ascii="Arial" w:cs="Arial" w:eastAsia="Arial" w:hAnsi="Arial"/>
          <w:sz w:val="19"/>
          <w:szCs w:val="19"/>
          <w:color w:val="auto"/>
        </w:rPr>
        <w:t>the date any one person, or more than one person acting as a group (as the term “group” is used in Treasury Regulations section 1.409A-3(i)(5)(v)(B)), acquires (or has acquired during the twelve (12) month period ending on the date of the most recent acquisition by that person or persons) assets from the Company that have a total gross fair market value equal to at least forty (40%) percent of the total gross fair market value of all the Company's assets immediately prior to the acquisition or acquisitions. For this purpose, “gross fair market value” means the value of the corporation's assets, or the value of the assets being disposed of, without regard to any liabilities associated with these assets.</w:t>
      </w:r>
    </w:p>
    <w:p>
      <w:pPr>
        <w:sectPr>
          <w:pgSz w:w="11900" w:h="16838" w:orient="portrait"/>
          <w:cols w:equalWidth="0" w:num="1">
            <w:col w:w="11420"/>
          </w:cols>
          <w:pgMar w:left="240" w:top="591" w:right="239" w:bottom="0" w:gutter="0" w:footer="0" w:header="0"/>
        </w:sectPr>
      </w:pPr>
    </w:p>
    <w:bookmarkStart w:id="188" w:name="page189"/>
    <w:bookmarkEnd w:id="188"/>
    <w:p>
      <w:pPr>
        <w:jc w:val="both"/>
        <w:ind w:left="920" w:right="20" w:firstLine="648"/>
        <w:spacing w:after="0" w:line="265" w:lineRule="auto"/>
        <w:rPr>
          <w:sz w:val="20"/>
          <w:szCs w:val="20"/>
          <w:color w:val="auto"/>
        </w:rPr>
      </w:pPr>
      <w:r>
        <w:rPr>
          <w:rFonts w:ascii="Arial" w:cs="Arial" w:eastAsia="Arial" w:hAnsi="Arial"/>
          <w:sz w:val="21"/>
          <w:szCs w:val="21"/>
          <w:color w:val="auto"/>
        </w:rPr>
        <w:t>In determining whether a Change in Control occurs, the attribution rules of Internal Revenue Code Section 318 apply to determine stock ownership. The stock underlying a vested option is treated as owned by the individual who holds the vested option, and the stock underlying an unvested option is not treated as owned by the individual who holds the unvested option.</w:t>
      </w:r>
    </w:p>
    <w:p>
      <w:pPr>
        <w:spacing w:after="0" w:line="216" w:lineRule="exact"/>
        <w:rPr>
          <w:sz w:val="20"/>
          <w:szCs w:val="20"/>
          <w:color w:val="auto"/>
        </w:rPr>
      </w:pPr>
    </w:p>
    <w:p>
      <w:pPr>
        <w:ind w:left="920" w:firstLine="648"/>
        <w:spacing w:after="0" w:line="246" w:lineRule="auto"/>
        <w:rPr>
          <w:sz w:val="20"/>
          <w:szCs w:val="20"/>
          <w:color w:val="auto"/>
        </w:rPr>
      </w:pPr>
      <w:r>
        <w:rPr>
          <w:rFonts w:ascii="Arial" w:cs="Arial" w:eastAsia="Arial" w:hAnsi="Arial"/>
          <w:sz w:val="22"/>
          <w:szCs w:val="22"/>
          <w:color w:val="auto"/>
        </w:rPr>
        <w:t>For purposes of this Section 15(a), the individuals who, as of the date hereof, constitute the Board of Directors, by a majority vote, shall have the power to determine on the basis of information known to them (a) the number of shares beneficially owned by any person, entity or group; (b) whether there exists an agreement, arrangement or understanding with another as to matters referred to in this Section 15(a); (c) whether persons are acting as a group (as the term “group” is used in Treasury Regulations section 1.409A-3(i)(5)(v)(B)); and (d) such other matters with respect to which a determination is necessary under this Section 15(a).</w:t>
      </w:r>
    </w:p>
    <w:p>
      <w:pPr>
        <w:spacing w:after="0" w:line="218"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200"/>
          </w:cols>
          <w:pgMar w:left="1440" w:top="388" w:right="259" w:bottom="1440" w:gutter="0" w:footer="0" w:header="0"/>
        </w:sectPr>
      </w:pPr>
    </w:p>
    <w:bookmarkStart w:id="189" w:name="page190"/>
    <w:bookmarkEnd w:id="189"/>
    <w:p>
      <w:pPr>
        <w:spacing w:after="0"/>
        <w:rPr>
          <w:sz w:val="20"/>
          <w:szCs w:val="20"/>
          <w:color w:val="auto"/>
        </w:rPr>
      </w:pPr>
      <w:r>
        <w:rPr>
          <w:rFonts w:ascii="Arial" w:cs="Arial" w:eastAsia="Arial" w:hAnsi="Arial"/>
          <w:sz w:val="22"/>
          <w:szCs w:val="22"/>
          <w:b w:val="1"/>
          <w:bCs w:val="1"/>
          <w:i w:val="1"/>
          <w:iCs w:val="1"/>
          <w:color w:val="auto"/>
        </w:rPr>
        <w:t>ALLETE, Inc. Amended and Restated Director Compensation Trust Agreement</w:t>
      </w:r>
    </w:p>
    <w:p>
      <w:pPr>
        <w:spacing w:after="0" w:line="254" w:lineRule="exact"/>
        <w:rPr>
          <w:sz w:val="20"/>
          <w:szCs w:val="20"/>
          <w:color w:val="auto"/>
        </w:rPr>
      </w:pPr>
    </w:p>
    <w:p>
      <w:pPr>
        <w:ind w:left="1620" w:right="660" w:hanging="640"/>
        <w:spacing w:after="0" w:line="350" w:lineRule="auto"/>
        <w:tabs>
          <w:tab w:leader="none" w:pos="1836" w:val="left"/>
        </w:tabs>
        <w:numPr>
          <w:ilvl w:val="1"/>
          <w:numId w:val="117"/>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Majority of the Participants</w:t>
      </w:r>
      <w:r>
        <w:rPr>
          <w:rFonts w:ascii="Arial" w:cs="Arial" w:eastAsia="Arial" w:hAnsi="Arial"/>
          <w:sz w:val="19"/>
          <w:szCs w:val="19"/>
          <w:color w:val="auto"/>
        </w:rPr>
        <w:t>” shall mean Participants whose combined vested and unvested account balance(s) and accrued benefits within the Arrangements exceed 67% of the total Trust liability.</w:t>
      </w:r>
    </w:p>
    <w:p>
      <w:pPr>
        <w:spacing w:after="0" w:line="132" w:lineRule="exact"/>
        <w:rPr>
          <w:rFonts w:ascii="Arial" w:cs="Arial" w:eastAsia="Arial" w:hAnsi="Arial"/>
          <w:sz w:val="19"/>
          <w:szCs w:val="19"/>
          <w:color w:val="auto"/>
        </w:rPr>
      </w:pPr>
    </w:p>
    <w:p>
      <w:pPr>
        <w:ind w:left="1620" w:hanging="640"/>
        <w:spacing w:after="0" w:line="298" w:lineRule="auto"/>
        <w:tabs>
          <w:tab w:leader="none" w:pos="1836" w:val="left"/>
        </w:tabs>
        <w:numPr>
          <w:ilvl w:val="1"/>
          <w:numId w:val="117"/>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Triggering Event</w:t>
      </w:r>
      <w:r>
        <w:rPr>
          <w:rFonts w:ascii="Arial" w:cs="Arial" w:eastAsia="Arial" w:hAnsi="Arial"/>
          <w:sz w:val="19"/>
          <w:szCs w:val="19"/>
          <w:color w:val="auto"/>
        </w:rPr>
        <w:t>” shall mean a Change in Control or, if earlier, a Potential Change in Control. However, a Potential Change in Control will cease to be a Triggering Event and the Trust Agreement will be interpreted as if no such Triggering Event had occurred, if a Change in Control does not occur within two years of the Potential Change in Control or if, within such two year period, the Chief Executive Officer of the Company determines that the Potential Change in Control no longer exists in accordance with Section 15(b).</w:t>
      </w:r>
    </w:p>
    <w:p>
      <w:pPr>
        <w:spacing w:after="0" w:line="189" w:lineRule="exact"/>
        <w:rPr>
          <w:rFonts w:ascii="Arial" w:cs="Arial" w:eastAsia="Arial" w:hAnsi="Arial"/>
          <w:sz w:val="19"/>
          <w:szCs w:val="19"/>
          <w:color w:val="auto"/>
        </w:rPr>
      </w:pPr>
    </w:p>
    <w:p>
      <w:pPr>
        <w:ind w:left="980" w:right="120" w:hanging="324"/>
        <w:spacing w:after="0" w:line="294" w:lineRule="auto"/>
        <w:tabs>
          <w:tab w:leader="none" w:pos="980" w:val="left"/>
        </w:tabs>
        <w:numPr>
          <w:ilvl w:val="0"/>
          <w:numId w:val="118"/>
        </w:numPr>
        <w:rPr>
          <w:rFonts w:ascii="Arial" w:cs="Arial" w:eastAsia="Arial" w:hAnsi="Arial"/>
          <w:sz w:val="19"/>
          <w:szCs w:val="19"/>
          <w:color w:val="auto"/>
        </w:rPr>
      </w:pPr>
      <w:r>
        <w:rPr>
          <w:rFonts w:ascii="Arial" w:cs="Arial" w:eastAsia="Arial" w:hAnsi="Arial"/>
          <w:sz w:val="19"/>
          <w:szCs w:val="19"/>
          <w:color w:val="auto"/>
        </w:rPr>
        <w:t>The Chief Executive Officer of the Company shall have the specific authority to determine whether a Potential Change in Control or Change in Control has transpired, and to determine whether the Potential Change in Control no longer exists under the guidance of this Section 15 and shall be required to give the Trustee notice of a Potential Change in Control, of a Change in Control, or if a Potential Change in Control no longer exists. The Trustee shall be entitled to rely upon such notice, but if the Trustee receives notice of a Potential Change in Control or Change in Control from another source, the Trustee shall make its own independent determination.</w:t>
      </w:r>
    </w:p>
    <w:p>
      <w:pPr>
        <w:spacing w:after="0" w:line="184" w:lineRule="exact"/>
        <w:rPr>
          <w:sz w:val="20"/>
          <w:szCs w:val="20"/>
          <w:color w:val="auto"/>
        </w:rPr>
      </w:pPr>
    </w:p>
    <w:p>
      <w:pPr>
        <w:spacing w:after="0"/>
        <w:tabs>
          <w:tab w:leader="none" w:pos="1200" w:val="left"/>
        </w:tabs>
        <w:rPr>
          <w:sz w:val="20"/>
          <w:szCs w:val="20"/>
          <w:color w:val="auto"/>
        </w:rPr>
      </w:pPr>
      <w:r>
        <w:rPr>
          <w:rFonts w:ascii="Arial" w:cs="Arial" w:eastAsia="Arial" w:hAnsi="Arial"/>
          <w:sz w:val="22"/>
          <w:szCs w:val="22"/>
          <w:b w:val="1"/>
          <w:bCs w:val="1"/>
          <w:color w:val="auto"/>
        </w:rPr>
        <w:t>Section 16.</w:t>
      </w:r>
      <w:r>
        <w:rPr>
          <w:sz w:val="20"/>
          <w:szCs w:val="20"/>
          <w:color w:val="auto"/>
        </w:rPr>
        <w:tab/>
      </w:r>
      <w:r>
        <w:rPr>
          <w:rFonts w:ascii="Arial" w:cs="Arial" w:eastAsia="Arial" w:hAnsi="Arial"/>
          <w:sz w:val="19"/>
          <w:szCs w:val="19"/>
          <w:b w:val="1"/>
          <w:bCs w:val="1"/>
          <w:u w:val="single" w:color="auto"/>
          <w:color w:val="auto"/>
        </w:rPr>
        <w:t>Confidentiality</w:t>
      </w:r>
    </w:p>
    <w:p>
      <w:pPr>
        <w:spacing w:after="0" w:line="266" w:lineRule="exact"/>
        <w:rPr>
          <w:sz w:val="20"/>
          <w:szCs w:val="20"/>
          <w:color w:val="auto"/>
        </w:rPr>
      </w:pPr>
    </w:p>
    <w:p>
      <w:pPr>
        <w:ind w:left="660" w:hanging="328"/>
        <w:spacing w:after="0" w:line="286" w:lineRule="auto"/>
        <w:tabs>
          <w:tab w:leader="none" w:pos="660" w:val="left"/>
        </w:tabs>
        <w:numPr>
          <w:ilvl w:val="0"/>
          <w:numId w:val="119"/>
        </w:numPr>
        <w:rPr>
          <w:rFonts w:ascii="Arial" w:cs="Arial" w:eastAsia="Arial" w:hAnsi="Arial"/>
          <w:sz w:val="19"/>
          <w:szCs w:val="19"/>
          <w:color w:val="auto"/>
        </w:rPr>
      </w:pPr>
      <w:r>
        <w:rPr>
          <w:rFonts w:ascii="Arial" w:cs="Arial" w:eastAsia="Arial" w:hAnsi="Arial"/>
          <w:sz w:val="19"/>
          <w:szCs w:val="19"/>
          <w:color w:val="auto"/>
        </w:rPr>
        <w:t>This Trust Agreement and certain information relating to the Trust is “Confidential Information” pursuant to applicable federal and state law, and as such it shall be maintained in confidence and not disclosed, used or duplicated, except as described in this section. If it is necessary for the Trustee to disclose Confidential Information to a third party in order to perform the Trustee's duties hereunder, the Trustee shall disclose only such Confidential Information as is necessary for such third party to perform its obligations to the Trustee and shall, before such disclosure is made, ensure that said third party understands and agrees to the confidentiality obligations set forth herein. The Trustee and the Company shall maintain an appropriate information security program and adequate administrative and physical safeguards to prevent the unauthorized disclosure, misuse, alteration or destruction of Confidential Information, and shall inform the other party as soon as possible of any security breach or other incident involving possible unauthorized disclosure of or access to Confidential Information. Confidential Information shall be returned to the disclosing party upon request. Confidential Information does not include information that is generally known or available to the public or that is not treated as confidential by the disclosing party, provided, however, that this exception shall not apply to any publicly available information to the extent that the disclosure or sharing of the information by one or both parties is subject to any limitation, restriction, consent, or notification requirement under any applicable federal or state information privacy law or regulation. If the receiving party is required by law, according to the advice of competent counsel, to disclose</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591" w:right="279" w:bottom="1440" w:gutter="0" w:footer="0" w:header="0"/>
        </w:sectPr>
      </w:pPr>
    </w:p>
    <w:bookmarkStart w:id="190" w:name="page191"/>
    <w:bookmarkEnd w:id="190"/>
    <w:p>
      <w:pPr>
        <w:ind w:left="340"/>
        <w:spacing w:after="0"/>
        <w:rPr>
          <w:sz w:val="20"/>
          <w:szCs w:val="20"/>
          <w:color w:val="auto"/>
        </w:rPr>
      </w:pPr>
      <w:r>
        <w:rPr>
          <w:rFonts w:ascii="Arial" w:cs="Arial" w:eastAsia="Arial" w:hAnsi="Arial"/>
          <w:sz w:val="22"/>
          <w:szCs w:val="22"/>
          <w:b w:val="1"/>
          <w:bCs w:val="1"/>
          <w:i w:val="1"/>
          <w:iCs w:val="1"/>
          <w:color w:val="auto"/>
        </w:rPr>
        <w:t>ALLETE, Inc. Amended and Restated Director Compensation Trust Agreement</w:t>
      </w:r>
    </w:p>
    <w:p>
      <w:pPr>
        <w:spacing w:after="0" w:line="260" w:lineRule="exact"/>
        <w:rPr>
          <w:sz w:val="20"/>
          <w:szCs w:val="20"/>
          <w:color w:val="auto"/>
        </w:rPr>
      </w:pPr>
    </w:p>
    <w:p>
      <w:pPr>
        <w:ind w:left="660" w:right="20"/>
        <w:spacing w:after="0" w:line="312" w:lineRule="auto"/>
        <w:rPr>
          <w:sz w:val="20"/>
          <w:szCs w:val="20"/>
          <w:color w:val="auto"/>
        </w:rPr>
      </w:pPr>
      <w:r>
        <w:rPr>
          <w:rFonts w:ascii="Arial" w:cs="Arial" w:eastAsia="Arial" w:hAnsi="Arial"/>
          <w:sz w:val="19"/>
          <w:szCs w:val="19"/>
          <w:color w:val="auto"/>
        </w:rPr>
        <w:t>Confidential Information, the receiving party may do so without breaching this section, but shall first, if feasible and legally permissible, provide the disclosing party with prompt notice of such pending disclosure so that the disclosing party may seek a protective order or other appropriate remedy or waive compliance with the provisions of this section.</w:t>
      </w:r>
    </w:p>
    <w:p>
      <w:pPr>
        <w:spacing w:after="0" w:line="168" w:lineRule="exact"/>
        <w:rPr>
          <w:sz w:val="20"/>
          <w:szCs w:val="20"/>
          <w:color w:val="auto"/>
        </w:rPr>
      </w:pPr>
    </w:p>
    <w:p>
      <w:pPr>
        <w:spacing w:after="0"/>
        <w:tabs>
          <w:tab w:leader="none" w:pos="1200" w:val="left"/>
        </w:tabs>
        <w:rPr>
          <w:sz w:val="20"/>
          <w:szCs w:val="20"/>
          <w:color w:val="auto"/>
        </w:rPr>
      </w:pPr>
      <w:r>
        <w:rPr>
          <w:rFonts w:ascii="Arial" w:cs="Arial" w:eastAsia="Arial" w:hAnsi="Arial"/>
          <w:sz w:val="22"/>
          <w:szCs w:val="22"/>
          <w:b w:val="1"/>
          <w:bCs w:val="1"/>
          <w:color w:val="auto"/>
        </w:rPr>
        <w:t>Section 17.</w:t>
      </w:r>
      <w:r>
        <w:rPr>
          <w:sz w:val="20"/>
          <w:szCs w:val="20"/>
          <w:color w:val="auto"/>
        </w:rPr>
        <w:tab/>
      </w:r>
      <w:r>
        <w:rPr>
          <w:rFonts w:ascii="Arial" w:cs="Arial" w:eastAsia="Arial" w:hAnsi="Arial"/>
          <w:sz w:val="19"/>
          <w:szCs w:val="19"/>
          <w:b w:val="1"/>
          <w:bCs w:val="1"/>
          <w:u w:val="single" w:color="auto"/>
          <w:color w:val="auto"/>
        </w:rPr>
        <w:t>Miscellaneous</w:t>
      </w:r>
    </w:p>
    <w:p>
      <w:pPr>
        <w:spacing w:after="0" w:line="266" w:lineRule="exact"/>
        <w:rPr>
          <w:sz w:val="20"/>
          <w:szCs w:val="20"/>
          <w:color w:val="auto"/>
        </w:rPr>
      </w:pPr>
    </w:p>
    <w:p>
      <w:pPr>
        <w:ind w:left="660" w:right="140" w:hanging="328"/>
        <w:spacing w:after="0" w:line="263" w:lineRule="auto"/>
        <w:tabs>
          <w:tab w:leader="none" w:pos="660" w:val="left"/>
        </w:tabs>
        <w:numPr>
          <w:ilvl w:val="0"/>
          <w:numId w:val="120"/>
        </w:numPr>
        <w:rPr>
          <w:rFonts w:ascii="Arial" w:cs="Arial" w:eastAsia="Arial" w:hAnsi="Arial"/>
          <w:sz w:val="22"/>
          <w:szCs w:val="22"/>
          <w:color w:val="auto"/>
        </w:rPr>
      </w:pPr>
      <w:r>
        <w:rPr>
          <w:rFonts w:ascii="Arial" w:cs="Arial" w:eastAsia="Arial" w:hAnsi="Arial"/>
          <w:sz w:val="22"/>
          <w:szCs w:val="22"/>
          <w:color w:val="auto"/>
        </w:rPr>
        <w:t>Any provision of this Trust Agreement prohibited by law shall be ineffective to the extent of any such prohibition, without invalidating the remaining provisions hereof.</w:t>
      </w:r>
    </w:p>
    <w:p>
      <w:pPr>
        <w:spacing w:after="0" w:line="215" w:lineRule="exact"/>
        <w:rPr>
          <w:rFonts w:ascii="Arial" w:cs="Arial" w:eastAsia="Arial" w:hAnsi="Arial"/>
          <w:sz w:val="22"/>
          <w:szCs w:val="22"/>
          <w:color w:val="auto"/>
        </w:rPr>
      </w:pPr>
    </w:p>
    <w:p>
      <w:pPr>
        <w:ind w:left="660" w:hanging="328"/>
        <w:spacing w:after="0" w:line="263" w:lineRule="auto"/>
        <w:tabs>
          <w:tab w:leader="none" w:pos="660" w:val="left"/>
        </w:tabs>
        <w:numPr>
          <w:ilvl w:val="0"/>
          <w:numId w:val="120"/>
        </w:numPr>
        <w:rPr>
          <w:rFonts w:ascii="Arial" w:cs="Arial" w:eastAsia="Arial" w:hAnsi="Arial"/>
          <w:sz w:val="21"/>
          <w:szCs w:val="21"/>
          <w:color w:val="auto"/>
        </w:rPr>
      </w:pPr>
      <w:r>
        <w:rPr>
          <w:rFonts w:ascii="Arial" w:cs="Arial" w:eastAsia="Arial" w:hAnsi="Arial"/>
          <w:sz w:val="21"/>
          <w:szCs w:val="21"/>
          <w:color w:val="auto"/>
        </w:rPr>
        <w:t>The Company hereby represents and warrants that all of the Arrangements have been established, maintained and administered in accordance with all applicable laws, including without limitation, ERISA. The Company hereby indemnifies and agrees to hold the Trustee harmless from all liabilities, including attorney's fees, relating to or arising out of the establishment, maintenance and administration of the Arrangements. To the extent the Company does not pay any of such liabilities in a reasonably timely manner, the Trustee may obtain payment from the Trust.</w:t>
      </w:r>
    </w:p>
    <w:p>
      <w:pPr>
        <w:spacing w:after="0" w:line="216" w:lineRule="exact"/>
        <w:rPr>
          <w:rFonts w:ascii="Arial" w:cs="Arial" w:eastAsia="Arial" w:hAnsi="Arial"/>
          <w:sz w:val="21"/>
          <w:szCs w:val="21"/>
          <w:color w:val="auto"/>
        </w:rPr>
      </w:pPr>
    </w:p>
    <w:p>
      <w:pPr>
        <w:ind w:left="660" w:right="20" w:hanging="328"/>
        <w:spacing w:after="0" w:line="343" w:lineRule="auto"/>
        <w:tabs>
          <w:tab w:leader="none" w:pos="660" w:val="left"/>
        </w:tabs>
        <w:numPr>
          <w:ilvl w:val="0"/>
          <w:numId w:val="120"/>
        </w:numPr>
        <w:rPr>
          <w:rFonts w:ascii="Arial" w:cs="Arial" w:eastAsia="Arial" w:hAnsi="Arial"/>
          <w:sz w:val="19"/>
          <w:szCs w:val="19"/>
          <w:color w:val="auto"/>
        </w:rPr>
      </w:pPr>
      <w:r>
        <w:rPr>
          <w:rFonts w:ascii="Arial" w:cs="Arial" w:eastAsia="Arial" w:hAnsi="Arial"/>
          <w:sz w:val="19"/>
          <w:szCs w:val="19"/>
          <w:color w:val="auto"/>
        </w:rPr>
        <w:t>Benefits payable to Participants under this Trust Agreement may not be anticipated, assigned (either at law or in equity), alienated, pledged, encumbered or subjected to attachment, garnishment, levy, execution or other legal or equitable process.</w:t>
      </w:r>
    </w:p>
    <w:p>
      <w:pPr>
        <w:spacing w:after="0" w:line="145" w:lineRule="exact"/>
        <w:rPr>
          <w:rFonts w:ascii="Arial" w:cs="Arial" w:eastAsia="Arial" w:hAnsi="Arial"/>
          <w:sz w:val="19"/>
          <w:szCs w:val="19"/>
          <w:color w:val="auto"/>
        </w:rPr>
      </w:pPr>
    </w:p>
    <w:p>
      <w:pPr>
        <w:ind w:left="660" w:hanging="328"/>
        <w:spacing w:after="0"/>
        <w:tabs>
          <w:tab w:leader="none" w:pos="660" w:val="left"/>
        </w:tabs>
        <w:numPr>
          <w:ilvl w:val="0"/>
          <w:numId w:val="120"/>
        </w:numPr>
        <w:rPr>
          <w:rFonts w:ascii="Arial" w:cs="Arial" w:eastAsia="Arial" w:hAnsi="Arial"/>
          <w:sz w:val="22"/>
          <w:szCs w:val="22"/>
          <w:color w:val="auto"/>
        </w:rPr>
      </w:pPr>
      <w:r>
        <w:rPr>
          <w:rFonts w:ascii="Arial" w:cs="Arial" w:eastAsia="Arial" w:hAnsi="Arial"/>
          <w:sz w:val="22"/>
          <w:szCs w:val="22"/>
          <w:color w:val="auto"/>
        </w:rPr>
        <w:t>This Trust Agreement shall be governed by and construed in accordance with the laws of North Carolina.</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591" w:right="279" w:bottom="1440" w:gutter="0" w:footer="0" w:header="0"/>
        </w:sectPr>
      </w:pPr>
    </w:p>
    <w:bookmarkStart w:id="191" w:name="page192"/>
    <w:bookmarkEnd w:id="191"/>
    <w:p>
      <w:pPr>
        <w:spacing w:after="0" w:line="269" w:lineRule="auto"/>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this Amended and Restated Director Compensation Trust Agreement has been executed on behalf of</w:t>
      </w:r>
      <w:r>
        <w:rPr>
          <w:rFonts w:ascii="Arial" w:cs="Arial" w:eastAsia="Arial" w:hAnsi="Arial"/>
          <w:sz w:val="22"/>
          <w:szCs w:val="22"/>
          <w:b w:val="1"/>
          <w:bCs w:val="1"/>
          <w:color w:val="auto"/>
        </w:rPr>
        <w:t xml:space="preserve"> </w:t>
      </w:r>
      <w:r>
        <w:rPr>
          <w:rFonts w:ascii="Arial" w:cs="Arial" w:eastAsia="Arial" w:hAnsi="Arial"/>
          <w:sz w:val="22"/>
          <w:szCs w:val="22"/>
          <w:color w:val="auto"/>
        </w:rPr>
        <w:t>the parties hereto on the day and year first above written.</w:t>
      </w:r>
    </w:p>
    <w:p>
      <w:pPr>
        <w:spacing w:after="0" w:line="200" w:lineRule="exact"/>
        <w:rPr>
          <w:sz w:val="20"/>
          <w:szCs w:val="20"/>
          <w:color w:val="auto"/>
        </w:rPr>
      </w:pPr>
    </w:p>
    <w:p>
      <w:pPr>
        <w:spacing w:after="0" w:line="398"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5400" w:type="dxa"/>
            <w:vAlign w:val="bottom"/>
            <w:gridSpan w:val="2"/>
          </w:tcPr>
          <w:p>
            <w:pPr>
              <w:spacing w:after="0"/>
              <w:rPr>
                <w:sz w:val="20"/>
                <w:szCs w:val="20"/>
                <w:color w:val="auto"/>
              </w:rPr>
            </w:pPr>
            <w:r>
              <w:rPr>
                <w:rFonts w:ascii="Arial" w:cs="Arial" w:eastAsia="Arial" w:hAnsi="Arial"/>
                <w:sz w:val="22"/>
                <w:szCs w:val="22"/>
                <w:b w:val="1"/>
                <w:bCs w:val="1"/>
                <w:color w:val="auto"/>
              </w:rPr>
              <w:t>ALLETE, INC.</w:t>
            </w:r>
          </w:p>
        </w:tc>
        <w:tc>
          <w:tcPr>
            <w:tcW w:w="1080" w:type="dxa"/>
            <w:vAlign w:val="bottom"/>
          </w:tcPr>
          <w:p>
            <w:pPr>
              <w:spacing w:after="0"/>
              <w:rPr>
                <w:sz w:val="21"/>
                <w:szCs w:val="21"/>
                <w:color w:val="auto"/>
              </w:rPr>
            </w:pPr>
          </w:p>
        </w:tc>
        <w:tc>
          <w:tcPr>
            <w:tcW w:w="4900" w:type="dxa"/>
            <w:vAlign w:val="bottom"/>
            <w:gridSpan w:val="2"/>
          </w:tcPr>
          <w:p>
            <w:pPr>
              <w:ind w:left="380"/>
              <w:spacing w:after="0"/>
              <w:rPr>
                <w:sz w:val="20"/>
                <w:szCs w:val="20"/>
                <w:color w:val="auto"/>
              </w:rPr>
            </w:pPr>
            <w:r>
              <w:rPr>
                <w:rFonts w:ascii="Arial" w:cs="Arial" w:eastAsia="Arial" w:hAnsi="Arial"/>
                <w:sz w:val="22"/>
                <w:szCs w:val="22"/>
                <w:b w:val="1"/>
                <w:bCs w:val="1"/>
                <w:color w:val="auto"/>
              </w:rPr>
              <w:t>WELLS FARGO BANK, NATIONAL</w:t>
            </w:r>
          </w:p>
        </w:tc>
      </w:tr>
      <w:tr>
        <w:trPr>
          <w:trHeight w:val="281"/>
        </w:trPr>
        <w:tc>
          <w:tcPr>
            <w:tcW w:w="66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900" w:type="dxa"/>
            <w:vAlign w:val="bottom"/>
            <w:gridSpan w:val="2"/>
          </w:tcPr>
          <w:p>
            <w:pPr>
              <w:ind w:left="380"/>
              <w:spacing w:after="0"/>
              <w:rPr>
                <w:sz w:val="20"/>
                <w:szCs w:val="20"/>
                <w:color w:val="auto"/>
              </w:rPr>
            </w:pPr>
            <w:r>
              <w:rPr>
                <w:rFonts w:ascii="Arial" w:cs="Arial" w:eastAsia="Arial" w:hAnsi="Arial"/>
                <w:sz w:val="22"/>
                <w:szCs w:val="22"/>
                <w:b w:val="1"/>
                <w:bCs w:val="1"/>
                <w:color w:val="auto"/>
              </w:rPr>
              <w:t>ASSOCIATION as TRUSTEE</w:t>
            </w:r>
          </w:p>
        </w:tc>
      </w:tr>
      <w:tr>
        <w:trPr>
          <w:trHeight w:val="308"/>
        </w:trPr>
        <w:tc>
          <w:tcPr>
            <w:tcW w:w="660" w:type="dxa"/>
            <w:vAlign w:val="bottom"/>
          </w:tcPr>
          <w:p>
            <w:pPr>
              <w:spacing w:after="0"/>
              <w:rPr>
                <w:sz w:val="20"/>
                <w:szCs w:val="20"/>
                <w:color w:val="auto"/>
              </w:rPr>
            </w:pPr>
            <w:r>
              <w:rPr>
                <w:rFonts w:ascii="Arial" w:cs="Arial" w:eastAsia="Arial" w:hAnsi="Arial"/>
                <w:sz w:val="22"/>
                <w:szCs w:val="22"/>
                <w:color w:val="auto"/>
              </w:rPr>
              <w:t>By:</w:t>
            </w:r>
          </w:p>
        </w:tc>
        <w:tc>
          <w:tcPr>
            <w:tcW w:w="474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Alan R. Hodnik</w:t>
            </w:r>
          </w:p>
        </w:tc>
        <w:tc>
          <w:tcPr>
            <w:tcW w:w="1080" w:type="dxa"/>
            <w:vAlign w:val="bottom"/>
            <w:tcBorders>
              <w:bottom w:val="single" w:sz="8" w:color="auto"/>
            </w:tcBorders>
          </w:tcPr>
          <w:p>
            <w:pPr>
              <w:spacing w:after="0"/>
              <w:rPr>
                <w:sz w:val="24"/>
                <w:szCs w:val="24"/>
                <w:color w:val="auto"/>
              </w:rPr>
            </w:pPr>
          </w:p>
        </w:tc>
        <w:tc>
          <w:tcPr>
            <w:tcW w:w="1020" w:type="dxa"/>
            <w:vAlign w:val="bottom"/>
          </w:tcPr>
          <w:p>
            <w:pPr>
              <w:ind w:left="380"/>
              <w:spacing w:after="0"/>
              <w:rPr>
                <w:sz w:val="20"/>
                <w:szCs w:val="20"/>
                <w:color w:val="auto"/>
              </w:rPr>
            </w:pPr>
            <w:r>
              <w:rPr>
                <w:rFonts w:ascii="Arial" w:cs="Arial" w:eastAsia="Arial" w:hAnsi="Arial"/>
                <w:sz w:val="22"/>
                <w:szCs w:val="22"/>
                <w:color w:val="auto"/>
              </w:rPr>
              <w:t>By:</w:t>
            </w:r>
          </w:p>
        </w:tc>
        <w:tc>
          <w:tcPr>
            <w:tcW w:w="388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/s/ Michael D. Hill</w:t>
            </w:r>
          </w:p>
        </w:tc>
      </w:tr>
      <w:tr>
        <w:trPr>
          <w:trHeight w:val="291"/>
        </w:trPr>
        <w:tc>
          <w:tcPr>
            <w:tcW w:w="660" w:type="dxa"/>
            <w:vAlign w:val="bottom"/>
          </w:tcPr>
          <w:p>
            <w:pPr>
              <w:spacing w:after="0"/>
              <w:rPr>
                <w:sz w:val="20"/>
                <w:szCs w:val="20"/>
                <w:color w:val="auto"/>
              </w:rPr>
            </w:pPr>
            <w:r>
              <w:rPr>
                <w:rFonts w:ascii="Arial" w:cs="Arial" w:eastAsia="Arial" w:hAnsi="Arial"/>
                <w:sz w:val="22"/>
                <w:szCs w:val="22"/>
                <w:color w:val="auto"/>
              </w:rPr>
              <w:t>Its:</w:t>
            </w:r>
          </w:p>
        </w:tc>
        <w:tc>
          <w:tcPr>
            <w:tcW w:w="474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Chairman, President &amp; Chief Executive Officer</w:t>
            </w:r>
          </w:p>
        </w:tc>
        <w:tc>
          <w:tcPr>
            <w:tcW w:w="1080" w:type="dxa"/>
            <w:vAlign w:val="bottom"/>
            <w:tcBorders>
              <w:bottom w:val="single" w:sz="8" w:color="auto"/>
            </w:tcBorders>
          </w:tcPr>
          <w:p>
            <w:pPr>
              <w:spacing w:after="0"/>
              <w:rPr>
                <w:sz w:val="24"/>
                <w:szCs w:val="24"/>
                <w:color w:val="auto"/>
              </w:rPr>
            </w:pPr>
          </w:p>
        </w:tc>
        <w:tc>
          <w:tcPr>
            <w:tcW w:w="1020" w:type="dxa"/>
            <w:vAlign w:val="bottom"/>
          </w:tcPr>
          <w:p>
            <w:pPr>
              <w:ind w:left="380"/>
              <w:spacing w:after="0"/>
              <w:rPr>
                <w:sz w:val="20"/>
                <w:szCs w:val="20"/>
                <w:color w:val="auto"/>
              </w:rPr>
            </w:pPr>
            <w:r>
              <w:rPr>
                <w:rFonts w:ascii="Arial" w:cs="Arial" w:eastAsia="Arial" w:hAnsi="Arial"/>
                <w:sz w:val="22"/>
                <w:szCs w:val="22"/>
                <w:color w:val="auto"/>
              </w:rPr>
              <w:t>Its:</w:t>
            </w:r>
          </w:p>
        </w:tc>
        <w:tc>
          <w:tcPr>
            <w:tcW w:w="388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Senior Vice President</w:t>
            </w:r>
          </w:p>
        </w:tc>
      </w:tr>
      <w:tr>
        <w:trPr>
          <w:trHeight w:val="281"/>
        </w:trPr>
        <w:tc>
          <w:tcPr>
            <w:tcW w:w="5400" w:type="dxa"/>
            <w:vAlign w:val="bottom"/>
            <w:gridSpan w:val="2"/>
          </w:tcPr>
          <w:p>
            <w:pPr>
              <w:spacing w:after="0"/>
              <w:rPr>
                <w:sz w:val="20"/>
                <w:szCs w:val="20"/>
                <w:color w:val="auto"/>
              </w:rPr>
            </w:pPr>
            <w:r>
              <w:rPr>
                <w:rFonts w:ascii="Arial" w:cs="Arial" w:eastAsia="Arial" w:hAnsi="Arial"/>
                <w:sz w:val="22"/>
                <w:szCs w:val="22"/>
                <w:b w:val="1"/>
                <w:bCs w:val="1"/>
                <w:color w:val="auto"/>
              </w:rPr>
              <w:t>ATTEST:</w:t>
            </w:r>
          </w:p>
        </w:tc>
        <w:tc>
          <w:tcPr>
            <w:tcW w:w="1080" w:type="dxa"/>
            <w:vAlign w:val="bottom"/>
          </w:tcPr>
          <w:p>
            <w:pPr>
              <w:spacing w:after="0"/>
              <w:rPr>
                <w:sz w:val="24"/>
                <w:szCs w:val="24"/>
                <w:color w:val="auto"/>
              </w:rPr>
            </w:pPr>
          </w:p>
        </w:tc>
        <w:tc>
          <w:tcPr>
            <w:tcW w:w="4900" w:type="dxa"/>
            <w:vAlign w:val="bottom"/>
            <w:gridSpan w:val="2"/>
          </w:tcPr>
          <w:p>
            <w:pPr>
              <w:ind w:left="380"/>
              <w:spacing w:after="0"/>
              <w:rPr>
                <w:sz w:val="20"/>
                <w:szCs w:val="20"/>
                <w:color w:val="auto"/>
              </w:rPr>
            </w:pPr>
            <w:r>
              <w:rPr>
                <w:rFonts w:ascii="Arial" w:cs="Arial" w:eastAsia="Arial" w:hAnsi="Arial"/>
                <w:sz w:val="22"/>
                <w:szCs w:val="22"/>
                <w:b w:val="1"/>
                <w:bCs w:val="1"/>
                <w:color w:val="auto"/>
              </w:rPr>
              <w:t>ATTEST:</w:t>
            </w:r>
          </w:p>
        </w:tc>
      </w:tr>
      <w:tr>
        <w:trPr>
          <w:trHeight w:val="294"/>
        </w:trPr>
        <w:tc>
          <w:tcPr>
            <w:tcW w:w="660" w:type="dxa"/>
            <w:vAlign w:val="bottom"/>
          </w:tcPr>
          <w:p>
            <w:pPr>
              <w:spacing w:after="0"/>
              <w:rPr>
                <w:sz w:val="20"/>
                <w:szCs w:val="20"/>
                <w:color w:val="auto"/>
              </w:rPr>
            </w:pPr>
            <w:r>
              <w:rPr>
                <w:rFonts w:ascii="Arial" w:cs="Arial" w:eastAsia="Arial" w:hAnsi="Arial"/>
                <w:sz w:val="22"/>
                <w:szCs w:val="22"/>
                <w:color w:val="auto"/>
              </w:rPr>
              <w:t>By:</w:t>
            </w:r>
          </w:p>
        </w:tc>
        <w:tc>
          <w:tcPr>
            <w:tcW w:w="474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Deborah A. Amberg</w:t>
            </w:r>
          </w:p>
        </w:tc>
        <w:tc>
          <w:tcPr>
            <w:tcW w:w="1080" w:type="dxa"/>
            <w:vAlign w:val="bottom"/>
            <w:tcBorders>
              <w:bottom w:val="single" w:sz="8" w:color="auto"/>
            </w:tcBorders>
          </w:tcPr>
          <w:p>
            <w:pPr>
              <w:spacing w:after="0"/>
              <w:rPr>
                <w:sz w:val="24"/>
                <w:szCs w:val="24"/>
                <w:color w:val="auto"/>
              </w:rPr>
            </w:pPr>
          </w:p>
        </w:tc>
        <w:tc>
          <w:tcPr>
            <w:tcW w:w="1020" w:type="dxa"/>
            <w:vAlign w:val="bottom"/>
          </w:tcPr>
          <w:p>
            <w:pPr>
              <w:ind w:left="380"/>
              <w:spacing w:after="0"/>
              <w:rPr>
                <w:sz w:val="20"/>
                <w:szCs w:val="20"/>
                <w:color w:val="auto"/>
              </w:rPr>
            </w:pPr>
            <w:r>
              <w:rPr>
                <w:rFonts w:ascii="Arial" w:cs="Arial" w:eastAsia="Arial" w:hAnsi="Arial"/>
                <w:sz w:val="22"/>
                <w:szCs w:val="22"/>
                <w:color w:val="auto"/>
              </w:rPr>
              <w:t>By:</w:t>
            </w:r>
          </w:p>
        </w:tc>
        <w:tc>
          <w:tcPr>
            <w:tcW w:w="388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/s/ Tonya M. Inscore</w:t>
            </w:r>
          </w:p>
        </w:tc>
      </w:tr>
      <w:tr>
        <w:trPr>
          <w:trHeight w:val="291"/>
        </w:trPr>
        <w:tc>
          <w:tcPr>
            <w:tcW w:w="660" w:type="dxa"/>
            <w:vAlign w:val="bottom"/>
          </w:tcPr>
          <w:p>
            <w:pPr>
              <w:spacing w:after="0"/>
              <w:rPr>
                <w:sz w:val="20"/>
                <w:szCs w:val="20"/>
                <w:color w:val="auto"/>
              </w:rPr>
            </w:pPr>
            <w:r>
              <w:rPr>
                <w:rFonts w:ascii="Arial" w:cs="Arial" w:eastAsia="Arial" w:hAnsi="Arial"/>
                <w:sz w:val="22"/>
                <w:szCs w:val="22"/>
                <w:color w:val="auto"/>
              </w:rPr>
              <w:t>Its:</w:t>
            </w:r>
          </w:p>
        </w:tc>
        <w:tc>
          <w:tcPr>
            <w:tcW w:w="474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w w:val="92"/>
              </w:rPr>
              <w:t>Senior Vice President, General Counsel &amp; Secretary</w:t>
            </w:r>
          </w:p>
        </w:tc>
        <w:tc>
          <w:tcPr>
            <w:tcW w:w="1080" w:type="dxa"/>
            <w:vAlign w:val="bottom"/>
            <w:tcBorders>
              <w:bottom w:val="single" w:sz="8" w:color="auto"/>
            </w:tcBorders>
          </w:tcPr>
          <w:p>
            <w:pPr>
              <w:spacing w:after="0"/>
              <w:rPr>
                <w:sz w:val="24"/>
                <w:szCs w:val="24"/>
                <w:color w:val="auto"/>
              </w:rPr>
            </w:pPr>
          </w:p>
        </w:tc>
        <w:tc>
          <w:tcPr>
            <w:tcW w:w="1020" w:type="dxa"/>
            <w:vAlign w:val="bottom"/>
          </w:tcPr>
          <w:p>
            <w:pPr>
              <w:ind w:left="380"/>
              <w:spacing w:after="0"/>
              <w:rPr>
                <w:sz w:val="20"/>
                <w:szCs w:val="20"/>
                <w:color w:val="auto"/>
              </w:rPr>
            </w:pPr>
            <w:r>
              <w:rPr>
                <w:rFonts w:ascii="Arial" w:cs="Arial" w:eastAsia="Arial" w:hAnsi="Arial"/>
                <w:sz w:val="22"/>
                <w:szCs w:val="22"/>
                <w:color w:val="auto"/>
              </w:rPr>
              <w:t>Its:</w:t>
            </w:r>
          </w:p>
        </w:tc>
        <w:tc>
          <w:tcPr>
            <w:tcW w:w="388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Senior Vice President</w:t>
            </w:r>
          </w:p>
        </w:tc>
      </w:tr>
      <w:tr>
        <w:trPr>
          <w:trHeight w:val="716"/>
        </w:trPr>
        <w:tc>
          <w:tcPr>
            <w:tcW w:w="66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1080" w:type="dxa"/>
            <w:vAlign w:val="bottom"/>
          </w:tcPr>
          <w:p>
            <w:pPr>
              <w:jc w:val="right"/>
              <w:ind w:right="630"/>
              <w:spacing w:after="0"/>
              <w:rPr>
                <w:sz w:val="20"/>
                <w:szCs w:val="20"/>
                <w:color w:val="auto"/>
              </w:rPr>
            </w:pPr>
            <w:r>
              <w:rPr>
                <w:rFonts w:ascii="Arial" w:cs="Arial" w:eastAsia="Arial" w:hAnsi="Arial"/>
                <w:sz w:val="18"/>
                <w:szCs w:val="18"/>
                <w:color w:val="auto"/>
              </w:rPr>
              <w:t>20</w:t>
            </w:r>
          </w:p>
        </w:tc>
        <w:tc>
          <w:tcPr>
            <w:tcW w:w="1020" w:type="dxa"/>
            <w:vAlign w:val="bottom"/>
          </w:tcPr>
          <w:p>
            <w:pPr>
              <w:spacing w:after="0"/>
              <w:rPr>
                <w:sz w:val="24"/>
                <w:szCs w:val="24"/>
                <w:color w:val="auto"/>
              </w:rPr>
            </w:pPr>
          </w:p>
        </w:tc>
        <w:tc>
          <w:tcPr>
            <w:tcW w:w="3880" w:type="dxa"/>
            <w:vAlign w:val="bottom"/>
          </w:tcPr>
          <w:p>
            <w:pPr>
              <w:spacing w:after="0"/>
              <w:rPr>
                <w:sz w:val="24"/>
                <w:szCs w:val="24"/>
                <w:color w:val="auto"/>
              </w:rPr>
            </w:pPr>
          </w:p>
        </w:tc>
      </w:tr>
    </w:tbl>
    <w:p>
      <w:pPr>
        <w:sectPr>
          <w:pgSz w:w="11900" w:h="16838" w:orient="portrait"/>
          <w:cols w:equalWidth="0" w:num="1">
            <w:col w:w="11420"/>
          </w:cols>
          <w:pgMar w:left="240" w:top="585" w:right="239" w:bottom="1440" w:gutter="0" w:footer="0" w:header="0"/>
        </w:sectPr>
      </w:pPr>
    </w:p>
    <w:bookmarkStart w:id="192" w:name="page193"/>
    <w:bookmarkEnd w:id="192"/>
    <w:p>
      <w:pPr>
        <w:ind w:left="5100"/>
        <w:spacing w:after="0"/>
        <w:rPr>
          <w:sz w:val="20"/>
          <w:szCs w:val="20"/>
          <w:color w:val="auto"/>
        </w:rPr>
      </w:pPr>
      <w:r>
        <w:rPr>
          <w:rFonts w:ascii="Arial" w:cs="Arial" w:eastAsia="Arial" w:hAnsi="Arial"/>
          <w:sz w:val="19"/>
          <w:szCs w:val="19"/>
          <w:color w:val="auto"/>
        </w:rPr>
        <w:t>Attachment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right"/>
        <w:ind w:right="5439"/>
        <w:spacing w:after="0"/>
        <w:rPr>
          <w:sz w:val="20"/>
          <w:szCs w:val="20"/>
          <w:color w:val="auto"/>
        </w:rPr>
      </w:pPr>
      <w:r>
        <w:rPr>
          <w:rFonts w:ascii="Arial" w:cs="Arial" w:eastAsia="Arial" w:hAnsi="Arial"/>
          <w:sz w:val="19"/>
          <w:szCs w:val="19"/>
          <w:color w:val="auto"/>
        </w:rPr>
        <w:t>The following Arrangements are covered by this Trust:</w:t>
      </w:r>
    </w:p>
    <w:p>
      <w:pPr>
        <w:spacing w:after="0" w:line="295" w:lineRule="exact"/>
        <w:rPr>
          <w:sz w:val="20"/>
          <w:szCs w:val="20"/>
          <w:color w:val="auto"/>
        </w:rPr>
      </w:pPr>
    </w:p>
    <w:p>
      <w:pPr>
        <w:jc w:val="right"/>
        <w:ind w:right="5459"/>
        <w:spacing w:after="0"/>
        <w:rPr>
          <w:sz w:val="20"/>
          <w:szCs w:val="20"/>
          <w:color w:val="auto"/>
        </w:rPr>
      </w:pPr>
      <w:r>
        <w:rPr>
          <w:rFonts w:ascii="Arial" w:cs="Arial" w:eastAsia="Arial" w:hAnsi="Arial"/>
          <w:sz w:val="22"/>
          <w:szCs w:val="22"/>
          <w:color w:val="auto"/>
        </w:rPr>
        <w:t>ALLETE Director Compensation Deferral Plan</w:t>
      </w:r>
    </w:p>
    <w:p>
      <w:pPr>
        <w:spacing w:after="0" w:line="260" w:lineRule="exact"/>
        <w:rPr>
          <w:sz w:val="20"/>
          <w:szCs w:val="20"/>
          <w:color w:val="auto"/>
        </w:rPr>
      </w:pPr>
    </w:p>
    <w:p>
      <w:pPr>
        <w:jc w:val="right"/>
        <w:ind w:right="3879"/>
        <w:spacing w:after="0"/>
        <w:rPr>
          <w:sz w:val="20"/>
          <w:szCs w:val="20"/>
          <w:color w:val="auto"/>
        </w:rPr>
      </w:pPr>
      <w:r>
        <w:rPr>
          <w:rFonts w:ascii="Arial" w:cs="Arial" w:eastAsia="Arial" w:hAnsi="Arial"/>
          <w:sz w:val="22"/>
          <w:szCs w:val="22"/>
          <w:color w:val="auto"/>
        </w:rPr>
        <w:t>ALLETE Non-Employee Director Compensation Deferral Plan II</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219"/>
          </w:cols>
          <w:pgMar w:left="240" w:top="591" w:right="1440" w:bottom="1440" w:gutter="0" w:footer="0" w:header="0"/>
        </w:sectPr>
      </w:pPr>
    </w:p>
    <w:bookmarkStart w:id="193" w:name="page194"/>
    <w:bookmarkEnd w:id="193"/>
    <w:p>
      <w:pPr>
        <w:jc w:val="center"/>
        <w:ind w:right="-20"/>
        <w:spacing w:after="0"/>
        <w:rPr>
          <w:sz w:val="20"/>
          <w:szCs w:val="20"/>
          <w:color w:val="auto"/>
        </w:rPr>
      </w:pPr>
      <w:r>
        <w:rPr>
          <w:rFonts w:ascii="Arial" w:cs="Arial" w:eastAsia="Arial" w:hAnsi="Arial"/>
          <w:sz w:val="19"/>
          <w:szCs w:val="19"/>
          <w:color w:val="auto"/>
        </w:rPr>
        <w:t>Attachment B</w:t>
      </w:r>
    </w:p>
    <w:p>
      <w:pPr>
        <w:sectPr>
          <w:pgSz w:w="11900" w:h="16838" w:orient="portrait"/>
          <w:cols w:equalWidth="0" w:num="1">
            <w:col w:w="9019"/>
          </w:cols>
          <w:pgMar w:left="1440" w:top="59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9019"/>
          </w:cols>
          <w:pgMar w:left="1440" w:top="591" w:right="1440" w:bottom="1440" w:gutter="0" w:footer="0" w:header="0"/>
          <w:type w:val="continuous"/>
        </w:sectPr>
      </w:pPr>
    </w:p>
    <w:bookmarkStart w:id="194" w:name="page195"/>
    <w:bookmarkEnd w:id="194"/>
    <w:p>
      <w:pPr>
        <w:ind w:left="8440"/>
        <w:spacing w:after="0"/>
        <w:rPr>
          <w:sz w:val="20"/>
          <w:szCs w:val="20"/>
          <w:color w:val="auto"/>
        </w:rPr>
      </w:pPr>
      <w:r>
        <w:rPr>
          <w:rFonts w:ascii="Arial" w:cs="Arial" w:eastAsia="Arial" w:hAnsi="Arial"/>
          <w:sz w:val="18"/>
          <w:szCs w:val="18"/>
          <w:b w:val="1"/>
          <w:bCs w:val="1"/>
          <w:color w:val="auto"/>
        </w:rPr>
        <w:t>Exhibit 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ALLETE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Computation of Ratios of Earnings to Fixed Charges (Unaudited)</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ind w:left="40"/>
              <w:spacing w:after="0"/>
              <w:rPr>
                <w:sz w:val="20"/>
                <w:szCs w:val="20"/>
                <w:color w:val="auto"/>
              </w:rPr>
            </w:pPr>
            <w:r>
              <w:rPr>
                <w:rFonts w:ascii="Arial" w:cs="Arial" w:eastAsia="Arial" w:hAnsi="Arial"/>
                <w:sz w:val="18"/>
                <w:szCs w:val="18"/>
                <w:b w:val="1"/>
                <w:bCs w:val="1"/>
                <w:color w:val="auto"/>
              </w:rPr>
              <w:t>Year Ended December 31,</w:t>
            </w:r>
          </w:p>
        </w:tc>
        <w:tc>
          <w:tcPr>
            <w:tcW w:w="11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2012</w:t>
            </w:r>
          </w:p>
        </w:tc>
        <w:tc>
          <w:tcPr>
            <w:tcW w:w="1080" w:type="dxa"/>
            <w:vAlign w:val="bottom"/>
          </w:tcPr>
          <w:p>
            <w:pPr>
              <w:jc w:val="right"/>
              <w:ind w:right="410"/>
              <w:spacing w:after="0"/>
              <w:rPr>
                <w:sz w:val="20"/>
                <w:szCs w:val="20"/>
                <w:color w:val="auto"/>
              </w:rPr>
            </w:pPr>
            <w:r>
              <w:rPr>
                <w:rFonts w:ascii="Arial" w:cs="Arial" w:eastAsia="Arial" w:hAnsi="Arial"/>
                <w:sz w:val="18"/>
                <w:szCs w:val="18"/>
                <w:b w:val="1"/>
                <w:bCs w:val="1"/>
                <w:color w:val="auto"/>
              </w:rPr>
              <w:t>2011</w:t>
            </w:r>
          </w:p>
        </w:tc>
        <w:tc>
          <w:tcPr>
            <w:tcW w:w="11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2010</w:t>
            </w:r>
          </w:p>
        </w:tc>
        <w:tc>
          <w:tcPr>
            <w:tcW w:w="1100" w:type="dxa"/>
            <w:vAlign w:val="bottom"/>
          </w:tcPr>
          <w:p>
            <w:pPr>
              <w:jc w:val="right"/>
              <w:ind w:right="410"/>
              <w:spacing w:after="0"/>
              <w:rPr>
                <w:sz w:val="20"/>
                <w:szCs w:val="20"/>
                <w:color w:val="auto"/>
              </w:rPr>
            </w:pPr>
            <w:r>
              <w:rPr>
                <w:rFonts w:ascii="Arial" w:cs="Arial" w:eastAsia="Arial" w:hAnsi="Arial"/>
                <w:sz w:val="18"/>
                <w:szCs w:val="18"/>
                <w:b w:val="1"/>
                <w:bCs w:val="1"/>
                <w:color w:val="auto"/>
              </w:rPr>
              <w:t>2009</w:t>
            </w:r>
          </w:p>
        </w:tc>
        <w:tc>
          <w:tcPr>
            <w:tcW w:w="960" w:type="dxa"/>
            <w:vAlign w:val="bottom"/>
          </w:tcPr>
          <w:p>
            <w:pPr>
              <w:jc w:val="right"/>
              <w:ind w:right="270"/>
              <w:spacing w:after="0"/>
              <w:rPr>
                <w:sz w:val="20"/>
                <w:szCs w:val="20"/>
                <w:color w:val="auto"/>
              </w:rPr>
            </w:pPr>
            <w:r>
              <w:rPr>
                <w:rFonts w:ascii="Arial" w:cs="Arial" w:eastAsia="Arial" w:hAnsi="Arial"/>
                <w:sz w:val="18"/>
                <w:szCs w:val="18"/>
                <w:b w:val="1"/>
                <w:bCs w:val="1"/>
                <w:color w:val="auto"/>
              </w:rPr>
              <w:t>2008</w:t>
            </w:r>
          </w:p>
        </w:tc>
      </w:tr>
      <w:tr>
        <w:trPr>
          <w:trHeight w:val="27"/>
        </w:trPr>
        <w:tc>
          <w:tcPr>
            <w:tcW w:w="56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1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7"/>
        </w:trPr>
        <w:tc>
          <w:tcPr>
            <w:tcW w:w="56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are defined:</w:t>
            </w:r>
          </w:p>
        </w:tc>
        <w:tc>
          <w:tcPr>
            <w:tcW w:w="1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580"/>
              <w:spacing w:after="0"/>
              <w:rPr>
                <w:sz w:val="20"/>
                <w:szCs w:val="20"/>
                <w:color w:val="auto"/>
              </w:rPr>
            </w:pPr>
            <w:r>
              <w:rPr>
                <w:rFonts w:ascii="Arial" w:cs="Arial" w:eastAsia="Arial" w:hAnsi="Arial"/>
                <w:sz w:val="18"/>
                <w:szCs w:val="18"/>
                <w:color w:val="auto"/>
              </w:rPr>
              <w:t>Pretax Income Before Non-Controlling Interest</w:t>
            </w: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$135.0</w:t>
            </w: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$129.2</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$119.1</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$91.5</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$126.4</w:t>
            </w:r>
          </w:p>
        </w:tc>
      </w:tr>
      <w:tr>
        <w:trPr>
          <w:trHeight w:val="27"/>
        </w:trPr>
        <w:tc>
          <w:tcPr>
            <w:tcW w:w="56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Add: Fixed Charges</w:t>
            </w:r>
          </w:p>
        </w:tc>
        <w:tc>
          <w:tcPr>
            <w:tcW w:w="11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51.2</w:t>
            </w:r>
          </w:p>
        </w:tc>
        <w:tc>
          <w:tcPr>
            <w:tcW w:w="10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47.6</w:t>
            </w:r>
          </w:p>
        </w:tc>
        <w:tc>
          <w:tcPr>
            <w:tcW w:w="11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43.4</w:t>
            </w:r>
          </w:p>
        </w:tc>
        <w:tc>
          <w:tcPr>
            <w:tcW w:w="11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38.3</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30.3</w:t>
            </w:r>
          </w:p>
        </w:tc>
      </w:tr>
      <w:tr>
        <w:trPr>
          <w:trHeight w:val="229"/>
        </w:trPr>
        <w:tc>
          <w:tcPr>
            <w:tcW w:w="5620" w:type="dxa"/>
            <w:vAlign w:val="bottom"/>
          </w:tcPr>
          <w:p>
            <w:pPr>
              <w:ind w:left="740"/>
              <w:spacing w:after="0"/>
              <w:rPr>
                <w:sz w:val="20"/>
                <w:szCs w:val="20"/>
                <w:color w:val="auto"/>
              </w:rPr>
            </w:pPr>
            <w:r>
              <w:rPr>
                <w:rFonts w:ascii="Arial" w:cs="Arial" w:eastAsia="Arial" w:hAnsi="Arial"/>
                <w:sz w:val="18"/>
                <w:szCs w:val="18"/>
                <w:color w:val="auto"/>
                <w:w w:val="96"/>
              </w:rPr>
              <w:t>Undistributed Income from Less than 50 percent Owned Equity</w:t>
            </w:r>
          </w:p>
        </w:tc>
        <w:tc>
          <w:tcPr>
            <w:tcW w:w="1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5620" w:type="dxa"/>
            <w:vAlign w:val="bottom"/>
          </w:tcPr>
          <w:p>
            <w:pPr>
              <w:ind w:left="2640"/>
              <w:spacing w:after="0"/>
              <w:rPr>
                <w:sz w:val="20"/>
                <w:szCs w:val="20"/>
                <w:color w:val="auto"/>
              </w:rPr>
            </w:pPr>
            <w:r>
              <w:rPr>
                <w:rFonts w:ascii="Arial" w:cs="Arial" w:eastAsia="Arial" w:hAnsi="Arial"/>
                <w:sz w:val="18"/>
                <w:szCs w:val="18"/>
                <w:color w:val="auto"/>
              </w:rPr>
              <w:t>Investment</w:t>
            </w: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3.8</w:t>
            </w: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3.8</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3.4</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3.7</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3.8</w:t>
            </w:r>
          </w:p>
        </w:tc>
      </w:tr>
      <w:tr>
        <w:trPr>
          <w:trHeight w:val="27"/>
        </w:trPr>
        <w:tc>
          <w:tcPr>
            <w:tcW w:w="56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9"/>
        </w:trPr>
        <w:tc>
          <w:tcPr>
            <w:tcW w:w="562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Earnings as defined:</w:t>
            </w:r>
          </w:p>
        </w:tc>
        <w:tc>
          <w:tcPr>
            <w:tcW w:w="11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$182.4</w:t>
            </w:r>
          </w:p>
        </w:tc>
        <w:tc>
          <w:tcPr>
            <w:tcW w:w="10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$173.0</w:t>
            </w:r>
          </w:p>
        </w:tc>
        <w:tc>
          <w:tcPr>
            <w:tcW w:w="11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$159.1</w:t>
            </w:r>
          </w:p>
        </w:tc>
        <w:tc>
          <w:tcPr>
            <w:tcW w:w="11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$126.1</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$152.9</w:t>
            </w:r>
          </w:p>
        </w:tc>
      </w:tr>
      <w:tr>
        <w:trPr>
          <w:trHeight w:val="318"/>
        </w:trPr>
        <w:tc>
          <w:tcPr>
            <w:tcW w:w="56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Charges:</w:t>
            </w:r>
          </w:p>
        </w:tc>
        <w:tc>
          <w:tcPr>
            <w:tcW w:w="1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580"/>
              <w:spacing w:after="0"/>
              <w:rPr>
                <w:sz w:val="20"/>
                <w:szCs w:val="20"/>
                <w:color w:val="auto"/>
              </w:rPr>
            </w:pPr>
            <w:r>
              <w:rPr>
                <w:rFonts w:ascii="Arial" w:cs="Arial" w:eastAsia="Arial" w:hAnsi="Arial"/>
                <w:sz w:val="18"/>
                <w:szCs w:val="18"/>
                <w:color w:val="auto"/>
              </w:rPr>
              <w:t>Interest on Long-Term Debt</w:t>
            </w: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$47.0</w:t>
            </w: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$43.1</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$39.7</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$34.2</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$27.4</w:t>
            </w:r>
          </w:p>
        </w:tc>
      </w:tr>
      <w:tr>
        <w:trPr>
          <w:trHeight w:val="27"/>
        </w:trPr>
        <w:tc>
          <w:tcPr>
            <w:tcW w:w="56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Other Interest Charges</w:t>
            </w:r>
          </w:p>
        </w:tc>
        <w:tc>
          <w:tcPr>
            <w:tcW w:w="11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0.4</w:t>
            </w:r>
          </w:p>
        </w:tc>
        <w:tc>
          <w:tcPr>
            <w:tcW w:w="10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1.6</w:t>
            </w:r>
          </w:p>
        </w:tc>
        <w:tc>
          <w:tcPr>
            <w:tcW w:w="11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1.0</w:t>
            </w:r>
          </w:p>
        </w:tc>
        <w:tc>
          <w:tcPr>
            <w:tcW w:w="11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1.6</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w:t>
            </w:r>
          </w:p>
        </w:tc>
      </w:tr>
      <w:tr>
        <w:trPr>
          <w:trHeight w:val="243"/>
        </w:trPr>
        <w:tc>
          <w:tcPr>
            <w:tcW w:w="5620" w:type="dxa"/>
            <w:vAlign w:val="bottom"/>
          </w:tcPr>
          <w:p>
            <w:pPr>
              <w:ind w:left="580"/>
              <w:spacing w:after="0"/>
              <w:rPr>
                <w:sz w:val="20"/>
                <w:szCs w:val="20"/>
                <w:color w:val="auto"/>
              </w:rPr>
            </w:pPr>
            <w:r>
              <w:rPr>
                <w:rFonts w:ascii="Arial" w:cs="Arial" w:eastAsia="Arial" w:hAnsi="Arial"/>
                <w:sz w:val="18"/>
                <w:szCs w:val="18"/>
                <w:color w:val="auto"/>
              </w:rPr>
              <w:t xml:space="preserve">Interest Component of All Rentals </w:t>
            </w:r>
            <w:r>
              <w:rPr>
                <w:rFonts w:ascii="Arial" w:cs="Arial" w:eastAsia="Arial" w:hAnsi="Arial"/>
                <w:sz w:val="18"/>
                <w:szCs w:val="18"/>
                <w:i w:val="1"/>
                <w:iCs w:val="1"/>
                <w:color w:val="auto"/>
              </w:rPr>
              <w:t>(a)</w:t>
            </w: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3.8</w:t>
            </w: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2.9</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2.7</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2.5</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2.5</w:t>
            </w:r>
          </w:p>
        </w:tc>
      </w:tr>
      <w:tr>
        <w:trPr>
          <w:trHeight w:val="27"/>
        </w:trPr>
        <w:tc>
          <w:tcPr>
            <w:tcW w:w="56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9"/>
        </w:trPr>
        <w:tc>
          <w:tcPr>
            <w:tcW w:w="562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Total Fixed Charges</w:t>
            </w:r>
          </w:p>
        </w:tc>
        <w:tc>
          <w:tcPr>
            <w:tcW w:w="11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$51.2</w:t>
            </w:r>
          </w:p>
        </w:tc>
        <w:tc>
          <w:tcPr>
            <w:tcW w:w="10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$47.6</w:t>
            </w:r>
          </w:p>
        </w:tc>
        <w:tc>
          <w:tcPr>
            <w:tcW w:w="11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$43.4</w:t>
            </w:r>
          </w:p>
        </w:tc>
        <w:tc>
          <w:tcPr>
            <w:tcW w:w="11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$38.3</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$30.3</w:t>
            </w:r>
          </w:p>
        </w:tc>
      </w:tr>
      <w:tr>
        <w:trPr>
          <w:trHeight w:val="237"/>
        </w:trPr>
        <w:tc>
          <w:tcPr>
            <w:tcW w:w="56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Ratio of Earnings to Fixed Charges</w:t>
            </w:r>
          </w:p>
        </w:tc>
        <w:tc>
          <w:tcPr>
            <w:tcW w:w="11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3.56</w:t>
            </w:r>
          </w:p>
        </w:tc>
        <w:tc>
          <w:tcPr>
            <w:tcW w:w="108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3.63</w:t>
            </w:r>
          </w:p>
        </w:tc>
        <w:tc>
          <w:tcPr>
            <w:tcW w:w="110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3.67</w:t>
            </w:r>
          </w:p>
        </w:tc>
        <w:tc>
          <w:tcPr>
            <w:tcW w:w="110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3.29</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5.05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698055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80555" cy="8890"/>
                    </a:xfrm>
                    <a:prstGeom prst="rect">
                      <a:avLst/>
                    </a:prstGeom>
                    <a:noFill/>
                  </pic:spPr>
                </pic:pic>
              </a:graphicData>
            </a:graphic>
          </wp:anchor>
        </w:drawing>
      </w:r>
    </w:p>
    <w:p>
      <w:pPr>
        <w:spacing w:after="0" w:line="11"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i w:val="1"/>
          <w:iCs w:val="1"/>
          <w:color w:val="auto"/>
        </w:rPr>
        <w:t>(a)</w:t>
      </w:r>
      <w:r>
        <w:rPr>
          <w:sz w:val="20"/>
          <w:szCs w:val="20"/>
          <w:color w:val="auto"/>
        </w:rPr>
        <w:tab/>
      </w:r>
      <w:r>
        <w:rPr>
          <w:rFonts w:ascii="Arial" w:cs="Arial" w:eastAsia="Arial" w:hAnsi="Arial"/>
          <w:sz w:val="14"/>
          <w:szCs w:val="14"/>
          <w:i w:val="1"/>
          <w:iCs w:val="1"/>
          <w:color w:val="auto"/>
        </w:rPr>
        <w:t>Represents interest portion of rents estimated at 33 1/3 percent.</w:t>
      </w:r>
    </w:p>
    <w:p>
      <w:pPr>
        <w:sectPr>
          <w:pgSz w:w="11900" w:h="16838" w:orient="portrait"/>
          <w:cols w:equalWidth="0" w:num="1">
            <w:col w:w="11000"/>
          </w:cols>
          <w:pgMar w:left="240" w:top="580" w:right="659" w:bottom="1440" w:gutter="0" w:footer="0" w:header="0"/>
        </w:sectPr>
      </w:pPr>
    </w:p>
    <w:bookmarkStart w:id="195" w:name="page196"/>
    <w:bookmarkEnd w:id="195"/>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700" w:type="dxa"/>
            <w:vAlign w:val="bottom"/>
          </w:tcPr>
          <w:p>
            <w:pPr>
              <w:spacing w:after="0"/>
              <w:rPr>
                <w:sz w:val="20"/>
                <w:szCs w:val="20"/>
                <w:color w:val="auto"/>
              </w:rPr>
            </w:pPr>
          </w:p>
        </w:tc>
        <w:tc>
          <w:tcPr>
            <w:tcW w:w="2720" w:type="dxa"/>
            <w:vAlign w:val="bottom"/>
          </w:tcPr>
          <w:p>
            <w:pPr>
              <w:ind w:left="1920"/>
              <w:spacing w:after="0"/>
              <w:rPr>
                <w:sz w:val="20"/>
                <w:szCs w:val="20"/>
                <w:color w:val="auto"/>
              </w:rPr>
            </w:pPr>
            <w:r>
              <w:rPr>
                <w:rFonts w:ascii="Arial" w:cs="Arial" w:eastAsia="Arial" w:hAnsi="Arial"/>
                <w:sz w:val="18"/>
                <w:szCs w:val="18"/>
                <w:b w:val="1"/>
                <w:bCs w:val="1"/>
                <w:color w:val="auto"/>
                <w:w w:val="91"/>
              </w:rPr>
              <w:t>Exhibit 21</w:t>
            </w:r>
          </w:p>
        </w:tc>
        <w:tc>
          <w:tcPr>
            <w:tcW w:w="0" w:type="dxa"/>
            <w:vAlign w:val="bottom"/>
          </w:tcPr>
          <w:p>
            <w:pPr>
              <w:spacing w:after="0"/>
              <w:rPr>
                <w:sz w:val="1"/>
                <w:szCs w:val="1"/>
                <w:color w:val="auto"/>
              </w:rPr>
            </w:pPr>
          </w:p>
        </w:tc>
      </w:tr>
      <w:tr>
        <w:trPr>
          <w:trHeight w:val="414"/>
        </w:trPr>
        <w:tc>
          <w:tcPr>
            <w:tcW w:w="8700" w:type="dxa"/>
            <w:vAlign w:val="bottom"/>
          </w:tcPr>
          <w:p>
            <w:pPr>
              <w:jc w:val="center"/>
              <w:ind w:left="2630"/>
              <w:spacing w:after="0"/>
              <w:rPr>
                <w:sz w:val="20"/>
                <w:szCs w:val="20"/>
                <w:color w:val="auto"/>
              </w:rPr>
            </w:pPr>
            <w:r>
              <w:rPr>
                <w:rFonts w:ascii="Arial" w:cs="Arial" w:eastAsia="Arial" w:hAnsi="Arial"/>
                <w:sz w:val="18"/>
                <w:szCs w:val="18"/>
                <w:b w:val="1"/>
                <w:bCs w:val="1"/>
                <w:color w:val="auto"/>
              </w:rPr>
              <w:t>SUBSIDIARIES OF THE REGISTRANT</w:t>
            </w:r>
          </w:p>
        </w:tc>
        <w:tc>
          <w:tcPr>
            <w:tcW w:w="2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700" w:type="dxa"/>
            <w:vAlign w:val="bottom"/>
          </w:tcPr>
          <w:p>
            <w:pPr>
              <w:jc w:val="center"/>
              <w:ind w:left="2630"/>
              <w:spacing w:after="0"/>
              <w:rPr>
                <w:sz w:val="20"/>
                <w:szCs w:val="20"/>
                <w:color w:val="auto"/>
              </w:rPr>
            </w:pPr>
            <w:r>
              <w:rPr>
                <w:rFonts w:ascii="Arial" w:cs="Arial" w:eastAsia="Arial" w:hAnsi="Arial"/>
                <w:sz w:val="18"/>
                <w:szCs w:val="18"/>
                <w:b w:val="1"/>
                <w:bCs w:val="1"/>
                <w:color w:val="auto"/>
                <w:w w:val="90"/>
              </w:rPr>
              <w:t>(As of December 31, 2012)</w:t>
            </w:r>
          </w:p>
        </w:tc>
        <w:tc>
          <w:tcPr>
            <w:tcW w:w="2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700" w:type="dxa"/>
            <w:vAlign w:val="bottom"/>
          </w:tcPr>
          <w:p>
            <w:pPr>
              <w:jc w:val="center"/>
              <w:ind w:left="2650"/>
              <w:spacing w:after="0"/>
              <w:rPr>
                <w:sz w:val="20"/>
                <w:szCs w:val="20"/>
                <w:color w:val="auto"/>
              </w:rPr>
            </w:pPr>
            <w:r>
              <w:rPr>
                <w:rFonts w:ascii="Arial" w:cs="Arial" w:eastAsia="Arial" w:hAnsi="Arial"/>
                <w:sz w:val="18"/>
                <w:szCs w:val="18"/>
                <w:b w:val="1"/>
                <w:bCs w:val="1"/>
                <w:color w:val="auto"/>
                <w:w w:val="92"/>
              </w:rPr>
              <w:t>(Reported Under Item 601 of Regulation S-K)</w:t>
            </w:r>
          </w:p>
        </w:tc>
        <w:tc>
          <w:tcPr>
            <w:tcW w:w="2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870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8700" w:type="dxa"/>
            <w:vAlign w:val="bottom"/>
          </w:tcPr>
          <w:p>
            <w:pPr>
              <w:ind w:left="40"/>
              <w:spacing w:after="0"/>
              <w:rPr>
                <w:sz w:val="20"/>
                <w:szCs w:val="20"/>
                <w:color w:val="auto"/>
              </w:rPr>
            </w:pPr>
            <w:r>
              <w:rPr>
                <w:rFonts w:ascii="Arial" w:cs="Arial" w:eastAsia="Arial" w:hAnsi="Arial"/>
                <w:sz w:val="18"/>
                <w:szCs w:val="18"/>
                <w:b w:val="1"/>
                <w:bCs w:val="1"/>
                <w:color w:val="auto"/>
              </w:rPr>
              <w:t>Name of Organization</w:t>
            </w:r>
          </w:p>
        </w:tc>
        <w:tc>
          <w:tcPr>
            <w:tcW w:w="2720" w:type="dxa"/>
            <w:vAlign w:val="bottom"/>
          </w:tcPr>
          <w:p>
            <w:pPr>
              <w:jc w:val="center"/>
              <w:ind w:left="930"/>
              <w:spacing w:after="0"/>
              <w:rPr>
                <w:sz w:val="20"/>
                <w:szCs w:val="20"/>
                <w:color w:val="auto"/>
              </w:rPr>
            </w:pPr>
            <w:r>
              <w:rPr>
                <w:rFonts w:ascii="Arial" w:cs="Arial" w:eastAsia="Arial" w:hAnsi="Arial"/>
                <w:sz w:val="18"/>
                <w:szCs w:val="18"/>
                <w:b w:val="1"/>
                <w:bCs w:val="1"/>
                <w:color w:val="auto"/>
                <w:w w:val="92"/>
              </w:rPr>
              <w:t>State or Country</w:t>
            </w:r>
          </w:p>
        </w:tc>
        <w:tc>
          <w:tcPr>
            <w:tcW w:w="0" w:type="dxa"/>
            <w:vAlign w:val="bottom"/>
          </w:tcPr>
          <w:p>
            <w:pPr>
              <w:spacing w:after="0"/>
              <w:rPr>
                <w:sz w:val="1"/>
                <w:szCs w:val="1"/>
                <w:color w:val="auto"/>
              </w:rPr>
            </w:pPr>
          </w:p>
        </w:tc>
      </w:tr>
      <w:tr>
        <w:trPr>
          <w:trHeight w:val="27"/>
        </w:trPr>
        <w:tc>
          <w:tcPr>
            <w:tcW w:w="870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ALLETE, Inc. </w:t>
            </w:r>
            <w:r>
              <w:rPr>
                <w:rFonts w:ascii="Arial" w:cs="Arial" w:eastAsia="Arial" w:hAnsi="Arial"/>
                <w:sz w:val="18"/>
                <w:szCs w:val="18"/>
                <w:i w:val="1"/>
                <w:iCs w:val="1"/>
                <w:color w:val="auto"/>
              </w:rPr>
              <w:t>(d.b.a. ALLETE; Minnesota Power; Minnesota Power, Inc.;</w:t>
            </w:r>
          </w:p>
        </w:tc>
        <w:tc>
          <w:tcPr>
            <w:tcW w:w="2720" w:type="dxa"/>
            <w:vAlign w:val="bottom"/>
            <w:vMerge w:val="restart"/>
            <w:shd w:val="clear" w:color="auto" w:fill="CCEEFF"/>
          </w:tcPr>
          <w:p>
            <w:pPr>
              <w:jc w:val="center"/>
              <w:ind w:left="910"/>
              <w:spacing w:after="0"/>
              <w:rPr>
                <w:sz w:val="20"/>
                <w:szCs w:val="20"/>
                <w:color w:val="auto"/>
              </w:rPr>
            </w:pPr>
            <w:r>
              <w:rPr>
                <w:rFonts w:ascii="Arial" w:cs="Arial" w:eastAsia="Arial" w:hAnsi="Arial"/>
                <w:sz w:val="18"/>
                <w:szCs w:val="18"/>
                <w:color w:val="auto"/>
                <w:w w:val="91"/>
              </w:rPr>
              <w:t>Minnesota</w:t>
            </w:r>
          </w:p>
        </w:tc>
        <w:tc>
          <w:tcPr>
            <w:tcW w:w="0" w:type="dxa"/>
            <w:vAlign w:val="bottom"/>
          </w:tcPr>
          <w:p>
            <w:pPr>
              <w:spacing w:after="0"/>
              <w:rPr>
                <w:sz w:val="1"/>
                <w:szCs w:val="1"/>
                <w:color w:val="auto"/>
              </w:rPr>
            </w:pPr>
          </w:p>
        </w:tc>
      </w:tr>
      <w:tr>
        <w:trPr>
          <w:trHeight w:val="223"/>
        </w:trPr>
        <w:tc>
          <w:tcPr>
            <w:tcW w:w="8700" w:type="dxa"/>
            <w:vAlign w:val="bottom"/>
            <w:tcBorders>
              <w:bottom w:val="single" w:sz="8" w:color="CCEEFF"/>
            </w:tcBorders>
            <w:shd w:val="clear" w:color="auto" w:fill="CCEEFF"/>
          </w:tcPr>
          <w:p>
            <w:pPr>
              <w:spacing w:after="0"/>
              <w:rPr>
                <w:sz w:val="19"/>
                <w:szCs w:val="19"/>
                <w:color w:val="auto"/>
              </w:rPr>
            </w:pPr>
          </w:p>
        </w:tc>
        <w:tc>
          <w:tcPr>
            <w:tcW w:w="2720" w:type="dxa"/>
            <w:vAlign w:val="bottom"/>
            <w:tcBorders>
              <w:bottom w:val="single" w:sz="8" w:color="CCEEFF"/>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700" w:type="dxa"/>
            <w:vAlign w:val="bottom"/>
          </w:tcPr>
          <w:p>
            <w:pPr>
              <w:ind w:left="280"/>
              <w:spacing w:after="0"/>
              <w:rPr>
                <w:sz w:val="20"/>
                <w:szCs w:val="20"/>
                <w:color w:val="auto"/>
              </w:rPr>
            </w:pPr>
            <w:r>
              <w:rPr>
                <w:rFonts w:ascii="Arial" w:cs="Arial" w:eastAsia="Arial" w:hAnsi="Arial"/>
                <w:sz w:val="18"/>
                <w:szCs w:val="18"/>
                <w:i w:val="1"/>
                <w:iCs w:val="1"/>
                <w:color w:val="auto"/>
              </w:rPr>
              <w:t>Minnesota Power &amp; Light Company; MPEX; MPEX A Division of Minnesota Power)</w:t>
            </w:r>
          </w:p>
        </w:tc>
        <w:tc>
          <w:tcPr>
            <w:tcW w:w="2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700" w:type="dxa"/>
            <w:vAlign w:val="bottom"/>
          </w:tcPr>
          <w:p>
            <w:pPr>
              <w:spacing w:after="0"/>
              <w:rPr>
                <w:sz w:val="21"/>
                <w:szCs w:val="21"/>
                <w:color w:val="auto"/>
              </w:rPr>
            </w:pPr>
          </w:p>
        </w:tc>
        <w:tc>
          <w:tcPr>
            <w:tcW w:w="2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7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ALLETE Automotive Services, LLC</w:t>
            </w:r>
          </w:p>
        </w:tc>
        <w:tc>
          <w:tcPr>
            <w:tcW w:w="2720" w:type="dxa"/>
            <w:vAlign w:val="bottom"/>
            <w:vMerge w:val="restart"/>
            <w:shd w:val="clear" w:color="auto" w:fill="CCEEFF"/>
          </w:tcPr>
          <w:p>
            <w:pPr>
              <w:jc w:val="center"/>
              <w:ind w:left="910"/>
              <w:spacing w:after="0"/>
              <w:rPr>
                <w:sz w:val="20"/>
                <w:szCs w:val="20"/>
                <w:color w:val="auto"/>
              </w:rPr>
            </w:pPr>
            <w:r>
              <w:rPr>
                <w:rFonts w:ascii="Arial" w:cs="Arial" w:eastAsia="Arial" w:hAnsi="Arial"/>
                <w:sz w:val="18"/>
                <w:szCs w:val="18"/>
                <w:color w:val="auto"/>
                <w:w w:val="91"/>
              </w:rPr>
              <w:t>Minnesota</w:t>
            </w:r>
          </w:p>
        </w:tc>
        <w:tc>
          <w:tcPr>
            <w:tcW w:w="0" w:type="dxa"/>
            <w:vAlign w:val="bottom"/>
          </w:tcPr>
          <w:p>
            <w:pPr>
              <w:spacing w:after="0"/>
              <w:rPr>
                <w:sz w:val="1"/>
                <w:szCs w:val="1"/>
                <w:color w:val="auto"/>
              </w:rPr>
            </w:pPr>
          </w:p>
        </w:tc>
      </w:tr>
      <w:tr>
        <w:trPr>
          <w:trHeight w:val="223"/>
        </w:trPr>
        <w:tc>
          <w:tcPr>
            <w:tcW w:w="8700" w:type="dxa"/>
            <w:vAlign w:val="bottom"/>
            <w:tcBorders>
              <w:bottom w:val="single" w:sz="8" w:color="CCEEFF"/>
            </w:tcBorders>
            <w:shd w:val="clear" w:color="auto" w:fill="CCEEFF"/>
          </w:tcPr>
          <w:p>
            <w:pPr>
              <w:spacing w:after="0"/>
              <w:rPr>
                <w:sz w:val="19"/>
                <w:szCs w:val="19"/>
                <w:color w:val="auto"/>
              </w:rPr>
            </w:pPr>
          </w:p>
        </w:tc>
        <w:tc>
          <w:tcPr>
            <w:tcW w:w="2720" w:type="dxa"/>
            <w:vAlign w:val="bottom"/>
            <w:tcBorders>
              <w:bottom w:val="single" w:sz="8" w:color="CCEEFF"/>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700" w:type="dxa"/>
            <w:vAlign w:val="bottom"/>
          </w:tcPr>
          <w:p>
            <w:pPr>
              <w:ind w:left="280"/>
              <w:spacing w:after="0"/>
              <w:rPr>
                <w:sz w:val="20"/>
                <w:szCs w:val="20"/>
                <w:color w:val="auto"/>
              </w:rPr>
            </w:pPr>
            <w:r>
              <w:rPr>
                <w:rFonts w:ascii="Arial" w:cs="Arial" w:eastAsia="Arial" w:hAnsi="Arial"/>
                <w:sz w:val="18"/>
                <w:szCs w:val="18"/>
                <w:color w:val="auto"/>
              </w:rPr>
              <w:t>ALLETE Capital II</w:t>
            </w:r>
          </w:p>
        </w:tc>
        <w:tc>
          <w:tcPr>
            <w:tcW w:w="2720" w:type="dxa"/>
            <w:vAlign w:val="bottom"/>
            <w:vMerge w:val="restart"/>
          </w:tcPr>
          <w:p>
            <w:pPr>
              <w:jc w:val="center"/>
              <w:ind w:left="930"/>
              <w:spacing w:after="0"/>
              <w:rPr>
                <w:sz w:val="20"/>
                <w:szCs w:val="20"/>
                <w:color w:val="auto"/>
              </w:rPr>
            </w:pPr>
            <w:r>
              <w:rPr>
                <w:rFonts w:ascii="Arial" w:cs="Arial" w:eastAsia="Arial" w:hAnsi="Arial"/>
                <w:sz w:val="18"/>
                <w:szCs w:val="18"/>
                <w:color w:val="auto"/>
                <w:w w:val="92"/>
              </w:rPr>
              <w:t>Delaware</w:t>
            </w:r>
          </w:p>
        </w:tc>
        <w:tc>
          <w:tcPr>
            <w:tcW w:w="0" w:type="dxa"/>
            <w:vAlign w:val="bottom"/>
          </w:tcPr>
          <w:p>
            <w:pPr>
              <w:spacing w:after="0"/>
              <w:rPr>
                <w:sz w:val="1"/>
                <w:szCs w:val="1"/>
                <w:color w:val="auto"/>
              </w:rPr>
            </w:pPr>
          </w:p>
        </w:tc>
      </w:tr>
      <w:tr>
        <w:trPr>
          <w:trHeight w:val="216"/>
        </w:trPr>
        <w:tc>
          <w:tcPr>
            <w:tcW w:w="8700" w:type="dxa"/>
            <w:vAlign w:val="bottom"/>
          </w:tcPr>
          <w:p>
            <w:pPr>
              <w:spacing w:after="0"/>
              <w:rPr>
                <w:sz w:val="18"/>
                <w:szCs w:val="18"/>
                <w:color w:val="auto"/>
              </w:rPr>
            </w:pPr>
          </w:p>
        </w:tc>
        <w:tc>
          <w:tcPr>
            <w:tcW w:w="2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ALLETE Capital III</w:t>
            </w:r>
          </w:p>
        </w:tc>
        <w:tc>
          <w:tcPr>
            <w:tcW w:w="2720" w:type="dxa"/>
            <w:vAlign w:val="bottom"/>
            <w:tcBorders>
              <w:bottom w:val="single" w:sz="8" w:color="CCEEFF"/>
            </w:tcBorders>
            <w:shd w:val="clear" w:color="auto" w:fill="CCEEFF"/>
          </w:tcPr>
          <w:p>
            <w:pPr>
              <w:jc w:val="center"/>
              <w:ind w:left="930"/>
              <w:spacing w:after="0"/>
              <w:rPr>
                <w:sz w:val="20"/>
                <w:szCs w:val="20"/>
                <w:color w:val="auto"/>
              </w:rPr>
            </w:pPr>
            <w:r>
              <w:rPr>
                <w:rFonts w:ascii="Arial" w:cs="Arial" w:eastAsia="Arial" w:hAnsi="Arial"/>
                <w:sz w:val="18"/>
                <w:szCs w:val="18"/>
                <w:color w:val="auto"/>
                <w:w w:val="92"/>
              </w:rPr>
              <w:t>Delaware</w:t>
            </w:r>
          </w:p>
        </w:tc>
        <w:tc>
          <w:tcPr>
            <w:tcW w:w="0" w:type="dxa"/>
            <w:vAlign w:val="bottom"/>
          </w:tcPr>
          <w:p>
            <w:pPr>
              <w:spacing w:after="0"/>
              <w:rPr>
                <w:sz w:val="1"/>
                <w:szCs w:val="1"/>
                <w:color w:val="auto"/>
              </w:rPr>
            </w:pPr>
          </w:p>
        </w:tc>
      </w:tr>
      <w:tr>
        <w:trPr>
          <w:trHeight w:val="243"/>
        </w:trPr>
        <w:tc>
          <w:tcPr>
            <w:tcW w:w="8700" w:type="dxa"/>
            <w:vAlign w:val="bottom"/>
          </w:tcPr>
          <w:p>
            <w:pPr>
              <w:ind w:left="280"/>
              <w:spacing w:after="0"/>
              <w:rPr>
                <w:sz w:val="20"/>
                <w:szCs w:val="20"/>
                <w:color w:val="auto"/>
              </w:rPr>
            </w:pPr>
            <w:r>
              <w:rPr>
                <w:rFonts w:ascii="Arial" w:cs="Arial" w:eastAsia="Arial" w:hAnsi="Arial"/>
                <w:sz w:val="18"/>
                <w:szCs w:val="18"/>
                <w:color w:val="auto"/>
              </w:rPr>
              <w:t xml:space="preserve">ALLETE Properties, LLC </w:t>
            </w:r>
            <w:r>
              <w:rPr>
                <w:rFonts w:ascii="Arial" w:cs="Arial" w:eastAsia="Arial" w:hAnsi="Arial"/>
                <w:sz w:val="18"/>
                <w:szCs w:val="18"/>
                <w:i w:val="1"/>
                <w:iCs w:val="1"/>
                <w:color w:val="auto"/>
              </w:rPr>
              <w:t>(d.b.a. ALLETE Properties)</w:t>
            </w:r>
          </w:p>
        </w:tc>
        <w:tc>
          <w:tcPr>
            <w:tcW w:w="2720" w:type="dxa"/>
            <w:vAlign w:val="bottom"/>
            <w:vMerge w:val="restart"/>
          </w:tcPr>
          <w:p>
            <w:pPr>
              <w:jc w:val="center"/>
              <w:ind w:left="910"/>
              <w:spacing w:after="0"/>
              <w:rPr>
                <w:sz w:val="20"/>
                <w:szCs w:val="20"/>
                <w:color w:val="auto"/>
              </w:rPr>
            </w:pPr>
            <w:r>
              <w:rPr>
                <w:rFonts w:ascii="Arial" w:cs="Arial" w:eastAsia="Arial" w:hAnsi="Arial"/>
                <w:sz w:val="18"/>
                <w:szCs w:val="18"/>
                <w:color w:val="auto"/>
                <w:w w:val="91"/>
              </w:rPr>
              <w:t>Minnesota</w:t>
            </w:r>
          </w:p>
        </w:tc>
        <w:tc>
          <w:tcPr>
            <w:tcW w:w="0" w:type="dxa"/>
            <w:vAlign w:val="bottom"/>
          </w:tcPr>
          <w:p>
            <w:pPr>
              <w:spacing w:after="0"/>
              <w:rPr>
                <w:sz w:val="1"/>
                <w:szCs w:val="1"/>
                <w:color w:val="auto"/>
              </w:rPr>
            </w:pPr>
          </w:p>
        </w:tc>
      </w:tr>
      <w:tr>
        <w:trPr>
          <w:trHeight w:val="216"/>
        </w:trPr>
        <w:tc>
          <w:tcPr>
            <w:tcW w:w="8700" w:type="dxa"/>
            <w:vAlign w:val="bottom"/>
          </w:tcPr>
          <w:p>
            <w:pPr>
              <w:spacing w:after="0"/>
              <w:rPr>
                <w:sz w:val="18"/>
                <w:szCs w:val="18"/>
                <w:color w:val="auto"/>
              </w:rPr>
            </w:pPr>
          </w:p>
        </w:tc>
        <w:tc>
          <w:tcPr>
            <w:tcW w:w="2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ALLETE Commercial, LLC</w:t>
            </w:r>
          </w:p>
        </w:tc>
        <w:tc>
          <w:tcPr>
            <w:tcW w:w="2720" w:type="dxa"/>
            <w:vAlign w:val="bottom"/>
            <w:tcBorders>
              <w:bottom w:val="single" w:sz="8" w:color="CCEEFF"/>
            </w:tcBorders>
            <w:shd w:val="clear" w:color="auto" w:fill="CCEEFF"/>
          </w:tcPr>
          <w:p>
            <w:pPr>
              <w:jc w:val="center"/>
              <w:ind w:left="910"/>
              <w:spacing w:after="0"/>
              <w:rPr>
                <w:sz w:val="20"/>
                <w:szCs w:val="20"/>
                <w:color w:val="auto"/>
              </w:rPr>
            </w:pPr>
            <w:r>
              <w:rPr>
                <w:rFonts w:ascii="Arial" w:cs="Arial" w:eastAsia="Arial" w:hAnsi="Arial"/>
                <w:sz w:val="18"/>
                <w:szCs w:val="18"/>
                <w:color w:val="auto"/>
                <w:w w:val="94"/>
              </w:rPr>
              <w:t>Florida</w:t>
            </w:r>
          </w:p>
        </w:tc>
        <w:tc>
          <w:tcPr>
            <w:tcW w:w="0" w:type="dxa"/>
            <w:vAlign w:val="bottom"/>
          </w:tcPr>
          <w:p>
            <w:pPr>
              <w:spacing w:after="0"/>
              <w:rPr>
                <w:sz w:val="1"/>
                <w:szCs w:val="1"/>
                <w:color w:val="auto"/>
              </w:rPr>
            </w:pPr>
          </w:p>
        </w:tc>
      </w:tr>
      <w:tr>
        <w:trPr>
          <w:trHeight w:val="243"/>
        </w:trPr>
        <w:tc>
          <w:tcPr>
            <w:tcW w:w="8700" w:type="dxa"/>
            <w:vAlign w:val="bottom"/>
          </w:tcPr>
          <w:p>
            <w:pPr>
              <w:ind w:left="500"/>
              <w:spacing w:after="0"/>
              <w:rPr>
                <w:sz w:val="20"/>
                <w:szCs w:val="20"/>
                <w:color w:val="auto"/>
              </w:rPr>
            </w:pPr>
            <w:r>
              <w:rPr>
                <w:rFonts w:ascii="Arial" w:cs="Arial" w:eastAsia="Arial" w:hAnsi="Arial"/>
                <w:sz w:val="18"/>
                <w:szCs w:val="18"/>
                <w:color w:val="auto"/>
              </w:rPr>
              <w:t>Cape Coral Holdings, Inc.</w:t>
            </w:r>
          </w:p>
        </w:tc>
        <w:tc>
          <w:tcPr>
            <w:tcW w:w="2720" w:type="dxa"/>
            <w:vAlign w:val="bottom"/>
            <w:vMerge w:val="restart"/>
          </w:tcPr>
          <w:p>
            <w:pPr>
              <w:jc w:val="center"/>
              <w:ind w:left="910"/>
              <w:spacing w:after="0"/>
              <w:rPr>
                <w:sz w:val="20"/>
                <w:szCs w:val="20"/>
                <w:color w:val="auto"/>
              </w:rPr>
            </w:pPr>
            <w:r>
              <w:rPr>
                <w:rFonts w:ascii="Arial" w:cs="Arial" w:eastAsia="Arial" w:hAnsi="Arial"/>
                <w:sz w:val="18"/>
                <w:szCs w:val="18"/>
                <w:color w:val="auto"/>
                <w:w w:val="94"/>
              </w:rPr>
              <w:t>Florida</w:t>
            </w:r>
          </w:p>
        </w:tc>
        <w:tc>
          <w:tcPr>
            <w:tcW w:w="0" w:type="dxa"/>
            <w:vAlign w:val="bottom"/>
          </w:tcPr>
          <w:p>
            <w:pPr>
              <w:spacing w:after="0"/>
              <w:rPr>
                <w:sz w:val="1"/>
                <w:szCs w:val="1"/>
                <w:color w:val="auto"/>
              </w:rPr>
            </w:pPr>
          </w:p>
        </w:tc>
      </w:tr>
      <w:tr>
        <w:trPr>
          <w:trHeight w:val="216"/>
        </w:trPr>
        <w:tc>
          <w:tcPr>
            <w:tcW w:w="8700" w:type="dxa"/>
            <w:vAlign w:val="bottom"/>
          </w:tcPr>
          <w:p>
            <w:pPr>
              <w:spacing w:after="0"/>
              <w:rPr>
                <w:sz w:val="18"/>
                <w:szCs w:val="18"/>
                <w:color w:val="auto"/>
              </w:rPr>
            </w:pPr>
          </w:p>
        </w:tc>
        <w:tc>
          <w:tcPr>
            <w:tcW w:w="2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7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Lake Swamp, LLC</w:t>
            </w:r>
          </w:p>
        </w:tc>
        <w:tc>
          <w:tcPr>
            <w:tcW w:w="2720" w:type="dxa"/>
            <w:vAlign w:val="bottom"/>
            <w:vMerge w:val="restart"/>
            <w:shd w:val="clear" w:color="auto" w:fill="CCEEFF"/>
          </w:tcPr>
          <w:p>
            <w:pPr>
              <w:jc w:val="center"/>
              <w:ind w:left="910"/>
              <w:spacing w:after="0"/>
              <w:rPr>
                <w:sz w:val="20"/>
                <w:szCs w:val="20"/>
                <w:color w:val="auto"/>
              </w:rPr>
            </w:pPr>
            <w:r>
              <w:rPr>
                <w:rFonts w:ascii="Arial" w:cs="Arial" w:eastAsia="Arial" w:hAnsi="Arial"/>
                <w:sz w:val="18"/>
                <w:szCs w:val="18"/>
                <w:color w:val="auto"/>
                <w:w w:val="94"/>
              </w:rPr>
              <w:t>Florida</w:t>
            </w:r>
          </w:p>
        </w:tc>
        <w:tc>
          <w:tcPr>
            <w:tcW w:w="0" w:type="dxa"/>
            <w:vAlign w:val="bottom"/>
          </w:tcPr>
          <w:p>
            <w:pPr>
              <w:spacing w:after="0"/>
              <w:rPr>
                <w:sz w:val="1"/>
                <w:szCs w:val="1"/>
                <w:color w:val="auto"/>
              </w:rPr>
            </w:pPr>
          </w:p>
        </w:tc>
      </w:tr>
      <w:tr>
        <w:trPr>
          <w:trHeight w:val="223"/>
        </w:trPr>
        <w:tc>
          <w:tcPr>
            <w:tcW w:w="8700" w:type="dxa"/>
            <w:vAlign w:val="bottom"/>
            <w:tcBorders>
              <w:bottom w:val="single" w:sz="8" w:color="CCEEFF"/>
            </w:tcBorders>
            <w:shd w:val="clear" w:color="auto" w:fill="CCEEFF"/>
          </w:tcPr>
          <w:p>
            <w:pPr>
              <w:spacing w:after="0"/>
              <w:rPr>
                <w:sz w:val="19"/>
                <w:szCs w:val="19"/>
                <w:color w:val="auto"/>
              </w:rPr>
            </w:pPr>
          </w:p>
        </w:tc>
        <w:tc>
          <w:tcPr>
            <w:tcW w:w="2720" w:type="dxa"/>
            <w:vAlign w:val="bottom"/>
            <w:tcBorders>
              <w:bottom w:val="single" w:sz="8" w:color="CCEEFF"/>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700" w:type="dxa"/>
            <w:vAlign w:val="bottom"/>
          </w:tcPr>
          <w:p>
            <w:pPr>
              <w:ind w:left="500"/>
              <w:spacing w:after="0"/>
              <w:rPr>
                <w:sz w:val="20"/>
                <w:szCs w:val="20"/>
                <w:color w:val="auto"/>
              </w:rPr>
            </w:pPr>
            <w:r>
              <w:rPr>
                <w:rFonts w:ascii="Arial" w:cs="Arial" w:eastAsia="Arial" w:hAnsi="Arial"/>
                <w:sz w:val="18"/>
                <w:szCs w:val="18"/>
                <w:color w:val="auto"/>
              </w:rPr>
              <w:t>Lehigh Acquisition Corporation</w:t>
            </w:r>
          </w:p>
        </w:tc>
        <w:tc>
          <w:tcPr>
            <w:tcW w:w="2720" w:type="dxa"/>
            <w:vAlign w:val="bottom"/>
            <w:vMerge w:val="restart"/>
          </w:tcPr>
          <w:p>
            <w:pPr>
              <w:jc w:val="center"/>
              <w:ind w:left="930"/>
              <w:spacing w:after="0"/>
              <w:rPr>
                <w:sz w:val="20"/>
                <w:szCs w:val="20"/>
                <w:color w:val="auto"/>
              </w:rPr>
            </w:pPr>
            <w:r>
              <w:rPr>
                <w:rFonts w:ascii="Arial" w:cs="Arial" w:eastAsia="Arial" w:hAnsi="Arial"/>
                <w:sz w:val="18"/>
                <w:szCs w:val="18"/>
                <w:color w:val="auto"/>
                <w:w w:val="92"/>
              </w:rPr>
              <w:t>Delaware</w:t>
            </w:r>
          </w:p>
        </w:tc>
        <w:tc>
          <w:tcPr>
            <w:tcW w:w="0" w:type="dxa"/>
            <w:vAlign w:val="bottom"/>
          </w:tcPr>
          <w:p>
            <w:pPr>
              <w:spacing w:after="0"/>
              <w:rPr>
                <w:sz w:val="1"/>
                <w:szCs w:val="1"/>
                <w:color w:val="auto"/>
              </w:rPr>
            </w:pPr>
          </w:p>
        </w:tc>
      </w:tr>
      <w:tr>
        <w:trPr>
          <w:trHeight w:val="216"/>
        </w:trPr>
        <w:tc>
          <w:tcPr>
            <w:tcW w:w="8700" w:type="dxa"/>
            <w:vAlign w:val="bottom"/>
          </w:tcPr>
          <w:p>
            <w:pPr>
              <w:spacing w:after="0"/>
              <w:rPr>
                <w:sz w:val="18"/>
                <w:szCs w:val="18"/>
                <w:color w:val="auto"/>
              </w:rPr>
            </w:pPr>
          </w:p>
        </w:tc>
        <w:tc>
          <w:tcPr>
            <w:tcW w:w="2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7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Florida Landmark Communities, LLC</w:t>
            </w:r>
          </w:p>
        </w:tc>
        <w:tc>
          <w:tcPr>
            <w:tcW w:w="2720" w:type="dxa"/>
            <w:vAlign w:val="bottom"/>
            <w:vMerge w:val="restart"/>
            <w:shd w:val="clear" w:color="auto" w:fill="CCEEFF"/>
          </w:tcPr>
          <w:p>
            <w:pPr>
              <w:jc w:val="center"/>
              <w:ind w:left="910"/>
              <w:spacing w:after="0"/>
              <w:rPr>
                <w:sz w:val="20"/>
                <w:szCs w:val="20"/>
                <w:color w:val="auto"/>
              </w:rPr>
            </w:pPr>
            <w:r>
              <w:rPr>
                <w:rFonts w:ascii="Arial" w:cs="Arial" w:eastAsia="Arial" w:hAnsi="Arial"/>
                <w:sz w:val="18"/>
                <w:szCs w:val="18"/>
                <w:color w:val="auto"/>
                <w:w w:val="94"/>
              </w:rPr>
              <w:t>Florida</w:t>
            </w:r>
          </w:p>
        </w:tc>
        <w:tc>
          <w:tcPr>
            <w:tcW w:w="0" w:type="dxa"/>
            <w:vAlign w:val="bottom"/>
          </w:tcPr>
          <w:p>
            <w:pPr>
              <w:spacing w:after="0"/>
              <w:rPr>
                <w:sz w:val="1"/>
                <w:szCs w:val="1"/>
                <w:color w:val="auto"/>
              </w:rPr>
            </w:pPr>
          </w:p>
        </w:tc>
      </w:tr>
      <w:tr>
        <w:trPr>
          <w:trHeight w:val="223"/>
        </w:trPr>
        <w:tc>
          <w:tcPr>
            <w:tcW w:w="8700" w:type="dxa"/>
            <w:vAlign w:val="bottom"/>
            <w:tcBorders>
              <w:bottom w:val="single" w:sz="8" w:color="CCEEFF"/>
            </w:tcBorders>
            <w:shd w:val="clear" w:color="auto" w:fill="CCEEFF"/>
          </w:tcPr>
          <w:p>
            <w:pPr>
              <w:spacing w:after="0"/>
              <w:rPr>
                <w:sz w:val="19"/>
                <w:szCs w:val="19"/>
                <w:color w:val="auto"/>
              </w:rPr>
            </w:pPr>
          </w:p>
        </w:tc>
        <w:tc>
          <w:tcPr>
            <w:tcW w:w="2720" w:type="dxa"/>
            <w:vAlign w:val="bottom"/>
            <w:tcBorders>
              <w:bottom w:val="single" w:sz="8" w:color="CCEEFF"/>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700" w:type="dxa"/>
            <w:vAlign w:val="bottom"/>
          </w:tcPr>
          <w:p>
            <w:pPr>
              <w:ind w:left="920"/>
              <w:spacing w:after="0"/>
              <w:rPr>
                <w:sz w:val="20"/>
                <w:szCs w:val="20"/>
                <w:color w:val="auto"/>
              </w:rPr>
            </w:pPr>
            <w:r>
              <w:rPr>
                <w:rFonts w:ascii="Arial" w:cs="Arial" w:eastAsia="Arial" w:hAnsi="Arial"/>
                <w:sz w:val="18"/>
                <w:szCs w:val="18"/>
                <w:color w:val="auto"/>
              </w:rPr>
              <w:t>Lehigh Corporation</w:t>
            </w:r>
          </w:p>
        </w:tc>
        <w:tc>
          <w:tcPr>
            <w:tcW w:w="2720" w:type="dxa"/>
            <w:vAlign w:val="bottom"/>
            <w:vMerge w:val="restart"/>
          </w:tcPr>
          <w:p>
            <w:pPr>
              <w:jc w:val="center"/>
              <w:ind w:left="910"/>
              <w:spacing w:after="0"/>
              <w:rPr>
                <w:sz w:val="20"/>
                <w:szCs w:val="20"/>
                <w:color w:val="auto"/>
              </w:rPr>
            </w:pPr>
            <w:r>
              <w:rPr>
                <w:rFonts w:ascii="Arial" w:cs="Arial" w:eastAsia="Arial" w:hAnsi="Arial"/>
                <w:sz w:val="18"/>
                <w:szCs w:val="18"/>
                <w:color w:val="auto"/>
                <w:w w:val="94"/>
              </w:rPr>
              <w:t>Florida</w:t>
            </w:r>
          </w:p>
        </w:tc>
        <w:tc>
          <w:tcPr>
            <w:tcW w:w="0" w:type="dxa"/>
            <w:vAlign w:val="bottom"/>
          </w:tcPr>
          <w:p>
            <w:pPr>
              <w:spacing w:after="0"/>
              <w:rPr>
                <w:sz w:val="1"/>
                <w:szCs w:val="1"/>
                <w:color w:val="auto"/>
              </w:rPr>
            </w:pPr>
          </w:p>
        </w:tc>
      </w:tr>
      <w:tr>
        <w:trPr>
          <w:trHeight w:val="216"/>
        </w:trPr>
        <w:tc>
          <w:tcPr>
            <w:tcW w:w="8700" w:type="dxa"/>
            <w:vAlign w:val="bottom"/>
          </w:tcPr>
          <w:p>
            <w:pPr>
              <w:spacing w:after="0"/>
              <w:rPr>
                <w:sz w:val="18"/>
                <w:szCs w:val="18"/>
                <w:color w:val="auto"/>
              </w:rPr>
            </w:pPr>
          </w:p>
        </w:tc>
        <w:tc>
          <w:tcPr>
            <w:tcW w:w="2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700" w:type="dxa"/>
            <w:vAlign w:val="bottom"/>
            <w:shd w:val="clear" w:color="auto" w:fill="CCEEFF"/>
          </w:tcPr>
          <w:p>
            <w:pPr>
              <w:ind w:left="920"/>
              <w:spacing w:after="0"/>
              <w:rPr>
                <w:sz w:val="20"/>
                <w:szCs w:val="20"/>
                <w:color w:val="auto"/>
              </w:rPr>
            </w:pPr>
            <w:r>
              <w:rPr>
                <w:rFonts w:ascii="Arial" w:cs="Arial" w:eastAsia="Arial" w:hAnsi="Arial"/>
                <w:sz w:val="18"/>
                <w:szCs w:val="18"/>
                <w:color w:val="auto"/>
              </w:rPr>
              <w:t>Mardem, LLC</w:t>
            </w:r>
          </w:p>
        </w:tc>
        <w:tc>
          <w:tcPr>
            <w:tcW w:w="2720" w:type="dxa"/>
            <w:vAlign w:val="bottom"/>
            <w:vMerge w:val="restart"/>
            <w:shd w:val="clear" w:color="auto" w:fill="CCEEFF"/>
          </w:tcPr>
          <w:p>
            <w:pPr>
              <w:jc w:val="center"/>
              <w:ind w:left="910"/>
              <w:spacing w:after="0"/>
              <w:rPr>
                <w:sz w:val="20"/>
                <w:szCs w:val="20"/>
                <w:color w:val="auto"/>
              </w:rPr>
            </w:pPr>
            <w:r>
              <w:rPr>
                <w:rFonts w:ascii="Arial" w:cs="Arial" w:eastAsia="Arial" w:hAnsi="Arial"/>
                <w:sz w:val="18"/>
                <w:szCs w:val="18"/>
                <w:color w:val="auto"/>
                <w:w w:val="94"/>
              </w:rPr>
              <w:t>Florida</w:t>
            </w:r>
          </w:p>
        </w:tc>
        <w:tc>
          <w:tcPr>
            <w:tcW w:w="0" w:type="dxa"/>
            <w:vAlign w:val="bottom"/>
          </w:tcPr>
          <w:p>
            <w:pPr>
              <w:spacing w:after="0"/>
              <w:rPr>
                <w:sz w:val="1"/>
                <w:szCs w:val="1"/>
                <w:color w:val="auto"/>
              </w:rPr>
            </w:pPr>
          </w:p>
        </w:tc>
      </w:tr>
      <w:tr>
        <w:trPr>
          <w:trHeight w:val="223"/>
        </w:trPr>
        <w:tc>
          <w:tcPr>
            <w:tcW w:w="8700" w:type="dxa"/>
            <w:vAlign w:val="bottom"/>
            <w:tcBorders>
              <w:bottom w:val="single" w:sz="8" w:color="CCEEFF"/>
            </w:tcBorders>
            <w:shd w:val="clear" w:color="auto" w:fill="CCEEFF"/>
          </w:tcPr>
          <w:p>
            <w:pPr>
              <w:spacing w:after="0"/>
              <w:rPr>
                <w:sz w:val="19"/>
                <w:szCs w:val="19"/>
                <w:color w:val="auto"/>
              </w:rPr>
            </w:pPr>
          </w:p>
        </w:tc>
        <w:tc>
          <w:tcPr>
            <w:tcW w:w="2720" w:type="dxa"/>
            <w:vAlign w:val="bottom"/>
            <w:tcBorders>
              <w:bottom w:val="single" w:sz="8" w:color="CCEEFF"/>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700" w:type="dxa"/>
            <w:vAlign w:val="bottom"/>
          </w:tcPr>
          <w:p>
            <w:pPr>
              <w:ind w:left="920"/>
              <w:spacing w:after="0"/>
              <w:rPr>
                <w:sz w:val="20"/>
                <w:szCs w:val="20"/>
                <w:color w:val="auto"/>
              </w:rPr>
            </w:pPr>
            <w:r>
              <w:rPr>
                <w:rFonts w:ascii="Arial" w:cs="Arial" w:eastAsia="Arial" w:hAnsi="Arial"/>
                <w:sz w:val="18"/>
                <w:szCs w:val="18"/>
                <w:color w:val="auto"/>
              </w:rPr>
              <w:t>Palm Coast Holdings, Inc.</w:t>
            </w:r>
          </w:p>
        </w:tc>
        <w:tc>
          <w:tcPr>
            <w:tcW w:w="2720" w:type="dxa"/>
            <w:vAlign w:val="bottom"/>
            <w:vMerge w:val="restart"/>
          </w:tcPr>
          <w:p>
            <w:pPr>
              <w:jc w:val="center"/>
              <w:ind w:left="910"/>
              <w:spacing w:after="0"/>
              <w:rPr>
                <w:sz w:val="20"/>
                <w:szCs w:val="20"/>
                <w:color w:val="auto"/>
              </w:rPr>
            </w:pPr>
            <w:r>
              <w:rPr>
                <w:rFonts w:ascii="Arial" w:cs="Arial" w:eastAsia="Arial" w:hAnsi="Arial"/>
                <w:sz w:val="18"/>
                <w:szCs w:val="18"/>
                <w:color w:val="auto"/>
                <w:w w:val="94"/>
              </w:rPr>
              <w:t>Florida</w:t>
            </w:r>
          </w:p>
        </w:tc>
        <w:tc>
          <w:tcPr>
            <w:tcW w:w="0" w:type="dxa"/>
            <w:vAlign w:val="bottom"/>
          </w:tcPr>
          <w:p>
            <w:pPr>
              <w:spacing w:after="0"/>
              <w:rPr>
                <w:sz w:val="1"/>
                <w:szCs w:val="1"/>
                <w:color w:val="auto"/>
              </w:rPr>
            </w:pPr>
          </w:p>
        </w:tc>
      </w:tr>
      <w:tr>
        <w:trPr>
          <w:trHeight w:val="216"/>
        </w:trPr>
        <w:tc>
          <w:tcPr>
            <w:tcW w:w="8700" w:type="dxa"/>
            <w:vAlign w:val="bottom"/>
          </w:tcPr>
          <w:p>
            <w:pPr>
              <w:spacing w:after="0"/>
              <w:rPr>
                <w:sz w:val="18"/>
                <w:szCs w:val="18"/>
                <w:color w:val="auto"/>
              </w:rPr>
            </w:pPr>
          </w:p>
        </w:tc>
        <w:tc>
          <w:tcPr>
            <w:tcW w:w="2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0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Port Orange Holdings, LLC</w:t>
            </w:r>
          </w:p>
        </w:tc>
        <w:tc>
          <w:tcPr>
            <w:tcW w:w="2720" w:type="dxa"/>
            <w:vAlign w:val="bottom"/>
            <w:tcBorders>
              <w:bottom w:val="single" w:sz="8" w:color="CCEEFF"/>
            </w:tcBorders>
            <w:shd w:val="clear" w:color="auto" w:fill="CCEEFF"/>
          </w:tcPr>
          <w:p>
            <w:pPr>
              <w:jc w:val="center"/>
              <w:ind w:left="910"/>
              <w:spacing w:after="0"/>
              <w:rPr>
                <w:sz w:val="20"/>
                <w:szCs w:val="20"/>
                <w:color w:val="auto"/>
              </w:rPr>
            </w:pPr>
            <w:r>
              <w:rPr>
                <w:rFonts w:ascii="Arial" w:cs="Arial" w:eastAsia="Arial" w:hAnsi="Arial"/>
                <w:sz w:val="18"/>
                <w:szCs w:val="18"/>
                <w:color w:val="auto"/>
                <w:w w:val="94"/>
              </w:rPr>
              <w:t>Florida</w:t>
            </w:r>
          </w:p>
        </w:tc>
        <w:tc>
          <w:tcPr>
            <w:tcW w:w="0" w:type="dxa"/>
            <w:vAlign w:val="bottom"/>
          </w:tcPr>
          <w:p>
            <w:pPr>
              <w:spacing w:after="0"/>
              <w:rPr>
                <w:sz w:val="1"/>
                <w:szCs w:val="1"/>
                <w:color w:val="auto"/>
              </w:rPr>
            </w:pPr>
          </w:p>
        </w:tc>
      </w:tr>
      <w:tr>
        <w:trPr>
          <w:trHeight w:val="243"/>
        </w:trPr>
        <w:tc>
          <w:tcPr>
            <w:tcW w:w="8700" w:type="dxa"/>
            <w:vAlign w:val="bottom"/>
          </w:tcPr>
          <w:p>
            <w:pPr>
              <w:ind w:left="720"/>
              <w:spacing w:after="0"/>
              <w:rPr>
                <w:sz w:val="20"/>
                <w:szCs w:val="20"/>
                <w:color w:val="auto"/>
              </w:rPr>
            </w:pPr>
            <w:r>
              <w:rPr>
                <w:rFonts w:ascii="Arial" w:cs="Arial" w:eastAsia="Arial" w:hAnsi="Arial"/>
                <w:sz w:val="18"/>
                <w:szCs w:val="18"/>
                <w:color w:val="auto"/>
              </w:rPr>
              <w:t>Interlachen Lakes Estates, LLC</w:t>
            </w:r>
          </w:p>
        </w:tc>
        <w:tc>
          <w:tcPr>
            <w:tcW w:w="2720" w:type="dxa"/>
            <w:vAlign w:val="bottom"/>
            <w:vMerge w:val="restart"/>
          </w:tcPr>
          <w:p>
            <w:pPr>
              <w:jc w:val="center"/>
              <w:ind w:left="910"/>
              <w:spacing w:after="0"/>
              <w:rPr>
                <w:sz w:val="20"/>
                <w:szCs w:val="20"/>
                <w:color w:val="auto"/>
              </w:rPr>
            </w:pPr>
            <w:r>
              <w:rPr>
                <w:rFonts w:ascii="Arial" w:cs="Arial" w:eastAsia="Arial" w:hAnsi="Arial"/>
                <w:sz w:val="18"/>
                <w:szCs w:val="18"/>
                <w:color w:val="auto"/>
                <w:w w:val="94"/>
              </w:rPr>
              <w:t>Florida</w:t>
            </w:r>
          </w:p>
        </w:tc>
        <w:tc>
          <w:tcPr>
            <w:tcW w:w="0" w:type="dxa"/>
            <w:vAlign w:val="bottom"/>
          </w:tcPr>
          <w:p>
            <w:pPr>
              <w:spacing w:after="0"/>
              <w:rPr>
                <w:sz w:val="1"/>
                <w:szCs w:val="1"/>
                <w:color w:val="auto"/>
              </w:rPr>
            </w:pPr>
          </w:p>
        </w:tc>
      </w:tr>
      <w:tr>
        <w:trPr>
          <w:trHeight w:val="216"/>
        </w:trPr>
        <w:tc>
          <w:tcPr>
            <w:tcW w:w="8700" w:type="dxa"/>
            <w:vAlign w:val="bottom"/>
          </w:tcPr>
          <w:p>
            <w:pPr>
              <w:spacing w:after="0"/>
              <w:rPr>
                <w:sz w:val="18"/>
                <w:szCs w:val="18"/>
                <w:color w:val="auto"/>
              </w:rPr>
            </w:pPr>
          </w:p>
        </w:tc>
        <w:tc>
          <w:tcPr>
            <w:tcW w:w="2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Palm Coast Land, LLC</w:t>
            </w:r>
          </w:p>
        </w:tc>
        <w:tc>
          <w:tcPr>
            <w:tcW w:w="2720" w:type="dxa"/>
            <w:vAlign w:val="bottom"/>
            <w:tcBorders>
              <w:bottom w:val="single" w:sz="8" w:color="CCEEFF"/>
            </w:tcBorders>
            <w:shd w:val="clear" w:color="auto" w:fill="CCEEFF"/>
          </w:tcPr>
          <w:p>
            <w:pPr>
              <w:jc w:val="center"/>
              <w:ind w:left="910"/>
              <w:spacing w:after="0"/>
              <w:rPr>
                <w:sz w:val="20"/>
                <w:szCs w:val="20"/>
                <w:color w:val="auto"/>
              </w:rPr>
            </w:pPr>
            <w:r>
              <w:rPr>
                <w:rFonts w:ascii="Arial" w:cs="Arial" w:eastAsia="Arial" w:hAnsi="Arial"/>
                <w:sz w:val="18"/>
                <w:szCs w:val="18"/>
                <w:color w:val="auto"/>
                <w:w w:val="94"/>
              </w:rPr>
              <w:t>Florida</w:t>
            </w:r>
          </w:p>
        </w:tc>
        <w:tc>
          <w:tcPr>
            <w:tcW w:w="0" w:type="dxa"/>
            <w:vAlign w:val="bottom"/>
          </w:tcPr>
          <w:p>
            <w:pPr>
              <w:spacing w:after="0"/>
              <w:rPr>
                <w:sz w:val="1"/>
                <w:szCs w:val="1"/>
                <w:color w:val="auto"/>
              </w:rPr>
            </w:pPr>
          </w:p>
        </w:tc>
      </w:tr>
      <w:tr>
        <w:trPr>
          <w:trHeight w:val="243"/>
        </w:trPr>
        <w:tc>
          <w:tcPr>
            <w:tcW w:w="8700" w:type="dxa"/>
            <w:vAlign w:val="bottom"/>
          </w:tcPr>
          <w:p>
            <w:pPr>
              <w:ind w:left="500"/>
              <w:spacing w:after="0"/>
              <w:rPr>
                <w:sz w:val="20"/>
                <w:szCs w:val="20"/>
                <w:color w:val="auto"/>
              </w:rPr>
            </w:pPr>
            <w:r>
              <w:rPr>
                <w:rFonts w:ascii="Arial" w:cs="Arial" w:eastAsia="Arial" w:hAnsi="Arial"/>
                <w:sz w:val="18"/>
                <w:szCs w:val="18"/>
                <w:color w:val="auto"/>
              </w:rPr>
              <w:t>Tomoka Holdings, LLC</w:t>
            </w:r>
          </w:p>
        </w:tc>
        <w:tc>
          <w:tcPr>
            <w:tcW w:w="2720" w:type="dxa"/>
            <w:vAlign w:val="bottom"/>
            <w:vMerge w:val="restart"/>
          </w:tcPr>
          <w:p>
            <w:pPr>
              <w:jc w:val="center"/>
              <w:ind w:left="910"/>
              <w:spacing w:after="0"/>
              <w:rPr>
                <w:sz w:val="20"/>
                <w:szCs w:val="20"/>
                <w:color w:val="auto"/>
              </w:rPr>
            </w:pPr>
            <w:r>
              <w:rPr>
                <w:rFonts w:ascii="Arial" w:cs="Arial" w:eastAsia="Arial" w:hAnsi="Arial"/>
                <w:sz w:val="18"/>
                <w:szCs w:val="18"/>
                <w:color w:val="auto"/>
                <w:w w:val="94"/>
              </w:rPr>
              <w:t>Florida</w:t>
            </w:r>
          </w:p>
        </w:tc>
        <w:tc>
          <w:tcPr>
            <w:tcW w:w="0" w:type="dxa"/>
            <w:vAlign w:val="bottom"/>
          </w:tcPr>
          <w:p>
            <w:pPr>
              <w:spacing w:after="0"/>
              <w:rPr>
                <w:sz w:val="1"/>
                <w:szCs w:val="1"/>
                <w:color w:val="auto"/>
              </w:rPr>
            </w:pPr>
          </w:p>
        </w:tc>
      </w:tr>
      <w:tr>
        <w:trPr>
          <w:trHeight w:val="216"/>
        </w:trPr>
        <w:tc>
          <w:tcPr>
            <w:tcW w:w="8700" w:type="dxa"/>
            <w:vAlign w:val="bottom"/>
          </w:tcPr>
          <w:p>
            <w:pPr>
              <w:spacing w:after="0"/>
              <w:rPr>
                <w:sz w:val="18"/>
                <w:szCs w:val="18"/>
                <w:color w:val="auto"/>
              </w:rPr>
            </w:pPr>
          </w:p>
        </w:tc>
        <w:tc>
          <w:tcPr>
            <w:tcW w:w="2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7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ALLETE Water Services, Inc.</w:t>
            </w:r>
          </w:p>
        </w:tc>
        <w:tc>
          <w:tcPr>
            <w:tcW w:w="2720" w:type="dxa"/>
            <w:vAlign w:val="bottom"/>
            <w:vMerge w:val="restart"/>
            <w:shd w:val="clear" w:color="auto" w:fill="CCEEFF"/>
          </w:tcPr>
          <w:p>
            <w:pPr>
              <w:jc w:val="center"/>
              <w:ind w:left="910"/>
              <w:spacing w:after="0"/>
              <w:rPr>
                <w:sz w:val="20"/>
                <w:szCs w:val="20"/>
                <w:color w:val="auto"/>
              </w:rPr>
            </w:pPr>
            <w:r>
              <w:rPr>
                <w:rFonts w:ascii="Arial" w:cs="Arial" w:eastAsia="Arial" w:hAnsi="Arial"/>
                <w:sz w:val="18"/>
                <w:szCs w:val="18"/>
                <w:color w:val="auto"/>
                <w:w w:val="91"/>
              </w:rPr>
              <w:t>Minnesota</w:t>
            </w:r>
          </w:p>
        </w:tc>
        <w:tc>
          <w:tcPr>
            <w:tcW w:w="0" w:type="dxa"/>
            <w:vAlign w:val="bottom"/>
          </w:tcPr>
          <w:p>
            <w:pPr>
              <w:spacing w:after="0"/>
              <w:rPr>
                <w:sz w:val="1"/>
                <w:szCs w:val="1"/>
                <w:color w:val="auto"/>
              </w:rPr>
            </w:pPr>
          </w:p>
        </w:tc>
      </w:tr>
      <w:tr>
        <w:trPr>
          <w:trHeight w:val="223"/>
        </w:trPr>
        <w:tc>
          <w:tcPr>
            <w:tcW w:w="8700" w:type="dxa"/>
            <w:vAlign w:val="bottom"/>
            <w:tcBorders>
              <w:bottom w:val="single" w:sz="8" w:color="CCEEFF"/>
            </w:tcBorders>
            <w:shd w:val="clear" w:color="auto" w:fill="CCEEFF"/>
          </w:tcPr>
          <w:p>
            <w:pPr>
              <w:spacing w:after="0"/>
              <w:rPr>
                <w:sz w:val="19"/>
                <w:szCs w:val="19"/>
                <w:color w:val="auto"/>
              </w:rPr>
            </w:pPr>
          </w:p>
        </w:tc>
        <w:tc>
          <w:tcPr>
            <w:tcW w:w="2720" w:type="dxa"/>
            <w:vAlign w:val="bottom"/>
            <w:tcBorders>
              <w:bottom w:val="single" w:sz="8" w:color="CCEEFF"/>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700" w:type="dxa"/>
            <w:vAlign w:val="bottom"/>
          </w:tcPr>
          <w:p>
            <w:pPr>
              <w:ind w:left="500"/>
              <w:spacing w:after="0"/>
              <w:rPr>
                <w:sz w:val="20"/>
                <w:szCs w:val="20"/>
                <w:color w:val="auto"/>
              </w:rPr>
            </w:pPr>
            <w:r>
              <w:rPr>
                <w:rFonts w:ascii="Arial" w:cs="Arial" w:eastAsia="Arial" w:hAnsi="Arial"/>
                <w:sz w:val="18"/>
                <w:szCs w:val="18"/>
                <w:color w:val="auto"/>
              </w:rPr>
              <w:t>Florida Water Services Corporation</w:t>
            </w:r>
          </w:p>
        </w:tc>
        <w:tc>
          <w:tcPr>
            <w:tcW w:w="2720" w:type="dxa"/>
            <w:vAlign w:val="bottom"/>
            <w:vMerge w:val="restart"/>
          </w:tcPr>
          <w:p>
            <w:pPr>
              <w:jc w:val="center"/>
              <w:ind w:left="910"/>
              <w:spacing w:after="0"/>
              <w:rPr>
                <w:sz w:val="20"/>
                <w:szCs w:val="20"/>
                <w:color w:val="auto"/>
              </w:rPr>
            </w:pPr>
            <w:r>
              <w:rPr>
                <w:rFonts w:ascii="Arial" w:cs="Arial" w:eastAsia="Arial" w:hAnsi="Arial"/>
                <w:sz w:val="18"/>
                <w:szCs w:val="18"/>
                <w:color w:val="auto"/>
                <w:w w:val="94"/>
              </w:rPr>
              <w:t>Florida</w:t>
            </w:r>
          </w:p>
        </w:tc>
        <w:tc>
          <w:tcPr>
            <w:tcW w:w="0" w:type="dxa"/>
            <w:vAlign w:val="bottom"/>
          </w:tcPr>
          <w:p>
            <w:pPr>
              <w:spacing w:after="0"/>
              <w:rPr>
                <w:sz w:val="1"/>
                <w:szCs w:val="1"/>
                <w:color w:val="auto"/>
              </w:rPr>
            </w:pPr>
          </w:p>
        </w:tc>
      </w:tr>
      <w:tr>
        <w:trPr>
          <w:trHeight w:val="216"/>
        </w:trPr>
        <w:tc>
          <w:tcPr>
            <w:tcW w:w="8700" w:type="dxa"/>
            <w:vAlign w:val="bottom"/>
          </w:tcPr>
          <w:p>
            <w:pPr>
              <w:spacing w:after="0"/>
              <w:rPr>
                <w:sz w:val="18"/>
                <w:szCs w:val="18"/>
                <w:color w:val="auto"/>
              </w:rPr>
            </w:pPr>
          </w:p>
        </w:tc>
        <w:tc>
          <w:tcPr>
            <w:tcW w:w="2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7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Energy Replacement Property, LLC</w:t>
            </w:r>
          </w:p>
        </w:tc>
        <w:tc>
          <w:tcPr>
            <w:tcW w:w="2720" w:type="dxa"/>
            <w:vAlign w:val="bottom"/>
            <w:vMerge w:val="restart"/>
            <w:shd w:val="clear" w:color="auto" w:fill="CCEEFF"/>
          </w:tcPr>
          <w:p>
            <w:pPr>
              <w:jc w:val="center"/>
              <w:ind w:left="910"/>
              <w:spacing w:after="0"/>
              <w:rPr>
                <w:sz w:val="20"/>
                <w:szCs w:val="20"/>
                <w:color w:val="auto"/>
              </w:rPr>
            </w:pPr>
            <w:r>
              <w:rPr>
                <w:rFonts w:ascii="Arial" w:cs="Arial" w:eastAsia="Arial" w:hAnsi="Arial"/>
                <w:sz w:val="18"/>
                <w:szCs w:val="18"/>
                <w:color w:val="auto"/>
                <w:w w:val="91"/>
              </w:rPr>
              <w:t>Minnesota</w:t>
            </w:r>
          </w:p>
        </w:tc>
        <w:tc>
          <w:tcPr>
            <w:tcW w:w="0" w:type="dxa"/>
            <w:vAlign w:val="bottom"/>
          </w:tcPr>
          <w:p>
            <w:pPr>
              <w:spacing w:after="0"/>
              <w:rPr>
                <w:sz w:val="1"/>
                <w:szCs w:val="1"/>
                <w:color w:val="auto"/>
              </w:rPr>
            </w:pPr>
          </w:p>
        </w:tc>
      </w:tr>
      <w:tr>
        <w:trPr>
          <w:trHeight w:val="223"/>
        </w:trPr>
        <w:tc>
          <w:tcPr>
            <w:tcW w:w="8700" w:type="dxa"/>
            <w:vAlign w:val="bottom"/>
            <w:tcBorders>
              <w:bottom w:val="single" w:sz="8" w:color="CCEEFF"/>
            </w:tcBorders>
            <w:shd w:val="clear" w:color="auto" w:fill="CCEEFF"/>
          </w:tcPr>
          <w:p>
            <w:pPr>
              <w:spacing w:after="0"/>
              <w:rPr>
                <w:sz w:val="19"/>
                <w:szCs w:val="19"/>
                <w:color w:val="auto"/>
              </w:rPr>
            </w:pPr>
          </w:p>
        </w:tc>
        <w:tc>
          <w:tcPr>
            <w:tcW w:w="2720" w:type="dxa"/>
            <w:vAlign w:val="bottom"/>
            <w:tcBorders>
              <w:bottom w:val="single" w:sz="8" w:color="CCEEFF"/>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700" w:type="dxa"/>
            <w:vAlign w:val="bottom"/>
          </w:tcPr>
          <w:p>
            <w:pPr>
              <w:ind w:left="280"/>
              <w:spacing w:after="0"/>
              <w:rPr>
                <w:sz w:val="20"/>
                <w:szCs w:val="20"/>
                <w:color w:val="auto"/>
              </w:rPr>
            </w:pPr>
            <w:r>
              <w:rPr>
                <w:rFonts w:ascii="Arial" w:cs="Arial" w:eastAsia="Arial" w:hAnsi="Arial"/>
                <w:sz w:val="18"/>
                <w:szCs w:val="18"/>
                <w:color w:val="auto"/>
              </w:rPr>
              <w:t>Energy Land, Incorporated</w:t>
            </w:r>
          </w:p>
        </w:tc>
        <w:tc>
          <w:tcPr>
            <w:tcW w:w="2720" w:type="dxa"/>
            <w:vAlign w:val="bottom"/>
            <w:vMerge w:val="restart"/>
          </w:tcPr>
          <w:p>
            <w:pPr>
              <w:jc w:val="center"/>
              <w:ind w:left="930"/>
              <w:spacing w:after="0"/>
              <w:rPr>
                <w:sz w:val="20"/>
                <w:szCs w:val="20"/>
                <w:color w:val="auto"/>
              </w:rPr>
            </w:pPr>
            <w:r>
              <w:rPr>
                <w:rFonts w:ascii="Arial" w:cs="Arial" w:eastAsia="Arial" w:hAnsi="Arial"/>
                <w:sz w:val="18"/>
                <w:szCs w:val="18"/>
                <w:color w:val="auto"/>
                <w:w w:val="90"/>
              </w:rPr>
              <w:t>Wisconsin</w:t>
            </w:r>
          </w:p>
        </w:tc>
        <w:tc>
          <w:tcPr>
            <w:tcW w:w="0" w:type="dxa"/>
            <w:vAlign w:val="bottom"/>
          </w:tcPr>
          <w:p>
            <w:pPr>
              <w:spacing w:after="0"/>
              <w:rPr>
                <w:sz w:val="1"/>
                <w:szCs w:val="1"/>
                <w:color w:val="auto"/>
              </w:rPr>
            </w:pPr>
          </w:p>
        </w:tc>
      </w:tr>
      <w:tr>
        <w:trPr>
          <w:trHeight w:val="216"/>
        </w:trPr>
        <w:tc>
          <w:tcPr>
            <w:tcW w:w="8700" w:type="dxa"/>
            <w:vAlign w:val="bottom"/>
          </w:tcPr>
          <w:p>
            <w:pPr>
              <w:spacing w:after="0"/>
              <w:rPr>
                <w:sz w:val="18"/>
                <w:szCs w:val="18"/>
                <w:color w:val="auto"/>
              </w:rPr>
            </w:pPr>
          </w:p>
        </w:tc>
        <w:tc>
          <w:tcPr>
            <w:tcW w:w="2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7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Lakeview Financial Corporation I</w:t>
            </w:r>
          </w:p>
        </w:tc>
        <w:tc>
          <w:tcPr>
            <w:tcW w:w="2720" w:type="dxa"/>
            <w:vAlign w:val="bottom"/>
            <w:vMerge w:val="restart"/>
            <w:shd w:val="clear" w:color="auto" w:fill="CCEEFF"/>
          </w:tcPr>
          <w:p>
            <w:pPr>
              <w:jc w:val="center"/>
              <w:ind w:left="910"/>
              <w:spacing w:after="0"/>
              <w:rPr>
                <w:sz w:val="20"/>
                <w:szCs w:val="20"/>
                <w:color w:val="auto"/>
              </w:rPr>
            </w:pPr>
            <w:r>
              <w:rPr>
                <w:rFonts w:ascii="Arial" w:cs="Arial" w:eastAsia="Arial" w:hAnsi="Arial"/>
                <w:sz w:val="18"/>
                <w:szCs w:val="18"/>
                <w:color w:val="auto"/>
                <w:w w:val="91"/>
              </w:rPr>
              <w:t>Minnesota</w:t>
            </w:r>
          </w:p>
        </w:tc>
        <w:tc>
          <w:tcPr>
            <w:tcW w:w="0" w:type="dxa"/>
            <w:vAlign w:val="bottom"/>
          </w:tcPr>
          <w:p>
            <w:pPr>
              <w:spacing w:after="0"/>
              <w:rPr>
                <w:sz w:val="1"/>
                <w:szCs w:val="1"/>
                <w:color w:val="auto"/>
              </w:rPr>
            </w:pPr>
          </w:p>
        </w:tc>
      </w:tr>
      <w:tr>
        <w:trPr>
          <w:trHeight w:val="223"/>
        </w:trPr>
        <w:tc>
          <w:tcPr>
            <w:tcW w:w="8700" w:type="dxa"/>
            <w:vAlign w:val="bottom"/>
            <w:tcBorders>
              <w:bottom w:val="single" w:sz="8" w:color="CCEEFF"/>
            </w:tcBorders>
            <w:shd w:val="clear" w:color="auto" w:fill="CCEEFF"/>
          </w:tcPr>
          <w:p>
            <w:pPr>
              <w:spacing w:after="0"/>
              <w:rPr>
                <w:sz w:val="19"/>
                <w:szCs w:val="19"/>
                <w:color w:val="auto"/>
              </w:rPr>
            </w:pPr>
          </w:p>
        </w:tc>
        <w:tc>
          <w:tcPr>
            <w:tcW w:w="2720" w:type="dxa"/>
            <w:vAlign w:val="bottom"/>
            <w:tcBorders>
              <w:bottom w:val="single" w:sz="8" w:color="CCEEFF"/>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700" w:type="dxa"/>
            <w:vAlign w:val="bottom"/>
          </w:tcPr>
          <w:p>
            <w:pPr>
              <w:ind w:left="280"/>
              <w:spacing w:after="0"/>
              <w:rPr>
                <w:sz w:val="20"/>
                <w:szCs w:val="20"/>
                <w:color w:val="auto"/>
              </w:rPr>
            </w:pPr>
            <w:r>
              <w:rPr>
                <w:rFonts w:ascii="Arial" w:cs="Arial" w:eastAsia="Arial" w:hAnsi="Arial"/>
                <w:sz w:val="18"/>
                <w:szCs w:val="18"/>
                <w:color w:val="auto"/>
              </w:rPr>
              <w:t>Lakeview Financial Corporation II</w:t>
            </w:r>
          </w:p>
        </w:tc>
        <w:tc>
          <w:tcPr>
            <w:tcW w:w="2720" w:type="dxa"/>
            <w:vAlign w:val="bottom"/>
            <w:vMerge w:val="restart"/>
          </w:tcPr>
          <w:p>
            <w:pPr>
              <w:jc w:val="center"/>
              <w:ind w:left="910"/>
              <w:spacing w:after="0"/>
              <w:rPr>
                <w:sz w:val="20"/>
                <w:szCs w:val="20"/>
                <w:color w:val="auto"/>
              </w:rPr>
            </w:pPr>
            <w:r>
              <w:rPr>
                <w:rFonts w:ascii="Arial" w:cs="Arial" w:eastAsia="Arial" w:hAnsi="Arial"/>
                <w:sz w:val="18"/>
                <w:szCs w:val="18"/>
                <w:color w:val="auto"/>
                <w:w w:val="91"/>
              </w:rPr>
              <w:t>Minnesota</w:t>
            </w:r>
          </w:p>
        </w:tc>
        <w:tc>
          <w:tcPr>
            <w:tcW w:w="0" w:type="dxa"/>
            <w:vAlign w:val="bottom"/>
          </w:tcPr>
          <w:p>
            <w:pPr>
              <w:spacing w:after="0"/>
              <w:rPr>
                <w:sz w:val="1"/>
                <w:szCs w:val="1"/>
                <w:color w:val="auto"/>
              </w:rPr>
            </w:pPr>
          </w:p>
        </w:tc>
      </w:tr>
      <w:tr>
        <w:trPr>
          <w:trHeight w:val="216"/>
        </w:trPr>
        <w:tc>
          <w:tcPr>
            <w:tcW w:w="8700" w:type="dxa"/>
            <w:vAlign w:val="bottom"/>
          </w:tcPr>
          <w:p>
            <w:pPr>
              <w:spacing w:after="0"/>
              <w:rPr>
                <w:sz w:val="18"/>
                <w:szCs w:val="18"/>
                <w:color w:val="auto"/>
              </w:rPr>
            </w:pPr>
          </w:p>
        </w:tc>
        <w:tc>
          <w:tcPr>
            <w:tcW w:w="2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Logistics Coal, LLC</w:t>
            </w:r>
          </w:p>
        </w:tc>
        <w:tc>
          <w:tcPr>
            <w:tcW w:w="2720" w:type="dxa"/>
            <w:vAlign w:val="bottom"/>
            <w:tcBorders>
              <w:bottom w:val="single" w:sz="8" w:color="CCEEFF"/>
            </w:tcBorders>
            <w:shd w:val="clear" w:color="auto" w:fill="CCEEFF"/>
          </w:tcPr>
          <w:p>
            <w:pPr>
              <w:jc w:val="center"/>
              <w:ind w:left="910"/>
              <w:spacing w:after="0"/>
              <w:rPr>
                <w:sz w:val="20"/>
                <w:szCs w:val="20"/>
                <w:color w:val="auto"/>
              </w:rPr>
            </w:pPr>
            <w:r>
              <w:rPr>
                <w:rFonts w:ascii="Arial" w:cs="Arial" w:eastAsia="Arial" w:hAnsi="Arial"/>
                <w:sz w:val="18"/>
                <w:szCs w:val="18"/>
                <w:color w:val="auto"/>
                <w:w w:val="91"/>
              </w:rPr>
              <w:t>Minnesota</w:t>
            </w:r>
          </w:p>
        </w:tc>
        <w:tc>
          <w:tcPr>
            <w:tcW w:w="0" w:type="dxa"/>
            <w:vAlign w:val="bottom"/>
          </w:tcPr>
          <w:p>
            <w:pPr>
              <w:spacing w:after="0"/>
              <w:rPr>
                <w:sz w:val="1"/>
                <w:szCs w:val="1"/>
                <w:color w:val="auto"/>
              </w:rPr>
            </w:pPr>
          </w:p>
        </w:tc>
      </w:tr>
      <w:tr>
        <w:trPr>
          <w:trHeight w:val="243"/>
        </w:trPr>
        <w:tc>
          <w:tcPr>
            <w:tcW w:w="8700" w:type="dxa"/>
            <w:vAlign w:val="bottom"/>
          </w:tcPr>
          <w:p>
            <w:pPr>
              <w:ind w:left="280"/>
              <w:spacing w:after="0"/>
              <w:rPr>
                <w:sz w:val="20"/>
                <w:szCs w:val="20"/>
                <w:color w:val="auto"/>
              </w:rPr>
            </w:pPr>
            <w:r>
              <w:rPr>
                <w:rFonts w:ascii="Arial" w:cs="Arial" w:eastAsia="Arial" w:hAnsi="Arial"/>
                <w:sz w:val="18"/>
                <w:szCs w:val="18"/>
                <w:color w:val="auto"/>
              </w:rPr>
              <w:t>Minnesota Power Enterprises, Inc.</w:t>
            </w:r>
          </w:p>
        </w:tc>
        <w:tc>
          <w:tcPr>
            <w:tcW w:w="2720" w:type="dxa"/>
            <w:vAlign w:val="bottom"/>
            <w:vMerge w:val="restart"/>
          </w:tcPr>
          <w:p>
            <w:pPr>
              <w:jc w:val="center"/>
              <w:ind w:left="910"/>
              <w:spacing w:after="0"/>
              <w:rPr>
                <w:sz w:val="20"/>
                <w:szCs w:val="20"/>
                <w:color w:val="auto"/>
              </w:rPr>
            </w:pPr>
            <w:r>
              <w:rPr>
                <w:rFonts w:ascii="Arial" w:cs="Arial" w:eastAsia="Arial" w:hAnsi="Arial"/>
                <w:sz w:val="18"/>
                <w:szCs w:val="18"/>
                <w:color w:val="auto"/>
                <w:w w:val="91"/>
              </w:rPr>
              <w:t>Minnesota</w:t>
            </w:r>
          </w:p>
        </w:tc>
        <w:tc>
          <w:tcPr>
            <w:tcW w:w="0" w:type="dxa"/>
            <w:vAlign w:val="bottom"/>
          </w:tcPr>
          <w:p>
            <w:pPr>
              <w:spacing w:after="0"/>
              <w:rPr>
                <w:sz w:val="1"/>
                <w:szCs w:val="1"/>
                <w:color w:val="auto"/>
              </w:rPr>
            </w:pPr>
          </w:p>
        </w:tc>
      </w:tr>
      <w:tr>
        <w:trPr>
          <w:trHeight w:val="216"/>
        </w:trPr>
        <w:tc>
          <w:tcPr>
            <w:tcW w:w="8700" w:type="dxa"/>
            <w:vAlign w:val="bottom"/>
          </w:tcPr>
          <w:p>
            <w:pPr>
              <w:spacing w:after="0"/>
              <w:rPr>
                <w:sz w:val="18"/>
                <w:szCs w:val="18"/>
                <w:color w:val="auto"/>
              </w:rPr>
            </w:pPr>
          </w:p>
        </w:tc>
        <w:tc>
          <w:tcPr>
            <w:tcW w:w="2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7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ALLETE Renewable Resources, Inc.</w:t>
            </w:r>
          </w:p>
        </w:tc>
        <w:tc>
          <w:tcPr>
            <w:tcW w:w="2720" w:type="dxa"/>
            <w:vAlign w:val="bottom"/>
            <w:vMerge w:val="restart"/>
            <w:shd w:val="clear" w:color="auto" w:fill="CCEEFF"/>
          </w:tcPr>
          <w:p>
            <w:pPr>
              <w:jc w:val="center"/>
              <w:ind w:left="930"/>
              <w:spacing w:after="0"/>
              <w:rPr>
                <w:sz w:val="20"/>
                <w:szCs w:val="20"/>
                <w:color w:val="auto"/>
              </w:rPr>
            </w:pPr>
            <w:r>
              <w:rPr>
                <w:rFonts w:ascii="Arial" w:cs="Arial" w:eastAsia="Arial" w:hAnsi="Arial"/>
                <w:sz w:val="18"/>
                <w:szCs w:val="18"/>
                <w:color w:val="auto"/>
                <w:w w:val="92"/>
              </w:rPr>
              <w:t>North Dakota</w:t>
            </w:r>
          </w:p>
        </w:tc>
        <w:tc>
          <w:tcPr>
            <w:tcW w:w="0" w:type="dxa"/>
            <w:vAlign w:val="bottom"/>
          </w:tcPr>
          <w:p>
            <w:pPr>
              <w:spacing w:after="0"/>
              <w:rPr>
                <w:sz w:val="1"/>
                <w:szCs w:val="1"/>
                <w:color w:val="auto"/>
              </w:rPr>
            </w:pPr>
          </w:p>
        </w:tc>
      </w:tr>
      <w:tr>
        <w:trPr>
          <w:trHeight w:val="223"/>
        </w:trPr>
        <w:tc>
          <w:tcPr>
            <w:tcW w:w="8700" w:type="dxa"/>
            <w:vAlign w:val="bottom"/>
            <w:tcBorders>
              <w:bottom w:val="single" w:sz="8" w:color="CCEEFF"/>
            </w:tcBorders>
            <w:shd w:val="clear" w:color="auto" w:fill="CCEEFF"/>
          </w:tcPr>
          <w:p>
            <w:pPr>
              <w:spacing w:after="0"/>
              <w:rPr>
                <w:sz w:val="19"/>
                <w:szCs w:val="19"/>
                <w:color w:val="auto"/>
              </w:rPr>
            </w:pPr>
          </w:p>
        </w:tc>
        <w:tc>
          <w:tcPr>
            <w:tcW w:w="2720" w:type="dxa"/>
            <w:vAlign w:val="bottom"/>
            <w:tcBorders>
              <w:bottom w:val="single" w:sz="8" w:color="CCEEFF"/>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700" w:type="dxa"/>
            <w:vAlign w:val="bottom"/>
          </w:tcPr>
          <w:p>
            <w:pPr>
              <w:ind w:left="500"/>
              <w:spacing w:after="0"/>
              <w:rPr>
                <w:sz w:val="20"/>
                <w:szCs w:val="20"/>
                <w:color w:val="auto"/>
              </w:rPr>
            </w:pPr>
            <w:r>
              <w:rPr>
                <w:rFonts w:ascii="Arial" w:cs="Arial" w:eastAsia="Arial" w:hAnsi="Arial"/>
                <w:sz w:val="18"/>
                <w:szCs w:val="18"/>
                <w:color w:val="auto"/>
              </w:rPr>
              <w:t>ALLETE Clean Energy, Inc.</w:t>
            </w:r>
          </w:p>
        </w:tc>
        <w:tc>
          <w:tcPr>
            <w:tcW w:w="2720" w:type="dxa"/>
            <w:vAlign w:val="bottom"/>
          </w:tcPr>
          <w:p>
            <w:pPr>
              <w:jc w:val="center"/>
              <w:ind w:left="910"/>
              <w:spacing w:after="0"/>
              <w:rPr>
                <w:sz w:val="20"/>
                <w:szCs w:val="20"/>
                <w:color w:val="auto"/>
              </w:rPr>
            </w:pPr>
            <w:r>
              <w:rPr>
                <w:rFonts w:ascii="Arial" w:cs="Arial" w:eastAsia="Arial" w:hAnsi="Arial"/>
                <w:sz w:val="18"/>
                <w:szCs w:val="18"/>
                <w:color w:val="auto"/>
                <w:w w:val="91"/>
              </w:rPr>
              <w:t>Minnesota</w:t>
            </w: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7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BNI Coal, Ltd.</w:t>
            </w:r>
          </w:p>
        </w:tc>
        <w:tc>
          <w:tcPr>
            <w:tcW w:w="2720" w:type="dxa"/>
            <w:vAlign w:val="bottom"/>
            <w:vMerge w:val="restart"/>
            <w:shd w:val="clear" w:color="auto" w:fill="CCEEFF"/>
          </w:tcPr>
          <w:p>
            <w:pPr>
              <w:jc w:val="center"/>
              <w:ind w:left="930"/>
              <w:spacing w:after="0"/>
              <w:rPr>
                <w:sz w:val="20"/>
                <w:szCs w:val="20"/>
                <w:color w:val="auto"/>
              </w:rPr>
            </w:pPr>
            <w:r>
              <w:rPr>
                <w:rFonts w:ascii="Arial" w:cs="Arial" w:eastAsia="Arial" w:hAnsi="Arial"/>
                <w:sz w:val="18"/>
                <w:szCs w:val="18"/>
                <w:color w:val="auto"/>
                <w:w w:val="92"/>
              </w:rPr>
              <w:t>North Dakota</w:t>
            </w:r>
          </w:p>
        </w:tc>
        <w:tc>
          <w:tcPr>
            <w:tcW w:w="0" w:type="dxa"/>
            <w:vAlign w:val="bottom"/>
          </w:tcPr>
          <w:p>
            <w:pPr>
              <w:spacing w:after="0"/>
              <w:rPr>
                <w:sz w:val="1"/>
                <w:szCs w:val="1"/>
                <w:color w:val="auto"/>
              </w:rPr>
            </w:pPr>
          </w:p>
        </w:tc>
      </w:tr>
      <w:tr>
        <w:trPr>
          <w:trHeight w:val="223"/>
        </w:trPr>
        <w:tc>
          <w:tcPr>
            <w:tcW w:w="8700" w:type="dxa"/>
            <w:vAlign w:val="bottom"/>
            <w:tcBorders>
              <w:bottom w:val="single" w:sz="8" w:color="CCEEFF"/>
            </w:tcBorders>
            <w:shd w:val="clear" w:color="auto" w:fill="CCEEFF"/>
          </w:tcPr>
          <w:p>
            <w:pPr>
              <w:spacing w:after="0"/>
              <w:rPr>
                <w:sz w:val="19"/>
                <w:szCs w:val="19"/>
                <w:color w:val="auto"/>
              </w:rPr>
            </w:pPr>
          </w:p>
        </w:tc>
        <w:tc>
          <w:tcPr>
            <w:tcW w:w="2720" w:type="dxa"/>
            <w:vAlign w:val="bottom"/>
            <w:tcBorders>
              <w:bottom w:val="single" w:sz="8" w:color="CCEEFF"/>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700" w:type="dxa"/>
            <w:vAlign w:val="bottom"/>
          </w:tcPr>
          <w:p>
            <w:pPr>
              <w:ind w:left="500"/>
              <w:spacing w:after="0"/>
              <w:rPr>
                <w:sz w:val="20"/>
                <w:szCs w:val="20"/>
                <w:color w:val="auto"/>
              </w:rPr>
            </w:pPr>
            <w:r>
              <w:rPr>
                <w:rFonts w:ascii="Arial" w:cs="Arial" w:eastAsia="Arial" w:hAnsi="Arial"/>
                <w:sz w:val="18"/>
                <w:szCs w:val="18"/>
                <w:color w:val="auto"/>
              </w:rPr>
              <w:t>MP Affiliate Resources, Inc.</w:t>
            </w:r>
          </w:p>
        </w:tc>
        <w:tc>
          <w:tcPr>
            <w:tcW w:w="2720" w:type="dxa"/>
            <w:vAlign w:val="bottom"/>
            <w:vMerge w:val="restart"/>
          </w:tcPr>
          <w:p>
            <w:pPr>
              <w:jc w:val="center"/>
              <w:ind w:left="910"/>
              <w:spacing w:after="0"/>
              <w:rPr>
                <w:sz w:val="20"/>
                <w:szCs w:val="20"/>
                <w:color w:val="auto"/>
              </w:rPr>
            </w:pPr>
            <w:r>
              <w:rPr>
                <w:rFonts w:ascii="Arial" w:cs="Arial" w:eastAsia="Arial" w:hAnsi="Arial"/>
                <w:sz w:val="18"/>
                <w:szCs w:val="18"/>
                <w:color w:val="auto"/>
                <w:w w:val="91"/>
              </w:rPr>
              <w:t>Minnesota</w:t>
            </w:r>
          </w:p>
        </w:tc>
        <w:tc>
          <w:tcPr>
            <w:tcW w:w="0" w:type="dxa"/>
            <w:vAlign w:val="bottom"/>
          </w:tcPr>
          <w:p>
            <w:pPr>
              <w:spacing w:after="0"/>
              <w:rPr>
                <w:sz w:val="1"/>
                <w:szCs w:val="1"/>
                <w:color w:val="auto"/>
              </w:rPr>
            </w:pPr>
          </w:p>
        </w:tc>
      </w:tr>
      <w:tr>
        <w:trPr>
          <w:trHeight w:val="216"/>
        </w:trPr>
        <w:tc>
          <w:tcPr>
            <w:tcW w:w="8700" w:type="dxa"/>
            <w:vAlign w:val="bottom"/>
          </w:tcPr>
          <w:p>
            <w:pPr>
              <w:spacing w:after="0"/>
              <w:rPr>
                <w:sz w:val="18"/>
                <w:szCs w:val="18"/>
                <w:color w:val="auto"/>
              </w:rPr>
            </w:pPr>
          </w:p>
        </w:tc>
        <w:tc>
          <w:tcPr>
            <w:tcW w:w="2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7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Rainy River Energy Corporation</w:t>
            </w:r>
          </w:p>
        </w:tc>
        <w:tc>
          <w:tcPr>
            <w:tcW w:w="2720" w:type="dxa"/>
            <w:vAlign w:val="bottom"/>
            <w:vMerge w:val="restart"/>
            <w:shd w:val="clear" w:color="auto" w:fill="CCEEFF"/>
          </w:tcPr>
          <w:p>
            <w:pPr>
              <w:jc w:val="center"/>
              <w:ind w:left="910"/>
              <w:spacing w:after="0"/>
              <w:rPr>
                <w:sz w:val="20"/>
                <w:szCs w:val="20"/>
                <w:color w:val="auto"/>
              </w:rPr>
            </w:pPr>
            <w:r>
              <w:rPr>
                <w:rFonts w:ascii="Arial" w:cs="Arial" w:eastAsia="Arial" w:hAnsi="Arial"/>
                <w:sz w:val="18"/>
                <w:szCs w:val="18"/>
                <w:color w:val="auto"/>
                <w:w w:val="91"/>
              </w:rPr>
              <w:t>Minnesota</w:t>
            </w:r>
          </w:p>
        </w:tc>
        <w:tc>
          <w:tcPr>
            <w:tcW w:w="0" w:type="dxa"/>
            <w:vAlign w:val="bottom"/>
          </w:tcPr>
          <w:p>
            <w:pPr>
              <w:spacing w:after="0"/>
              <w:rPr>
                <w:sz w:val="1"/>
                <w:szCs w:val="1"/>
                <w:color w:val="auto"/>
              </w:rPr>
            </w:pPr>
          </w:p>
        </w:tc>
      </w:tr>
      <w:tr>
        <w:trPr>
          <w:trHeight w:val="223"/>
        </w:trPr>
        <w:tc>
          <w:tcPr>
            <w:tcW w:w="8700" w:type="dxa"/>
            <w:vAlign w:val="bottom"/>
            <w:tcBorders>
              <w:bottom w:val="single" w:sz="8" w:color="CCEEFF"/>
            </w:tcBorders>
            <w:shd w:val="clear" w:color="auto" w:fill="CCEEFF"/>
          </w:tcPr>
          <w:p>
            <w:pPr>
              <w:spacing w:after="0"/>
              <w:rPr>
                <w:sz w:val="19"/>
                <w:szCs w:val="19"/>
                <w:color w:val="auto"/>
              </w:rPr>
            </w:pPr>
          </w:p>
        </w:tc>
        <w:tc>
          <w:tcPr>
            <w:tcW w:w="2720" w:type="dxa"/>
            <w:vAlign w:val="bottom"/>
            <w:tcBorders>
              <w:bottom w:val="single" w:sz="8" w:color="CCEEFF"/>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700" w:type="dxa"/>
            <w:vAlign w:val="bottom"/>
          </w:tcPr>
          <w:p>
            <w:pPr>
              <w:ind w:left="500"/>
              <w:spacing w:after="0"/>
              <w:rPr>
                <w:sz w:val="20"/>
                <w:szCs w:val="20"/>
                <w:color w:val="auto"/>
              </w:rPr>
            </w:pPr>
            <w:r>
              <w:rPr>
                <w:rFonts w:ascii="Arial" w:cs="Arial" w:eastAsia="Arial" w:hAnsi="Arial"/>
                <w:sz w:val="18"/>
                <w:szCs w:val="18"/>
                <w:color w:val="auto"/>
              </w:rPr>
              <w:t>Rainy River Energy Corporation - Wisconsin</w:t>
            </w:r>
          </w:p>
        </w:tc>
        <w:tc>
          <w:tcPr>
            <w:tcW w:w="2720" w:type="dxa"/>
            <w:vAlign w:val="bottom"/>
            <w:vMerge w:val="restart"/>
          </w:tcPr>
          <w:p>
            <w:pPr>
              <w:jc w:val="center"/>
              <w:ind w:left="930"/>
              <w:spacing w:after="0"/>
              <w:rPr>
                <w:sz w:val="20"/>
                <w:szCs w:val="20"/>
                <w:color w:val="auto"/>
              </w:rPr>
            </w:pPr>
            <w:r>
              <w:rPr>
                <w:rFonts w:ascii="Arial" w:cs="Arial" w:eastAsia="Arial" w:hAnsi="Arial"/>
                <w:sz w:val="18"/>
                <w:szCs w:val="18"/>
                <w:color w:val="auto"/>
                <w:w w:val="90"/>
              </w:rPr>
              <w:t>Wisconsin</w:t>
            </w:r>
          </w:p>
        </w:tc>
        <w:tc>
          <w:tcPr>
            <w:tcW w:w="0" w:type="dxa"/>
            <w:vAlign w:val="bottom"/>
          </w:tcPr>
          <w:p>
            <w:pPr>
              <w:spacing w:after="0"/>
              <w:rPr>
                <w:sz w:val="1"/>
                <w:szCs w:val="1"/>
                <w:color w:val="auto"/>
              </w:rPr>
            </w:pPr>
          </w:p>
        </w:tc>
      </w:tr>
      <w:tr>
        <w:trPr>
          <w:trHeight w:val="216"/>
        </w:trPr>
        <w:tc>
          <w:tcPr>
            <w:tcW w:w="8700" w:type="dxa"/>
            <w:vAlign w:val="bottom"/>
          </w:tcPr>
          <w:p>
            <w:pPr>
              <w:spacing w:after="0"/>
              <w:rPr>
                <w:sz w:val="18"/>
                <w:szCs w:val="18"/>
                <w:color w:val="auto"/>
              </w:rPr>
            </w:pPr>
          </w:p>
        </w:tc>
        <w:tc>
          <w:tcPr>
            <w:tcW w:w="2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7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Upper Minnesota Properties, Inc.</w:t>
            </w:r>
          </w:p>
        </w:tc>
        <w:tc>
          <w:tcPr>
            <w:tcW w:w="2720" w:type="dxa"/>
            <w:vAlign w:val="bottom"/>
            <w:shd w:val="clear" w:color="auto" w:fill="CCEEFF"/>
          </w:tcPr>
          <w:p>
            <w:pPr>
              <w:jc w:val="center"/>
              <w:ind w:left="910"/>
              <w:spacing w:after="0"/>
              <w:rPr>
                <w:sz w:val="20"/>
                <w:szCs w:val="20"/>
                <w:color w:val="auto"/>
              </w:rPr>
            </w:pPr>
            <w:r>
              <w:rPr>
                <w:rFonts w:ascii="Arial" w:cs="Arial" w:eastAsia="Arial" w:hAnsi="Arial"/>
                <w:sz w:val="18"/>
                <w:szCs w:val="18"/>
                <w:color w:val="auto"/>
                <w:w w:val="91"/>
              </w:rPr>
              <w:t>Minnesota</w:t>
            </w:r>
          </w:p>
        </w:tc>
        <w:tc>
          <w:tcPr>
            <w:tcW w:w="0" w:type="dxa"/>
            <w:vAlign w:val="bottom"/>
          </w:tcPr>
          <w:p>
            <w:pPr>
              <w:spacing w:after="0"/>
              <w:rPr>
                <w:sz w:val="1"/>
                <w:szCs w:val="1"/>
                <w:color w:val="auto"/>
              </w:rPr>
            </w:pPr>
          </w:p>
        </w:tc>
      </w:tr>
      <w:tr>
        <w:trPr>
          <w:trHeight w:val="83"/>
        </w:trPr>
        <w:tc>
          <w:tcPr>
            <w:tcW w:w="8700" w:type="dxa"/>
            <w:vAlign w:val="bottom"/>
            <w:shd w:val="clear" w:color="auto" w:fill="CCEEFF"/>
          </w:tcPr>
          <w:p>
            <w:pPr>
              <w:spacing w:after="0"/>
              <w:rPr>
                <w:sz w:val="7"/>
                <w:szCs w:val="7"/>
                <w:color w:val="auto"/>
              </w:rPr>
            </w:pPr>
          </w:p>
        </w:tc>
        <w:tc>
          <w:tcPr>
            <w:tcW w:w="27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364" w:right="239" w:bottom="0" w:gutter="0" w:footer="0" w:header="0"/>
        </w:sectPr>
      </w:pPr>
    </w:p>
    <w:bookmarkStart w:id="196" w:name="page197"/>
    <w:bookmarkEnd w:id="196"/>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1543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54305"/>
                    </a:xfrm>
                    <a:prstGeom prst="rect">
                      <a:avLst/>
                    </a:prstGeom>
                    <a:noFill/>
                  </pic:spPr>
                </pic:pic>
              </a:graphicData>
            </a:graphic>
          </wp:anchor>
        </w:drawing>
        <w:t>Upper Minnesota Properties - Development, Inc.</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Minnesota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22860</wp:posOffset>
            </wp:positionV>
            <wp:extent cx="7246620" cy="3086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Upper Minnesota Properties - Irving, Inc.</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Minnesota</w:t>
      </w:r>
    </w:p>
    <w:p>
      <w:pPr>
        <w:spacing w:after="0" w:line="4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Upper Minnesota Properties - Meadowlands, Inc.</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Minnesota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22860</wp:posOffset>
            </wp:positionV>
            <wp:extent cx="7246620" cy="3086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MP Investments, Inc.</w:t>
      </w:r>
    </w:p>
    <w:p>
      <w:pPr>
        <w:spacing w:after="0" w:line="23" w:lineRule="exact"/>
        <w:rPr>
          <w:sz w:val="20"/>
          <w:szCs w:val="20"/>
          <w:color w:val="auto"/>
        </w:rPr>
      </w:pPr>
    </w:p>
    <w:p>
      <w:pPr>
        <w:ind w:left="9940"/>
        <w:spacing w:after="0"/>
        <w:rPr>
          <w:sz w:val="20"/>
          <w:szCs w:val="20"/>
          <w:color w:val="auto"/>
        </w:rPr>
      </w:pPr>
      <w:r>
        <w:rPr>
          <w:rFonts w:ascii="Arial" w:cs="Arial" w:eastAsia="Arial" w:hAnsi="Arial"/>
          <w:sz w:val="17"/>
          <w:szCs w:val="17"/>
          <w:color w:val="auto"/>
        </w:rPr>
        <w:t>Delaware</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color w:val="auto"/>
        </w:rPr>
        <w:t>RendField Land Company, Inc.</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Minnesota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22860</wp:posOffset>
            </wp:positionV>
            <wp:extent cx="7246620" cy="3086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Superior Water, Light and Power Company</w:t>
      </w:r>
    </w:p>
    <w:p>
      <w:pPr>
        <w:spacing w:after="0" w:line="23" w:lineRule="exact"/>
        <w:rPr>
          <w:sz w:val="20"/>
          <w:szCs w:val="20"/>
          <w:color w:val="auto"/>
        </w:rPr>
      </w:pPr>
    </w:p>
    <w:p>
      <w:pPr>
        <w:ind w:left="9920"/>
        <w:spacing w:after="0"/>
        <w:rPr>
          <w:sz w:val="20"/>
          <w:szCs w:val="20"/>
          <w:color w:val="auto"/>
        </w:rPr>
      </w:pPr>
      <w:r>
        <w:rPr>
          <w:rFonts w:ascii="Arial" w:cs="Arial" w:eastAsia="Arial" w:hAnsi="Arial"/>
          <w:sz w:val="16"/>
          <w:szCs w:val="16"/>
          <w:color w:val="auto"/>
        </w:rPr>
        <w:t>Wisconsin</w:t>
      </w:r>
    </w:p>
    <w:p>
      <w:pPr>
        <w:sectPr>
          <w:pgSz w:w="11900" w:h="16838" w:orient="portrait"/>
          <w:cols w:equalWidth="0" w:num="1">
            <w:col w:w="10660"/>
          </w:cols>
          <w:pgMar w:left="520" w:top="395" w:right="719" w:bottom="1440" w:gutter="0" w:footer="0" w:header="0"/>
        </w:sectPr>
      </w:pPr>
    </w:p>
    <w:bookmarkStart w:id="197" w:name="page198"/>
    <w:bookmarkEnd w:id="197"/>
    <w:p>
      <w:pPr>
        <w:jc w:val="right"/>
        <w:spacing w:after="0"/>
        <w:rPr>
          <w:sz w:val="20"/>
          <w:szCs w:val="20"/>
          <w:color w:val="auto"/>
        </w:rPr>
      </w:pPr>
      <w:r>
        <w:rPr>
          <w:rFonts w:ascii="Arial" w:cs="Arial" w:eastAsia="Arial" w:hAnsi="Arial"/>
          <w:sz w:val="18"/>
          <w:szCs w:val="18"/>
          <w:b w:val="1"/>
          <w:bCs w:val="1"/>
          <w:color w:val="auto"/>
        </w:rPr>
        <w:t>Exhibit 23</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CONSENT OF INDEPENDENT REGISTERED PUBLIC ACCOUNTING FIRM</w:t>
      </w:r>
    </w:p>
    <w:p>
      <w:pPr>
        <w:spacing w:after="0" w:line="200" w:lineRule="exact"/>
        <w:rPr>
          <w:sz w:val="20"/>
          <w:szCs w:val="20"/>
          <w:color w:val="auto"/>
        </w:rPr>
      </w:pPr>
    </w:p>
    <w:p>
      <w:pPr>
        <w:spacing w:after="0" w:line="241" w:lineRule="exact"/>
        <w:rPr>
          <w:sz w:val="20"/>
          <w:szCs w:val="20"/>
          <w:color w:val="auto"/>
        </w:rPr>
      </w:pPr>
    </w:p>
    <w:p>
      <w:pPr>
        <w:jc w:val="both"/>
        <w:ind w:right="20"/>
        <w:spacing w:after="0" w:line="221" w:lineRule="exact"/>
        <w:rPr>
          <w:sz w:val="20"/>
          <w:szCs w:val="20"/>
          <w:color w:val="auto"/>
        </w:rPr>
      </w:pPr>
      <w:r>
        <w:rPr>
          <w:rFonts w:ascii="Arial" w:cs="Arial" w:eastAsia="Arial" w:hAnsi="Arial"/>
          <w:sz w:val="18"/>
          <w:szCs w:val="18"/>
          <w:color w:val="auto"/>
        </w:rPr>
        <w:t>We hereby consent to the incorporation by reference in the Registration Statements on Form S-3 (Nos. 333-166515, 333-170289) and Form S-8 (Nos. 333-91348, 333-183051, 333-162890) of ALLETE, Inc. of our report dated February 15, 2013, relating to the financial statements, financial statement schedule and the effectiveness of internal control over financial reporting, which appears in this Form 10</w:t>
      </w:r>
      <w:r>
        <w:rPr>
          <w:rFonts w:ascii="MS PGothic" w:cs="MS PGothic" w:eastAsia="MS PGothic" w:hAnsi="MS PGothic"/>
          <w:sz w:val="18"/>
          <w:szCs w:val="18"/>
          <w:color w:val="auto"/>
        </w:rPr>
        <w:t>‑</w:t>
      </w:r>
      <w:r>
        <w:rPr>
          <w:rFonts w:ascii="Arial" w:cs="Arial" w:eastAsia="Arial" w:hAnsi="Arial"/>
          <w:sz w:val="18"/>
          <w:szCs w:val="18"/>
          <w:color w:val="auto"/>
        </w:rPr>
        <w:t>K.</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15, 2013</w:t>
      </w:r>
    </w:p>
    <w:p>
      <w:pPr>
        <w:sectPr>
          <w:pgSz w:w="11900" w:h="16838" w:orient="portrait"/>
          <w:cols w:equalWidth="0" w:num="1">
            <w:col w:w="11420"/>
          </w:cols>
          <w:pgMar w:left="240" w:top="121" w:right="239" w:bottom="1440" w:gutter="0" w:footer="0" w:header="0"/>
        </w:sectPr>
      </w:pPr>
    </w:p>
    <w:bookmarkStart w:id="198" w:name="page199"/>
    <w:bookmarkEnd w:id="198"/>
    <w:p>
      <w:pPr>
        <w:jc w:val="right"/>
        <w:spacing w:after="0"/>
        <w:rPr>
          <w:sz w:val="20"/>
          <w:szCs w:val="20"/>
          <w:color w:val="auto"/>
        </w:rPr>
      </w:pPr>
      <w:r>
        <w:rPr>
          <w:rFonts w:ascii="Arial" w:cs="Arial" w:eastAsia="Arial" w:hAnsi="Arial"/>
          <w:sz w:val="18"/>
          <w:szCs w:val="18"/>
          <w:b w:val="1"/>
          <w:bCs w:val="1"/>
          <w:color w:val="auto"/>
        </w:rPr>
        <w:t>Exhibit 31(a)</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 by the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00" w:lineRule="exact"/>
        <w:rPr>
          <w:sz w:val="20"/>
          <w:szCs w:val="20"/>
          <w:color w:val="auto"/>
        </w:rPr>
      </w:pPr>
    </w:p>
    <w:p>
      <w:pPr>
        <w:spacing w:after="0" w:line="22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 Alan R. Hodnik, certify that:</w:t>
      </w:r>
    </w:p>
    <w:p>
      <w:pPr>
        <w:spacing w:after="0" w:line="225" w:lineRule="exact"/>
        <w:rPr>
          <w:sz w:val="20"/>
          <w:szCs w:val="20"/>
          <w:color w:val="auto"/>
        </w:rPr>
      </w:pPr>
    </w:p>
    <w:p>
      <w:pPr>
        <w:ind w:left="340" w:hanging="332"/>
        <w:spacing w:after="0"/>
        <w:tabs>
          <w:tab w:leader="none" w:pos="34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fiscal year ended December 31, 2012, of ALLETE, Inc.;</w:t>
      </w:r>
    </w:p>
    <w:p>
      <w:pPr>
        <w:spacing w:after="0" w:line="225"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hanging="332"/>
        <w:spacing w:after="0" w:line="277" w:lineRule="auto"/>
        <w:tabs>
          <w:tab w:leader="none" w:pos="34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left="340" w:right="60" w:hanging="332"/>
        <w:spacing w:after="0" w:line="264" w:lineRule="auto"/>
        <w:tabs>
          <w:tab w:leader="none" w:pos="34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60" w:right="40" w:hanging="328"/>
        <w:spacing w:after="0" w:line="264" w:lineRule="auto"/>
        <w:tabs>
          <w:tab w:leader="none" w:pos="660" w:val="left"/>
        </w:tabs>
        <w:numPr>
          <w:ilvl w:val="1"/>
          <w:numId w:val="1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right="20" w:hanging="328"/>
        <w:spacing w:after="0" w:line="264" w:lineRule="auto"/>
        <w:tabs>
          <w:tab w:leader="none" w:pos="660" w:val="left"/>
        </w:tabs>
        <w:numPr>
          <w:ilvl w:val="1"/>
          <w:numId w:val="1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right="80" w:hanging="328"/>
        <w:spacing w:after="0" w:line="308" w:lineRule="auto"/>
        <w:tabs>
          <w:tab w:leader="none" w:pos="660" w:val="left"/>
        </w:tabs>
        <w:numPr>
          <w:ilvl w:val="1"/>
          <w:numId w:val="12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660" w:right="120" w:hanging="328"/>
        <w:spacing w:after="0" w:line="264" w:lineRule="auto"/>
        <w:tabs>
          <w:tab w:leader="none" w:pos="660" w:val="left"/>
        </w:tabs>
        <w:numPr>
          <w:ilvl w:val="1"/>
          <w:numId w:val="1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right="500" w:hanging="332"/>
        <w:spacing w:after="0" w:line="308" w:lineRule="auto"/>
        <w:tabs>
          <w:tab w:leader="none" w:pos="340" w:val="left"/>
        </w:tabs>
        <w:numPr>
          <w:ilvl w:val="0"/>
          <w:numId w:val="12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460" w:hanging="328"/>
        <w:spacing w:after="0" w:line="277" w:lineRule="auto"/>
        <w:tabs>
          <w:tab w:leader="none" w:pos="660" w:val="left"/>
        </w:tabs>
        <w:numPr>
          <w:ilvl w:val="1"/>
          <w:numId w:val="12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40" w:hanging="328"/>
        <w:spacing w:after="0" w:line="277" w:lineRule="auto"/>
        <w:tabs>
          <w:tab w:leader="none" w:pos="660" w:val="left"/>
        </w:tabs>
        <w:numPr>
          <w:ilvl w:val="1"/>
          <w:numId w:val="1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2980" w:val="left"/>
        </w:tabs>
        <w:rPr>
          <w:sz w:val="20"/>
          <w:szCs w:val="20"/>
          <w:color w:val="auto"/>
        </w:rPr>
      </w:pPr>
      <w:r>
        <w:rPr>
          <w:rFonts w:ascii="Arial" w:cs="Arial" w:eastAsia="Arial" w:hAnsi="Arial"/>
          <w:sz w:val="18"/>
          <w:szCs w:val="18"/>
          <w:color w:val="auto"/>
        </w:rPr>
        <w:t>Date: February 15, 2013</w:t>
      </w:r>
      <w:r>
        <w:rPr>
          <w:sz w:val="20"/>
          <w:szCs w:val="20"/>
          <w:color w:val="auto"/>
        </w:rPr>
        <w:tab/>
      </w:r>
      <w:r>
        <w:rPr>
          <w:rFonts w:ascii="Arial" w:cs="Arial" w:eastAsia="Arial" w:hAnsi="Arial"/>
          <w:sz w:val="16"/>
          <w:szCs w:val="16"/>
          <w:u w:val="single" w:color="auto"/>
          <w:color w:val="auto"/>
        </w:rPr>
        <w:t>/s/ Alan R. Hodnik</w:t>
      </w:r>
    </w:p>
    <w:p>
      <w:pPr>
        <w:spacing w:after="0" w:line="63" w:lineRule="exact"/>
        <w:rPr>
          <w:sz w:val="20"/>
          <w:szCs w:val="20"/>
          <w:color w:val="auto"/>
        </w:rPr>
      </w:pPr>
    </w:p>
    <w:p>
      <w:pPr>
        <w:ind w:left="3000"/>
        <w:spacing w:after="0"/>
        <w:rPr>
          <w:sz w:val="20"/>
          <w:szCs w:val="20"/>
          <w:color w:val="auto"/>
        </w:rPr>
      </w:pPr>
      <w:r>
        <w:rPr>
          <w:rFonts w:ascii="Arial" w:cs="Arial" w:eastAsia="Arial" w:hAnsi="Arial"/>
          <w:sz w:val="18"/>
          <w:szCs w:val="18"/>
          <w:color w:val="auto"/>
        </w:rPr>
        <w:t>Alan R. Hodnik</w:t>
      </w:r>
    </w:p>
    <w:p>
      <w:pPr>
        <w:spacing w:after="0" w:line="63" w:lineRule="exact"/>
        <w:rPr>
          <w:sz w:val="20"/>
          <w:szCs w:val="20"/>
          <w:color w:val="auto"/>
        </w:rPr>
      </w:pPr>
    </w:p>
    <w:p>
      <w:pPr>
        <w:ind w:left="300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581" w:right="239" w:bottom="1440" w:gutter="0" w:footer="0" w:header="0"/>
        </w:sectPr>
      </w:pPr>
    </w:p>
    <w:bookmarkStart w:id="199" w:name="page200"/>
    <w:bookmarkEnd w:id="199"/>
    <w:p>
      <w:pPr>
        <w:jc w:val="right"/>
        <w:spacing w:after="0"/>
        <w:rPr>
          <w:sz w:val="20"/>
          <w:szCs w:val="20"/>
          <w:color w:val="auto"/>
        </w:rPr>
      </w:pPr>
      <w:r>
        <w:rPr>
          <w:rFonts w:ascii="Arial" w:cs="Arial" w:eastAsia="Arial" w:hAnsi="Arial"/>
          <w:sz w:val="18"/>
          <w:szCs w:val="18"/>
          <w:b w:val="1"/>
          <w:bCs w:val="1"/>
          <w:color w:val="auto"/>
        </w:rPr>
        <w:t>Exhibit 31(b)</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 by the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00" w:lineRule="exact"/>
        <w:rPr>
          <w:sz w:val="20"/>
          <w:szCs w:val="20"/>
          <w:color w:val="auto"/>
        </w:rPr>
      </w:pPr>
    </w:p>
    <w:p>
      <w:pPr>
        <w:spacing w:after="0" w:line="22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 Mark A. Schober, certify that:</w:t>
      </w:r>
    </w:p>
    <w:p>
      <w:pPr>
        <w:spacing w:after="0" w:line="225" w:lineRule="exact"/>
        <w:rPr>
          <w:sz w:val="20"/>
          <w:szCs w:val="20"/>
          <w:color w:val="auto"/>
        </w:rPr>
      </w:pPr>
    </w:p>
    <w:p>
      <w:pPr>
        <w:ind w:left="340" w:hanging="332"/>
        <w:spacing w:after="0"/>
        <w:tabs>
          <w:tab w:leader="none" w:pos="34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fiscal year ended December 31, 2012, of ALLETE, Inc.;</w:t>
      </w:r>
    </w:p>
    <w:p>
      <w:pPr>
        <w:spacing w:after="0" w:line="225"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12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hanging="332"/>
        <w:spacing w:after="0" w:line="277" w:lineRule="auto"/>
        <w:tabs>
          <w:tab w:leader="none" w:pos="34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left="340" w:right="60" w:hanging="332"/>
        <w:spacing w:after="0" w:line="264" w:lineRule="auto"/>
        <w:tabs>
          <w:tab w:leader="none" w:pos="34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60" w:right="40" w:hanging="328"/>
        <w:spacing w:after="0" w:line="264" w:lineRule="auto"/>
        <w:tabs>
          <w:tab w:leader="none" w:pos="660" w:val="left"/>
        </w:tabs>
        <w:numPr>
          <w:ilvl w:val="1"/>
          <w:numId w:val="1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right="20" w:hanging="328"/>
        <w:spacing w:after="0" w:line="264" w:lineRule="auto"/>
        <w:tabs>
          <w:tab w:leader="none" w:pos="660" w:val="left"/>
        </w:tabs>
        <w:numPr>
          <w:ilvl w:val="1"/>
          <w:numId w:val="1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right="80" w:hanging="328"/>
        <w:spacing w:after="0" w:line="308" w:lineRule="auto"/>
        <w:tabs>
          <w:tab w:leader="none" w:pos="660" w:val="left"/>
        </w:tabs>
        <w:numPr>
          <w:ilvl w:val="1"/>
          <w:numId w:val="12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660" w:right="120" w:hanging="328"/>
        <w:spacing w:after="0" w:line="264" w:lineRule="auto"/>
        <w:tabs>
          <w:tab w:leader="none" w:pos="660" w:val="left"/>
        </w:tabs>
        <w:numPr>
          <w:ilvl w:val="1"/>
          <w:numId w:val="1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right="500" w:hanging="332"/>
        <w:spacing w:after="0" w:line="308" w:lineRule="auto"/>
        <w:tabs>
          <w:tab w:leader="none" w:pos="340" w:val="left"/>
        </w:tabs>
        <w:numPr>
          <w:ilvl w:val="0"/>
          <w:numId w:val="12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460" w:hanging="328"/>
        <w:spacing w:after="0" w:line="277" w:lineRule="auto"/>
        <w:tabs>
          <w:tab w:leader="none" w:pos="660" w:val="left"/>
        </w:tabs>
        <w:numPr>
          <w:ilvl w:val="1"/>
          <w:numId w:val="12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40" w:hanging="328"/>
        <w:spacing w:after="0" w:line="277" w:lineRule="auto"/>
        <w:tabs>
          <w:tab w:leader="none" w:pos="660" w:val="left"/>
        </w:tabs>
        <w:numPr>
          <w:ilvl w:val="1"/>
          <w:numId w:val="1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600" w:val="left"/>
          <w:tab w:leader="none" w:pos="3680" w:val="left"/>
        </w:tabs>
        <w:rPr>
          <w:sz w:val="20"/>
          <w:szCs w:val="20"/>
          <w:color w:val="auto"/>
        </w:rPr>
      </w:pPr>
      <w:r>
        <w:rPr>
          <w:rFonts w:ascii="Arial" w:cs="Arial" w:eastAsia="Arial" w:hAnsi="Arial"/>
          <w:sz w:val="18"/>
          <w:szCs w:val="18"/>
          <w:color w:val="auto"/>
        </w:rPr>
        <w:t>Date:</w:t>
        <w:tab/>
        <w:t>February 15, 2013</w:t>
      </w:r>
      <w:r>
        <w:rPr>
          <w:sz w:val="20"/>
          <w:szCs w:val="20"/>
          <w:color w:val="auto"/>
        </w:rPr>
        <w:tab/>
      </w:r>
      <w:r>
        <w:rPr>
          <w:rFonts w:ascii="Arial" w:cs="Arial" w:eastAsia="Arial" w:hAnsi="Arial"/>
          <w:sz w:val="16"/>
          <w:szCs w:val="16"/>
          <w:u w:val="single" w:color="auto"/>
          <w:color w:val="auto"/>
        </w:rPr>
        <w:t>/s/ Mark A. Schober</w:t>
      </w:r>
    </w:p>
    <w:p>
      <w:pPr>
        <w:spacing w:after="0" w:line="63"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Mark A. Schober</w:t>
      </w:r>
    </w:p>
    <w:p>
      <w:pPr>
        <w:spacing w:after="0" w:line="63"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Senior Vice President and Chief Financial Officer</w:t>
      </w:r>
    </w:p>
    <w:p>
      <w:pPr>
        <w:sectPr>
          <w:pgSz w:w="11900" w:h="16838" w:orient="portrait"/>
          <w:cols w:equalWidth="0" w:num="1">
            <w:col w:w="11420"/>
          </w:cols>
          <w:pgMar w:left="240" w:top="580" w:right="239" w:bottom="1440" w:gutter="0" w:footer="0" w:header="0"/>
        </w:sectPr>
      </w:pPr>
    </w:p>
    <w:bookmarkStart w:id="200" w:name="page201"/>
    <w:bookmarkEnd w:id="200"/>
    <w:p>
      <w:pPr>
        <w:jc w:val="right"/>
        <w:spacing w:after="0"/>
        <w:rPr>
          <w:sz w:val="20"/>
          <w:szCs w:val="20"/>
          <w:color w:val="auto"/>
        </w:rPr>
      </w:pPr>
      <w:r>
        <w:rPr>
          <w:rFonts w:ascii="Arial" w:cs="Arial" w:eastAsia="Arial" w:hAnsi="Arial"/>
          <w:sz w:val="18"/>
          <w:szCs w:val="18"/>
          <w:b w:val="1"/>
          <w:bCs w:val="1"/>
          <w:color w:val="auto"/>
        </w:rPr>
        <w:t>Exhibit 32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 of Periodic Report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 the Chief Executive Officer and 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00" w:lineRule="exact"/>
        <w:rPr>
          <w:sz w:val="20"/>
          <w:szCs w:val="20"/>
          <w:color w:val="auto"/>
        </w:rPr>
      </w:pPr>
    </w:p>
    <w:p>
      <w:pPr>
        <w:spacing w:after="0" w:line="22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Section 906 of the Sarbanes-Oxley Act of 2002, 18 U.S.C. Section 1350, each of the undersigned officers of ALLETE, Inc. (ALLETE), does hereby certify that:</w:t>
      </w:r>
    </w:p>
    <w:p>
      <w:pPr>
        <w:spacing w:after="0" w:line="170" w:lineRule="exact"/>
        <w:rPr>
          <w:sz w:val="20"/>
          <w:szCs w:val="20"/>
          <w:color w:val="auto"/>
        </w:rPr>
      </w:pPr>
    </w:p>
    <w:p>
      <w:pPr>
        <w:ind w:left="340" w:hanging="170"/>
        <w:spacing w:after="0" w:line="277" w:lineRule="auto"/>
        <w:tabs>
          <w:tab w:leader="none" w:pos="34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Annual Report on Form 10-K of ALLETE for the fiscal year ended December 31, 2012, (Report) fully complies with the requirements of Section 13(a) of the Securities Exchange Act of 1934 (15 U.S.C. 78m); and</w:t>
      </w:r>
    </w:p>
    <w:p>
      <w:pPr>
        <w:spacing w:after="0" w:line="170" w:lineRule="exact"/>
        <w:rPr>
          <w:rFonts w:ascii="Arial" w:cs="Arial" w:eastAsia="Arial" w:hAnsi="Arial"/>
          <w:sz w:val="18"/>
          <w:szCs w:val="18"/>
          <w:color w:val="auto"/>
        </w:rPr>
      </w:pPr>
    </w:p>
    <w:p>
      <w:pPr>
        <w:ind w:left="340" w:hanging="170"/>
        <w:spacing w:after="0"/>
        <w:tabs>
          <w:tab w:leader="none" w:pos="34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ALLETE.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spacing w:after="0"/>
        <w:tabs>
          <w:tab w:leader="none" w:pos="560" w:val="left"/>
          <w:tab w:leader="none" w:pos="2800" w:val="left"/>
        </w:tabs>
        <w:rPr>
          <w:sz w:val="20"/>
          <w:szCs w:val="20"/>
          <w:color w:val="auto"/>
        </w:rPr>
      </w:pPr>
      <w:r>
        <w:rPr>
          <w:rFonts w:ascii="Arial" w:cs="Arial" w:eastAsia="Arial" w:hAnsi="Arial"/>
          <w:sz w:val="18"/>
          <w:szCs w:val="18"/>
          <w:color w:val="auto"/>
        </w:rPr>
        <w:t>Date:</w:t>
        <w:tab/>
        <w:t>February 15, 2013</w:t>
      </w:r>
      <w:r>
        <w:rPr>
          <w:sz w:val="20"/>
          <w:szCs w:val="20"/>
          <w:color w:val="auto"/>
        </w:rPr>
        <w:tab/>
      </w:r>
      <w:r>
        <w:rPr>
          <w:rFonts w:ascii="Arial" w:cs="Arial" w:eastAsia="Arial" w:hAnsi="Arial"/>
          <w:sz w:val="16"/>
          <w:szCs w:val="16"/>
          <w:u w:val="single" w:color="auto"/>
          <w:color w:val="auto"/>
        </w:rPr>
        <w:t>/s/ Alan R. Hodnik</w:t>
      </w:r>
    </w:p>
    <w:p>
      <w:pPr>
        <w:spacing w:after="0" w:line="63"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Alan R. Hodnik</w:t>
      </w:r>
    </w:p>
    <w:p>
      <w:pPr>
        <w:spacing w:after="0" w:line="63"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President and Chief Executive Officer</w:t>
      </w:r>
    </w:p>
    <w:p>
      <w:pPr>
        <w:spacing w:after="0" w:line="200" w:lineRule="exact"/>
        <w:rPr>
          <w:sz w:val="20"/>
          <w:szCs w:val="20"/>
          <w:color w:val="auto"/>
        </w:rPr>
      </w:pPr>
    </w:p>
    <w:p>
      <w:pPr>
        <w:spacing w:after="0" w:line="214" w:lineRule="exact"/>
        <w:rPr>
          <w:sz w:val="20"/>
          <w:szCs w:val="20"/>
          <w:color w:val="auto"/>
        </w:rPr>
      </w:pPr>
    </w:p>
    <w:p>
      <w:pPr>
        <w:ind w:left="40"/>
        <w:spacing w:after="0"/>
        <w:tabs>
          <w:tab w:leader="none" w:pos="560" w:val="left"/>
          <w:tab w:leader="none" w:pos="2800" w:val="left"/>
        </w:tabs>
        <w:rPr>
          <w:sz w:val="20"/>
          <w:szCs w:val="20"/>
          <w:color w:val="auto"/>
        </w:rPr>
      </w:pPr>
      <w:r>
        <w:rPr>
          <w:rFonts w:ascii="Arial" w:cs="Arial" w:eastAsia="Arial" w:hAnsi="Arial"/>
          <w:sz w:val="18"/>
          <w:szCs w:val="18"/>
          <w:color w:val="auto"/>
        </w:rPr>
        <w:t>Date:</w:t>
        <w:tab/>
        <w:t>February 15, 2013</w:t>
      </w:r>
      <w:r>
        <w:rPr>
          <w:sz w:val="20"/>
          <w:szCs w:val="20"/>
          <w:color w:val="auto"/>
        </w:rPr>
        <w:tab/>
      </w:r>
      <w:r>
        <w:rPr>
          <w:rFonts w:ascii="Arial" w:cs="Arial" w:eastAsia="Arial" w:hAnsi="Arial"/>
          <w:sz w:val="16"/>
          <w:szCs w:val="16"/>
          <w:u w:val="single" w:color="auto"/>
          <w:color w:val="auto"/>
        </w:rPr>
        <w:t>/s/ Mark A. Schober</w:t>
      </w:r>
    </w:p>
    <w:p>
      <w:pPr>
        <w:spacing w:after="0" w:line="63"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Mark A. Schober</w:t>
      </w:r>
    </w:p>
    <w:p>
      <w:pPr>
        <w:spacing w:after="0" w:line="63"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Senior Vice President and Chief Financial Officer</w:t>
      </w:r>
    </w:p>
    <w:p>
      <w:pPr>
        <w:spacing w:after="0" w:line="200" w:lineRule="exact"/>
        <w:rPr>
          <w:sz w:val="20"/>
          <w:szCs w:val="20"/>
          <w:color w:val="auto"/>
        </w:rPr>
      </w:pPr>
    </w:p>
    <w:p>
      <w:pPr>
        <w:spacing w:after="0" w:line="26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This certification shall not be deemed “filed” for purposes of Section 18 of the Securities Exchange Act of 1934 or otherwise subject to liability pursuant to that section. Such certification shall not be deemed to be incorporated by reference into any filing under the Securities Act of 1933 or the Securities Exchange Act of 1934, except to the extent that ALLETE specifically incorporates it by reference.</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ALLETE and will be retained by ALLETE and furnished to the Securities and Exchange Commission or its staff upon request.</w:t>
      </w:r>
    </w:p>
    <w:p>
      <w:pPr>
        <w:sectPr>
          <w:pgSz w:w="11900" w:h="16838" w:orient="portrait"/>
          <w:cols w:equalWidth="0" w:num="1">
            <w:col w:w="11420"/>
          </w:cols>
          <w:pgMar w:left="240" w:top="581" w:right="239" w:bottom="1440" w:gutter="0" w:footer="0" w:header="0"/>
        </w:sectPr>
      </w:pPr>
    </w:p>
    <w:bookmarkStart w:id="201" w:name="page202"/>
    <w:bookmarkEnd w:id="201"/>
    <w:tbl>
      <w:tblPr>
        <w:tblLayout w:type="fixed"/>
        <w:tblInd w:w="0" w:type="dxa"/>
        <w:tblCellMar>
          <w:top w:w="0" w:type="dxa"/>
          <w:left w:w="0" w:type="dxa"/>
          <w:bottom w:w="0" w:type="dxa"/>
          <w:right w:w="0" w:type="dxa"/>
        </w:tblCellMar>
      </w:tblPr>
      <w:tr>
        <w:trPr>
          <w:trHeight w:val="234"/>
        </w:trPr>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00" w:type="dxa"/>
            <w:vAlign w:val="bottom"/>
          </w:tcPr>
          <w:p>
            <w:pPr>
              <w:ind w:left="80"/>
              <w:spacing w:after="0"/>
              <w:rPr>
                <w:sz w:val="20"/>
                <w:szCs w:val="20"/>
                <w:color w:val="auto"/>
              </w:rPr>
            </w:pPr>
            <w:r>
              <w:rPr>
                <w:rFonts w:ascii="Arial" w:cs="Arial" w:eastAsia="Arial" w:hAnsi="Arial"/>
                <w:sz w:val="18"/>
                <w:szCs w:val="18"/>
                <w:b w:val="1"/>
                <w:bCs w:val="1"/>
                <w:color w:val="auto"/>
                <w:w w:val="91"/>
              </w:rPr>
              <w:t>Exhibit 95</w:t>
            </w:r>
          </w:p>
        </w:tc>
      </w:tr>
      <w:tr>
        <w:trPr>
          <w:trHeight w:val="432"/>
        </w:trPr>
        <w:tc>
          <w:tcPr>
            <w:tcW w:w="2260" w:type="dxa"/>
            <w:vAlign w:val="bottom"/>
            <w:gridSpan w:val="3"/>
          </w:tcPr>
          <w:p>
            <w:pPr>
              <w:spacing w:after="0"/>
              <w:rPr>
                <w:sz w:val="20"/>
                <w:szCs w:val="20"/>
                <w:color w:val="auto"/>
              </w:rPr>
            </w:pPr>
            <w:r>
              <w:rPr>
                <w:rFonts w:ascii="Arial" w:cs="Arial" w:eastAsia="Arial" w:hAnsi="Arial"/>
                <w:sz w:val="18"/>
                <w:szCs w:val="18"/>
                <w:b w:val="1"/>
                <w:bCs w:val="1"/>
                <w:color w:val="auto"/>
              </w:rPr>
              <w:t>Mine Safety Disclosure</w:t>
            </w: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51"/>
        </w:trPr>
        <w:tc>
          <w:tcPr>
            <w:tcW w:w="100" w:type="dxa"/>
            <w:vAlign w:val="bottom"/>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r>
        <w:trPr>
          <w:trHeight w:val="150"/>
        </w:trPr>
        <w:tc>
          <w:tcPr>
            <w:tcW w:w="100" w:type="dxa"/>
            <w:vAlign w:val="bottom"/>
            <w:tcBorders>
              <w:right w:val="single" w:sz="8" w:color="auto"/>
            </w:tcBorders>
          </w:tcPr>
          <w:p>
            <w:pPr>
              <w:spacing w:after="0"/>
              <w:rPr>
                <w:sz w:val="13"/>
                <w:szCs w:val="13"/>
                <w:color w:val="auto"/>
              </w:rPr>
            </w:pPr>
          </w:p>
        </w:tc>
        <w:tc>
          <w:tcPr>
            <w:tcW w:w="136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680" w:type="dxa"/>
            <w:vAlign w:val="bottom"/>
            <w:tcBorders>
              <w:right w:val="single" w:sz="8" w:color="auto"/>
            </w:tcBorders>
          </w:tcPr>
          <w:p>
            <w:pPr>
              <w:spacing w:after="0"/>
              <w:rPr>
                <w:sz w:val="13"/>
                <w:szCs w:val="13"/>
                <w:color w:val="auto"/>
              </w:rPr>
            </w:pPr>
          </w:p>
        </w:tc>
        <w:tc>
          <w:tcPr>
            <w:tcW w:w="780" w:type="dxa"/>
            <w:vAlign w:val="bottom"/>
            <w:tcBorders>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660" w:type="dxa"/>
            <w:vAlign w:val="bottom"/>
            <w:tcBorders>
              <w:right w:val="single" w:sz="8" w:color="auto"/>
            </w:tcBorders>
          </w:tcPr>
          <w:p>
            <w:pPr>
              <w:spacing w:after="0"/>
              <w:rPr>
                <w:sz w:val="13"/>
                <w:szCs w:val="13"/>
                <w:color w:val="auto"/>
              </w:rPr>
            </w:pPr>
          </w:p>
        </w:tc>
        <w:tc>
          <w:tcPr>
            <w:tcW w:w="104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900" w:type="dxa"/>
            <w:vAlign w:val="bottom"/>
            <w:tcBorders>
              <w:right w:val="single" w:sz="8" w:color="auto"/>
            </w:tcBorders>
          </w:tcPr>
          <w:p>
            <w:pPr>
              <w:jc w:val="center"/>
              <w:spacing w:after="0" w:line="151" w:lineRule="exact"/>
              <w:rPr>
                <w:sz w:val="20"/>
                <w:szCs w:val="20"/>
                <w:color w:val="auto"/>
              </w:rPr>
            </w:pPr>
            <w:r>
              <w:rPr>
                <w:rFonts w:ascii="Arial" w:cs="Arial" w:eastAsia="Arial" w:hAnsi="Arial"/>
                <w:sz w:val="14"/>
                <w:szCs w:val="14"/>
                <w:color w:val="auto"/>
                <w:w w:val="92"/>
              </w:rPr>
              <w:t>Received</w:t>
            </w:r>
          </w:p>
        </w:tc>
        <w:tc>
          <w:tcPr>
            <w:tcW w:w="900" w:type="dxa"/>
            <w:vAlign w:val="bottom"/>
            <w:tcBorders>
              <w:right w:val="single" w:sz="8" w:color="auto"/>
            </w:tcBorders>
          </w:tcPr>
          <w:p>
            <w:pPr>
              <w:jc w:val="center"/>
              <w:spacing w:after="0" w:line="151" w:lineRule="exact"/>
              <w:rPr>
                <w:sz w:val="20"/>
                <w:szCs w:val="20"/>
                <w:color w:val="auto"/>
              </w:rPr>
            </w:pPr>
            <w:r>
              <w:rPr>
                <w:rFonts w:ascii="Arial" w:cs="Arial" w:eastAsia="Arial" w:hAnsi="Arial"/>
                <w:sz w:val="14"/>
                <w:szCs w:val="14"/>
                <w:color w:val="auto"/>
                <w:w w:val="92"/>
              </w:rPr>
              <w:t>Received</w:t>
            </w:r>
          </w:p>
        </w:tc>
        <w:tc>
          <w:tcPr>
            <w:tcW w:w="80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r>
      <w:tr>
        <w:trPr>
          <w:trHeight w:val="149"/>
        </w:trPr>
        <w:tc>
          <w:tcPr>
            <w:tcW w:w="10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89"/>
              </w:rPr>
              <w:t>Total</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7"/>
              </w:rPr>
              <w:t>Notice of</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7"/>
              </w:rPr>
              <w:t>Notice of</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9"/>
              </w:rPr>
              <w:t>Legal</w:t>
            </w:r>
          </w:p>
        </w:tc>
        <w:tc>
          <w:tcPr>
            <w:tcW w:w="80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r>
      <w:tr>
        <w:trPr>
          <w:trHeight w:val="149"/>
        </w:trPr>
        <w:tc>
          <w:tcPr>
            <w:tcW w:w="10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4"/>
              </w:rPr>
              <w:t>Section</w:t>
            </w:r>
          </w:p>
        </w:tc>
        <w:tc>
          <w:tcPr>
            <w:tcW w:w="920" w:type="dxa"/>
            <w:vAlign w:val="bottom"/>
            <w:tcBorders>
              <w:righ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7"/>
              </w:rPr>
              <w:t>Number of</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5"/>
              </w:rPr>
              <w:t>Pattern of</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4"/>
              </w:rPr>
              <w:t>Potential to</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rPr>
              <w:t>Actions</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Legal</w:t>
            </w:r>
          </w:p>
        </w:tc>
        <w:tc>
          <w:tcPr>
            <w:tcW w:w="900" w:type="dxa"/>
            <w:vAlign w:val="bottom"/>
            <w:tcBorders>
              <w:right w:val="single" w:sz="8" w:color="auto"/>
            </w:tcBorders>
          </w:tcPr>
          <w:p>
            <w:pPr>
              <w:spacing w:after="0"/>
              <w:rPr>
                <w:sz w:val="12"/>
                <w:szCs w:val="12"/>
                <w:color w:val="auto"/>
              </w:rPr>
            </w:pPr>
          </w:p>
        </w:tc>
      </w:tr>
      <w:tr>
        <w:trPr>
          <w:trHeight w:val="149"/>
        </w:trPr>
        <w:tc>
          <w:tcPr>
            <w:tcW w:w="10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104(d)</w:t>
            </w:r>
          </w:p>
        </w:tc>
        <w:tc>
          <w:tcPr>
            <w:tcW w:w="920" w:type="dxa"/>
            <w:vAlign w:val="bottom"/>
            <w:tcBorders>
              <w:righ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7"/>
              </w:rPr>
              <w:t>Total Dollar</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rPr>
              <w:t>Mining</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rPr>
              <w:t>Violation</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0"/>
              </w:rPr>
              <w:t>Have Pattern</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88"/>
              </w:rPr>
              <w:t>Pending as</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5"/>
              </w:rPr>
              <w:t>Actions</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7"/>
              </w:rPr>
              <w:t>Legal Actions</w:t>
            </w:r>
          </w:p>
        </w:tc>
      </w:tr>
      <w:tr>
        <w:trPr>
          <w:trHeight w:val="149"/>
        </w:trPr>
        <w:tc>
          <w:tcPr>
            <w:tcW w:w="10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6"/>
              </w:rPr>
              <w:t>Mine or Operating</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1"/>
              </w:rPr>
              <w:t>Section 104</w:t>
            </w:r>
          </w:p>
        </w:tc>
        <w:tc>
          <w:tcPr>
            <w:tcW w:w="6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4"/>
              </w:rPr>
              <w:t>Section</w:t>
            </w:r>
          </w:p>
        </w:tc>
        <w:tc>
          <w:tcPr>
            <w:tcW w:w="7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5"/>
              </w:rPr>
              <w:t>Citations</w:t>
            </w:r>
          </w:p>
        </w:tc>
        <w:tc>
          <w:tcPr>
            <w:tcW w:w="9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89"/>
              </w:rPr>
              <w:t>Section</w:t>
            </w:r>
          </w:p>
        </w:tc>
        <w:tc>
          <w:tcPr>
            <w:tcW w:w="6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4"/>
              </w:rPr>
              <w:t>Section</w:t>
            </w:r>
          </w:p>
        </w:tc>
        <w:tc>
          <w:tcPr>
            <w:tcW w:w="10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8"/>
              </w:rPr>
              <w:t>Value of MSHA</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1"/>
              </w:rPr>
              <w:t>Related</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2"/>
              </w:rPr>
              <w:t>Under Section</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2"/>
              </w:rPr>
              <w:t>Under Section</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5"/>
              </w:rPr>
              <w:t>of Last Day</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7"/>
              </w:rPr>
              <w:t>Initiated</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2"/>
              </w:rPr>
              <w:t>Resolved</w:t>
            </w:r>
          </w:p>
        </w:tc>
      </w:tr>
      <w:tr>
        <w:trPr>
          <w:trHeight w:val="149"/>
        </w:trPr>
        <w:tc>
          <w:tcPr>
            <w:tcW w:w="10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7"/>
              </w:rPr>
              <w:t>Name/MSHA</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9"/>
              </w:rPr>
              <w:t>S&amp;S</w:t>
            </w:r>
          </w:p>
        </w:tc>
        <w:tc>
          <w:tcPr>
            <w:tcW w:w="6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8"/>
              </w:rPr>
              <w:t>104(b)</w:t>
            </w:r>
          </w:p>
        </w:tc>
        <w:tc>
          <w:tcPr>
            <w:tcW w:w="7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1"/>
              </w:rPr>
              <w:t>and Orders</w:t>
            </w:r>
          </w:p>
        </w:tc>
        <w:tc>
          <w:tcPr>
            <w:tcW w:w="9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110(b)(2)</w:t>
            </w:r>
          </w:p>
        </w:tc>
        <w:tc>
          <w:tcPr>
            <w:tcW w:w="6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107(a)</w:t>
            </w:r>
          </w:p>
        </w:tc>
        <w:tc>
          <w:tcPr>
            <w:tcW w:w="10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88"/>
              </w:rPr>
              <w:t>Assessments</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2"/>
              </w:rPr>
              <w:t>Fatalities</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104(e)</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104(e)</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6"/>
              </w:rPr>
              <w:t>of Period</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6"/>
              </w:rPr>
              <w:t>During</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5"/>
              </w:rPr>
              <w:t>During Period</w:t>
            </w:r>
          </w:p>
        </w:tc>
      </w:tr>
      <w:tr>
        <w:trPr>
          <w:trHeight w:val="188"/>
        </w:trPr>
        <w:tc>
          <w:tcPr>
            <w:tcW w:w="100" w:type="dxa"/>
            <w:vAlign w:val="bottom"/>
            <w:tcBorders>
              <w:right w:val="single" w:sz="8" w:color="auto"/>
            </w:tcBorders>
          </w:tcPr>
          <w:p>
            <w:pPr>
              <w:spacing w:after="0"/>
              <w:rPr>
                <w:sz w:val="16"/>
                <w:szCs w:val="16"/>
                <w:color w:val="auto"/>
              </w:rPr>
            </w:pP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6"/>
              </w:rPr>
              <w:t>Identification Number</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5"/>
              </w:rPr>
              <w:t>Citations (#)</w:t>
            </w:r>
          </w:p>
        </w:tc>
        <w:tc>
          <w:tcPr>
            <w:tcW w:w="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Orders (#)</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5"/>
              </w:rPr>
              <w:t>Violations (#)</w:t>
            </w:r>
          </w:p>
        </w:tc>
        <w:tc>
          <w:tcPr>
            <w:tcW w:w="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Orders (#)</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Proposed ($)</w:t>
            </w:r>
          </w:p>
        </w:tc>
        <w:tc>
          <w:tcPr>
            <w:tcW w:w="800" w:type="dxa"/>
            <w:vAlign w:val="bottom"/>
            <w:tcBorders>
              <w:bottom w:val="single" w:sz="8" w:color="auto"/>
              <w:right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(yes/no)</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(yes/no)</w:t>
            </w:r>
          </w:p>
        </w:tc>
        <w:tc>
          <w:tcPr>
            <w:tcW w:w="800" w:type="dxa"/>
            <w:vAlign w:val="bottom"/>
            <w:tcBorders>
              <w:bottom w:val="single" w:sz="8" w:color="auto"/>
              <w:right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Period (#)</w:t>
            </w:r>
          </w:p>
        </w:tc>
        <w:tc>
          <w:tcPr>
            <w:tcW w:w="900" w:type="dxa"/>
            <w:vAlign w:val="bottom"/>
            <w:tcBorders>
              <w:bottom w:val="single" w:sz="8" w:color="auto"/>
              <w:right w:val="single" w:sz="8" w:color="auto"/>
            </w:tcBorders>
          </w:tcPr>
          <w:p>
            <w:pPr>
              <w:jc w:val="right"/>
              <w:ind w:right="305"/>
              <w:spacing w:after="0"/>
              <w:rPr>
                <w:sz w:val="20"/>
                <w:szCs w:val="20"/>
                <w:color w:val="auto"/>
              </w:rPr>
            </w:pPr>
            <w:r>
              <w:rPr>
                <w:rFonts w:ascii="Arial" w:cs="Arial" w:eastAsia="Arial" w:hAnsi="Arial"/>
                <w:sz w:val="14"/>
                <w:szCs w:val="14"/>
                <w:color w:val="auto"/>
              </w:rPr>
              <w:t>(#)</w:t>
            </w:r>
          </w:p>
        </w:tc>
      </w:tr>
      <w:tr>
        <w:trPr>
          <w:trHeight w:val="156"/>
        </w:trPr>
        <w:tc>
          <w:tcPr>
            <w:tcW w:w="100" w:type="dxa"/>
            <w:vAlign w:val="bottom"/>
            <w:tcBorders>
              <w:right w:val="single" w:sz="8" w:color="auto"/>
            </w:tcBorders>
          </w:tcPr>
          <w:p>
            <w:pPr>
              <w:spacing w:after="0"/>
              <w:rPr>
                <w:sz w:val="13"/>
                <w:szCs w:val="13"/>
                <w:color w:val="auto"/>
              </w:rPr>
            </w:pPr>
          </w:p>
        </w:tc>
        <w:tc>
          <w:tcPr>
            <w:tcW w:w="1360" w:type="dxa"/>
            <w:vAlign w:val="bottom"/>
            <w:tcBorders>
              <w:right w:val="single" w:sz="8" w:color="auto"/>
            </w:tcBorders>
          </w:tcPr>
          <w:p>
            <w:pPr>
              <w:jc w:val="center"/>
              <w:spacing w:after="0" w:line="157" w:lineRule="exact"/>
              <w:rPr>
                <w:sz w:val="20"/>
                <w:szCs w:val="20"/>
                <w:color w:val="auto"/>
              </w:rPr>
            </w:pPr>
            <w:r>
              <w:rPr>
                <w:rFonts w:ascii="Arial" w:cs="Arial" w:eastAsia="Arial" w:hAnsi="Arial"/>
                <w:sz w:val="14"/>
                <w:szCs w:val="14"/>
                <w:color w:val="auto"/>
                <w:w w:val="95"/>
              </w:rPr>
              <w:t>Center Mine /</w:t>
            </w:r>
          </w:p>
        </w:tc>
        <w:tc>
          <w:tcPr>
            <w:tcW w:w="800" w:type="dxa"/>
            <w:vAlign w:val="bottom"/>
            <w:tcBorders>
              <w:right w:val="single" w:sz="8" w:color="auto"/>
            </w:tcBorders>
          </w:tcPr>
          <w:p>
            <w:pPr>
              <w:spacing w:after="0"/>
              <w:rPr>
                <w:sz w:val="13"/>
                <w:szCs w:val="13"/>
                <w:color w:val="auto"/>
              </w:rPr>
            </w:pPr>
          </w:p>
        </w:tc>
        <w:tc>
          <w:tcPr>
            <w:tcW w:w="680" w:type="dxa"/>
            <w:vAlign w:val="bottom"/>
            <w:tcBorders>
              <w:right w:val="single" w:sz="8" w:color="auto"/>
            </w:tcBorders>
          </w:tcPr>
          <w:p>
            <w:pPr>
              <w:spacing w:after="0"/>
              <w:rPr>
                <w:sz w:val="13"/>
                <w:szCs w:val="13"/>
                <w:color w:val="auto"/>
              </w:rPr>
            </w:pPr>
          </w:p>
        </w:tc>
        <w:tc>
          <w:tcPr>
            <w:tcW w:w="780" w:type="dxa"/>
            <w:vAlign w:val="bottom"/>
            <w:tcBorders>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660" w:type="dxa"/>
            <w:vAlign w:val="bottom"/>
            <w:tcBorders>
              <w:right w:val="single" w:sz="8" w:color="auto"/>
            </w:tcBorders>
          </w:tcPr>
          <w:p>
            <w:pPr>
              <w:spacing w:after="0"/>
              <w:rPr>
                <w:sz w:val="13"/>
                <w:szCs w:val="13"/>
                <w:color w:val="auto"/>
              </w:rPr>
            </w:pPr>
          </w:p>
        </w:tc>
        <w:tc>
          <w:tcPr>
            <w:tcW w:w="104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r>
      <w:tr>
        <w:trPr>
          <w:trHeight w:val="188"/>
        </w:trPr>
        <w:tc>
          <w:tcPr>
            <w:tcW w:w="100" w:type="dxa"/>
            <w:vAlign w:val="bottom"/>
            <w:tcBorders>
              <w:right w:val="single" w:sz="8" w:color="auto"/>
            </w:tcBorders>
          </w:tcPr>
          <w:p>
            <w:pPr>
              <w:spacing w:after="0"/>
              <w:rPr>
                <w:sz w:val="16"/>
                <w:szCs w:val="16"/>
                <w:color w:val="auto"/>
              </w:rPr>
            </w:pP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3200218</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2</w:t>
            </w:r>
          </w:p>
        </w:tc>
        <w:tc>
          <w:tcPr>
            <w:tcW w:w="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8"/>
              </w:rPr>
              <w:t>$2,874</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No</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No</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r>
    </w:tbl>
    <w:p>
      <w:pPr>
        <w:spacing w:after="0" w:line="283"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For the year ended December 31, 2102, BNI Coal, owner of Center Mine, received nine citations under Section 104(a) of the Mine Safety Act, two of which were significant and substantial (S&amp;S) citations. The total penalties assessed on BNI with respect to the nine citations were $2,874. For the year ended December 31, 2012 there were no citations, orders, violations or notices received under Sections 104(b), 104(d), 107(a), 104(e) or 110(b)(2) of the Mine Safety Act and there were no fatalities.</w:t>
      </w:r>
    </w:p>
    <w:p>
      <w:pPr>
        <w:sectPr>
          <w:pgSz w:w="11900" w:h="16838" w:orient="portrait"/>
          <w:cols w:equalWidth="0" w:num="1">
            <w:col w:w="11440"/>
          </w:cols>
          <w:pgMar w:left="240" w:top="580" w:right="219" w:bottom="1440" w:gutter="0" w:footer="0" w:header="0"/>
        </w:sectPr>
      </w:pPr>
    </w:p>
    <w:bookmarkStart w:id="202" w:name="page203"/>
    <w:bookmarkEnd w:id="202"/>
    <w:p>
      <w:pPr>
        <w:jc w:val="right"/>
        <w:spacing w:after="0"/>
        <w:rPr>
          <w:sz w:val="20"/>
          <w:szCs w:val="20"/>
          <w:color w:val="auto"/>
        </w:rPr>
      </w:pPr>
      <w:r>
        <w:rPr>
          <w:rFonts w:ascii="Arial" w:cs="Arial" w:eastAsia="Arial" w:hAnsi="Arial"/>
          <w:sz w:val="15"/>
          <w:szCs w:val="15"/>
          <w:color w:val="auto"/>
        </w:rPr>
        <w:t>Exhibit 99</w:t>
      </w:r>
    </w:p>
    <w:p>
      <w:pPr>
        <w:sectPr>
          <w:pgSz w:w="11900" w:h="16838" w:orient="portrait"/>
          <w:cols w:equalWidth="0" w:num="1">
            <w:col w:w="11400"/>
          </w:cols>
          <w:pgMar w:left="240" w:top="981" w:right="259" w:bottom="1440" w:gutter="0" w:footer="0" w:header="0"/>
        </w:sectPr>
      </w:pPr>
    </w:p>
    <w:p>
      <w:pPr>
        <w:spacing w:after="0" w:line="84" w:lineRule="exact"/>
        <w:rPr>
          <w:sz w:val="20"/>
          <w:szCs w:val="20"/>
          <w:color w:val="auto"/>
        </w:rPr>
      </w:pPr>
    </w:p>
    <w:p>
      <w:pPr>
        <w:ind w:left="6900"/>
        <w:spacing w:after="0"/>
        <w:rPr>
          <w:sz w:val="20"/>
          <w:szCs w:val="20"/>
          <w:color w:val="auto"/>
        </w:rPr>
      </w:pPr>
      <w:r>
        <w:rPr>
          <w:rFonts w:ascii="Arial" w:cs="Arial" w:eastAsia="Arial" w:hAnsi="Arial"/>
          <w:sz w:val="14"/>
          <w:szCs w:val="14"/>
          <w:color w:val="auto"/>
        </w:rPr>
        <w:t>For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-86360</wp:posOffset>
            </wp:positionV>
            <wp:extent cx="1372235" cy="6261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372235" cy="6261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4" w:lineRule="exact"/>
        <w:rPr>
          <w:sz w:val="20"/>
          <w:szCs w:val="20"/>
          <w:color w:val="auto"/>
        </w:rPr>
      </w:pPr>
    </w:p>
    <w:p>
      <w:pPr>
        <w:spacing w:after="0"/>
        <w:rPr>
          <w:sz w:val="20"/>
          <w:szCs w:val="20"/>
          <w:color w:val="auto"/>
        </w:rPr>
      </w:pPr>
      <w:r>
        <w:rPr>
          <w:rFonts w:ascii="Arial" w:cs="Arial" w:eastAsia="Arial" w:hAnsi="Arial"/>
          <w:sz w:val="14"/>
          <w:szCs w:val="14"/>
          <w:color w:val="auto"/>
        </w:rPr>
        <w:t>February 15, 2013</w:t>
      </w:r>
    </w:p>
    <w:p>
      <w:pPr>
        <w:spacing w:after="0" w:line="96" w:lineRule="exact"/>
        <w:rPr>
          <w:sz w:val="20"/>
          <w:szCs w:val="20"/>
          <w:color w:val="auto"/>
        </w:rPr>
      </w:pPr>
    </w:p>
    <w:p>
      <w:pPr>
        <w:sectPr>
          <w:pgSz w:w="11900" w:h="16838" w:orient="portrait"/>
          <w:cols w:equalWidth="0" w:num="2">
            <w:col w:w="8000" w:space="720"/>
            <w:col w:w="2680"/>
          </w:cols>
          <w:pgMar w:left="240" w:top="981" w:right="259" w:bottom="1440" w:gutter="0" w:footer="0" w:header="0"/>
          <w:type w:val="continuous"/>
        </w:sectPr>
      </w:pPr>
    </w:p>
    <w:p>
      <w:pPr>
        <w:ind w:left="6900"/>
        <w:spacing w:after="0"/>
        <w:rPr>
          <w:sz w:val="20"/>
          <w:szCs w:val="20"/>
          <w:color w:val="auto"/>
        </w:rPr>
      </w:pPr>
      <w:r>
        <w:rPr>
          <w:rFonts w:ascii="Arial" w:cs="Arial" w:eastAsia="Arial" w:hAnsi="Arial"/>
          <w:sz w:val="15"/>
          <w:szCs w:val="15"/>
          <w:i w:val="1"/>
          <w:iCs w:val="1"/>
          <w:color w:val="auto"/>
        </w:rPr>
        <w:t>Investor Contact: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Tim Thorp</w:t>
      </w:r>
    </w:p>
    <w:p>
      <w:pPr>
        <w:spacing w:after="0" w:line="98" w:lineRule="exact"/>
        <w:rPr>
          <w:sz w:val="20"/>
          <w:szCs w:val="20"/>
          <w:color w:val="auto"/>
        </w:rPr>
      </w:pPr>
    </w:p>
    <w:p>
      <w:pPr>
        <w:sectPr>
          <w:pgSz w:w="11900" w:h="16838" w:orient="portrait"/>
          <w:cols w:equalWidth="0" w:num="2">
            <w:col w:w="8040" w:space="680"/>
            <w:col w:w="2680"/>
          </w:cols>
          <w:pgMar w:left="240" w:top="981" w:right="259" w:bottom="1440" w:gutter="0" w:footer="0" w:header="0"/>
          <w:type w:val="continuous"/>
        </w:sectPr>
      </w:pPr>
    </w:p>
    <w:p>
      <w:pPr>
        <w:ind w:left="8720"/>
        <w:spacing w:after="0"/>
        <w:rPr>
          <w:sz w:val="20"/>
          <w:szCs w:val="20"/>
          <w:color w:val="auto"/>
        </w:rPr>
      </w:pPr>
      <w:r>
        <w:rPr>
          <w:rFonts w:ascii="Arial" w:cs="Arial" w:eastAsia="Arial" w:hAnsi="Arial"/>
          <w:sz w:val="16"/>
          <w:szCs w:val="16"/>
          <w:color w:val="auto"/>
        </w:rPr>
        <w:t>218-723-3953</w:t>
      </w:r>
    </w:p>
    <w:p>
      <w:pPr>
        <w:spacing w:after="0" w:line="86" w:lineRule="exact"/>
        <w:rPr>
          <w:sz w:val="20"/>
          <w:szCs w:val="20"/>
          <w:color w:val="auto"/>
        </w:rPr>
      </w:pPr>
    </w:p>
    <w:p>
      <w:pPr>
        <w:ind w:left="8720"/>
        <w:spacing w:after="0"/>
        <w:rPr>
          <w:sz w:val="20"/>
          <w:szCs w:val="20"/>
          <w:color w:val="auto"/>
        </w:rPr>
      </w:pPr>
      <w:r>
        <w:rPr>
          <w:rFonts w:ascii="Arial" w:cs="Arial" w:eastAsia="Arial" w:hAnsi="Arial"/>
          <w:sz w:val="14"/>
          <w:szCs w:val="14"/>
          <w:color w:val="auto"/>
        </w:rPr>
        <w:t>tthorp@allete.com</w:t>
      </w:r>
    </w:p>
    <w:p>
      <w:pPr>
        <w:sectPr>
          <w:pgSz w:w="11900" w:h="16838" w:orient="portrait"/>
          <w:cols w:equalWidth="0" w:num="1">
            <w:col w:w="11400"/>
          </w:cols>
          <w:pgMar w:left="240" w:top="981" w:right="259" w:bottom="1440" w:gutter="0" w:footer="0" w:header="0"/>
          <w:type w:val="continuous"/>
        </w:sectPr>
      </w:pPr>
    </w:p>
    <w:p>
      <w:pPr>
        <w:spacing w:after="0" w:line="340" w:lineRule="exact"/>
        <w:rPr>
          <w:sz w:val="20"/>
          <w:szCs w:val="20"/>
          <w:color w:val="auto"/>
        </w:rPr>
      </w:pPr>
    </w:p>
    <w:p>
      <w:pPr>
        <w:ind w:left="40"/>
        <w:spacing w:after="0"/>
        <w:rPr>
          <w:sz w:val="20"/>
          <w:szCs w:val="20"/>
          <w:color w:val="auto"/>
        </w:rPr>
      </w:pPr>
      <w:r>
        <w:rPr>
          <w:rFonts w:ascii="Arial" w:cs="Arial" w:eastAsia="Arial" w:hAnsi="Arial"/>
          <w:sz w:val="40"/>
          <w:szCs w:val="40"/>
          <w:b w:val="1"/>
          <w:bCs w:val="1"/>
          <w:i w:val="1"/>
          <w:iCs w:val="1"/>
          <w:color w:val="auto"/>
        </w:rPr>
        <w:t>NEWS</w:t>
      </w:r>
    </w:p>
    <w:p>
      <w:pPr>
        <w:spacing w:after="0" w:line="4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ALLETE reports 2012 earnings of $2.58 per share</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Results in upper end of guidance range</w:t>
      </w:r>
    </w:p>
    <w:p>
      <w:pPr>
        <w:spacing w:after="0" w:line="21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Duluth, Minn. -ALLETE, Inc. (NYSE: ALE) today reported 2012 earnings of $2.58 per share compared with $2.65 per share in 2011. Excluding two non-recurring items, ALLETE's pro-forma earnings in 2011 were $2.39 per share.</w:t>
      </w:r>
    </w:p>
    <w:p>
      <w:pPr>
        <w:spacing w:after="0" w:line="35"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 company recorded net income of $97.1 million in 2012 compared with $93.8 million a year ago, an increase of 3.5 percent. Operating revenue was $961.2 million this year versus $928.2 million in 2011.</w:t>
      </w:r>
    </w:p>
    <w:p>
      <w:pPr>
        <w:spacing w:after="0" w:line="31" w:lineRule="exact"/>
        <w:rPr>
          <w:sz w:val="20"/>
          <w:szCs w:val="20"/>
          <w:color w:val="auto"/>
        </w:rPr>
      </w:pPr>
    </w:p>
    <w:p>
      <w:pPr>
        <w:ind w:right="140"/>
        <w:spacing w:after="0" w:line="266" w:lineRule="auto"/>
        <w:rPr>
          <w:sz w:val="20"/>
          <w:szCs w:val="20"/>
          <w:color w:val="auto"/>
        </w:rPr>
      </w:pPr>
      <w:r>
        <w:rPr>
          <w:rFonts w:ascii="Arial" w:cs="Arial" w:eastAsia="Arial" w:hAnsi="Arial"/>
          <w:sz w:val="18"/>
          <w:szCs w:val="18"/>
          <w:color w:val="auto"/>
        </w:rPr>
        <w:t xml:space="preserve">Income from ALLETE's </w:t>
      </w:r>
      <w:r>
        <w:rPr>
          <w:rFonts w:ascii="Arial" w:cs="Arial" w:eastAsia="Arial" w:hAnsi="Arial"/>
          <w:sz w:val="18"/>
          <w:szCs w:val="18"/>
          <w:b w:val="1"/>
          <w:bCs w:val="1"/>
          <w:color w:val="auto"/>
        </w:rPr>
        <w:t>Regulated Operations</w:t>
      </w:r>
      <w:r>
        <w:rPr>
          <w:rFonts w:ascii="Arial" w:cs="Arial" w:eastAsia="Arial" w:hAnsi="Arial"/>
          <w:sz w:val="18"/>
          <w:szCs w:val="18"/>
          <w:color w:val="auto"/>
        </w:rPr>
        <w:t xml:space="preserve"> segment decreased by $4.3 million in 2012 compared to 2011, however, last year's results included the benefit of two non-recurring items: the reversal of a $6.2 million, or 18 cents per share, deferred tax liability and a $2.9 million, or 8 cents per share, income tax benefit. Excluding these items, Regulated Operations increased by $4.8 million.</w:t>
      </w:r>
    </w:p>
    <w:p>
      <w:pPr>
        <w:spacing w:after="0" w:line="45"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Continued strong retail and municipal sales, higher cost recovery revenue and renewable energy tax credits all contributed to the year-over-year increase. Minnesota Power electric sales to industrial customers increased by nearly two percent over 2011 to more than 7.5 million kilowatt-hours. These increases were partially offset by increased operating and maintenance, depreciation and interest expenses, as well as higher costs under the Square Butte power purchase agreement.</w:t>
      </w:r>
    </w:p>
    <w:p>
      <w:pPr>
        <w:spacing w:after="0" w:line="48"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Investments and Other</w:t>
      </w:r>
      <w:r>
        <w:rPr>
          <w:rFonts w:ascii="Arial" w:cs="Arial" w:eastAsia="Arial" w:hAnsi="Arial"/>
          <w:sz w:val="18"/>
          <w:szCs w:val="18"/>
          <w:color w:val="auto"/>
        </w:rPr>
        <w:t xml:space="preserve"> segment recorded net income of $1 million in 2012 compared to a net loss of $6.6 million in 2011, due primarily to lower state income tax and interest expense.</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Earnings for 2012 were diluted by 16 cents per share due to issuances of common shares needed to fund major capital investments.</w:t>
      </w:r>
    </w:p>
    <w:p>
      <w:pPr>
        <w:spacing w:after="0" w:line="9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“I'm pleased with our 2012 financial and operational performance as we executed our multi-faceted growth strategies,” said ALLETE President, Chairman and CEO Al Hodnik. “Our year-end results were in the upper end of our $2.50 to $2.60 guidance range.”</w:t>
      </w:r>
    </w:p>
    <w:p>
      <w:pPr>
        <w:spacing w:after="0" w:line="35" w:lineRule="exact"/>
        <w:rPr>
          <w:sz w:val="20"/>
          <w:szCs w:val="20"/>
          <w:color w:val="auto"/>
        </w:rPr>
      </w:pPr>
    </w:p>
    <w:p>
      <w:pPr>
        <w:ind w:right="500"/>
        <w:spacing w:after="0" w:line="264" w:lineRule="auto"/>
        <w:rPr>
          <w:sz w:val="20"/>
          <w:szCs w:val="20"/>
          <w:color w:val="auto"/>
        </w:rPr>
      </w:pPr>
      <w:r>
        <w:rPr>
          <w:rFonts w:ascii="Arial" w:cs="Arial" w:eastAsia="Arial" w:hAnsi="Arial"/>
          <w:sz w:val="18"/>
          <w:szCs w:val="18"/>
          <w:color w:val="auto"/>
        </w:rPr>
        <w:t>Hodnik said he was confident in ALLETE's ability to deliver continued earnings growth in 2013. “We expect another strong year of energy sales as our regional economy grows and we will continue to make needed capital investments to ensure reliability and meet state renewable and environmental mandates.”</w:t>
      </w:r>
    </w:p>
    <w:p>
      <w:pPr>
        <w:spacing w:after="0" w:line="46"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ALLETE will host a conference call and webcast at 10:00 a.m. Eastern time today to discuss details of its financial performance for 2012, and its outlook for 2013. Interested parties may listen live by calling (877) 303-5852, or by accessing the webcast at www.allete.com. A replay of the call will be available through February 18, 2013 by calling (855) 859-2056, pass code 89501500.</w:t>
      </w:r>
    </w:p>
    <w:p>
      <w:pPr>
        <w:spacing w:after="0" w:line="4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ALLETE is an energy company headquartered in Duluth, Minn. ALLETE's energy businesses include Minnesota Power, Superior Water, Light &amp; Power Co., BNI Coal and ALLETE Clean Energy. More information about the company is available at www.allete.com.</w:t>
      </w:r>
    </w:p>
    <w:p>
      <w:pPr>
        <w:spacing w:after="0" w:line="35"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i w:val="1"/>
          <w:iCs w:val="1"/>
          <w:color w:val="auto"/>
        </w:rPr>
        <w:t>The statements contained in this release and statements that ALLETE may make orally in connection with this release that are not historical facts, are forward-looking statements. Actual results may differ materially from those projected in the forward-looking statements. These forward-looking statements involve risks and uncertainties and investors are directed to the risks discussed in documents filed by ALLETE with the Securities and Exchange Commission.</w:t>
      </w:r>
    </w:p>
    <w:p>
      <w:pPr>
        <w:spacing w:after="0" w:line="9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i w:val="1"/>
          <w:iCs w:val="1"/>
          <w:color w:val="auto"/>
        </w:rPr>
        <w:t>ALLETE's press releases and other communications may include certain non-Generally Accepted Accounting Principles (GAAP) financial measures. A "non-GAAP financial measure" is defined as a numerical measure of a company's financial performance, financial position or cash flows that excludes (or includes) amounts that are included in (or excluded from) the most directly comparable measure calculated and presented in accordance with GAAP in the company's financial statements.</w:t>
      </w:r>
    </w:p>
    <w:p>
      <w:pPr>
        <w:sectPr>
          <w:pgSz w:w="11900" w:h="16838" w:orient="portrait"/>
          <w:cols w:equalWidth="0" w:num="1">
            <w:col w:w="11400"/>
          </w:cols>
          <w:pgMar w:left="240" w:top="981" w:right="259" w:bottom="1440" w:gutter="0" w:footer="0" w:header="0"/>
          <w:type w:val="continuous"/>
        </w:sectPr>
      </w:pPr>
    </w:p>
    <w:bookmarkStart w:id="203" w:name="page204"/>
    <w:bookmarkEnd w:id="203"/>
    <w:p>
      <w:pPr>
        <w:spacing w:after="0" w:line="257" w:lineRule="auto"/>
        <w:rPr>
          <w:sz w:val="20"/>
          <w:szCs w:val="20"/>
          <w:color w:val="auto"/>
        </w:rPr>
      </w:pPr>
      <w:r>
        <w:rPr>
          <w:rFonts w:ascii="Arial" w:cs="Arial" w:eastAsia="Arial" w:hAnsi="Arial"/>
          <w:sz w:val="18"/>
          <w:szCs w:val="18"/>
          <w:i w:val="1"/>
          <w:iCs w:val="1"/>
          <w:color w:val="auto"/>
        </w:rPr>
        <w:t>Non-GAAP financial measures utilized by the Company include presentations of earnings (loss) per share. ALLETE's management believes that these non-GAAP financial measures provide useful information to investors by removing the effect of variances in GAAP reported results of operations that are not indicative of changes in the fundamental earnings power of the Company's operations. Management believes that the presentation of the non-GAAP financial measures is appropriate and enables investors and analysts to more accurately compare the company's ongoing financial performance over the periods presented.</w:t>
      </w:r>
    </w:p>
    <w:p>
      <w:pPr>
        <w:sectPr>
          <w:pgSz w:w="11900" w:h="16838" w:orient="portrait"/>
          <w:cols w:equalWidth="0" w:num="1">
            <w:col w:w="11360"/>
          </w:cols>
          <w:pgMar w:left="240" w:top="585" w:right="299" w:bottom="1440" w:gutter="0" w:footer="0" w:header="0"/>
        </w:sectPr>
      </w:pPr>
    </w:p>
    <w:bookmarkStart w:id="204" w:name="page205"/>
    <w:bookmarkEnd w:id="204"/>
    <w:p>
      <w:pPr>
        <w:ind w:left="5360"/>
        <w:spacing w:after="0"/>
        <w:rPr>
          <w:sz w:val="20"/>
          <w:szCs w:val="20"/>
          <w:color w:val="auto"/>
        </w:rPr>
      </w:pPr>
      <w:r>
        <w:rPr>
          <w:rFonts w:ascii="Arial" w:cs="Arial" w:eastAsia="Arial" w:hAnsi="Arial"/>
          <w:sz w:val="18"/>
          <w:szCs w:val="18"/>
          <w:b w:val="1"/>
          <w:bCs w:val="1"/>
          <w:color w:val="auto"/>
        </w:rPr>
        <w:t>ALLETE, Inc.</w:t>
      </w:r>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Consolidated Statement of Income</w:t>
      </w:r>
    </w:p>
    <w:p>
      <w:pPr>
        <w:spacing w:after="0" w:line="9"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For the Periods Ended December 31, 2012 and 2011</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Millions Except Per Share Amounts</w:t>
      </w:r>
    </w:p>
    <w:p>
      <w:pPr>
        <w:spacing w:after="0" w:line="153" w:lineRule="exact"/>
        <w:rPr>
          <w:sz w:val="20"/>
          <w:szCs w:val="20"/>
          <w:color w:val="auto"/>
        </w:rPr>
      </w:pPr>
    </w:p>
    <w:tbl>
      <w:tblPr>
        <w:tblLayout w:type="fixed"/>
        <w:tblInd w:w="500" w:type="dxa"/>
        <w:tblCellMar>
          <w:top w:w="0" w:type="dxa"/>
          <w:left w:w="0" w:type="dxa"/>
          <w:bottom w:w="0" w:type="dxa"/>
          <w:right w:w="0" w:type="dxa"/>
        </w:tblCellMar>
      </w:tblPr>
      <w:tr>
        <w:trPr>
          <w:trHeight w:val="234"/>
        </w:trPr>
        <w:tc>
          <w:tcPr>
            <w:tcW w:w="5480" w:type="dxa"/>
            <w:vAlign w:val="bottom"/>
          </w:tcPr>
          <w:p>
            <w:pPr>
              <w:spacing w:after="0"/>
              <w:rPr>
                <w:sz w:val="20"/>
                <w:szCs w:val="20"/>
                <w:color w:val="auto"/>
              </w:rPr>
            </w:pPr>
          </w:p>
        </w:tc>
        <w:tc>
          <w:tcPr>
            <w:tcW w:w="2940" w:type="dxa"/>
            <w:vAlign w:val="bottom"/>
            <w:gridSpan w:val="2"/>
          </w:tcPr>
          <w:p>
            <w:pPr>
              <w:jc w:val="right"/>
              <w:ind w:right="570"/>
              <w:spacing w:after="0"/>
              <w:rPr>
                <w:sz w:val="20"/>
                <w:szCs w:val="20"/>
                <w:color w:val="auto"/>
              </w:rPr>
            </w:pPr>
            <w:r>
              <w:rPr>
                <w:rFonts w:ascii="Arial" w:cs="Arial" w:eastAsia="Arial" w:hAnsi="Arial"/>
                <w:sz w:val="18"/>
                <w:szCs w:val="18"/>
                <w:b w:val="1"/>
                <w:bCs w:val="1"/>
                <w:color w:val="auto"/>
              </w:rPr>
              <w:t>Quarter Ended</w:t>
            </w:r>
          </w:p>
        </w:tc>
        <w:tc>
          <w:tcPr>
            <w:tcW w:w="2020" w:type="dxa"/>
            <w:vAlign w:val="bottom"/>
            <w:gridSpan w:val="2"/>
          </w:tcPr>
          <w:p>
            <w:pPr>
              <w:jc w:val="right"/>
              <w:ind w:right="510"/>
              <w:spacing w:after="0"/>
              <w:rPr>
                <w:sz w:val="20"/>
                <w:szCs w:val="20"/>
                <w:color w:val="auto"/>
              </w:rPr>
            </w:pPr>
            <w:r>
              <w:rPr>
                <w:rFonts w:ascii="Arial" w:cs="Arial" w:eastAsia="Arial" w:hAnsi="Arial"/>
                <w:sz w:val="18"/>
                <w:szCs w:val="18"/>
                <w:b w:val="1"/>
                <w:bCs w:val="1"/>
                <w:color w:val="auto"/>
              </w:rPr>
              <w:t>Year to Date</w:t>
            </w:r>
          </w:p>
        </w:tc>
      </w:tr>
      <w:tr>
        <w:trPr>
          <w:trHeight w:val="270"/>
        </w:trPr>
        <w:tc>
          <w:tcPr>
            <w:tcW w:w="5480" w:type="dxa"/>
            <w:vAlign w:val="bottom"/>
          </w:tcPr>
          <w:p>
            <w:pPr>
              <w:spacing w:after="0"/>
              <w:rPr>
                <w:sz w:val="23"/>
                <w:szCs w:val="23"/>
                <w:color w:val="auto"/>
              </w:rPr>
            </w:pPr>
          </w:p>
        </w:tc>
        <w:tc>
          <w:tcPr>
            <w:tcW w:w="19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2011</w:t>
            </w:r>
          </w:p>
        </w:tc>
        <w:tc>
          <w:tcPr>
            <w:tcW w:w="1060" w:type="dxa"/>
            <w:vAlign w:val="bottom"/>
          </w:tcPr>
          <w:p>
            <w:pPr>
              <w:jc w:val="right"/>
              <w:ind w:right="430"/>
              <w:spacing w:after="0"/>
              <w:rPr>
                <w:sz w:val="20"/>
                <w:szCs w:val="20"/>
                <w:color w:val="auto"/>
              </w:rPr>
            </w:pPr>
            <w:r>
              <w:rPr>
                <w:rFonts w:ascii="Arial" w:cs="Arial" w:eastAsia="Arial" w:hAnsi="Arial"/>
                <w:sz w:val="18"/>
                <w:szCs w:val="18"/>
                <w:b w:val="1"/>
                <w:bCs w:val="1"/>
                <w:color w:val="auto"/>
              </w:rPr>
              <w:t>2012</w:t>
            </w:r>
          </w:p>
        </w:tc>
        <w:tc>
          <w:tcPr>
            <w:tcW w:w="960" w:type="dxa"/>
            <w:vAlign w:val="bottom"/>
          </w:tcPr>
          <w:p>
            <w:pPr>
              <w:jc w:val="right"/>
              <w:ind w:right="310"/>
              <w:spacing w:after="0"/>
              <w:rPr>
                <w:sz w:val="20"/>
                <w:szCs w:val="20"/>
                <w:color w:val="auto"/>
              </w:rPr>
            </w:pPr>
            <w:r>
              <w:rPr>
                <w:rFonts w:ascii="Arial" w:cs="Arial" w:eastAsia="Arial" w:hAnsi="Arial"/>
                <w:sz w:val="18"/>
                <w:szCs w:val="18"/>
                <w:b w:val="1"/>
                <w:bCs w:val="1"/>
                <w:color w:val="auto"/>
              </w:rPr>
              <w:t>2011</w:t>
            </w:r>
          </w:p>
        </w:tc>
      </w:tr>
      <w:tr>
        <w:trPr>
          <w:trHeight w:val="27"/>
        </w:trPr>
        <w:tc>
          <w:tcPr>
            <w:tcW w:w="54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520"/>
        </w:trPr>
        <w:tc>
          <w:tcPr>
            <w:tcW w:w="5480" w:type="dxa"/>
            <w:vAlign w:val="bottom"/>
          </w:tcPr>
          <w:p>
            <w:pPr>
              <w:ind w:left="20"/>
              <w:spacing w:after="0"/>
              <w:rPr>
                <w:sz w:val="20"/>
                <w:szCs w:val="20"/>
                <w:color w:val="auto"/>
              </w:rPr>
            </w:pPr>
            <w:r>
              <w:rPr>
                <w:rFonts w:ascii="Arial" w:cs="Arial" w:eastAsia="Arial" w:hAnsi="Arial"/>
                <w:sz w:val="18"/>
                <w:szCs w:val="18"/>
                <w:b w:val="1"/>
                <w:bCs w:val="1"/>
                <w:color w:val="auto"/>
              </w:rPr>
              <w:t>Operating Revenue</w:t>
            </w:r>
          </w:p>
        </w:tc>
        <w:tc>
          <w:tcPr>
            <w:tcW w:w="1900" w:type="dxa"/>
            <w:vAlign w:val="bottom"/>
          </w:tcPr>
          <w:p>
            <w:pPr>
              <w:jc w:val="right"/>
              <w:ind w:right="110"/>
              <w:spacing w:after="0"/>
              <w:rPr>
                <w:sz w:val="20"/>
                <w:szCs w:val="20"/>
                <w:color w:val="auto"/>
              </w:rPr>
            </w:pPr>
            <w:r>
              <w:rPr>
                <w:rFonts w:ascii="Arial" w:cs="Arial" w:eastAsia="Arial" w:hAnsi="Arial"/>
                <w:sz w:val="18"/>
                <w:szCs w:val="18"/>
                <w:color w:val="auto"/>
              </w:rPr>
              <w:t>$256.0</w:t>
            </w: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$239.2</w:t>
            </w: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$961.2</w:t>
            </w:r>
          </w:p>
        </w:tc>
        <w:tc>
          <w:tcPr>
            <w:tcW w:w="960" w:type="dxa"/>
            <w:vAlign w:val="bottom"/>
          </w:tcPr>
          <w:p>
            <w:pPr>
              <w:jc w:val="right"/>
              <w:spacing w:after="0"/>
              <w:rPr>
                <w:sz w:val="20"/>
                <w:szCs w:val="20"/>
                <w:color w:val="auto"/>
              </w:rPr>
            </w:pPr>
            <w:r>
              <w:rPr>
                <w:rFonts w:ascii="Arial" w:cs="Arial" w:eastAsia="Arial" w:hAnsi="Arial"/>
                <w:sz w:val="18"/>
                <w:szCs w:val="18"/>
                <w:color w:val="auto"/>
              </w:rPr>
              <w:t>$928.2</w:t>
            </w:r>
          </w:p>
        </w:tc>
      </w:tr>
      <w:tr>
        <w:trPr>
          <w:trHeight w:val="27"/>
        </w:trPr>
        <w:tc>
          <w:tcPr>
            <w:tcW w:w="54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77"/>
        </w:trPr>
        <w:tc>
          <w:tcPr>
            <w:tcW w:w="5480" w:type="dxa"/>
            <w:vAlign w:val="bottom"/>
            <w:shd w:val="clear" w:color="auto" w:fill="CCEEFF"/>
          </w:tcPr>
          <w:p>
            <w:pPr>
              <w:spacing w:after="0"/>
              <w:rPr>
                <w:sz w:val="24"/>
                <w:szCs w:val="24"/>
                <w:color w:val="auto"/>
              </w:rPr>
            </w:pPr>
          </w:p>
        </w:tc>
        <w:tc>
          <w:tcPr>
            <w:tcW w:w="19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43"/>
        </w:trPr>
        <w:tc>
          <w:tcPr>
            <w:tcW w:w="5480" w:type="dxa"/>
            <w:vAlign w:val="bottom"/>
          </w:tcPr>
          <w:p>
            <w:pPr>
              <w:ind w:left="20"/>
              <w:spacing w:after="0"/>
              <w:rPr>
                <w:sz w:val="20"/>
                <w:szCs w:val="20"/>
                <w:color w:val="auto"/>
              </w:rPr>
            </w:pPr>
            <w:r>
              <w:rPr>
                <w:rFonts w:ascii="Arial" w:cs="Arial" w:eastAsia="Arial" w:hAnsi="Arial"/>
                <w:sz w:val="18"/>
                <w:szCs w:val="18"/>
                <w:b w:val="1"/>
                <w:bCs w:val="1"/>
                <w:color w:val="auto"/>
              </w:rPr>
              <w:t>Operating Expenses</w:t>
            </w:r>
          </w:p>
        </w:tc>
        <w:tc>
          <w:tcPr>
            <w:tcW w:w="19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54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4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Fuel and Purchased Power</w:t>
            </w:r>
          </w:p>
        </w:tc>
        <w:tc>
          <w:tcPr>
            <w:tcW w:w="19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80.0</w:t>
            </w: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76.8</w:t>
            </w:r>
          </w:p>
        </w:tc>
        <w:tc>
          <w:tcPr>
            <w:tcW w:w="10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308.7</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306.6</w:t>
            </w:r>
          </w:p>
        </w:tc>
      </w:tr>
      <w:tr>
        <w:trPr>
          <w:trHeight w:val="243"/>
        </w:trPr>
        <w:tc>
          <w:tcPr>
            <w:tcW w:w="5480" w:type="dxa"/>
            <w:vAlign w:val="bottom"/>
          </w:tcPr>
          <w:p>
            <w:pPr>
              <w:ind w:left="360"/>
              <w:spacing w:after="0"/>
              <w:rPr>
                <w:sz w:val="20"/>
                <w:szCs w:val="20"/>
                <w:color w:val="auto"/>
              </w:rPr>
            </w:pPr>
            <w:r>
              <w:rPr>
                <w:rFonts w:ascii="Arial" w:cs="Arial" w:eastAsia="Arial" w:hAnsi="Arial"/>
                <w:sz w:val="18"/>
                <w:szCs w:val="18"/>
                <w:color w:val="auto"/>
              </w:rPr>
              <w:t>Operating and Maintenance</w:t>
            </w:r>
          </w:p>
        </w:tc>
        <w:tc>
          <w:tcPr>
            <w:tcW w:w="1900" w:type="dxa"/>
            <w:vAlign w:val="bottom"/>
          </w:tcPr>
          <w:p>
            <w:pPr>
              <w:jc w:val="right"/>
              <w:ind w:right="110"/>
              <w:spacing w:after="0"/>
              <w:rPr>
                <w:sz w:val="20"/>
                <w:szCs w:val="20"/>
                <w:color w:val="auto"/>
              </w:rPr>
            </w:pPr>
            <w:r>
              <w:rPr>
                <w:rFonts w:ascii="Arial" w:cs="Arial" w:eastAsia="Arial" w:hAnsi="Arial"/>
                <w:sz w:val="18"/>
                <w:szCs w:val="18"/>
                <w:color w:val="auto"/>
              </w:rPr>
              <w:t>102.3</w:t>
            </w: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104.9</w:t>
            </w: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397.1</w:t>
            </w:r>
          </w:p>
        </w:tc>
        <w:tc>
          <w:tcPr>
            <w:tcW w:w="960" w:type="dxa"/>
            <w:vAlign w:val="bottom"/>
          </w:tcPr>
          <w:p>
            <w:pPr>
              <w:jc w:val="right"/>
              <w:spacing w:after="0"/>
              <w:rPr>
                <w:sz w:val="20"/>
                <w:szCs w:val="20"/>
                <w:color w:val="auto"/>
              </w:rPr>
            </w:pPr>
            <w:r>
              <w:rPr>
                <w:rFonts w:ascii="Arial" w:cs="Arial" w:eastAsia="Arial" w:hAnsi="Arial"/>
                <w:sz w:val="18"/>
                <w:szCs w:val="18"/>
                <w:color w:val="auto"/>
              </w:rPr>
              <w:t>381.2</w:t>
            </w:r>
          </w:p>
        </w:tc>
      </w:tr>
      <w:tr>
        <w:trPr>
          <w:trHeight w:val="27"/>
        </w:trPr>
        <w:tc>
          <w:tcPr>
            <w:tcW w:w="54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5"/>
        </w:trPr>
        <w:tc>
          <w:tcPr>
            <w:tcW w:w="54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Depreciation</w:t>
            </w:r>
          </w:p>
        </w:tc>
        <w:tc>
          <w:tcPr>
            <w:tcW w:w="19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25.8</w:t>
            </w: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23.3</w:t>
            </w:r>
          </w:p>
        </w:tc>
        <w:tc>
          <w:tcPr>
            <w:tcW w:w="10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100.2</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90.4</w:t>
            </w:r>
          </w:p>
        </w:tc>
      </w:tr>
      <w:tr>
        <w:trPr>
          <w:trHeight w:val="237"/>
        </w:trPr>
        <w:tc>
          <w:tcPr>
            <w:tcW w:w="5480" w:type="dxa"/>
            <w:vAlign w:val="bottom"/>
            <w:tcBorders>
              <w:top w:val="single" w:sz="8" w:color="auto"/>
            </w:tcBorders>
          </w:tcPr>
          <w:p>
            <w:pPr>
              <w:ind w:left="480"/>
              <w:spacing w:after="0"/>
              <w:rPr>
                <w:sz w:val="20"/>
                <w:szCs w:val="20"/>
                <w:color w:val="auto"/>
              </w:rPr>
            </w:pPr>
            <w:r>
              <w:rPr>
                <w:rFonts w:ascii="Arial" w:cs="Arial" w:eastAsia="Arial" w:hAnsi="Arial"/>
                <w:sz w:val="18"/>
                <w:szCs w:val="18"/>
                <w:color w:val="auto"/>
              </w:rPr>
              <w:t>Total Operating Expenses</w:t>
            </w:r>
          </w:p>
        </w:tc>
        <w:tc>
          <w:tcPr>
            <w:tcW w:w="19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208.1</w:t>
            </w:r>
          </w:p>
        </w:tc>
        <w:tc>
          <w:tcPr>
            <w:tcW w:w="104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205.0</w:t>
            </w:r>
          </w:p>
        </w:tc>
        <w:tc>
          <w:tcPr>
            <w:tcW w:w="106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806.0</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778.2</w:t>
            </w:r>
          </w:p>
        </w:tc>
      </w:tr>
      <w:tr>
        <w:trPr>
          <w:trHeight w:val="27"/>
        </w:trPr>
        <w:tc>
          <w:tcPr>
            <w:tcW w:w="54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84"/>
        </w:trPr>
        <w:tc>
          <w:tcPr>
            <w:tcW w:w="5480" w:type="dxa"/>
            <w:vAlign w:val="bottom"/>
            <w:shd w:val="clear" w:color="auto" w:fill="CCEEFF"/>
          </w:tcPr>
          <w:p>
            <w:pPr>
              <w:spacing w:after="0"/>
              <w:rPr>
                <w:sz w:val="24"/>
                <w:szCs w:val="24"/>
                <w:color w:val="auto"/>
              </w:rPr>
            </w:pPr>
          </w:p>
        </w:tc>
        <w:tc>
          <w:tcPr>
            <w:tcW w:w="19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43"/>
        </w:trPr>
        <w:tc>
          <w:tcPr>
            <w:tcW w:w="5480" w:type="dxa"/>
            <w:vAlign w:val="bottom"/>
          </w:tcPr>
          <w:p>
            <w:pPr>
              <w:ind w:left="20"/>
              <w:spacing w:after="0"/>
              <w:rPr>
                <w:sz w:val="20"/>
                <w:szCs w:val="20"/>
                <w:color w:val="auto"/>
              </w:rPr>
            </w:pPr>
            <w:r>
              <w:rPr>
                <w:rFonts w:ascii="Arial" w:cs="Arial" w:eastAsia="Arial" w:hAnsi="Arial"/>
                <w:sz w:val="18"/>
                <w:szCs w:val="18"/>
                <w:b w:val="1"/>
                <w:bCs w:val="1"/>
                <w:color w:val="auto"/>
              </w:rPr>
              <w:t>Operating Income</w:t>
            </w:r>
          </w:p>
        </w:tc>
        <w:tc>
          <w:tcPr>
            <w:tcW w:w="1900" w:type="dxa"/>
            <w:vAlign w:val="bottom"/>
          </w:tcPr>
          <w:p>
            <w:pPr>
              <w:jc w:val="right"/>
              <w:ind w:right="110"/>
              <w:spacing w:after="0"/>
              <w:rPr>
                <w:sz w:val="20"/>
                <w:szCs w:val="20"/>
                <w:color w:val="auto"/>
              </w:rPr>
            </w:pPr>
            <w:r>
              <w:rPr>
                <w:rFonts w:ascii="Arial" w:cs="Arial" w:eastAsia="Arial" w:hAnsi="Arial"/>
                <w:sz w:val="18"/>
                <w:szCs w:val="18"/>
                <w:color w:val="auto"/>
              </w:rPr>
              <w:t>47.9</w:t>
            </w: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34.2</w:t>
            </w: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155.2</w:t>
            </w:r>
          </w:p>
        </w:tc>
        <w:tc>
          <w:tcPr>
            <w:tcW w:w="960" w:type="dxa"/>
            <w:vAlign w:val="bottom"/>
          </w:tcPr>
          <w:p>
            <w:pPr>
              <w:jc w:val="right"/>
              <w:spacing w:after="0"/>
              <w:rPr>
                <w:sz w:val="20"/>
                <w:szCs w:val="20"/>
                <w:color w:val="auto"/>
              </w:rPr>
            </w:pPr>
            <w:r>
              <w:rPr>
                <w:rFonts w:ascii="Arial" w:cs="Arial" w:eastAsia="Arial" w:hAnsi="Arial"/>
                <w:sz w:val="18"/>
                <w:szCs w:val="18"/>
                <w:color w:val="auto"/>
              </w:rPr>
              <w:t>150.0</w:t>
            </w:r>
          </w:p>
        </w:tc>
      </w:tr>
      <w:tr>
        <w:trPr>
          <w:trHeight w:val="27"/>
        </w:trPr>
        <w:tc>
          <w:tcPr>
            <w:tcW w:w="54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77"/>
        </w:trPr>
        <w:tc>
          <w:tcPr>
            <w:tcW w:w="5480" w:type="dxa"/>
            <w:vAlign w:val="bottom"/>
            <w:shd w:val="clear" w:color="auto" w:fill="CCEEFF"/>
          </w:tcPr>
          <w:p>
            <w:pPr>
              <w:spacing w:after="0"/>
              <w:rPr>
                <w:sz w:val="24"/>
                <w:szCs w:val="24"/>
                <w:color w:val="auto"/>
              </w:rPr>
            </w:pPr>
          </w:p>
        </w:tc>
        <w:tc>
          <w:tcPr>
            <w:tcW w:w="19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43"/>
        </w:trPr>
        <w:tc>
          <w:tcPr>
            <w:tcW w:w="5480" w:type="dxa"/>
            <w:vAlign w:val="bottom"/>
          </w:tcPr>
          <w:p>
            <w:pPr>
              <w:ind w:left="20"/>
              <w:spacing w:after="0"/>
              <w:rPr>
                <w:sz w:val="20"/>
                <w:szCs w:val="20"/>
                <w:color w:val="auto"/>
              </w:rPr>
            </w:pPr>
            <w:r>
              <w:rPr>
                <w:rFonts w:ascii="Arial" w:cs="Arial" w:eastAsia="Arial" w:hAnsi="Arial"/>
                <w:sz w:val="18"/>
                <w:szCs w:val="18"/>
                <w:b w:val="1"/>
                <w:bCs w:val="1"/>
                <w:color w:val="auto"/>
              </w:rPr>
              <w:t>Other Income (Expense)</w:t>
            </w:r>
          </w:p>
        </w:tc>
        <w:tc>
          <w:tcPr>
            <w:tcW w:w="19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54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4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Interest Expense</w:t>
            </w:r>
          </w:p>
        </w:tc>
        <w:tc>
          <w:tcPr>
            <w:tcW w:w="19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(12.1)</w:t>
            </w: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(11.0)</w:t>
            </w:r>
          </w:p>
        </w:tc>
        <w:tc>
          <w:tcPr>
            <w:tcW w:w="10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(45.5)</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(43.6)</w:t>
            </w:r>
          </w:p>
        </w:tc>
      </w:tr>
      <w:tr>
        <w:trPr>
          <w:trHeight w:val="243"/>
        </w:trPr>
        <w:tc>
          <w:tcPr>
            <w:tcW w:w="5480" w:type="dxa"/>
            <w:vAlign w:val="bottom"/>
          </w:tcPr>
          <w:p>
            <w:pPr>
              <w:ind w:left="360"/>
              <w:spacing w:after="0"/>
              <w:rPr>
                <w:sz w:val="20"/>
                <w:szCs w:val="20"/>
                <w:color w:val="auto"/>
              </w:rPr>
            </w:pPr>
            <w:r>
              <w:rPr>
                <w:rFonts w:ascii="Arial" w:cs="Arial" w:eastAsia="Arial" w:hAnsi="Arial"/>
                <w:sz w:val="18"/>
                <w:szCs w:val="18"/>
                <w:color w:val="auto"/>
              </w:rPr>
              <w:t>Equity Earnings in ATC</w:t>
            </w:r>
          </w:p>
        </w:tc>
        <w:tc>
          <w:tcPr>
            <w:tcW w:w="1900" w:type="dxa"/>
            <w:vAlign w:val="bottom"/>
          </w:tcPr>
          <w:p>
            <w:pPr>
              <w:jc w:val="right"/>
              <w:ind w:right="110"/>
              <w:spacing w:after="0"/>
              <w:rPr>
                <w:sz w:val="20"/>
                <w:szCs w:val="20"/>
                <w:color w:val="auto"/>
              </w:rPr>
            </w:pPr>
            <w:r>
              <w:rPr>
                <w:rFonts w:ascii="Arial" w:cs="Arial" w:eastAsia="Arial" w:hAnsi="Arial"/>
                <w:sz w:val="18"/>
                <w:szCs w:val="18"/>
                <w:color w:val="auto"/>
              </w:rPr>
              <w:t>5.1</w:t>
            </w: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4.7</w:t>
            </w: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19.4</w:t>
            </w:r>
          </w:p>
        </w:tc>
        <w:tc>
          <w:tcPr>
            <w:tcW w:w="960" w:type="dxa"/>
            <w:vAlign w:val="bottom"/>
          </w:tcPr>
          <w:p>
            <w:pPr>
              <w:jc w:val="right"/>
              <w:spacing w:after="0"/>
              <w:rPr>
                <w:sz w:val="20"/>
                <w:szCs w:val="20"/>
                <w:color w:val="auto"/>
              </w:rPr>
            </w:pPr>
            <w:r>
              <w:rPr>
                <w:rFonts w:ascii="Arial" w:cs="Arial" w:eastAsia="Arial" w:hAnsi="Arial"/>
                <w:sz w:val="18"/>
                <w:szCs w:val="18"/>
                <w:color w:val="auto"/>
              </w:rPr>
              <w:t>18.4</w:t>
            </w:r>
          </w:p>
        </w:tc>
      </w:tr>
      <w:tr>
        <w:trPr>
          <w:trHeight w:val="27"/>
        </w:trPr>
        <w:tc>
          <w:tcPr>
            <w:tcW w:w="54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5"/>
        </w:trPr>
        <w:tc>
          <w:tcPr>
            <w:tcW w:w="54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19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2.6</w:t>
            </w: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2.1</w:t>
            </w:r>
          </w:p>
        </w:tc>
        <w:tc>
          <w:tcPr>
            <w:tcW w:w="10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6.0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37"/>
        </w:trPr>
        <w:tc>
          <w:tcPr>
            <w:tcW w:w="5480" w:type="dxa"/>
            <w:vAlign w:val="bottom"/>
            <w:tcBorders>
              <w:top w:val="single" w:sz="8" w:color="auto"/>
            </w:tcBorders>
          </w:tcPr>
          <w:p>
            <w:pPr>
              <w:ind w:left="480"/>
              <w:spacing w:after="0"/>
              <w:rPr>
                <w:sz w:val="20"/>
                <w:szCs w:val="20"/>
                <w:color w:val="auto"/>
              </w:rPr>
            </w:pPr>
            <w:r>
              <w:rPr>
                <w:rFonts w:ascii="Arial" w:cs="Arial" w:eastAsia="Arial" w:hAnsi="Arial"/>
                <w:sz w:val="18"/>
                <w:szCs w:val="18"/>
                <w:color w:val="auto"/>
              </w:rPr>
              <w:t>Total Other Expense</w:t>
            </w:r>
          </w:p>
        </w:tc>
        <w:tc>
          <w:tcPr>
            <w:tcW w:w="19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(4.4)</w:t>
            </w:r>
          </w:p>
        </w:tc>
        <w:tc>
          <w:tcPr>
            <w:tcW w:w="104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(4.2)</w:t>
            </w:r>
          </w:p>
        </w:tc>
        <w:tc>
          <w:tcPr>
            <w:tcW w:w="106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(20.1)</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(20.8)</w:t>
            </w:r>
          </w:p>
        </w:tc>
      </w:tr>
      <w:tr>
        <w:trPr>
          <w:trHeight w:val="27"/>
        </w:trPr>
        <w:tc>
          <w:tcPr>
            <w:tcW w:w="54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77"/>
        </w:trPr>
        <w:tc>
          <w:tcPr>
            <w:tcW w:w="5480" w:type="dxa"/>
            <w:vAlign w:val="bottom"/>
            <w:shd w:val="clear" w:color="auto" w:fill="CCEEFF"/>
          </w:tcPr>
          <w:p>
            <w:pPr>
              <w:spacing w:after="0"/>
              <w:rPr>
                <w:sz w:val="24"/>
                <w:szCs w:val="24"/>
                <w:color w:val="auto"/>
              </w:rPr>
            </w:pPr>
          </w:p>
        </w:tc>
        <w:tc>
          <w:tcPr>
            <w:tcW w:w="19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43"/>
        </w:trPr>
        <w:tc>
          <w:tcPr>
            <w:tcW w:w="5480" w:type="dxa"/>
            <w:vAlign w:val="bottom"/>
          </w:tcPr>
          <w:p>
            <w:pPr>
              <w:ind w:left="20"/>
              <w:spacing w:after="0"/>
              <w:rPr>
                <w:sz w:val="20"/>
                <w:szCs w:val="20"/>
                <w:color w:val="auto"/>
              </w:rPr>
            </w:pPr>
            <w:r>
              <w:rPr>
                <w:rFonts w:ascii="Arial" w:cs="Arial" w:eastAsia="Arial" w:hAnsi="Arial"/>
                <w:sz w:val="18"/>
                <w:szCs w:val="18"/>
                <w:b w:val="1"/>
                <w:bCs w:val="1"/>
                <w:color w:val="auto"/>
              </w:rPr>
              <w:t>Income Before Non-Controlling Interest and Income Taxes</w:t>
            </w:r>
          </w:p>
        </w:tc>
        <w:tc>
          <w:tcPr>
            <w:tcW w:w="1900" w:type="dxa"/>
            <w:vAlign w:val="bottom"/>
          </w:tcPr>
          <w:p>
            <w:pPr>
              <w:jc w:val="right"/>
              <w:ind w:right="110"/>
              <w:spacing w:after="0"/>
              <w:rPr>
                <w:sz w:val="20"/>
                <w:szCs w:val="20"/>
                <w:color w:val="auto"/>
              </w:rPr>
            </w:pPr>
            <w:r>
              <w:rPr>
                <w:rFonts w:ascii="Arial" w:cs="Arial" w:eastAsia="Arial" w:hAnsi="Arial"/>
                <w:sz w:val="18"/>
                <w:szCs w:val="18"/>
                <w:color w:val="auto"/>
              </w:rPr>
              <w:t>43.5</w:t>
            </w: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30.0</w:t>
            </w: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135.1</w:t>
            </w:r>
          </w:p>
        </w:tc>
        <w:tc>
          <w:tcPr>
            <w:tcW w:w="960" w:type="dxa"/>
            <w:vAlign w:val="bottom"/>
          </w:tcPr>
          <w:p>
            <w:pPr>
              <w:jc w:val="right"/>
              <w:spacing w:after="0"/>
              <w:rPr>
                <w:sz w:val="20"/>
                <w:szCs w:val="20"/>
                <w:color w:val="auto"/>
              </w:rPr>
            </w:pPr>
            <w:r>
              <w:rPr>
                <w:rFonts w:ascii="Arial" w:cs="Arial" w:eastAsia="Arial" w:hAnsi="Arial"/>
                <w:sz w:val="18"/>
                <w:szCs w:val="18"/>
                <w:color w:val="auto"/>
              </w:rPr>
              <w:t>129.2</w:t>
            </w:r>
          </w:p>
        </w:tc>
      </w:tr>
      <w:tr>
        <w:trPr>
          <w:trHeight w:val="27"/>
        </w:trPr>
        <w:tc>
          <w:tcPr>
            <w:tcW w:w="54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5"/>
        </w:trPr>
        <w:tc>
          <w:tcPr>
            <w:tcW w:w="5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Income Tax Expense</w:t>
            </w:r>
          </w:p>
        </w:tc>
        <w:tc>
          <w:tcPr>
            <w:tcW w:w="19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14.6</w:t>
            </w: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10.9</w:t>
            </w:r>
          </w:p>
        </w:tc>
        <w:tc>
          <w:tcPr>
            <w:tcW w:w="10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38.0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35.6</w:t>
            </w:r>
          </w:p>
        </w:tc>
      </w:tr>
      <w:tr>
        <w:trPr>
          <w:trHeight w:val="237"/>
        </w:trPr>
        <w:tc>
          <w:tcPr>
            <w:tcW w:w="548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Net Income</w:t>
            </w:r>
          </w:p>
        </w:tc>
        <w:tc>
          <w:tcPr>
            <w:tcW w:w="19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28.9</w:t>
            </w:r>
          </w:p>
        </w:tc>
        <w:tc>
          <w:tcPr>
            <w:tcW w:w="104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19.1</w:t>
            </w:r>
          </w:p>
        </w:tc>
        <w:tc>
          <w:tcPr>
            <w:tcW w:w="106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97.1</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93.6</w:t>
            </w:r>
          </w:p>
        </w:tc>
      </w:tr>
      <w:tr>
        <w:trPr>
          <w:trHeight w:val="27"/>
        </w:trPr>
        <w:tc>
          <w:tcPr>
            <w:tcW w:w="54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9"/>
        </w:trPr>
        <w:tc>
          <w:tcPr>
            <w:tcW w:w="54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Less: Non-Controlling Interest in Subsidiaries</w:t>
            </w:r>
          </w:p>
        </w:tc>
        <w:tc>
          <w:tcPr>
            <w:tcW w:w="19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37"/>
        </w:trPr>
        <w:tc>
          <w:tcPr>
            <w:tcW w:w="548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Net Income Attributable to ALLETE</w:t>
            </w:r>
          </w:p>
        </w:tc>
        <w:tc>
          <w:tcPr>
            <w:tcW w:w="19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28.9</w:t>
            </w:r>
          </w:p>
        </w:tc>
        <w:tc>
          <w:tcPr>
            <w:tcW w:w="104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$19.1</w:t>
            </w:r>
          </w:p>
        </w:tc>
        <w:tc>
          <w:tcPr>
            <w:tcW w:w="106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$97.1</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$93.8</w:t>
            </w:r>
          </w:p>
        </w:tc>
      </w:tr>
      <w:tr>
        <w:trPr>
          <w:trHeight w:val="27"/>
        </w:trPr>
        <w:tc>
          <w:tcPr>
            <w:tcW w:w="54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77"/>
        </w:trPr>
        <w:tc>
          <w:tcPr>
            <w:tcW w:w="5480" w:type="dxa"/>
            <w:vAlign w:val="bottom"/>
            <w:shd w:val="clear" w:color="auto" w:fill="CCEEFF"/>
          </w:tcPr>
          <w:p>
            <w:pPr>
              <w:spacing w:after="0"/>
              <w:rPr>
                <w:sz w:val="24"/>
                <w:szCs w:val="24"/>
                <w:color w:val="auto"/>
              </w:rPr>
            </w:pPr>
          </w:p>
        </w:tc>
        <w:tc>
          <w:tcPr>
            <w:tcW w:w="19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43"/>
        </w:trPr>
        <w:tc>
          <w:tcPr>
            <w:tcW w:w="5480" w:type="dxa"/>
            <w:vAlign w:val="bottom"/>
          </w:tcPr>
          <w:p>
            <w:pPr>
              <w:ind w:left="20"/>
              <w:spacing w:after="0"/>
              <w:rPr>
                <w:sz w:val="20"/>
                <w:szCs w:val="20"/>
                <w:color w:val="auto"/>
              </w:rPr>
            </w:pPr>
            <w:r>
              <w:rPr>
                <w:rFonts w:ascii="Arial" w:cs="Arial" w:eastAsia="Arial" w:hAnsi="Arial"/>
                <w:sz w:val="18"/>
                <w:szCs w:val="18"/>
                <w:b w:val="1"/>
                <w:bCs w:val="1"/>
                <w:color w:val="auto"/>
              </w:rPr>
              <w:t>Average Shares of Common Stock</w:t>
            </w:r>
          </w:p>
        </w:tc>
        <w:tc>
          <w:tcPr>
            <w:tcW w:w="19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54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4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19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38.5</w:t>
            </w:r>
          </w:p>
        </w:tc>
        <w:tc>
          <w:tcPr>
            <w:tcW w:w="10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36.0</w:t>
            </w:r>
          </w:p>
        </w:tc>
        <w:tc>
          <w:tcPr>
            <w:tcW w:w="10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37.6</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35.3</w:t>
            </w:r>
          </w:p>
        </w:tc>
      </w:tr>
      <w:tr>
        <w:trPr>
          <w:trHeight w:val="243"/>
        </w:trPr>
        <w:tc>
          <w:tcPr>
            <w:tcW w:w="5480" w:type="dxa"/>
            <w:vAlign w:val="bottom"/>
          </w:tcPr>
          <w:p>
            <w:pPr>
              <w:ind w:left="360"/>
              <w:spacing w:after="0"/>
              <w:rPr>
                <w:sz w:val="20"/>
                <w:szCs w:val="20"/>
                <w:color w:val="auto"/>
              </w:rPr>
            </w:pPr>
            <w:r>
              <w:rPr>
                <w:rFonts w:ascii="Arial" w:cs="Arial" w:eastAsia="Arial" w:hAnsi="Arial"/>
                <w:sz w:val="18"/>
                <w:szCs w:val="18"/>
                <w:color w:val="auto"/>
              </w:rPr>
              <w:t>Diluted</w:t>
            </w:r>
          </w:p>
        </w:tc>
        <w:tc>
          <w:tcPr>
            <w:tcW w:w="1900" w:type="dxa"/>
            <w:vAlign w:val="bottom"/>
          </w:tcPr>
          <w:p>
            <w:pPr>
              <w:jc w:val="right"/>
              <w:ind w:right="190"/>
              <w:spacing w:after="0"/>
              <w:rPr>
                <w:sz w:val="20"/>
                <w:szCs w:val="20"/>
                <w:color w:val="auto"/>
              </w:rPr>
            </w:pPr>
            <w:r>
              <w:rPr>
                <w:rFonts w:ascii="Arial" w:cs="Arial" w:eastAsia="Arial" w:hAnsi="Arial"/>
                <w:sz w:val="18"/>
                <w:szCs w:val="18"/>
                <w:color w:val="auto"/>
              </w:rPr>
              <w:t>38.6</w:t>
            </w:r>
          </w:p>
        </w:tc>
        <w:tc>
          <w:tcPr>
            <w:tcW w:w="1040" w:type="dxa"/>
            <w:vAlign w:val="bottom"/>
          </w:tcPr>
          <w:p>
            <w:pPr>
              <w:jc w:val="right"/>
              <w:ind w:right="170"/>
              <w:spacing w:after="0"/>
              <w:rPr>
                <w:sz w:val="20"/>
                <w:szCs w:val="20"/>
                <w:color w:val="auto"/>
              </w:rPr>
            </w:pPr>
            <w:r>
              <w:rPr>
                <w:rFonts w:ascii="Arial" w:cs="Arial" w:eastAsia="Arial" w:hAnsi="Arial"/>
                <w:sz w:val="18"/>
                <w:szCs w:val="18"/>
                <w:color w:val="auto"/>
              </w:rPr>
              <w:t>36.1</w:t>
            </w:r>
          </w:p>
        </w:tc>
        <w:tc>
          <w:tcPr>
            <w:tcW w:w="1060" w:type="dxa"/>
            <w:vAlign w:val="bottom"/>
          </w:tcPr>
          <w:p>
            <w:pPr>
              <w:jc w:val="right"/>
              <w:ind w:right="190"/>
              <w:spacing w:after="0"/>
              <w:rPr>
                <w:sz w:val="20"/>
                <w:szCs w:val="20"/>
                <w:color w:val="auto"/>
              </w:rPr>
            </w:pPr>
            <w:r>
              <w:rPr>
                <w:rFonts w:ascii="Arial" w:cs="Arial" w:eastAsia="Arial" w:hAnsi="Arial"/>
                <w:sz w:val="18"/>
                <w:szCs w:val="18"/>
                <w:color w:val="auto"/>
              </w:rPr>
              <w:t>37.6</w:t>
            </w:r>
          </w:p>
        </w:tc>
        <w:tc>
          <w:tcPr>
            <w:tcW w:w="960" w:type="dxa"/>
            <w:vAlign w:val="bottom"/>
          </w:tcPr>
          <w:p>
            <w:pPr>
              <w:jc w:val="right"/>
              <w:spacing w:after="0"/>
              <w:rPr>
                <w:sz w:val="20"/>
                <w:szCs w:val="20"/>
                <w:color w:val="auto"/>
              </w:rPr>
            </w:pPr>
            <w:r>
              <w:rPr>
                <w:rFonts w:ascii="Arial" w:cs="Arial" w:eastAsia="Arial" w:hAnsi="Arial"/>
                <w:sz w:val="18"/>
                <w:szCs w:val="18"/>
                <w:color w:val="auto"/>
              </w:rPr>
              <w:t>35.4</w:t>
            </w:r>
          </w:p>
        </w:tc>
      </w:tr>
      <w:tr>
        <w:trPr>
          <w:trHeight w:val="27"/>
        </w:trPr>
        <w:tc>
          <w:tcPr>
            <w:tcW w:w="54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77"/>
        </w:trPr>
        <w:tc>
          <w:tcPr>
            <w:tcW w:w="5480" w:type="dxa"/>
            <w:vAlign w:val="bottom"/>
            <w:shd w:val="clear" w:color="auto" w:fill="CCEEFF"/>
          </w:tcPr>
          <w:p>
            <w:pPr>
              <w:spacing w:after="0"/>
              <w:rPr>
                <w:sz w:val="24"/>
                <w:szCs w:val="24"/>
                <w:color w:val="auto"/>
              </w:rPr>
            </w:pPr>
          </w:p>
        </w:tc>
        <w:tc>
          <w:tcPr>
            <w:tcW w:w="19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43"/>
        </w:trPr>
        <w:tc>
          <w:tcPr>
            <w:tcW w:w="5480" w:type="dxa"/>
            <w:vAlign w:val="bottom"/>
          </w:tcPr>
          <w:p>
            <w:pPr>
              <w:ind w:left="20"/>
              <w:spacing w:after="0"/>
              <w:rPr>
                <w:sz w:val="20"/>
                <w:szCs w:val="20"/>
                <w:color w:val="auto"/>
              </w:rPr>
            </w:pPr>
            <w:r>
              <w:rPr>
                <w:rFonts w:ascii="Arial" w:cs="Arial" w:eastAsia="Arial" w:hAnsi="Arial"/>
                <w:sz w:val="18"/>
                <w:szCs w:val="18"/>
                <w:b w:val="1"/>
                <w:bCs w:val="1"/>
                <w:color w:val="auto"/>
              </w:rPr>
              <w:t>Basic Earnings Per Share of Common Stock</w:t>
            </w:r>
          </w:p>
        </w:tc>
        <w:tc>
          <w:tcPr>
            <w:tcW w:w="1900" w:type="dxa"/>
            <w:vAlign w:val="bottom"/>
          </w:tcPr>
          <w:p>
            <w:pPr>
              <w:jc w:val="right"/>
              <w:ind w:right="110"/>
              <w:spacing w:after="0"/>
              <w:rPr>
                <w:sz w:val="20"/>
                <w:szCs w:val="20"/>
                <w:color w:val="auto"/>
              </w:rPr>
            </w:pPr>
            <w:r>
              <w:rPr>
                <w:rFonts w:ascii="Arial" w:cs="Arial" w:eastAsia="Arial" w:hAnsi="Arial"/>
                <w:sz w:val="18"/>
                <w:szCs w:val="18"/>
                <w:color w:val="auto"/>
              </w:rPr>
              <w:t>$0.76</w:t>
            </w: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$0.53</w:t>
            </w: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$2.59</w:t>
            </w:r>
          </w:p>
        </w:tc>
        <w:tc>
          <w:tcPr>
            <w:tcW w:w="960" w:type="dxa"/>
            <w:vAlign w:val="bottom"/>
          </w:tcPr>
          <w:p>
            <w:pPr>
              <w:jc w:val="right"/>
              <w:spacing w:after="0"/>
              <w:rPr>
                <w:sz w:val="20"/>
                <w:szCs w:val="20"/>
                <w:color w:val="auto"/>
              </w:rPr>
            </w:pPr>
            <w:r>
              <w:rPr>
                <w:rFonts w:ascii="Arial" w:cs="Arial" w:eastAsia="Arial" w:hAnsi="Arial"/>
                <w:sz w:val="18"/>
                <w:szCs w:val="18"/>
                <w:color w:val="auto"/>
              </w:rPr>
              <w:t>$2.66</w:t>
            </w:r>
          </w:p>
        </w:tc>
      </w:tr>
      <w:tr>
        <w:trPr>
          <w:trHeight w:val="27"/>
        </w:trPr>
        <w:tc>
          <w:tcPr>
            <w:tcW w:w="54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Diluted Earnings Per Share of Common Stock</w:t>
            </w:r>
          </w:p>
        </w:tc>
        <w:tc>
          <w:tcPr>
            <w:tcW w:w="19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$0.75</w:t>
            </w: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$0.53</w:t>
            </w:r>
          </w:p>
        </w:tc>
        <w:tc>
          <w:tcPr>
            <w:tcW w:w="10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$2.58</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w:t>
            </w:r>
          </w:p>
        </w:tc>
      </w:tr>
      <w:tr>
        <w:trPr>
          <w:trHeight w:val="284"/>
        </w:trPr>
        <w:tc>
          <w:tcPr>
            <w:tcW w:w="54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50"/>
        </w:trPr>
        <w:tc>
          <w:tcPr>
            <w:tcW w:w="5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Dividends Per Share of Common Stock</w:t>
            </w:r>
          </w:p>
        </w:tc>
        <w:tc>
          <w:tcPr>
            <w:tcW w:w="19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$0.46</w:t>
            </w: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$0.445</w:t>
            </w:r>
          </w:p>
        </w:tc>
        <w:tc>
          <w:tcPr>
            <w:tcW w:w="10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$1.84</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w:t>
            </w:r>
          </w:p>
        </w:tc>
      </w:tr>
      <w:tr>
        <w:trPr>
          <w:trHeight w:val="20"/>
        </w:trPr>
        <w:tc>
          <w:tcPr>
            <w:tcW w:w="5480" w:type="dxa"/>
            <w:vAlign w:val="bottom"/>
            <w:shd w:val="clear" w:color="auto" w:fill="000000"/>
          </w:tcPr>
          <w:p>
            <w:pPr>
              <w:spacing w:after="0" w:line="20" w:lineRule="exact"/>
              <w:rPr>
                <w:sz w:val="1"/>
                <w:szCs w:val="1"/>
                <w:color w:val="auto"/>
              </w:rPr>
            </w:pPr>
          </w:p>
        </w:tc>
        <w:tc>
          <w:tcPr>
            <w:tcW w:w="19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r>
    </w:tbl>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w:t>
      </w:r>
    </w:p>
    <w:p>
      <w:pPr>
        <w:jc w:val="center"/>
        <w:spacing w:after="0"/>
        <w:rPr>
          <w:sz w:val="20"/>
          <w:szCs w:val="20"/>
          <w:color w:val="auto"/>
        </w:rPr>
      </w:pPr>
      <w:r>
        <w:rPr>
          <w:rFonts w:ascii="Arial" w:cs="Arial" w:eastAsia="Arial" w:hAnsi="Arial"/>
          <w:sz w:val="18"/>
          <w:szCs w:val="18"/>
          <w:color w:val="auto"/>
        </w:rPr>
        <w:t>Millions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80" w:type="dxa"/>
            <w:vAlign w:val="bottom"/>
          </w:tcPr>
          <w:p>
            <w:pPr>
              <w:spacing w:after="0"/>
              <w:rPr>
                <w:sz w:val="20"/>
                <w:szCs w:val="20"/>
                <w:color w:val="auto"/>
              </w:rPr>
            </w:pPr>
          </w:p>
        </w:tc>
        <w:tc>
          <w:tcPr>
            <w:tcW w:w="1200" w:type="dxa"/>
            <w:vAlign w:val="bottom"/>
          </w:tcPr>
          <w:p>
            <w:pPr>
              <w:jc w:val="right"/>
              <w:ind w:right="210"/>
              <w:spacing w:after="0"/>
              <w:rPr>
                <w:sz w:val="20"/>
                <w:szCs w:val="20"/>
                <w:color w:val="auto"/>
              </w:rPr>
            </w:pPr>
            <w:r>
              <w:rPr>
                <w:rFonts w:ascii="Arial" w:cs="Arial" w:eastAsia="Arial" w:hAnsi="Arial"/>
                <w:sz w:val="18"/>
                <w:szCs w:val="18"/>
                <w:b w:val="1"/>
                <w:bCs w:val="1"/>
                <w:color w:val="auto"/>
              </w:rPr>
              <w:t>Dec. 31,</w:t>
            </w:r>
          </w:p>
        </w:tc>
        <w:tc>
          <w:tcPr>
            <w:tcW w:w="1000" w:type="dxa"/>
            <w:vAlign w:val="bottom"/>
          </w:tcPr>
          <w:p>
            <w:pPr>
              <w:jc w:val="right"/>
              <w:ind w:right="170"/>
              <w:spacing w:after="0"/>
              <w:rPr>
                <w:sz w:val="20"/>
                <w:szCs w:val="20"/>
                <w:color w:val="auto"/>
              </w:rPr>
            </w:pPr>
            <w:r>
              <w:rPr>
                <w:rFonts w:ascii="Arial" w:cs="Arial" w:eastAsia="Arial" w:hAnsi="Arial"/>
                <w:sz w:val="18"/>
                <w:szCs w:val="18"/>
                <w:b w:val="1"/>
                <w:bCs w:val="1"/>
                <w:color w:val="auto"/>
              </w:rPr>
              <w:t>Dec. 31,</w:t>
            </w:r>
          </w:p>
        </w:tc>
        <w:tc>
          <w:tcPr>
            <w:tcW w:w="4380" w:type="dxa"/>
            <w:vAlign w:val="bottom"/>
          </w:tcPr>
          <w:p>
            <w:pPr>
              <w:spacing w:after="0"/>
              <w:rPr>
                <w:sz w:val="20"/>
                <w:szCs w:val="20"/>
                <w:color w:val="auto"/>
              </w:rPr>
            </w:pPr>
          </w:p>
        </w:tc>
        <w:tc>
          <w:tcPr>
            <w:tcW w:w="1120" w:type="dxa"/>
            <w:vAlign w:val="bottom"/>
          </w:tcPr>
          <w:p>
            <w:pPr>
              <w:jc w:val="right"/>
              <w:ind w:right="210"/>
              <w:spacing w:after="0"/>
              <w:rPr>
                <w:sz w:val="20"/>
                <w:szCs w:val="20"/>
                <w:color w:val="auto"/>
              </w:rPr>
            </w:pPr>
            <w:r>
              <w:rPr>
                <w:rFonts w:ascii="Arial" w:cs="Arial" w:eastAsia="Arial" w:hAnsi="Arial"/>
                <w:sz w:val="18"/>
                <w:szCs w:val="18"/>
                <w:b w:val="1"/>
                <w:bCs w:val="1"/>
                <w:color w:val="auto"/>
              </w:rPr>
              <w:t>Dec. 31,</w:t>
            </w:r>
          </w:p>
        </w:tc>
        <w:tc>
          <w:tcPr>
            <w:tcW w:w="940" w:type="dxa"/>
            <w:vAlign w:val="bottom"/>
          </w:tcPr>
          <w:p>
            <w:pPr>
              <w:jc w:val="right"/>
              <w:ind w:right="130"/>
              <w:spacing w:after="0"/>
              <w:rPr>
                <w:sz w:val="20"/>
                <w:szCs w:val="20"/>
                <w:color w:val="auto"/>
              </w:rPr>
            </w:pPr>
            <w:r>
              <w:rPr>
                <w:rFonts w:ascii="Arial" w:cs="Arial" w:eastAsia="Arial" w:hAnsi="Arial"/>
                <w:sz w:val="18"/>
                <w:szCs w:val="18"/>
                <w:b w:val="1"/>
                <w:bCs w:val="1"/>
                <w:color w:val="auto"/>
              </w:rPr>
              <w:t>Dec. 31,</w:t>
            </w:r>
          </w:p>
        </w:tc>
        <w:tc>
          <w:tcPr>
            <w:tcW w:w="0" w:type="dxa"/>
            <w:vAlign w:val="bottom"/>
          </w:tcPr>
          <w:p>
            <w:pPr>
              <w:spacing w:after="0"/>
              <w:rPr>
                <w:sz w:val="1"/>
                <w:szCs w:val="1"/>
                <w:color w:val="auto"/>
              </w:rPr>
            </w:pPr>
          </w:p>
        </w:tc>
      </w:tr>
      <w:tr>
        <w:trPr>
          <w:trHeight w:val="270"/>
        </w:trPr>
        <w:tc>
          <w:tcPr>
            <w:tcW w:w="2780" w:type="dxa"/>
            <w:vAlign w:val="bottom"/>
          </w:tcPr>
          <w:p>
            <w:pPr>
              <w:spacing w:after="0"/>
              <w:rPr>
                <w:sz w:val="23"/>
                <w:szCs w:val="23"/>
                <w:color w:val="auto"/>
              </w:rPr>
            </w:pPr>
          </w:p>
        </w:tc>
        <w:tc>
          <w:tcPr>
            <w:tcW w:w="1200" w:type="dxa"/>
            <w:vAlign w:val="bottom"/>
          </w:tcPr>
          <w:p>
            <w:pPr>
              <w:jc w:val="right"/>
              <w:ind w:right="330"/>
              <w:spacing w:after="0"/>
              <w:rPr>
                <w:sz w:val="20"/>
                <w:szCs w:val="20"/>
                <w:color w:val="auto"/>
              </w:rPr>
            </w:pPr>
            <w:r>
              <w:rPr>
                <w:rFonts w:ascii="Arial" w:cs="Arial" w:eastAsia="Arial" w:hAnsi="Arial"/>
                <w:sz w:val="18"/>
                <w:szCs w:val="18"/>
                <w:b w:val="1"/>
                <w:bCs w:val="1"/>
                <w:color w:val="auto"/>
              </w:rPr>
              <w:t>2012</w:t>
            </w:r>
          </w:p>
        </w:tc>
        <w:tc>
          <w:tcPr>
            <w:tcW w:w="10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4380" w:type="dxa"/>
            <w:vAlign w:val="bottom"/>
          </w:tcPr>
          <w:p>
            <w:pPr>
              <w:spacing w:after="0"/>
              <w:rPr>
                <w:sz w:val="23"/>
                <w:szCs w:val="23"/>
                <w:color w:val="auto"/>
              </w:rPr>
            </w:pPr>
          </w:p>
        </w:tc>
        <w:tc>
          <w:tcPr>
            <w:tcW w:w="1120" w:type="dxa"/>
            <w:vAlign w:val="bottom"/>
          </w:tcPr>
          <w:p>
            <w:pPr>
              <w:jc w:val="right"/>
              <w:ind w:right="330"/>
              <w:spacing w:after="0"/>
              <w:rPr>
                <w:sz w:val="20"/>
                <w:szCs w:val="20"/>
                <w:color w:val="auto"/>
              </w:rPr>
            </w:pPr>
            <w:r>
              <w:rPr>
                <w:rFonts w:ascii="Arial" w:cs="Arial" w:eastAsia="Arial" w:hAnsi="Arial"/>
                <w:sz w:val="18"/>
                <w:szCs w:val="18"/>
                <w:b w:val="1"/>
                <w:bCs w:val="1"/>
                <w:color w:val="auto"/>
              </w:rPr>
              <w:t>2012</w:t>
            </w:r>
          </w:p>
        </w:tc>
        <w:tc>
          <w:tcPr>
            <w:tcW w:w="940" w:type="dxa"/>
            <w:vAlign w:val="bottom"/>
          </w:tcPr>
          <w:p>
            <w:pPr>
              <w:jc w:val="right"/>
              <w:ind w:right="250"/>
              <w:spacing w:after="0"/>
              <w:rPr>
                <w:sz w:val="20"/>
                <w:szCs w:val="20"/>
                <w:color w:val="auto"/>
              </w:rPr>
            </w:pPr>
            <w:r>
              <w:rPr>
                <w:rFonts w:ascii="Arial" w:cs="Arial" w:eastAsia="Arial" w:hAnsi="Arial"/>
                <w:sz w:val="18"/>
                <w:szCs w:val="18"/>
                <w:b w:val="1"/>
                <w:bCs w:val="1"/>
                <w:color w:val="auto"/>
              </w:rPr>
              <w:t>2011</w:t>
            </w:r>
          </w:p>
        </w:tc>
        <w:tc>
          <w:tcPr>
            <w:tcW w:w="0" w:type="dxa"/>
            <w:vAlign w:val="bottom"/>
          </w:tcPr>
          <w:p>
            <w:pPr>
              <w:spacing w:after="0"/>
              <w:rPr>
                <w:sz w:val="1"/>
                <w:szCs w:val="1"/>
                <w:color w:val="auto"/>
              </w:rPr>
            </w:pPr>
          </w:p>
        </w:tc>
      </w:tr>
      <w:tr>
        <w:trPr>
          <w:trHeight w:val="27"/>
        </w:trPr>
        <w:tc>
          <w:tcPr>
            <w:tcW w:w="27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43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b w:val="1"/>
                <w:bCs w:val="1"/>
                <w:color w:val="auto"/>
              </w:rPr>
              <w:t>Liabilities and Shareholders' Equity</w:t>
            </w:r>
          </w:p>
        </w:tc>
        <w:tc>
          <w:tcPr>
            <w:tcW w:w="1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780" w:type="dxa"/>
            <w:vAlign w:val="bottom"/>
          </w:tcPr>
          <w:p>
            <w:pPr>
              <w:ind w:left="40"/>
              <w:spacing w:after="0"/>
              <w:rPr>
                <w:sz w:val="20"/>
                <w:szCs w:val="20"/>
                <w:color w:val="auto"/>
              </w:rPr>
            </w:pPr>
            <w:r>
              <w:rPr>
                <w:rFonts w:ascii="Arial" w:cs="Arial" w:eastAsia="Arial" w:hAnsi="Arial"/>
                <w:sz w:val="18"/>
                <w:szCs w:val="18"/>
                <w:color w:val="auto"/>
                <w:w w:val="98"/>
              </w:rPr>
              <w:t>Cash and Short-Term Investments</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$80.8</w:t>
            </w:r>
          </w:p>
        </w:tc>
        <w:tc>
          <w:tcPr>
            <w:tcW w:w="1000" w:type="dxa"/>
            <w:vAlign w:val="bottom"/>
          </w:tcPr>
          <w:p>
            <w:pPr>
              <w:jc w:val="right"/>
              <w:spacing w:after="0"/>
              <w:rPr>
                <w:sz w:val="20"/>
                <w:szCs w:val="20"/>
                <w:color w:val="auto"/>
              </w:rPr>
            </w:pPr>
            <w:r>
              <w:rPr>
                <w:rFonts w:ascii="Arial" w:cs="Arial" w:eastAsia="Arial" w:hAnsi="Arial"/>
                <w:sz w:val="18"/>
                <w:szCs w:val="18"/>
                <w:color w:val="auto"/>
              </w:rPr>
              <w:t>$101.1</w:t>
            </w:r>
          </w:p>
        </w:tc>
        <w:tc>
          <w:tcPr>
            <w:tcW w:w="4380" w:type="dxa"/>
            <w:vAlign w:val="bottom"/>
          </w:tcPr>
          <w:p>
            <w:pPr>
              <w:ind w:left="80"/>
              <w:spacing w:after="0"/>
              <w:rPr>
                <w:sz w:val="20"/>
                <w:szCs w:val="20"/>
                <w:color w:val="auto"/>
              </w:rPr>
            </w:pPr>
            <w:r>
              <w:rPr>
                <w:rFonts w:ascii="Arial" w:cs="Arial" w:eastAsia="Arial" w:hAnsi="Arial"/>
                <w:sz w:val="18"/>
                <w:szCs w:val="18"/>
                <w:color w:val="auto"/>
              </w:rPr>
              <w:t>Current Liabilities</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$283.4</w:t>
            </w:r>
          </w:p>
        </w:tc>
        <w:tc>
          <w:tcPr>
            <w:tcW w:w="940" w:type="dxa"/>
            <w:vAlign w:val="bottom"/>
          </w:tcPr>
          <w:p>
            <w:pPr>
              <w:jc w:val="right"/>
              <w:spacing w:after="0"/>
              <w:rPr>
                <w:sz w:val="20"/>
                <w:szCs w:val="20"/>
                <w:color w:val="auto"/>
              </w:rPr>
            </w:pPr>
            <w:r>
              <w:rPr>
                <w:rFonts w:ascii="Arial" w:cs="Arial" w:eastAsia="Arial" w:hAnsi="Arial"/>
                <w:sz w:val="18"/>
                <w:szCs w:val="18"/>
                <w:color w:val="auto"/>
              </w:rPr>
              <w:t>$163.1</w:t>
            </w:r>
          </w:p>
        </w:tc>
        <w:tc>
          <w:tcPr>
            <w:tcW w:w="0" w:type="dxa"/>
            <w:vAlign w:val="bottom"/>
          </w:tcPr>
          <w:p>
            <w:pPr>
              <w:spacing w:after="0"/>
              <w:rPr>
                <w:sz w:val="1"/>
                <w:szCs w:val="1"/>
                <w:color w:val="auto"/>
              </w:rPr>
            </w:pPr>
          </w:p>
        </w:tc>
      </w:tr>
      <w:tr>
        <w:trPr>
          <w:trHeight w:val="27"/>
        </w:trPr>
        <w:tc>
          <w:tcPr>
            <w:tcW w:w="27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Current Assets</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192.4</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175.9</w:t>
            </w:r>
          </w:p>
        </w:tc>
        <w:tc>
          <w:tcPr>
            <w:tcW w:w="43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Long-Term Debt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933.6</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857.9</w:t>
            </w:r>
          </w:p>
        </w:tc>
        <w:tc>
          <w:tcPr>
            <w:tcW w:w="0" w:type="dxa"/>
            <w:vAlign w:val="bottom"/>
          </w:tcPr>
          <w:p>
            <w:pPr>
              <w:spacing w:after="0"/>
              <w:rPr>
                <w:sz w:val="1"/>
                <w:szCs w:val="1"/>
                <w:color w:val="auto"/>
              </w:rPr>
            </w:pPr>
          </w:p>
        </w:tc>
      </w:tr>
      <w:tr>
        <w:trPr>
          <w:trHeight w:val="243"/>
        </w:trPr>
        <w:tc>
          <w:tcPr>
            <w:tcW w:w="2780" w:type="dxa"/>
            <w:vAlign w:val="bottom"/>
          </w:tcPr>
          <w:p>
            <w:pPr>
              <w:ind w:left="40"/>
              <w:spacing w:after="0"/>
              <w:rPr>
                <w:sz w:val="20"/>
                <w:szCs w:val="20"/>
                <w:color w:val="auto"/>
              </w:rPr>
            </w:pPr>
            <w:r>
              <w:rPr>
                <w:rFonts w:ascii="Arial" w:cs="Arial" w:eastAsia="Arial" w:hAnsi="Arial"/>
                <w:sz w:val="18"/>
                <w:szCs w:val="18"/>
                <w:color w:val="auto"/>
              </w:rPr>
              <w:t>Property, Plant and Equipment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2,347.6</w:t>
            </w:r>
          </w:p>
        </w:tc>
        <w:tc>
          <w:tcPr>
            <w:tcW w:w="1000" w:type="dxa"/>
            <w:vAlign w:val="bottom"/>
          </w:tcPr>
          <w:p>
            <w:pPr>
              <w:jc w:val="right"/>
              <w:spacing w:after="0"/>
              <w:rPr>
                <w:sz w:val="20"/>
                <w:szCs w:val="20"/>
                <w:color w:val="auto"/>
              </w:rPr>
            </w:pPr>
            <w:r>
              <w:rPr>
                <w:rFonts w:ascii="Arial" w:cs="Arial" w:eastAsia="Arial" w:hAnsi="Arial"/>
                <w:sz w:val="18"/>
                <w:szCs w:val="18"/>
                <w:color w:val="auto"/>
              </w:rPr>
              <w:t>1,982.7</w:t>
            </w:r>
          </w:p>
        </w:tc>
        <w:tc>
          <w:tcPr>
            <w:tcW w:w="4380" w:type="dxa"/>
            <w:vAlign w:val="bottom"/>
          </w:tcPr>
          <w:p>
            <w:pPr>
              <w:ind w:left="80"/>
              <w:spacing w:after="0"/>
              <w:rPr>
                <w:sz w:val="20"/>
                <w:szCs w:val="20"/>
                <w:color w:val="auto"/>
              </w:rPr>
            </w:pPr>
            <w:r>
              <w:rPr>
                <w:rFonts w:ascii="Arial" w:cs="Arial" w:eastAsia="Arial" w:hAnsi="Arial"/>
                <w:sz w:val="18"/>
                <w:szCs w:val="18"/>
                <w:color w:val="auto"/>
              </w:rPr>
              <w:t>Deferred Income Taxes</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423.8</w:t>
            </w:r>
          </w:p>
        </w:tc>
        <w:tc>
          <w:tcPr>
            <w:tcW w:w="940" w:type="dxa"/>
            <w:vAlign w:val="bottom"/>
          </w:tcPr>
          <w:p>
            <w:pPr>
              <w:jc w:val="right"/>
              <w:spacing w:after="0"/>
              <w:rPr>
                <w:sz w:val="20"/>
                <w:szCs w:val="20"/>
                <w:color w:val="auto"/>
              </w:rPr>
            </w:pPr>
            <w:r>
              <w:rPr>
                <w:rFonts w:ascii="Arial" w:cs="Arial" w:eastAsia="Arial" w:hAnsi="Arial"/>
                <w:sz w:val="18"/>
                <w:szCs w:val="18"/>
                <w:color w:val="auto"/>
              </w:rPr>
              <w:t>373.6</w:t>
            </w:r>
          </w:p>
        </w:tc>
        <w:tc>
          <w:tcPr>
            <w:tcW w:w="0" w:type="dxa"/>
            <w:vAlign w:val="bottom"/>
          </w:tcPr>
          <w:p>
            <w:pPr>
              <w:spacing w:after="0"/>
              <w:rPr>
                <w:sz w:val="1"/>
                <w:szCs w:val="1"/>
                <w:color w:val="auto"/>
              </w:rPr>
            </w:pPr>
          </w:p>
        </w:tc>
      </w:tr>
      <w:tr>
        <w:trPr>
          <w:trHeight w:val="27"/>
        </w:trPr>
        <w:tc>
          <w:tcPr>
            <w:tcW w:w="27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Regulatory Assets</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340.3</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345.9</w:t>
            </w:r>
          </w:p>
        </w:tc>
        <w:tc>
          <w:tcPr>
            <w:tcW w:w="43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Regulatory Liabilities</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60.1</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29"/>
        </w:trPr>
        <w:tc>
          <w:tcPr>
            <w:tcW w:w="2780" w:type="dxa"/>
            <w:vAlign w:val="bottom"/>
            <w:vMerge w:val="restart"/>
          </w:tcPr>
          <w:p>
            <w:pPr>
              <w:ind w:left="40"/>
              <w:spacing w:after="0"/>
              <w:rPr>
                <w:sz w:val="20"/>
                <w:szCs w:val="20"/>
                <w:color w:val="auto"/>
              </w:rPr>
            </w:pPr>
            <w:r>
              <w:rPr>
                <w:rFonts w:ascii="Arial" w:cs="Arial" w:eastAsia="Arial" w:hAnsi="Arial"/>
                <w:sz w:val="18"/>
                <w:szCs w:val="18"/>
                <w:color w:val="auto"/>
              </w:rPr>
              <w:t>Investment in ATC</w:t>
            </w:r>
          </w:p>
        </w:tc>
        <w:tc>
          <w:tcPr>
            <w:tcW w:w="1200" w:type="dxa"/>
            <w:vAlign w:val="bottom"/>
            <w:vMerge w:val="restart"/>
          </w:tcPr>
          <w:p>
            <w:pPr>
              <w:jc w:val="right"/>
              <w:ind w:right="10"/>
              <w:spacing w:after="0"/>
              <w:rPr>
                <w:sz w:val="20"/>
                <w:szCs w:val="20"/>
                <w:color w:val="auto"/>
              </w:rPr>
            </w:pPr>
            <w:r>
              <w:rPr>
                <w:rFonts w:ascii="Arial" w:cs="Arial" w:eastAsia="Arial" w:hAnsi="Arial"/>
                <w:sz w:val="18"/>
                <w:szCs w:val="18"/>
                <w:color w:val="auto"/>
              </w:rPr>
              <w:t>107.3</w:t>
            </w: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98.9</w:t>
            </w:r>
          </w:p>
        </w:tc>
        <w:tc>
          <w:tcPr>
            <w:tcW w:w="4380" w:type="dxa"/>
            <w:vAlign w:val="bottom"/>
          </w:tcPr>
          <w:p>
            <w:pPr>
              <w:ind w:left="80"/>
              <w:spacing w:after="0"/>
              <w:rPr>
                <w:sz w:val="20"/>
                <w:szCs w:val="20"/>
                <w:color w:val="auto"/>
              </w:rPr>
            </w:pPr>
            <w:r>
              <w:rPr>
                <w:rFonts w:ascii="Arial" w:cs="Arial" w:eastAsia="Arial" w:hAnsi="Arial"/>
                <w:sz w:val="18"/>
                <w:szCs w:val="18"/>
                <w:color w:val="auto"/>
                <w:w w:val="96"/>
              </w:rPr>
              <w:t>Defined Benefit Pension &amp; Other Postretirement Benefit</w:t>
            </w:r>
          </w:p>
        </w:tc>
        <w:tc>
          <w:tcPr>
            <w:tcW w:w="1120" w:type="dxa"/>
            <w:vAlign w:val="bottom"/>
            <w:vMerge w:val="restart"/>
          </w:tcPr>
          <w:p>
            <w:pPr>
              <w:jc w:val="right"/>
              <w:ind w:right="30"/>
              <w:spacing w:after="0"/>
              <w:rPr>
                <w:sz w:val="20"/>
                <w:szCs w:val="20"/>
                <w:color w:val="auto"/>
              </w:rPr>
            </w:pPr>
            <w:r>
              <w:rPr>
                <w:rFonts w:ascii="Arial" w:cs="Arial" w:eastAsia="Arial" w:hAnsi="Arial"/>
                <w:sz w:val="18"/>
                <w:szCs w:val="18"/>
                <w:color w:val="auto"/>
              </w:rPr>
              <w:t>228.2</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253.5</w:t>
            </w:r>
          </w:p>
        </w:tc>
        <w:tc>
          <w:tcPr>
            <w:tcW w:w="0" w:type="dxa"/>
            <w:vAlign w:val="bottom"/>
          </w:tcPr>
          <w:p>
            <w:pPr>
              <w:spacing w:after="0"/>
              <w:rPr>
                <w:sz w:val="1"/>
                <w:szCs w:val="1"/>
                <w:color w:val="auto"/>
              </w:rPr>
            </w:pPr>
          </w:p>
        </w:tc>
      </w:tr>
      <w:tr>
        <w:trPr>
          <w:trHeight w:val="230"/>
        </w:trPr>
        <w:tc>
          <w:tcPr>
            <w:tcW w:w="2780" w:type="dxa"/>
            <w:vAlign w:val="bottom"/>
            <w:vMerge w:val="continue"/>
          </w:tcPr>
          <w:p>
            <w:pPr>
              <w:spacing w:after="0"/>
              <w:rPr>
                <w:sz w:val="20"/>
                <w:szCs w:val="20"/>
                <w:color w:val="auto"/>
              </w:rPr>
            </w:pPr>
          </w:p>
        </w:tc>
        <w:tc>
          <w:tcPr>
            <w:tcW w:w="1200" w:type="dxa"/>
            <w:vAlign w:val="bottom"/>
            <w:vMerge w:val="continue"/>
          </w:tcPr>
          <w:p>
            <w:pPr>
              <w:spacing w:after="0"/>
              <w:rPr>
                <w:sz w:val="20"/>
                <w:szCs w:val="20"/>
                <w:color w:val="auto"/>
              </w:rPr>
            </w:pPr>
          </w:p>
        </w:tc>
        <w:tc>
          <w:tcPr>
            <w:tcW w:w="1000" w:type="dxa"/>
            <w:vAlign w:val="bottom"/>
            <w:vMerge w:val="continue"/>
          </w:tcPr>
          <w:p>
            <w:pPr>
              <w:spacing w:after="0"/>
              <w:rPr>
                <w:sz w:val="20"/>
                <w:szCs w:val="20"/>
                <w:color w:val="auto"/>
              </w:rPr>
            </w:pPr>
          </w:p>
        </w:tc>
        <w:tc>
          <w:tcPr>
            <w:tcW w:w="4380" w:type="dxa"/>
            <w:vAlign w:val="bottom"/>
          </w:tcPr>
          <w:p>
            <w:pPr>
              <w:ind w:left="80"/>
              <w:spacing w:after="0"/>
              <w:rPr>
                <w:sz w:val="20"/>
                <w:szCs w:val="20"/>
                <w:color w:val="auto"/>
              </w:rPr>
            </w:pPr>
            <w:r>
              <w:rPr>
                <w:rFonts w:ascii="Arial" w:cs="Arial" w:eastAsia="Arial" w:hAnsi="Arial"/>
                <w:sz w:val="18"/>
                <w:szCs w:val="18"/>
                <w:color w:val="auto"/>
              </w:rPr>
              <w:t>Plans</w:t>
            </w:r>
          </w:p>
        </w:tc>
        <w:tc>
          <w:tcPr>
            <w:tcW w:w="1120" w:type="dxa"/>
            <w:vAlign w:val="bottom"/>
            <w:vMerge w:val="continue"/>
          </w:tcPr>
          <w:p>
            <w:pPr>
              <w:spacing w:after="0"/>
              <w:rPr>
                <w:sz w:val="20"/>
                <w:szCs w:val="20"/>
                <w:color w:val="auto"/>
              </w:rPr>
            </w:pPr>
          </w:p>
        </w:tc>
        <w:tc>
          <w:tcPr>
            <w:tcW w:w="9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7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Investments</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143.5</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132.3</w:t>
            </w:r>
          </w:p>
        </w:tc>
        <w:tc>
          <w:tcPr>
            <w:tcW w:w="43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Other Liabilities</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123.3</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105.1</w:t>
            </w:r>
          </w:p>
        </w:tc>
        <w:tc>
          <w:tcPr>
            <w:tcW w:w="0" w:type="dxa"/>
            <w:vAlign w:val="bottom"/>
          </w:tcPr>
          <w:p>
            <w:pPr>
              <w:spacing w:after="0"/>
              <w:rPr>
                <w:sz w:val="1"/>
                <w:szCs w:val="1"/>
                <w:color w:val="auto"/>
              </w:rPr>
            </w:pPr>
          </w:p>
        </w:tc>
      </w:tr>
      <w:tr>
        <w:trPr>
          <w:trHeight w:val="243"/>
        </w:trPr>
        <w:tc>
          <w:tcPr>
            <w:tcW w:w="2780" w:type="dxa"/>
            <w:vAlign w:val="bottom"/>
          </w:tcPr>
          <w:p>
            <w:pPr>
              <w:ind w:left="40"/>
              <w:spacing w:after="0"/>
              <w:rPr>
                <w:sz w:val="20"/>
                <w:szCs w:val="20"/>
                <w:color w:val="auto"/>
              </w:rPr>
            </w:pPr>
            <w:r>
              <w:rPr>
                <w:rFonts w:ascii="Arial" w:cs="Arial" w:eastAsia="Arial" w:hAnsi="Arial"/>
                <w:sz w:val="18"/>
                <w:szCs w:val="18"/>
                <w:color w:val="auto"/>
              </w:rPr>
              <w:t>Other</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41.5</w:t>
            </w:r>
          </w:p>
        </w:tc>
        <w:tc>
          <w:tcPr>
            <w:tcW w:w="1000" w:type="dxa"/>
            <w:vAlign w:val="bottom"/>
          </w:tcPr>
          <w:p>
            <w:pPr>
              <w:jc w:val="right"/>
              <w:spacing w:after="0"/>
              <w:rPr>
                <w:sz w:val="20"/>
                <w:szCs w:val="20"/>
                <w:color w:val="auto"/>
              </w:rPr>
            </w:pPr>
            <w:r>
              <w:rPr>
                <w:rFonts w:ascii="Arial" w:cs="Arial" w:eastAsia="Arial" w:hAnsi="Arial"/>
                <w:sz w:val="18"/>
                <w:szCs w:val="18"/>
                <w:color w:val="auto"/>
              </w:rPr>
              <w:t>39.2</w:t>
            </w:r>
          </w:p>
        </w:tc>
        <w:tc>
          <w:tcPr>
            <w:tcW w:w="4380" w:type="dxa"/>
            <w:vAlign w:val="bottom"/>
          </w:tcPr>
          <w:p>
            <w:pPr>
              <w:ind w:left="80"/>
              <w:spacing w:after="0"/>
              <w:rPr>
                <w:sz w:val="20"/>
                <w:szCs w:val="20"/>
                <w:color w:val="auto"/>
              </w:rPr>
            </w:pPr>
            <w:r>
              <w:rPr>
                <w:rFonts w:ascii="Arial" w:cs="Arial" w:eastAsia="Arial" w:hAnsi="Arial"/>
                <w:sz w:val="18"/>
                <w:szCs w:val="18"/>
                <w:color w:val="auto"/>
              </w:rPr>
              <w:t>Shareholders' Equity</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1,201.0</w:t>
            </w:r>
          </w:p>
        </w:tc>
        <w:tc>
          <w:tcPr>
            <w:tcW w:w="940" w:type="dxa"/>
            <w:vAlign w:val="bottom"/>
          </w:tcPr>
          <w:p>
            <w:pPr>
              <w:jc w:val="right"/>
              <w:spacing w:after="0"/>
              <w:rPr>
                <w:sz w:val="20"/>
                <w:szCs w:val="20"/>
                <w:color w:val="auto"/>
              </w:rPr>
            </w:pPr>
            <w:r>
              <w:rPr>
                <w:rFonts w:ascii="Arial" w:cs="Arial" w:eastAsia="Arial" w:hAnsi="Arial"/>
                <w:sz w:val="18"/>
                <w:szCs w:val="18"/>
                <w:color w:val="auto"/>
              </w:rPr>
              <w:t>1,079.3</w:t>
            </w:r>
          </w:p>
        </w:tc>
        <w:tc>
          <w:tcPr>
            <w:tcW w:w="0" w:type="dxa"/>
            <w:vAlign w:val="bottom"/>
          </w:tcPr>
          <w:p>
            <w:pPr>
              <w:spacing w:after="0"/>
              <w:rPr>
                <w:sz w:val="1"/>
                <w:szCs w:val="1"/>
                <w:color w:val="auto"/>
              </w:rPr>
            </w:pPr>
          </w:p>
        </w:tc>
      </w:tr>
      <w:tr>
        <w:trPr>
          <w:trHeight w:val="27"/>
        </w:trPr>
        <w:tc>
          <w:tcPr>
            <w:tcW w:w="27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Assets</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$3,253.4</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$2,876.0</w:t>
            </w:r>
          </w:p>
        </w:tc>
        <w:tc>
          <w:tcPr>
            <w:tcW w:w="43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b w:val="1"/>
                <w:bCs w:val="1"/>
                <w:color w:val="auto"/>
              </w:rPr>
              <w:t>Total Liabilities and Shareholders' Equity</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$3,253.4</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$2,876.0</w:t>
            </w:r>
          </w:p>
        </w:tc>
        <w:tc>
          <w:tcPr>
            <w:tcW w:w="0" w:type="dxa"/>
            <w:vAlign w:val="bottom"/>
          </w:tcPr>
          <w:p>
            <w:pPr>
              <w:spacing w:after="0"/>
              <w:rPr>
                <w:sz w:val="1"/>
                <w:szCs w:val="1"/>
                <w:color w:val="auto"/>
              </w:rPr>
            </w:pPr>
          </w:p>
        </w:tc>
      </w:tr>
      <w:tr>
        <w:trPr>
          <w:trHeight w:val="20"/>
        </w:trPr>
        <w:tc>
          <w:tcPr>
            <w:tcW w:w="27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3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580" w:right="239" w:bottom="1440" w:gutter="0" w:footer="0" w:header="0"/>
        </w:sectPr>
      </w:pPr>
    </w:p>
    <w:bookmarkStart w:id="205" w:name="page206"/>
    <w:bookmarkEnd w:id="20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2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4080" w:type="dxa"/>
            <w:vAlign w:val="bottom"/>
            <w:gridSpan w:val="3"/>
          </w:tcPr>
          <w:p>
            <w:pPr>
              <w:jc w:val="right"/>
              <w:ind w:right="550"/>
              <w:spacing w:after="0"/>
              <w:rPr>
                <w:sz w:val="20"/>
                <w:szCs w:val="20"/>
                <w:color w:val="auto"/>
              </w:rPr>
            </w:pPr>
            <w:r>
              <w:rPr>
                <w:rFonts w:ascii="Arial" w:cs="Arial" w:eastAsia="Arial" w:hAnsi="Arial"/>
                <w:sz w:val="18"/>
                <w:szCs w:val="18"/>
                <w:b w:val="1"/>
                <w:bCs w:val="1"/>
                <w:color w:val="auto"/>
              </w:rPr>
              <w:t>Quarter Ended</w:t>
            </w:r>
          </w:p>
        </w:tc>
        <w:tc>
          <w:tcPr>
            <w:tcW w:w="1860" w:type="dxa"/>
            <w:vAlign w:val="bottom"/>
            <w:gridSpan w:val="3"/>
          </w:tcPr>
          <w:p>
            <w:pPr>
              <w:jc w:val="right"/>
              <w:ind w:right="450"/>
              <w:spacing w:after="0"/>
              <w:rPr>
                <w:sz w:val="20"/>
                <w:szCs w:val="20"/>
                <w:color w:val="auto"/>
              </w:rPr>
            </w:pPr>
            <w:r>
              <w:rPr>
                <w:rFonts w:ascii="Arial" w:cs="Arial" w:eastAsia="Arial" w:hAnsi="Arial"/>
                <w:sz w:val="18"/>
                <w:szCs w:val="18"/>
                <w:b w:val="1"/>
                <w:bCs w:val="1"/>
                <w:color w:val="auto"/>
              </w:rPr>
              <w:t>Year to Date</w:t>
            </w:r>
          </w:p>
        </w:tc>
      </w:tr>
      <w:tr>
        <w:trPr>
          <w:trHeight w:val="270"/>
        </w:trPr>
        <w:tc>
          <w:tcPr>
            <w:tcW w:w="5480" w:type="dxa"/>
            <w:vAlign w:val="bottom"/>
            <w:gridSpan w:val="2"/>
          </w:tcPr>
          <w:p>
            <w:pPr>
              <w:ind w:left="40"/>
              <w:spacing w:after="0"/>
              <w:rPr>
                <w:sz w:val="20"/>
                <w:szCs w:val="20"/>
                <w:color w:val="auto"/>
              </w:rPr>
            </w:pPr>
            <w:r>
              <w:rPr>
                <w:rFonts w:ascii="Arial" w:cs="Arial" w:eastAsia="Arial" w:hAnsi="Arial"/>
                <w:sz w:val="18"/>
                <w:szCs w:val="18"/>
                <w:b w:val="1"/>
                <w:bCs w:val="1"/>
                <w:color w:val="auto"/>
              </w:rPr>
              <w:t>ALLETE, Inc.</w:t>
            </w:r>
          </w:p>
        </w:tc>
        <w:tc>
          <w:tcPr>
            <w:tcW w:w="4080" w:type="dxa"/>
            <w:vAlign w:val="bottom"/>
            <w:gridSpan w:val="3"/>
          </w:tcPr>
          <w:p>
            <w:pPr>
              <w:jc w:val="right"/>
              <w:ind w:right="610"/>
              <w:spacing w:after="0"/>
              <w:rPr>
                <w:sz w:val="20"/>
                <w:szCs w:val="20"/>
                <w:color w:val="auto"/>
              </w:rPr>
            </w:pPr>
            <w:r>
              <w:rPr>
                <w:rFonts w:ascii="Arial" w:cs="Arial" w:eastAsia="Arial" w:hAnsi="Arial"/>
                <w:sz w:val="18"/>
                <w:szCs w:val="18"/>
                <w:b w:val="1"/>
                <w:bCs w:val="1"/>
                <w:color w:val="auto"/>
              </w:rPr>
              <w:t>December 31,</w:t>
            </w:r>
          </w:p>
        </w:tc>
        <w:tc>
          <w:tcPr>
            <w:tcW w:w="1860" w:type="dxa"/>
            <w:vAlign w:val="bottom"/>
            <w:gridSpan w:val="3"/>
          </w:tcPr>
          <w:p>
            <w:pPr>
              <w:jc w:val="right"/>
              <w:ind w:right="410"/>
              <w:spacing w:after="0"/>
              <w:rPr>
                <w:sz w:val="20"/>
                <w:szCs w:val="20"/>
                <w:color w:val="auto"/>
              </w:rPr>
            </w:pPr>
            <w:r>
              <w:rPr>
                <w:rFonts w:ascii="Arial" w:cs="Arial" w:eastAsia="Arial" w:hAnsi="Arial"/>
                <w:sz w:val="18"/>
                <w:szCs w:val="18"/>
                <w:b w:val="1"/>
                <w:bCs w:val="1"/>
                <w:color w:val="auto"/>
              </w:rPr>
              <w:t>December 31,</w:t>
            </w:r>
          </w:p>
        </w:tc>
      </w:tr>
      <w:tr>
        <w:trPr>
          <w:trHeight w:val="270"/>
        </w:trPr>
        <w:tc>
          <w:tcPr>
            <w:tcW w:w="5480" w:type="dxa"/>
            <w:vAlign w:val="bottom"/>
            <w:gridSpan w:val="2"/>
          </w:tcPr>
          <w:p>
            <w:pPr>
              <w:ind w:left="40"/>
              <w:spacing w:after="0"/>
              <w:rPr>
                <w:sz w:val="20"/>
                <w:szCs w:val="20"/>
                <w:color w:val="auto"/>
              </w:rPr>
            </w:pPr>
            <w:r>
              <w:rPr>
                <w:rFonts w:ascii="Arial" w:cs="Arial" w:eastAsia="Arial" w:hAnsi="Arial"/>
                <w:sz w:val="18"/>
                <w:szCs w:val="18"/>
                <w:b w:val="1"/>
                <w:bCs w:val="1"/>
                <w:color w:val="auto"/>
              </w:rPr>
              <w:t>Income (Loss)</w:t>
            </w:r>
          </w:p>
        </w:tc>
        <w:tc>
          <w:tcPr>
            <w:tcW w:w="3180" w:type="dxa"/>
            <w:vAlign w:val="bottom"/>
            <w:gridSpan w:val="2"/>
          </w:tcPr>
          <w:p>
            <w:pPr>
              <w:jc w:val="right"/>
              <w:ind w:right="570"/>
              <w:spacing w:after="0"/>
              <w:rPr>
                <w:sz w:val="20"/>
                <w:szCs w:val="20"/>
                <w:color w:val="auto"/>
              </w:rPr>
            </w:pPr>
            <w:r>
              <w:rPr>
                <w:rFonts w:ascii="Arial" w:cs="Arial" w:eastAsia="Arial" w:hAnsi="Arial"/>
                <w:sz w:val="18"/>
                <w:szCs w:val="18"/>
                <w:b w:val="1"/>
                <w:bCs w:val="1"/>
                <w:color w:val="auto"/>
              </w:rPr>
              <w:t>2012</w:t>
            </w:r>
          </w:p>
        </w:tc>
        <w:tc>
          <w:tcPr>
            <w:tcW w:w="900" w:type="dxa"/>
            <w:vAlign w:val="bottom"/>
          </w:tcPr>
          <w:p>
            <w:pPr>
              <w:jc w:val="right"/>
              <w:ind w:right="450"/>
              <w:spacing w:after="0"/>
              <w:rPr>
                <w:sz w:val="20"/>
                <w:szCs w:val="20"/>
                <w:color w:val="auto"/>
              </w:rPr>
            </w:pPr>
            <w:r>
              <w:rPr>
                <w:rFonts w:ascii="Arial" w:cs="Arial" w:eastAsia="Arial" w:hAnsi="Arial"/>
                <w:sz w:val="18"/>
                <w:szCs w:val="18"/>
                <w:b w:val="1"/>
                <w:bCs w:val="1"/>
                <w:color w:val="auto"/>
                <w:w w:val="84"/>
              </w:rPr>
              <w:t>2011</w:t>
            </w:r>
          </w:p>
        </w:tc>
        <w:tc>
          <w:tcPr>
            <w:tcW w:w="740" w:type="dxa"/>
            <w:vAlign w:val="bottom"/>
          </w:tcPr>
          <w:p>
            <w:pPr>
              <w:jc w:val="right"/>
              <w:ind w:right="150"/>
              <w:spacing w:after="0"/>
              <w:rPr>
                <w:sz w:val="20"/>
                <w:szCs w:val="20"/>
                <w:color w:val="auto"/>
              </w:rPr>
            </w:pPr>
            <w:r>
              <w:rPr>
                <w:rFonts w:ascii="Arial" w:cs="Arial" w:eastAsia="Arial" w:hAnsi="Arial"/>
                <w:sz w:val="18"/>
                <w:szCs w:val="18"/>
                <w:b w:val="1"/>
                <w:bCs w:val="1"/>
                <w:color w:val="auto"/>
              </w:rPr>
              <w:t>2012</w:t>
            </w:r>
          </w:p>
        </w:tc>
        <w:tc>
          <w:tcPr>
            <w:tcW w:w="240" w:type="dxa"/>
            <w:vAlign w:val="bottom"/>
          </w:tcPr>
          <w:p>
            <w:pPr>
              <w:spacing w:after="0"/>
              <w:rPr>
                <w:sz w:val="23"/>
                <w:szCs w:val="23"/>
                <w:color w:val="auto"/>
              </w:rPr>
            </w:pPr>
          </w:p>
        </w:tc>
        <w:tc>
          <w:tcPr>
            <w:tcW w:w="880" w:type="dxa"/>
            <w:vAlign w:val="bottom"/>
          </w:tcPr>
          <w:p>
            <w:pPr>
              <w:jc w:val="right"/>
              <w:ind w:right="250"/>
              <w:spacing w:after="0"/>
              <w:rPr>
                <w:sz w:val="20"/>
                <w:szCs w:val="20"/>
                <w:color w:val="auto"/>
              </w:rPr>
            </w:pPr>
            <w:r>
              <w:rPr>
                <w:rFonts w:ascii="Arial" w:cs="Arial" w:eastAsia="Arial" w:hAnsi="Arial"/>
                <w:sz w:val="18"/>
                <w:szCs w:val="18"/>
                <w:b w:val="1"/>
                <w:bCs w:val="1"/>
                <w:color w:val="auto"/>
              </w:rPr>
              <w:t>2011</w:t>
            </w:r>
          </w:p>
        </w:tc>
      </w:tr>
      <w:tr>
        <w:trPr>
          <w:trHeight w:val="27"/>
        </w:trPr>
        <w:tc>
          <w:tcPr>
            <w:tcW w:w="1120" w:type="dxa"/>
            <w:vAlign w:val="bottom"/>
            <w:tcBorders>
              <w:bottom w:val="single" w:sz="8" w:color="auto"/>
            </w:tcBorders>
          </w:tcPr>
          <w:p>
            <w:pPr>
              <w:spacing w:after="0"/>
              <w:rPr>
                <w:sz w:val="2"/>
                <w:szCs w:val="2"/>
                <w:color w:val="auto"/>
              </w:rPr>
            </w:pPr>
          </w:p>
        </w:tc>
        <w:tc>
          <w:tcPr>
            <w:tcW w:w="436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5480" w:type="dxa"/>
            <w:vAlign w:val="bottom"/>
            <w:gridSpan w:val="2"/>
          </w:tcPr>
          <w:p>
            <w:pPr>
              <w:ind w:left="40"/>
              <w:spacing w:after="0"/>
              <w:rPr>
                <w:sz w:val="20"/>
                <w:szCs w:val="20"/>
                <w:color w:val="auto"/>
              </w:rPr>
            </w:pPr>
            <w:r>
              <w:rPr>
                <w:rFonts w:ascii="Arial" w:cs="Arial" w:eastAsia="Arial" w:hAnsi="Arial"/>
                <w:sz w:val="18"/>
                <w:szCs w:val="18"/>
                <w:color w:val="auto"/>
              </w:rPr>
              <w:t>Millions</w:t>
            </w:r>
          </w:p>
        </w:tc>
        <w:tc>
          <w:tcPr>
            <w:tcW w:w="24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7"/>
        </w:trPr>
        <w:tc>
          <w:tcPr>
            <w:tcW w:w="1120" w:type="dxa"/>
            <w:vAlign w:val="bottom"/>
          </w:tcPr>
          <w:p>
            <w:pPr>
              <w:spacing w:after="0"/>
              <w:rPr>
                <w:sz w:val="2"/>
                <w:szCs w:val="2"/>
                <w:color w:val="auto"/>
              </w:rPr>
            </w:pPr>
          </w:p>
        </w:tc>
        <w:tc>
          <w:tcPr>
            <w:tcW w:w="4360" w:type="dxa"/>
            <w:vAlign w:val="bottom"/>
          </w:tcPr>
          <w:p>
            <w:pPr>
              <w:spacing w:after="0"/>
              <w:rPr>
                <w:sz w:val="2"/>
                <w:szCs w:val="2"/>
                <w:color w:val="auto"/>
              </w:rPr>
            </w:pPr>
          </w:p>
        </w:tc>
        <w:tc>
          <w:tcPr>
            <w:tcW w:w="2400" w:type="dxa"/>
            <w:vAlign w:val="bottom"/>
          </w:tcPr>
          <w:p>
            <w:pPr>
              <w:spacing w:after="0"/>
              <w:rPr>
                <w:sz w:val="2"/>
                <w:szCs w:val="2"/>
                <w:color w:val="auto"/>
              </w:rPr>
            </w:pPr>
          </w:p>
        </w:tc>
        <w:tc>
          <w:tcPr>
            <w:tcW w:w="780" w:type="dxa"/>
            <w:vAlign w:val="bottom"/>
          </w:tcPr>
          <w:p>
            <w:pPr>
              <w:spacing w:after="0"/>
              <w:rPr>
                <w:sz w:val="2"/>
                <w:szCs w:val="2"/>
                <w:color w:val="auto"/>
              </w:rPr>
            </w:pPr>
          </w:p>
        </w:tc>
        <w:tc>
          <w:tcPr>
            <w:tcW w:w="9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4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Regulated Operations</w:t>
            </w:r>
          </w:p>
        </w:tc>
        <w:tc>
          <w:tcPr>
            <w:tcW w:w="24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3"/>
              </w:rPr>
              <w:t>$28.0</w:t>
            </w:r>
          </w:p>
        </w:tc>
        <w:tc>
          <w:tcPr>
            <w:tcW w:w="9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$19.9</w:t>
            </w:r>
          </w:p>
        </w:tc>
        <w:tc>
          <w:tcPr>
            <w:tcW w:w="9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$96.1</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$100.4</w:t>
            </w:r>
          </w:p>
        </w:tc>
      </w:tr>
      <w:tr>
        <w:trPr>
          <w:trHeight w:val="243"/>
        </w:trPr>
        <w:tc>
          <w:tcPr>
            <w:tcW w:w="5480" w:type="dxa"/>
            <w:vAlign w:val="bottom"/>
            <w:gridSpan w:val="2"/>
          </w:tcPr>
          <w:p>
            <w:pPr>
              <w:ind w:left="380"/>
              <w:spacing w:after="0"/>
              <w:rPr>
                <w:sz w:val="20"/>
                <w:szCs w:val="20"/>
                <w:color w:val="auto"/>
              </w:rPr>
            </w:pPr>
            <w:r>
              <w:rPr>
                <w:rFonts w:ascii="Arial" w:cs="Arial" w:eastAsia="Arial" w:hAnsi="Arial"/>
                <w:sz w:val="18"/>
                <w:szCs w:val="18"/>
                <w:color w:val="auto"/>
              </w:rPr>
              <w:t>Investments and Other</w:t>
            </w:r>
          </w:p>
        </w:tc>
        <w:tc>
          <w:tcPr>
            <w:tcW w:w="2400" w:type="dxa"/>
            <w:vAlign w:val="bottom"/>
          </w:tcPr>
          <w:p>
            <w:pPr>
              <w:spacing w:after="0"/>
              <w:rPr>
                <w:sz w:val="21"/>
                <w:szCs w:val="21"/>
                <w:color w:val="auto"/>
              </w:rPr>
            </w:pPr>
          </w:p>
        </w:tc>
        <w:tc>
          <w:tcPr>
            <w:tcW w:w="780" w:type="dxa"/>
            <w:vAlign w:val="bottom"/>
          </w:tcPr>
          <w:p>
            <w:pPr>
              <w:jc w:val="right"/>
              <w:ind w:right="250"/>
              <w:spacing w:after="0"/>
              <w:rPr>
                <w:sz w:val="20"/>
                <w:szCs w:val="20"/>
                <w:color w:val="auto"/>
              </w:rPr>
            </w:pPr>
            <w:r>
              <w:rPr>
                <w:rFonts w:ascii="Arial" w:cs="Arial" w:eastAsia="Arial" w:hAnsi="Arial"/>
                <w:sz w:val="18"/>
                <w:szCs w:val="18"/>
                <w:color w:val="auto"/>
              </w:rPr>
              <w:t>0.9</w:t>
            </w: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(0.8)</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1.0</w:t>
            </w:r>
          </w:p>
        </w:tc>
        <w:tc>
          <w:tcPr>
            <w:tcW w:w="88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7"/>
        </w:trPr>
        <w:tc>
          <w:tcPr>
            <w:tcW w:w="1120" w:type="dxa"/>
            <w:vAlign w:val="bottom"/>
            <w:tcBorders>
              <w:bottom w:val="single" w:sz="8" w:color="auto"/>
            </w:tcBorders>
          </w:tcPr>
          <w:p>
            <w:pPr>
              <w:spacing w:after="0"/>
              <w:rPr>
                <w:sz w:val="2"/>
                <w:szCs w:val="2"/>
                <w:color w:val="auto"/>
              </w:rPr>
            </w:pPr>
          </w:p>
        </w:tc>
        <w:tc>
          <w:tcPr>
            <w:tcW w:w="436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54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Net Income Attributable to ALLETE</w:t>
            </w:r>
          </w:p>
        </w:tc>
        <w:tc>
          <w:tcPr>
            <w:tcW w:w="24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3"/>
              </w:rPr>
              <w:t>$28.9</w:t>
            </w:r>
          </w:p>
        </w:tc>
        <w:tc>
          <w:tcPr>
            <w:tcW w:w="9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$19.1</w:t>
            </w:r>
          </w:p>
        </w:tc>
        <w:tc>
          <w:tcPr>
            <w:tcW w:w="9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$97.1</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$93.8</w:t>
            </w:r>
          </w:p>
        </w:tc>
      </w:tr>
      <w:tr>
        <w:trPr>
          <w:trHeight w:val="237"/>
        </w:trPr>
        <w:tc>
          <w:tcPr>
            <w:tcW w:w="548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Diluted Earnings Per Share</w:t>
            </w:r>
          </w:p>
        </w:tc>
        <w:tc>
          <w:tcPr>
            <w:tcW w:w="240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3"/>
              </w:rPr>
              <w:t>$0.75</w:t>
            </w:r>
          </w:p>
        </w:tc>
        <w:tc>
          <w:tcPr>
            <w:tcW w:w="90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$0.53</w:t>
            </w:r>
          </w:p>
        </w:tc>
        <w:tc>
          <w:tcPr>
            <w:tcW w:w="980" w:type="dxa"/>
            <w:vAlign w:val="bottom"/>
            <w:tcBorders>
              <w:top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$2.58</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$2.65</w:t>
            </w:r>
          </w:p>
        </w:tc>
      </w:tr>
      <w:tr>
        <w:trPr>
          <w:trHeight w:val="27"/>
        </w:trPr>
        <w:tc>
          <w:tcPr>
            <w:tcW w:w="1120" w:type="dxa"/>
            <w:vAlign w:val="bottom"/>
            <w:tcBorders>
              <w:bottom w:val="single" w:sz="8" w:color="auto"/>
            </w:tcBorders>
          </w:tcPr>
          <w:p>
            <w:pPr>
              <w:spacing w:after="0"/>
              <w:rPr>
                <w:sz w:val="2"/>
                <w:szCs w:val="2"/>
                <w:color w:val="auto"/>
              </w:rPr>
            </w:pPr>
          </w:p>
        </w:tc>
        <w:tc>
          <w:tcPr>
            <w:tcW w:w="436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588"/>
        </w:trPr>
        <w:tc>
          <w:tcPr>
            <w:tcW w:w="5480" w:type="dxa"/>
            <w:vAlign w:val="bottom"/>
            <w:gridSpan w:val="2"/>
          </w:tcPr>
          <w:p>
            <w:pPr>
              <w:ind w:left="40"/>
              <w:spacing w:after="0"/>
              <w:rPr>
                <w:sz w:val="20"/>
                <w:szCs w:val="20"/>
                <w:color w:val="auto"/>
              </w:rPr>
            </w:pPr>
            <w:r>
              <w:rPr>
                <w:rFonts w:ascii="Arial" w:cs="Arial" w:eastAsia="Arial" w:hAnsi="Arial"/>
                <w:sz w:val="18"/>
                <w:szCs w:val="18"/>
                <w:b w:val="1"/>
                <w:bCs w:val="1"/>
                <w:color w:val="auto"/>
              </w:rPr>
              <w:t>Statistical Data</w:t>
            </w:r>
          </w:p>
        </w:tc>
        <w:tc>
          <w:tcPr>
            <w:tcW w:w="2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7"/>
        </w:trPr>
        <w:tc>
          <w:tcPr>
            <w:tcW w:w="1120" w:type="dxa"/>
            <w:vAlign w:val="bottom"/>
            <w:tcBorders>
              <w:bottom w:val="single" w:sz="8" w:color="auto"/>
            </w:tcBorders>
          </w:tcPr>
          <w:p>
            <w:pPr>
              <w:spacing w:after="0"/>
              <w:rPr>
                <w:sz w:val="2"/>
                <w:szCs w:val="2"/>
                <w:color w:val="auto"/>
              </w:rPr>
            </w:pPr>
          </w:p>
        </w:tc>
        <w:tc>
          <w:tcPr>
            <w:tcW w:w="436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5480" w:type="dxa"/>
            <w:vAlign w:val="bottom"/>
            <w:gridSpan w:val="2"/>
          </w:tcPr>
          <w:p>
            <w:pPr>
              <w:ind w:left="40"/>
              <w:spacing w:after="0"/>
              <w:rPr>
                <w:sz w:val="20"/>
                <w:szCs w:val="20"/>
                <w:color w:val="auto"/>
              </w:rPr>
            </w:pPr>
            <w:r>
              <w:rPr>
                <w:rFonts w:ascii="Arial" w:cs="Arial" w:eastAsia="Arial" w:hAnsi="Arial"/>
                <w:sz w:val="18"/>
                <w:szCs w:val="18"/>
                <w:color w:val="auto"/>
              </w:rPr>
              <w:t>Corporate</w:t>
            </w:r>
          </w:p>
        </w:tc>
        <w:tc>
          <w:tcPr>
            <w:tcW w:w="24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7"/>
        </w:trPr>
        <w:tc>
          <w:tcPr>
            <w:tcW w:w="1120" w:type="dxa"/>
            <w:vAlign w:val="bottom"/>
          </w:tcPr>
          <w:p>
            <w:pPr>
              <w:spacing w:after="0"/>
              <w:rPr>
                <w:sz w:val="2"/>
                <w:szCs w:val="2"/>
                <w:color w:val="auto"/>
              </w:rPr>
            </w:pPr>
          </w:p>
        </w:tc>
        <w:tc>
          <w:tcPr>
            <w:tcW w:w="4360" w:type="dxa"/>
            <w:vAlign w:val="bottom"/>
          </w:tcPr>
          <w:p>
            <w:pPr>
              <w:spacing w:after="0"/>
              <w:rPr>
                <w:sz w:val="2"/>
                <w:szCs w:val="2"/>
                <w:color w:val="auto"/>
              </w:rPr>
            </w:pPr>
          </w:p>
        </w:tc>
        <w:tc>
          <w:tcPr>
            <w:tcW w:w="2400" w:type="dxa"/>
            <w:vAlign w:val="bottom"/>
          </w:tcPr>
          <w:p>
            <w:pPr>
              <w:spacing w:after="0"/>
              <w:rPr>
                <w:sz w:val="2"/>
                <w:szCs w:val="2"/>
                <w:color w:val="auto"/>
              </w:rPr>
            </w:pPr>
          </w:p>
        </w:tc>
        <w:tc>
          <w:tcPr>
            <w:tcW w:w="780" w:type="dxa"/>
            <w:vAlign w:val="bottom"/>
          </w:tcPr>
          <w:p>
            <w:pPr>
              <w:spacing w:after="0"/>
              <w:rPr>
                <w:sz w:val="2"/>
                <w:szCs w:val="2"/>
                <w:color w:val="auto"/>
              </w:rPr>
            </w:pPr>
          </w:p>
        </w:tc>
        <w:tc>
          <w:tcPr>
            <w:tcW w:w="9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4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Common Stock</w:t>
            </w:r>
          </w:p>
        </w:tc>
        <w:tc>
          <w:tcPr>
            <w:tcW w:w="24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5480" w:type="dxa"/>
            <w:vAlign w:val="bottom"/>
            <w:gridSpan w:val="2"/>
          </w:tcPr>
          <w:p>
            <w:pPr>
              <w:ind w:left="600"/>
              <w:spacing w:after="0"/>
              <w:rPr>
                <w:sz w:val="20"/>
                <w:szCs w:val="20"/>
                <w:color w:val="auto"/>
              </w:rPr>
            </w:pPr>
            <w:r>
              <w:rPr>
                <w:rFonts w:ascii="Arial" w:cs="Arial" w:eastAsia="Arial" w:hAnsi="Arial"/>
                <w:sz w:val="18"/>
                <w:szCs w:val="18"/>
                <w:color w:val="auto"/>
              </w:rPr>
              <w:t>High</w:t>
            </w:r>
          </w:p>
        </w:tc>
        <w:tc>
          <w:tcPr>
            <w:tcW w:w="3180" w:type="dxa"/>
            <w:vAlign w:val="bottom"/>
            <w:gridSpan w:val="2"/>
          </w:tcPr>
          <w:p>
            <w:pPr>
              <w:jc w:val="right"/>
              <w:ind w:right="250"/>
              <w:spacing w:after="0"/>
              <w:rPr>
                <w:sz w:val="20"/>
                <w:szCs w:val="20"/>
                <w:color w:val="auto"/>
              </w:rPr>
            </w:pPr>
            <w:r>
              <w:rPr>
                <w:rFonts w:ascii="Arial" w:cs="Arial" w:eastAsia="Arial" w:hAnsi="Arial"/>
                <w:sz w:val="18"/>
                <w:szCs w:val="18"/>
                <w:color w:val="auto"/>
              </w:rPr>
              <w:t>$42.09</w:t>
            </w: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$42.54</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$42.66</w:t>
            </w:r>
          </w:p>
        </w:tc>
        <w:tc>
          <w:tcPr>
            <w:tcW w:w="880" w:type="dxa"/>
            <w:vAlign w:val="bottom"/>
          </w:tcPr>
          <w:p>
            <w:pPr>
              <w:jc w:val="right"/>
              <w:spacing w:after="0"/>
              <w:rPr>
                <w:sz w:val="20"/>
                <w:szCs w:val="20"/>
                <w:color w:val="auto"/>
              </w:rPr>
            </w:pPr>
            <w:r>
              <w:rPr>
                <w:rFonts w:ascii="Arial" w:cs="Arial" w:eastAsia="Arial" w:hAnsi="Arial"/>
                <w:sz w:val="18"/>
                <w:szCs w:val="18"/>
                <w:color w:val="auto"/>
              </w:rPr>
              <w:t>$42.54</w:t>
            </w:r>
          </w:p>
        </w:tc>
      </w:tr>
      <w:tr>
        <w:trPr>
          <w:trHeight w:val="27"/>
        </w:trPr>
        <w:tc>
          <w:tcPr>
            <w:tcW w:w="1120" w:type="dxa"/>
            <w:vAlign w:val="bottom"/>
          </w:tcPr>
          <w:p>
            <w:pPr>
              <w:spacing w:after="0"/>
              <w:rPr>
                <w:sz w:val="2"/>
                <w:szCs w:val="2"/>
                <w:color w:val="auto"/>
              </w:rPr>
            </w:pPr>
          </w:p>
        </w:tc>
        <w:tc>
          <w:tcPr>
            <w:tcW w:w="4360" w:type="dxa"/>
            <w:vAlign w:val="bottom"/>
          </w:tcPr>
          <w:p>
            <w:pPr>
              <w:spacing w:after="0"/>
              <w:rPr>
                <w:sz w:val="2"/>
                <w:szCs w:val="2"/>
                <w:color w:val="auto"/>
              </w:rPr>
            </w:pPr>
          </w:p>
        </w:tc>
        <w:tc>
          <w:tcPr>
            <w:tcW w:w="3180" w:type="dxa"/>
            <w:vAlign w:val="bottom"/>
            <w:gridSpan w:val="2"/>
          </w:tcPr>
          <w:p>
            <w:pPr>
              <w:spacing w:after="0"/>
              <w:rPr>
                <w:sz w:val="2"/>
                <w:szCs w:val="2"/>
                <w:color w:val="auto"/>
              </w:rPr>
            </w:pPr>
          </w:p>
        </w:tc>
        <w:tc>
          <w:tcPr>
            <w:tcW w:w="9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48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Low</w:t>
            </w:r>
          </w:p>
        </w:tc>
        <w:tc>
          <w:tcPr>
            <w:tcW w:w="3180" w:type="dxa"/>
            <w:vAlign w:val="bottom"/>
            <w:tcBorders>
              <w:bottom w:val="single" w:sz="8" w:color="CCEEFF"/>
            </w:tcBorders>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$37.73</w:t>
            </w:r>
          </w:p>
        </w:tc>
        <w:tc>
          <w:tcPr>
            <w:tcW w:w="9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$35.14</w:t>
            </w:r>
          </w:p>
        </w:tc>
        <w:tc>
          <w:tcPr>
            <w:tcW w:w="9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$37.73</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$35.14</w:t>
            </w:r>
          </w:p>
        </w:tc>
      </w:tr>
      <w:tr>
        <w:trPr>
          <w:trHeight w:val="243"/>
        </w:trPr>
        <w:tc>
          <w:tcPr>
            <w:tcW w:w="5480" w:type="dxa"/>
            <w:vAlign w:val="bottom"/>
            <w:gridSpan w:val="2"/>
          </w:tcPr>
          <w:p>
            <w:pPr>
              <w:ind w:left="600"/>
              <w:spacing w:after="0"/>
              <w:rPr>
                <w:sz w:val="20"/>
                <w:szCs w:val="20"/>
                <w:color w:val="auto"/>
              </w:rPr>
            </w:pPr>
            <w:r>
              <w:rPr>
                <w:rFonts w:ascii="Arial" w:cs="Arial" w:eastAsia="Arial" w:hAnsi="Arial"/>
                <w:sz w:val="18"/>
                <w:szCs w:val="18"/>
                <w:color w:val="auto"/>
              </w:rPr>
              <w:t>Close</w:t>
            </w:r>
          </w:p>
        </w:tc>
        <w:tc>
          <w:tcPr>
            <w:tcW w:w="3180" w:type="dxa"/>
            <w:vAlign w:val="bottom"/>
            <w:gridSpan w:val="2"/>
          </w:tcPr>
          <w:p>
            <w:pPr>
              <w:jc w:val="right"/>
              <w:ind w:right="250"/>
              <w:spacing w:after="0"/>
              <w:rPr>
                <w:sz w:val="20"/>
                <w:szCs w:val="20"/>
                <w:color w:val="auto"/>
              </w:rPr>
            </w:pPr>
            <w:r>
              <w:rPr>
                <w:rFonts w:ascii="Arial" w:cs="Arial" w:eastAsia="Arial" w:hAnsi="Arial"/>
                <w:sz w:val="18"/>
                <w:szCs w:val="18"/>
                <w:color w:val="auto"/>
              </w:rPr>
              <w:t>$40.98</w:t>
            </w: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$41.98</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$40.98</w:t>
            </w:r>
          </w:p>
        </w:tc>
        <w:tc>
          <w:tcPr>
            <w:tcW w:w="880" w:type="dxa"/>
            <w:vAlign w:val="bottom"/>
          </w:tcPr>
          <w:p>
            <w:pPr>
              <w:jc w:val="right"/>
              <w:spacing w:after="0"/>
              <w:rPr>
                <w:sz w:val="20"/>
                <w:szCs w:val="20"/>
                <w:color w:val="auto"/>
              </w:rPr>
            </w:pPr>
            <w:r>
              <w:rPr>
                <w:rFonts w:ascii="Arial" w:cs="Arial" w:eastAsia="Arial" w:hAnsi="Arial"/>
                <w:sz w:val="18"/>
                <w:szCs w:val="18"/>
                <w:color w:val="auto"/>
              </w:rPr>
              <w:t>$41.98</w:t>
            </w:r>
          </w:p>
        </w:tc>
      </w:tr>
      <w:tr>
        <w:trPr>
          <w:trHeight w:val="27"/>
        </w:trPr>
        <w:tc>
          <w:tcPr>
            <w:tcW w:w="1120" w:type="dxa"/>
            <w:vAlign w:val="bottom"/>
          </w:tcPr>
          <w:p>
            <w:pPr>
              <w:spacing w:after="0"/>
              <w:rPr>
                <w:sz w:val="2"/>
                <w:szCs w:val="2"/>
                <w:color w:val="auto"/>
              </w:rPr>
            </w:pPr>
          </w:p>
        </w:tc>
        <w:tc>
          <w:tcPr>
            <w:tcW w:w="4360" w:type="dxa"/>
            <w:vAlign w:val="bottom"/>
          </w:tcPr>
          <w:p>
            <w:pPr>
              <w:spacing w:after="0"/>
              <w:rPr>
                <w:sz w:val="2"/>
                <w:szCs w:val="2"/>
                <w:color w:val="auto"/>
              </w:rPr>
            </w:pPr>
          </w:p>
        </w:tc>
        <w:tc>
          <w:tcPr>
            <w:tcW w:w="3180" w:type="dxa"/>
            <w:vAlign w:val="bottom"/>
            <w:gridSpan w:val="2"/>
          </w:tcPr>
          <w:p>
            <w:pPr>
              <w:spacing w:after="0"/>
              <w:rPr>
                <w:sz w:val="2"/>
                <w:szCs w:val="2"/>
                <w:color w:val="auto"/>
              </w:rPr>
            </w:pPr>
          </w:p>
        </w:tc>
        <w:tc>
          <w:tcPr>
            <w:tcW w:w="9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4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Book Value</w:t>
            </w:r>
          </w:p>
        </w:tc>
        <w:tc>
          <w:tcPr>
            <w:tcW w:w="3180" w:type="dxa"/>
            <w:vAlign w:val="bottom"/>
            <w:tcBorders>
              <w:bottom w:val="single" w:sz="8" w:color="CCEEFF"/>
            </w:tcBorders>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$30.50</w:t>
            </w:r>
          </w:p>
        </w:tc>
        <w:tc>
          <w:tcPr>
            <w:tcW w:w="9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$28.77</w:t>
            </w:r>
          </w:p>
        </w:tc>
        <w:tc>
          <w:tcPr>
            <w:tcW w:w="9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$30.50</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$28.77</w:t>
            </w:r>
          </w:p>
        </w:tc>
      </w:tr>
      <w:tr>
        <w:trPr>
          <w:trHeight w:val="594"/>
        </w:trPr>
        <w:tc>
          <w:tcPr>
            <w:tcW w:w="5480" w:type="dxa"/>
            <w:vAlign w:val="bottom"/>
            <w:gridSpan w:val="2"/>
          </w:tcPr>
          <w:p>
            <w:pPr>
              <w:ind w:left="40"/>
              <w:spacing w:after="0"/>
              <w:rPr>
                <w:sz w:val="20"/>
                <w:szCs w:val="20"/>
                <w:color w:val="auto"/>
              </w:rPr>
            </w:pPr>
            <w:r>
              <w:rPr>
                <w:rFonts w:ascii="Arial" w:cs="Arial" w:eastAsia="Arial" w:hAnsi="Arial"/>
                <w:sz w:val="18"/>
                <w:szCs w:val="18"/>
                <w:b w:val="1"/>
                <w:bCs w:val="1"/>
                <w:color w:val="auto"/>
              </w:rPr>
              <w:t>Kilowatt-hours Sold</w:t>
            </w:r>
          </w:p>
        </w:tc>
        <w:tc>
          <w:tcPr>
            <w:tcW w:w="2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7"/>
        </w:trPr>
        <w:tc>
          <w:tcPr>
            <w:tcW w:w="1120" w:type="dxa"/>
            <w:vAlign w:val="bottom"/>
            <w:tcBorders>
              <w:bottom w:val="single" w:sz="8" w:color="auto"/>
            </w:tcBorders>
          </w:tcPr>
          <w:p>
            <w:pPr>
              <w:spacing w:after="0"/>
              <w:rPr>
                <w:sz w:val="2"/>
                <w:szCs w:val="2"/>
                <w:color w:val="auto"/>
              </w:rPr>
            </w:pPr>
          </w:p>
        </w:tc>
        <w:tc>
          <w:tcPr>
            <w:tcW w:w="436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5480" w:type="dxa"/>
            <w:vAlign w:val="bottom"/>
            <w:gridSpan w:val="2"/>
          </w:tcPr>
          <w:p>
            <w:pPr>
              <w:ind w:left="40"/>
              <w:spacing w:after="0"/>
              <w:rPr>
                <w:sz w:val="20"/>
                <w:szCs w:val="20"/>
                <w:color w:val="auto"/>
              </w:rPr>
            </w:pPr>
            <w:r>
              <w:rPr>
                <w:rFonts w:ascii="Arial" w:cs="Arial" w:eastAsia="Arial" w:hAnsi="Arial"/>
                <w:sz w:val="18"/>
                <w:szCs w:val="18"/>
                <w:color w:val="auto"/>
              </w:rPr>
              <w:t>Millions</w:t>
            </w:r>
          </w:p>
        </w:tc>
        <w:tc>
          <w:tcPr>
            <w:tcW w:w="24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7"/>
        </w:trPr>
        <w:tc>
          <w:tcPr>
            <w:tcW w:w="1120" w:type="dxa"/>
            <w:vAlign w:val="bottom"/>
          </w:tcPr>
          <w:p>
            <w:pPr>
              <w:spacing w:after="0"/>
              <w:rPr>
                <w:sz w:val="2"/>
                <w:szCs w:val="2"/>
                <w:color w:val="auto"/>
              </w:rPr>
            </w:pPr>
          </w:p>
        </w:tc>
        <w:tc>
          <w:tcPr>
            <w:tcW w:w="4360" w:type="dxa"/>
            <w:vAlign w:val="bottom"/>
          </w:tcPr>
          <w:p>
            <w:pPr>
              <w:spacing w:after="0"/>
              <w:rPr>
                <w:sz w:val="2"/>
                <w:szCs w:val="2"/>
                <w:color w:val="auto"/>
              </w:rPr>
            </w:pPr>
          </w:p>
        </w:tc>
        <w:tc>
          <w:tcPr>
            <w:tcW w:w="2400" w:type="dxa"/>
            <w:vAlign w:val="bottom"/>
          </w:tcPr>
          <w:p>
            <w:pPr>
              <w:spacing w:after="0"/>
              <w:rPr>
                <w:sz w:val="2"/>
                <w:szCs w:val="2"/>
                <w:color w:val="auto"/>
              </w:rPr>
            </w:pPr>
          </w:p>
        </w:tc>
        <w:tc>
          <w:tcPr>
            <w:tcW w:w="780" w:type="dxa"/>
            <w:vAlign w:val="bottom"/>
          </w:tcPr>
          <w:p>
            <w:pPr>
              <w:spacing w:after="0"/>
              <w:rPr>
                <w:sz w:val="2"/>
                <w:szCs w:val="2"/>
                <w:color w:val="auto"/>
              </w:rPr>
            </w:pPr>
          </w:p>
        </w:tc>
        <w:tc>
          <w:tcPr>
            <w:tcW w:w="9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4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Regulated Utility</w:t>
            </w:r>
          </w:p>
        </w:tc>
        <w:tc>
          <w:tcPr>
            <w:tcW w:w="24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5480" w:type="dxa"/>
            <w:vAlign w:val="bottom"/>
            <w:gridSpan w:val="2"/>
          </w:tcPr>
          <w:p>
            <w:pPr>
              <w:ind w:left="600"/>
              <w:spacing w:after="0"/>
              <w:rPr>
                <w:sz w:val="20"/>
                <w:szCs w:val="20"/>
                <w:color w:val="auto"/>
              </w:rPr>
            </w:pPr>
            <w:r>
              <w:rPr>
                <w:rFonts w:ascii="Arial" w:cs="Arial" w:eastAsia="Arial" w:hAnsi="Arial"/>
                <w:sz w:val="18"/>
                <w:szCs w:val="18"/>
                <w:color w:val="auto"/>
              </w:rPr>
              <w:t>Retail and Municipals</w:t>
            </w:r>
          </w:p>
        </w:tc>
        <w:tc>
          <w:tcPr>
            <w:tcW w:w="24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1120" w:type="dxa"/>
            <w:vAlign w:val="bottom"/>
          </w:tcPr>
          <w:p>
            <w:pPr>
              <w:spacing w:after="0"/>
              <w:rPr>
                <w:sz w:val="2"/>
                <w:szCs w:val="2"/>
                <w:color w:val="auto"/>
              </w:rPr>
            </w:pPr>
          </w:p>
        </w:tc>
        <w:tc>
          <w:tcPr>
            <w:tcW w:w="4360" w:type="dxa"/>
            <w:vAlign w:val="bottom"/>
          </w:tcPr>
          <w:p>
            <w:pPr>
              <w:spacing w:after="0"/>
              <w:rPr>
                <w:sz w:val="2"/>
                <w:szCs w:val="2"/>
                <w:color w:val="auto"/>
              </w:rPr>
            </w:pPr>
          </w:p>
        </w:tc>
        <w:tc>
          <w:tcPr>
            <w:tcW w:w="2400" w:type="dxa"/>
            <w:vAlign w:val="bottom"/>
          </w:tcPr>
          <w:p>
            <w:pPr>
              <w:spacing w:after="0"/>
              <w:rPr>
                <w:sz w:val="2"/>
                <w:szCs w:val="2"/>
                <w:color w:val="auto"/>
              </w:rPr>
            </w:pPr>
          </w:p>
        </w:tc>
        <w:tc>
          <w:tcPr>
            <w:tcW w:w="780" w:type="dxa"/>
            <w:vAlign w:val="bottom"/>
          </w:tcPr>
          <w:p>
            <w:pPr>
              <w:spacing w:after="0"/>
              <w:rPr>
                <w:sz w:val="2"/>
                <w:szCs w:val="2"/>
                <w:color w:val="auto"/>
              </w:rPr>
            </w:pPr>
          </w:p>
        </w:tc>
        <w:tc>
          <w:tcPr>
            <w:tcW w:w="9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480" w:type="dxa"/>
            <w:vAlign w:val="bottom"/>
            <w:tcBorders>
              <w:bottom w:val="single" w:sz="8" w:color="CCEEFF"/>
            </w:tcBorders>
            <w:gridSpan w:val="2"/>
            <w:shd w:val="clear" w:color="auto" w:fill="CCEEFF"/>
          </w:tcPr>
          <w:p>
            <w:pPr>
              <w:ind w:left="1040"/>
              <w:spacing w:after="0"/>
              <w:rPr>
                <w:sz w:val="20"/>
                <w:szCs w:val="20"/>
                <w:color w:val="auto"/>
              </w:rPr>
            </w:pPr>
            <w:r>
              <w:rPr>
                <w:rFonts w:ascii="Arial" w:cs="Arial" w:eastAsia="Arial" w:hAnsi="Arial"/>
                <w:sz w:val="18"/>
                <w:szCs w:val="18"/>
                <w:color w:val="auto"/>
              </w:rPr>
              <w:t>Residential</w:t>
            </w:r>
          </w:p>
        </w:tc>
        <w:tc>
          <w:tcPr>
            <w:tcW w:w="24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303</w:t>
            </w:r>
          </w:p>
        </w:tc>
        <w:tc>
          <w:tcPr>
            <w:tcW w:w="9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294</w:t>
            </w:r>
          </w:p>
        </w:tc>
        <w:tc>
          <w:tcPr>
            <w:tcW w:w="9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1,132</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1,159</w:t>
            </w:r>
          </w:p>
        </w:tc>
      </w:tr>
      <w:tr>
        <w:trPr>
          <w:trHeight w:val="243"/>
        </w:trPr>
        <w:tc>
          <w:tcPr>
            <w:tcW w:w="5480" w:type="dxa"/>
            <w:vAlign w:val="bottom"/>
            <w:gridSpan w:val="2"/>
          </w:tcPr>
          <w:p>
            <w:pPr>
              <w:ind w:left="1040"/>
              <w:spacing w:after="0"/>
              <w:rPr>
                <w:sz w:val="20"/>
                <w:szCs w:val="20"/>
                <w:color w:val="auto"/>
              </w:rPr>
            </w:pPr>
            <w:r>
              <w:rPr>
                <w:rFonts w:ascii="Arial" w:cs="Arial" w:eastAsia="Arial" w:hAnsi="Arial"/>
                <w:sz w:val="18"/>
                <w:szCs w:val="18"/>
                <w:color w:val="auto"/>
              </w:rPr>
              <w:t>Commercial</w:t>
            </w:r>
          </w:p>
        </w:tc>
        <w:tc>
          <w:tcPr>
            <w:tcW w:w="2400" w:type="dxa"/>
            <w:vAlign w:val="bottom"/>
          </w:tcPr>
          <w:p>
            <w:pPr>
              <w:spacing w:after="0"/>
              <w:rPr>
                <w:sz w:val="21"/>
                <w:szCs w:val="21"/>
                <w:color w:val="auto"/>
              </w:rPr>
            </w:pPr>
          </w:p>
        </w:tc>
        <w:tc>
          <w:tcPr>
            <w:tcW w:w="780" w:type="dxa"/>
            <w:vAlign w:val="bottom"/>
          </w:tcPr>
          <w:p>
            <w:pPr>
              <w:jc w:val="right"/>
              <w:ind w:right="250"/>
              <w:spacing w:after="0"/>
              <w:rPr>
                <w:sz w:val="20"/>
                <w:szCs w:val="20"/>
                <w:color w:val="auto"/>
              </w:rPr>
            </w:pPr>
            <w:r>
              <w:rPr>
                <w:rFonts w:ascii="Arial" w:cs="Arial" w:eastAsia="Arial" w:hAnsi="Arial"/>
                <w:sz w:val="18"/>
                <w:szCs w:val="18"/>
                <w:color w:val="auto"/>
              </w:rPr>
              <w:t>352</w:t>
            </w: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360</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1,436</w:t>
            </w:r>
          </w:p>
        </w:tc>
        <w:tc>
          <w:tcPr>
            <w:tcW w:w="880" w:type="dxa"/>
            <w:vAlign w:val="bottom"/>
          </w:tcPr>
          <w:p>
            <w:pPr>
              <w:jc w:val="right"/>
              <w:spacing w:after="0"/>
              <w:rPr>
                <w:sz w:val="20"/>
                <w:szCs w:val="20"/>
                <w:color w:val="auto"/>
              </w:rPr>
            </w:pPr>
            <w:r>
              <w:rPr>
                <w:rFonts w:ascii="Arial" w:cs="Arial" w:eastAsia="Arial" w:hAnsi="Arial"/>
                <w:sz w:val="18"/>
                <w:szCs w:val="18"/>
                <w:color w:val="auto"/>
              </w:rPr>
              <w:t>1,433</w:t>
            </w:r>
          </w:p>
        </w:tc>
      </w:tr>
      <w:tr>
        <w:trPr>
          <w:trHeight w:val="27"/>
        </w:trPr>
        <w:tc>
          <w:tcPr>
            <w:tcW w:w="1120" w:type="dxa"/>
            <w:vAlign w:val="bottom"/>
          </w:tcPr>
          <w:p>
            <w:pPr>
              <w:spacing w:after="0"/>
              <w:rPr>
                <w:sz w:val="2"/>
                <w:szCs w:val="2"/>
                <w:color w:val="auto"/>
              </w:rPr>
            </w:pPr>
          </w:p>
        </w:tc>
        <w:tc>
          <w:tcPr>
            <w:tcW w:w="4360" w:type="dxa"/>
            <w:vAlign w:val="bottom"/>
          </w:tcPr>
          <w:p>
            <w:pPr>
              <w:spacing w:after="0"/>
              <w:rPr>
                <w:sz w:val="2"/>
                <w:szCs w:val="2"/>
                <w:color w:val="auto"/>
              </w:rPr>
            </w:pPr>
          </w:p>
        </w:tc>
        <w:tc>
          <w:tcPr>
            <w:tcW w:w="2400" w:type="dxa"/>
            <w:vAlign w:val="bottom"/>
          </w:tcPr>
          <w:p>
            <w:pPr>
              <w:spacing w:after="0"/>
              <w:rPr>
                <w:sz w:val="2"/>
                <w:szCs w:val="2"/>
                <w:color w:val="auto"/>
              </w:rPr>
            </w:pPr>
          </w:p>
        </w:tc>
        <w:tc>
          <w:tcPr>
            <w:tcW w:w="780" w:type="dxa"/>
            <w:vAlign w:val="bottom"/>
          </w:tcPr>
          <w:p>
            <w:pPr>
              <w:spacing w:after="0"/>
              <w:rPr>
                <w:sz w:val="2"/>
                <w:szCs w:val="2"/>
                <w:color w:val="auto"/>
              </w:rPr>
            </w:pPr>
          </w:p>
        </w:tc>
        <w:tc>
          <w:tcPr>
            <w:tcW w:w="9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480" w:type="dxa"/>
            <w:vAlign w:val="bottom"/>
            <w:tcBorders>
              <w:bottom w:val="single" w:sz="8" w:color="CCEEFF"/>
            </w:tcBorders>
            <w:gridSpan w:val="2"/>
            <w:shd w:val="clear" w:color="auto" w:fill="CCEEFF"/>
          </w:tcPr>
          <w:p>
            <w:pPr>
              <w:ind w:left="1040"/>
              <w:spacing w:after="0"/>
              <w:rPr>
                <w:sz w:val="20"/>
                <w:szCs w:val="20"/>
                <w:color w:val="auto"/>
              </w:rPr>
            </w:pPr>
            <w:r>
              <w:rPr>
                <w:rFonts w:ascii="Arial" w:cs="Arial" w:eastAsia="Arial" w:hAnsi="Arial"/>
                <w:sz w:val="18"/>
                <w:szCs w:val="18"/>
                <w:color w:val="auto"/>
              </w:rPr>
              <w:t>Municipals</w:t>
            </w:r>
          </w:p>
        </w:tc>
        <w:tc>
          <w:tcPr>
            <w:tcW w:w="24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262</w:t>
            </w:r>
          </w:p>
        </w:tc>
        <w:tc>
          <w:tcPr>
            <w:tcW w:w="9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256</w:t>
            </w:r>
          </w:p>
        </w:tc>
        <w:tc>
          <w:tcPr>
            <w:tcW w:w="9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1,020</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1,013</w:t>
            </w:r>
          </w:p>
        </w:tc>
      </w:tr>
      <w:tr>
        <w:trPr>
          <w:trHeight w:val="243"/>
        </w:trPr>
        <w:tc>
          <w:tcPr>
            <w:tcW w:w="5480" w:type="dxa"/>
            <w:vAlign w:val="bottom"/>
            <w:gridSpan w:val="2"/>
          </w:tcPr>
          <w:p>
            <w:pPr>
              <w:ind w:left="1040"/>
              <w:spacing w:after="0"/>
              <w:rPr>
                <w:sz w:val="20"/>
                <w:szCs w:val="20"/>
                <w:color w:val="auto"/>
              </w:rPr>
            </w:pPr>
            <w:r>
              <w:rPr>
                <w:rFonts w:ascii="Arial" w:cs="Arial" w:eastAsia="Arial" w:hAnsi="Arial"/>
                <w:sz w:val="18"/>
                <w:szCs w:val="18"/>
                <w:color w:val="auto"/>
              </w:rPr>
              <w:t>Industrial</w:t>
            </w:r>
          </w:p>
        </w:tc>
        <w:tc>
          <w:tcPr>
            <w:tcW w:w="2400" w:type="dxa"/>
            <w:vAlign w:val="bottom"/>
          </w:tcPr>
          <w:p>
            <w:pPr>
              <w:spacing w:after="0"/>
              <w:rPr>
                <w:sz w:val="21"/>
                <w:szCs w:val="21"/>
                <w:color w:val="auto"/>
              </w:rPr>
            </w:pPr>
          </w:p>
        </w:tc>
        <w:tc>
          <w:tcPr>
            <w:tcW w:w="780" w:type="dxa"/>
            <w:vAlign w:val="bottom"/>
          </w:tcPr>
          <w:p>
            <w:pPr>
              <w:jc w:val="right"/>
              <w:ind w:right="250"/>
              <w:spacing w:after="0"/>
              <w:rPr>
                <w:sz w:val="20"/>
                <w:szCs w:val="20"/>
                <w:color w:val="auto"/>
              </w:rPr>
            </w:pPr>
            <w:r>
              <w:rPr>
                <w:rFonts w:ascii="Arial" w:cs="Arial" w:eastAsia="Arial" w:hAnsi="Arial"/>
                <w:sz w:val="18"/>
                <w:szCs w:val="18"/>
                <w:color w:val="auto"/>
                <w:w w:val="93"/>
              </w:rPr>
              <w:t>1,877</w:t>
            </w: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1,895</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7,502</w:t>
            </w:r>
          </w:p>
        </w:tc>
        <w:tc>
          <w:tcPr>
            <w:tcW w:w="880" w:type="dxa"/>
            <w:vAlign w:val="bottom"/>
          </w:tcPr>
          <w:p>
            <w:pPr>
              <w:jc w:val="right"/>
              <w:spacing w:after="0"/>
              <w:rPr>
                <w:sz w:val="20"/>
                <w:szCs w:val="20"/>
                <w:color w:val="auto"/>
              </w:rPr>
            </w:pPr>
            <w:r>
              <w:rPr>
                <w:rFonts w:ascii="Arial" w:cs="Arial" w:eastAsia="Arial" w:hAnsi="Arial"/>
                <w:sz w:val="18"/>
                <w:szCs w:val="18"/>
                <w:color w:val="auto"/>
              </w:rPr>
              <w:t>7,365</w:t>
            </w:r>
          </w:p>
        </w:tc>
      </w:tr>
      <w:tr>
        <w:trPr>
          <w:trHeight w:val="27"/>
        </w:trPr>
        <w:tc>
          <w:tcPr>
            <w:tcW w:w="1120" w:type="dxa"/>
            <w:vAlign w:val="bottom"/>
            <w:tcBorders>
              <w:bottom w:val="single" w:sz="8" w:color="auto"/>
            </w:tcBorders>
          </w:tcPr>
          <w:p>
            <w:pPr>
              <w:spacing w:after="0"/>
              <w:rPr>
                <w:sz w:val="2"/>
                <w:szCs w:val="2"/>
                <w:color w:val="auto"/>
              </w:rPr>
            </w:pPr>
          </w:p>
        </w:tc>
        <w:tc>
          <w:tcPr>
            <w:tcW w:w="436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548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Total Retail and Municipal</w:t>
            </w:r>
          </w:p>
        </w:tc>
        <w:tc>
          <w:tcPr>
            <w:tcW w:w="24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3"/>
              </w:rPr>
              <w:t>2,794</w:t>
            </w:r>
          </w:p>
        </w:tc>
        <w:tc>
          <w:tcPr>
            <w:tcW w:w="9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2,805</w:t>
            </w:r>
          </w:p>
        </w:tc>
        <w:tc>
          <w:tcPr>
            <w:tcW w:w="9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11,090</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10,970</w:t>
            </w:r>
          </w:p>
        </w:tc>
      </w:tr>
      <w:tr>
        <w:trPr>
          <w:trHeight w:val="243"/>
        </w:trPr>
        <w:tc>
          <w:tcPr>
            <w:tcW w:w="5480" w:type="dxa"/>
            <w:vAlign w:val="bottom"/>
            <w:gridSpan w:val="2"/>
          </w:tcPr>
          <w:p>
            <w:pPr>
              <w:ind w:left="600"/>
              <w:spacing w:after="0"/>
              <w:rPr>
                <w:sz w:val="20"/>
                <w:szCs w:val="20"/>
                <w:color w:val="auto"/>
              </w:rPr>
            </w:pPr>
            <w:r>
              <w:rPr>
                <w:rFonts w:ascii="Arial" w:cs="Arial" w:eastAsia="Arial" w:hAnsi="Arial"/>
                <w:sz w:val="18"/>
                <w:szCs w:val="18"/>
                <w:color w:val="auto"/>
              </w:rPr>
              <w:t>Other Power Suppliers</w:t>
            </w:r>
          </w:p>
        </w:tc>
        <w:tc>
          <w:tcPr>
            <w:tcW w:w="2400" w:type="dxa"/>
            <w:vAlign w:val="bottom"/>
          </w:tcPr>
          <w:p>
            <w:pPr>
              <w:spacing w:after="0"/>
              <w:rPr>
                <w:sz w:val="21"/>
                <w:szCs w:val="21"/>
                <w:color w:val="auto"/>
              </w:rPr>
            </w:pPr>
          </w:p>
        </w:tc>
        <w:tc>
          <w:tcPr>
            <w:tcW w:w="780" w:type="dxa"/>
            <w:vAlign w:val="bottom"/>
          </w:tcPr>
          <w:p>
            <w:pPr>
              <w:jc w:val="right"/>
              <w:ind w:right="250"/>
              <w:spacing w:after="0"/>
              <w:rPr>
                <w:sz w:val="20"/>
                <w:szCs w:val="20"/>
                <w:color w:val="auto"/>
              </w:rPr>
            </w:pPr>
            <w:r>
              <w:rPr>
                <w:rFonts w:ascii="Arial" w:cs="Arial" w:eastAsia="Arial" w:hAnsi="Arial"/>
                <w:sz w:val="18"/>
                <w:szCs w:val="18"/>
                <w:color w:val="auto"/>
              </w:rPr>
              <w:t>512</w:t>
            </w: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514</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1,999</w:t>
            </w:r>
          </w:p>
        </w:tc>
        <w:tc>
          <w:tcPr>
            <w:tcW w:w="880" w:type="dxa"/>
            <w:vAlign w:val="bottom"/>
          </w:tcPr>
          <w:p>
            <w:pPr>
              <w:jc w:val="right"/>
              <w:spacing w:after="0"/>
              <w:rPr>
                <w:sz w:val="20"/>
                <w:szCs w:val="20"/>
                <w:color w:val="auto"/>
              </w:rPr>
            </w:pPr>
            <w:r>
              <w:rPr>
                <w:rFonts w:ascii="Arial" w:cs="Arial" w:eastAsia="Arial" w:hAnsi="Arial"/>
                <w:sz w:val="18"/>
                <w:szCs w:val="18"/>
                <w:color w:val="auto"/>
              </w:rPr>
              <w:t>2,205</w:t>
            </w:r>
          </w:p>
        </w:tc>
      </w:tr>
      <w:tr>
        <w:trPr>
          <w:trHeight w:val="27"/>
        </w:trPr>
        <w:tc>
          <w:tcPr>
            <w:tcW w:w="1120" w:type="dxa"/>
            <w:vAlign w:val="bottom"/>
            <w:tcBorders>
              <w:bottom w:val="single" w:sz="8" w:color="auto"/>
            </w:tcBorders>
          </w:tcPr>
          <w:p>
            <w:pPr>
              <w:spacing w:after="0"/>
              <w:rPr>
                <w:sz w:val="2"/>
                <w:szCs w:val="2"/>
                <w:color w:val="auto"/>
              </w:rPr>
            </w:pPr>
          </w:p>
        </w:tc>
        <w:tc>
          <w:tcPr>
            <w:tcW w:w="436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54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Regulated Utility</w:t>
            </w:r>
          </w:p>
        </w:tc>
        <w:tc>
          <w:tcPr>
            <w:tcW w:w="24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3"/>
              </w:rPr>
              <w:t>3,306</w:t>
            </w:r>
          </w:p>
        </w:tc>
        <w:tc>
          <w:tcPr>
            <w:tcW w:w="9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3,319</w:t>
            </w:r>
          </w:p>
        </w:tc>
        <w:tc>
          <w:tcPr>
            <w:tcW w:w="9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13,089</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13,175</w:t>
            </w:r>
          </w:p>
        </w:tc>
      </w:tr>
      <w:tr>
        <w:trPr>
          <w:trHeight w:val="243"/>
        </w:trPr>
        <w:tc>
          <w:tcPr>
            <w:tcW w:w="5480" w:type="dxa"/>
            <w:vAlign w:val="bottom"/>
            <w:gridSpan w:val="2"/>
          </w:tcPr>
          <w:p>
            <w:pPr>
              <w:ind w:left="380"/>
              <w:spacing w:after="0"/>
              <w:rPr>
                <w:sz w:val="20"/>
                <w:szCs w:val="20"/>
                <w:color w:val="auto"/>
              </w:rPr>
            </w:pPr>
            <w:r>
              <w:rPr>
                <w:rFonts w:ascii="Arial" w:cs="Arial" w:eastAsia="Arial" w:hAnsi="Arial"/>
                <w:sz w:val="18"/>
                <w:szCs w:val="18"/>
                <w:color w:val="auto"/>
              </w:rPr>
              <w:t>Non-regulated Energy Operations</w:t>
            </w:r>
          </w:p>
        </w:tc>
        <w:tc>
          <w:tcPr>
            <w:tcW w:w="2400" w:type="dxa"/>
            <w:vAlign w:val="bottom"/>
          </w:tcPr>
          <w:p>
            <w:pPr>
              <w:spacing w:after="0"/>
              <w:rPr>
                <w:sz w:val="21"/>
                <w:szCs w:val="21"/>
                <w:color w:val="auto"/>
              </w:rPr>
            </w:pPr>
          </w:p>
        </w:tc>
        <w:tc>
          <w:tcPr>
            <w:tcW w:w="780" w:type="dxa"/>
            <w:vAlign w:val="bottom"/>
          </w:tcPr>
          <w:p>
            <w:pPr>
              <w:jc w:val="right"/>
              <w:ind w:right="250"/>
              <w:spacing w:after="0"/>
              <w:rPr>
                <w:sz w:val="20"/>
                <w:szCs w:val="20"/>
                <w:color w:val="auto"/>
              </w:rPr>
            </w:pPr>
            <w:r>
              <w:rPr>
                <w:rFonts w:ascii="Arial" w:cs="Arial" w:eastAsia="Arial" w:hAnsi="Arial"/>
                <w:sz w:val="18"/>
                <w:szCs w:val="18"/>
                <w:color w:val="auto"/>
              </w:rPr>
              <w:t>33</w:t>
            </w: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30</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113</w:t>
            </w:r>
          </w:p>
        </w:tc>
        <w:tc>
          <w:tcPr>
            <w:tcW w:w="88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27"/>
        </w:trPr>
        <w:tc>
          <w:tcPr>
            <w:tcW w:w="1120" w:type="dxa"/>
            <w:vAlign w:val="bottom"/>
            <w:tcBorders>
              <w:bottom w:val="single" w:sz="8" w:color="auto"/>
            </w:tcBorders>
          </w:tcPr>
          <w:p>
            <w:pPr>
              <w:spacing w:after="0"/>
              <w:rPr>
                <w:sz w:val="2"/>
                <w:szCs w:val="2"/>
                <w:color w:val="auto"/>
              </w:rPr>
            </w:pPr>
          </w:p>
        </w:tc>
        <w:tc>
          <w:tcPr>
            <w:tcW w:w="436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54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Kilowatt-hours Sold</w:t>
            </w:r>
          </w:p>
        </w:tc>
        <w:tc>
          <w:tcPr>
            <w:tcW w:w="24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3"/>
              </w:rPr>
              <w:t>3,339</w:t>
            </w:r>
          </w:p>
        </w:tc>
        <w:tc>
          <w:tcPr>
            <w:tcW w:w="9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3,349</w:t>
            </w:r>
          </w:p>
        </w:tc>
        <w:tc>
          <w:tcPr>
            <w:tcW w:w="9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13,202</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13,280</w:t>
            </w:r>
          </w:p>
        </w:tc>
      </w:tr>
      <w:tr>
        <w:trPr>
          <w:trHeight w:val="588"/>
        </w:trPr>
        <w:tc>
          <w:tcPr>
            <w:tcW w:w="1120" w:type="dxa"/>
            <w:vAlign w:val="bottom"/>
            <w:tcBorders>
              <w:top w:val="single" w:sz="8" w:color="auto"/>
            </w:tcBorders>
          </w:tcPr>
          <w:p>
            <w:pPr>
              <w:spacing w:after="0"/>
              <w:rPr>
                <w:sz w:val="24"/>
                <w:szCs w:val="24"/>
                <w:color w:val="auto"/>
              </w:rPr>
            </w:pPr>
          </w:p>
        </w:tc>
        <w:tc>
          <w:tcPr>
            <w:tcW w:w="436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Regulated Utility Revenue</w:t>
            </w:r>
          </w:p>
        </w:tc>
        <w:tc>
          <w:tcPr>
            <w:tcW w:w="24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r>
      <w:tr>
        <w:trPr>
          <w:trHeight w:val="27"/>
        </w:trPr>
        <w:tc>
          <w:tcPr>
            <w:tcW w:w="1120" w:type="dxa"/>
            <w:vAlign w:val="bottom"/>
          </w:tcPr>
          <w:p>
            <w:pPr>
              <w:spacing w:after="0"/>
              <w:rPr>
                <w:sz w:val="2"/>
                <w:szCs w:val="2"/>
                <w:color w:val="auto"/>
              </w:rPr>
            </w:pPr>
          </w:p>
        </w:tc>
        <w:tc>
          <w:tcPr>
            <w:tcW w:w="436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37"/>
        </w:trPr>
        <w:tc>
          <w:tcPr>
            <w:tcW w:w="1120" w:type="dxa"/>
            <w:vAlign w:val="bottom"/>
          </w:tcPr>
          <w:p>
            <w:pPr>
              <w:spacing w:after="0"/>
              <w:rPr>
                <w:sz w:val="20"/>
                <w:szCs w:val="20"/>
                <w:color w:val="auto"/>
              </w:rPr>
            </w:pPr>
          </w:p>
        </w:tc>
        <w:tc>
          <w:tcPr>
            <w:tcW w:w="4360" w:type="dxa"/>
            <w:vAlign w:val="bottom"/>
          </w:tcPr>
          <w:p>
            <w:pPr>
              <w:ind w:left="40"/>
              <w:spacing w:after="0"/>
              <w:rPr>
                <w:sz w:val="20"/>
                <w:szCs w:val="20"/>
                <w:color w:val="auto"/>
              </w:rPr>
            </w:pPr>
            <w:r>
              <w:rPr>
                <w:rFonts w:ascii="Arial" w:cs="Arial" w:eastAsia="Arial" w:hAnsi="Arial"/>
                <w:sz w:val="18"/>
                <w:szCs w:val="18"/>
                <w:color w:val="auto"/>
              </w:rPr>
              <w:t>Millions</w:t>
            </w:r>
          </w:p>
        </w:tc>
        <w:tc>
          <w:tcPr>
            <w:tcW w:w="24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7"/>
        </w:trPr>
        <w:tc>
          <w:tcPr>
            <w:tcW w:w="1120" w:type="dxa"/>
            <w:vAlign w:val="bottom"/>
          </w:tcPr>
          <w:p>
            <w:pPr>
              <w:spacing w:after="0"/>
              <w:rPr>
                <w:sz w:val="2"/>
                <w:szCs w:val="2"/>
                <w:color w:val="auto"/>
              </w:rPr>
            </w:pPr>
          </w:p>
        </w:tc>
        <w:tc>
          <w:tcPr>
            <w:tcW w:w="4360" w:type="dxa"/>
            <w:vAlign w:val="bottom"/>
          </w:tcPr>
          <w:p>
            <w:pPr>
              <w:spacing w:after="0"/>
              <w:rPr>
                <w:sz w:val="2"/>
                <w:szCs w:val="2"/>
                <w:color w:val="auto"/>
              </w:rPr>
            </w:pPr>
          </w:p>
        </w:tc>
        <w:tc>
          <w:tcPr>
            <w:tcW w:w="2400" w:type="dxa"/>
            <w:vAlign w:val="bottom"/>
          </w:tcPr>
          <w:p>
            <w:pPr>
              <w:spacing w:after="0"/>
              <w:rPr>
                <w:sz w:val="2"/>
                <w:szCs w:val="2"/>
                <w:color w:val="auto"/>
              </w:rPr>
            </w:pPr>
          </w:p>
        </w:tc>
        <w:tc>
          <w:tcPr>
            <w:tcW w:w="780" w:type="dxa"/>
            <w:vAlign w:val="bottom"/>
          </w:tcPr>
          <w:p>
            <w:pPr>
              <w:spacing w:after="0"/>
              <w:rPr>
                <w:sz w:val="2"/>
                <w:szCs w:val="2"/>
                <w:color w:val="auto"/>
              </w:rPr>
            </w:pPr>
          </w:p>
        </w:tc>
        <w:tc>
          <w:tcPr>
            <w:tcW w:w="9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1120" w:type="dxa"/>
            <w:vAlign w:val="bottom"/>
          </w:tcPr>
          <w:p>
            <w:pPr>
              <w:spacing w:after="0"/>
              <w:rPr>
                <w:sz w:val="21"/>
                <w:szCs w:val="21"/>
                <w:color w:val="auto"/>
              </w:rPr>
            </w:pPr>
          </w:p>
        </w:tc>
        <w:tc>
          <w:tcPr>
            <w:tcW w:w="4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Regulated Operations</w:t>
            </w:r>
          </w:p>
        </w:tc>
        <w:tc>
          <w:tcPr>
            <w:tcW w:w="24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43"/>
        </w:trPr>
        <w:tc>
          <w:tcPr>
            <w:tcW w:w="1120" w:type="dxa"/>
            <w:vAlign w:val="bottom"/>
          </w:tcPr>
          <w:p>
            <w:pPr>
              <w:spacing w:after="0"/>
              <w:rPr>
                <w:sz w:val="21"/>
                <w:szCs w:val="21"/>
                <w:color w:val="auto"/>
              </w:rPr>
            </w:pPr>
          </w:p>
        </w:tc>
        <w:tc>
          <w:tcPr>
            <w:tcW w:w="4360" w:type="dxa"/>
            <w:vAlign w:val="bottom"/>
          </w:tcPr>
          <w:p>
            <w:pPr>
              <w:ind w:left="280"/>
              <w:spacing w:after="0"/>
              <w:rPr>
                <w:sz w:val="20"/>
                <w:szCs w:val="20"/>
                <w:color w:val="auto"/>
              </w:rPr>
            </w:pPr>
            <w:r>
              <w:rPr>
                <w:rFonts w:ascii="Arial" w:cs="Arial" w:eastAsia="Arial" w:hAnsi="Arial"/>
                <w:sz w:val="18"/>
                <w:szCs w:val="18"/>
                <w:color w:val="auto"/>
              </w:rPr>
              <w:t>Retail and Municipals</w:t>
            </w:r>
          </w:p>
        </w:tc>
        <w:tc>
          <w:tcPr>
            <w:tcW w:w="24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1120" w:type="dxa"/>
            <w:vAlign w:val="bottom"/>
          </w:tcPr>
          <w:p>
            <w:pPr>
              <w:spacing w:after="0"/>
              <w:rPr>
                <w:sz w:val="2"/>
                <w:szCs w:val="2"/>
                <w:color w:val="auto"/>
              </w:rPr>
            </w:pPr>
          </w:p>
        </w:tc>
        <w:tc>
          <w:tcPr>
            <w:tcW w:w="4360" w:type="dxa"/>
            <w:vAlign w:val="bottom"/>
          </w:tcPr>
          <w:p>
            <w:pPr>
              <w:spacing w:after="0"/>
              <w:rPr>
                <w:sz w:val="2"/>
                <w:szCs w:val="2"/>
                <w:color w:val="auto"/>
              </w:rPr>
            </w:pPr>
          </w:p>
        </w:tc>
        <w:tc>
          <w:tcPr>
            <w:tcW w:w="2400" w:type="dxa"/>
            <w:vAlign w:val="bottom"/>
          </w:tcPr>
          <w:p>
            <w:pPr>
              <w:spacing w:after="0"/>
              <w:rPr>
                <w:sz w:val="2"/>
                <w:szCs w:val="2"/>
                <w:color w:val="auto"/>
              </w:rPr>
            </w:pPr>
          </w:p>
        </w:tc>
        <w:tc>
          <w:tcPr>
            <w:tcW w:w="780" w:type="dxa"/>
            <w:vAlign w:val="bottom"/>
          </w:tcPr>
          <w:p>
            <w:pPr>
              <w:spacing w:after="0"/>
              <w:rPr>
                <w:sz w:val="2"/>
                <w:szCs w:val="2"/>
                <w:color w:val="auto"/>
              </w:rPr>
            </w:pPr>
          </w:p>
        </w:tc>
        <w:tc>
          <w:tcPr>
            <w:tcW w:w="9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1120" w:type="dxa"/>
            <w:vAlign w:val="bottom"/>
          </w:tcPr>
          <w:p>
            <w:pPr>
              <w:spacing w:after="0"/>
              <w:rPr>
                <w:sz w:val="21"/>
                <w:szCs w:val="21"/>
                <w:color w:val="auto"/>
              </w:rPr>
            </w:pPr>
          </w:p>
        </w:tc>
        <w:tc>
          <w:tcPr>
            <w:tcW w:w="4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Residential</w:t>
            </w:r>
          </w:p>
        </w:tc>
        <w:tc>
          <w:tcPr>
            <w:tcW w:w="2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$104.5</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$109.1</w:t>
            </w: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43"/>
        </w:trPr>
        <w:tc>
          <w:tcPr>
            <w:tcW w:w="1120" w:type="dxa"/>
            <w:vAlign w:val="bottom"/>
          </w:tcPr>
          <w:p>
            <w:pPr>
              <w:spacing w:after="0"/>
              <w:rPr>
                <w:sz w:val="21"/>
                <w:szCs w:val="21"/>
                <w:color w:val="auto"/>
              </w:rPr>
            </w:pPr>
          </w:p>
        </w:tc>
        <w:tc>
          <w:tcPr>
            <w:tcW w:w="4360" w:type="dxa"/>
            <w:vAlign w:val="bottom"/>
          </w:tcPr>
          <w:p>
            <w:pPr>
              <w:ind w:left="380"/>
              <w:spacing w:after="0"/>
              <w:rPr>
                <w:sz w:val="20"/>
                <w:szCs w:val="20"/>
                <w:color w:val="auto"/>
              </w:rPr>
            </w:pPr>
            <w:r>
              <w:rPr>
                <w:rFonts w:ascii="Arial" w:cs="Arial" w:eastAsia="Arial" w:hAnsi="Arial"/>
                <w:sz w:val="18"/>
                <w:szCs w:val="18"/>
                <w:color w:val="auto"/>
              </w:rPr>
              <w:t>Commercial</w:t>
            </w:r>
          </w:p>
        </w:tc>
        <w:tc>
          <w:tcPr>
            <w:tcW w:w="2400" w:type="dxa"/>
            <w:vAlign w:val="bottom"/>
          </w:tcPr>
          <w:p>
            <w:pPr>
              <w:jc w:val="right"/>
              <w:spacing w:after="0"/>
              <w:rPr>
                <w:sz w:val="20"/>
                <w:szCs w:val="20"/>
                <w:color w:val="auto"/>
              </w:rPr>
            </w:pPr>
            <w:r>
              <w:rPr>
                <w:rFonts w:ascii="Arial" w:cs="Arial" w:eastAsia="Arial" w:hAnsi="Arial"/>
                <w:sz w:val="18"/>
                <w:szCs w:val="18"/>
                <w:color w:val="auto"/>
              </w:rPr>
              <w:t>29.0</w:t>
            </w:r>
          </w:p>
        </w:tc>
        <w:tc>
          <w:tcPr>
            <w:tcW w:w="780" w:type="dxa"/>
            <w:vAlign w:val="bottom"/>
          </w:tcPr>
          <w:p>
            <w:pPr>
              <w:jc w:val="right"/>
              <w:spacing w:after="0"/>
              <w:rPr>
                <w:sz w:val="20"/>
                <w:szCs w:val="20"/>
                <w:color w:val="auto"/>
              </w:rPr>
            </w:pPr>
            <w:r>
              <w:rPr>
                <w:rFonts w:ascii="Arial" w:cs="Arial" w:eastAsia="Arial" w:hAnsi="Arial"/>
                <w:sz w:val="18"/>
                <w:szCs w:val="18"/>
                <w:color w:val="auto"/>
              </w:rPr>
              <w:t>28.7</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116.2</w:t>
            </w:r>
          </w:p>
        </w:tc>
        <w:tc>
          <w:tcPr>
            <w:tcW w:w="740" w:type="dxa"/>
            <w:vAlign w:val="bottom"/>
          </w:tcPr>
          <w:p>
            <w:pPr>
              <w:jc w:val="right"/>
              <w:spacing w:after="0"/>
              <w:rPr>
                <w:sz w:val="20"/>
                <w:szCs w:val="20"/>
                <w:color w:val="auto"/>
              </w:rPr>
            </w:pPr>
            <w:r>
              <w:rPr>
                <w:rFonts w:ascii="Arial" w:cs="Arial" w:eastAsia="Arial" w:hAnsi="Arial"/>
                <w:sz w:val="18"/>
                <w:szCs w:val="18"/>
                <w:color w:val="auto"/>
              </w:rPr>
              <w:t>116.9</w:t>
            </w: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1120" w:type="dxa"/>
            <w:vAlign w:val="bottom"/>
          </w:tcPr>
          <w:p>
            <w:pPr>
              <w:spacing w:after="0"/>
              <w:rPr>
                <w:sz w:val="2"/>
                <w:szCs w:val="2"/>
                <w:color w:val="auto"/>
              </w:rPr>
            </w:pPr>
          </w:p>
        </w:tc>
        <w:tc>
          <w:tcPr>
            <w:tcW w:w="4360" w:type="dxa"/>
            <w:vAlign w:val="bottom"/>
          </w:tcPr>
          <w:p>
            <w:pPr>
              <w:spacing w:after="0"/>
              <w:rPr>
                <w:sz w:val="2"/>
                <w:szCs w:val="2"/>
                <w:color w:val="auto"/>
              </w:rPr>
            </w:pPr>
          </w:p>
        </w:tc>
        <w:tc>
          <w:tcPr>
            <w:tcW w:w="2400" w:type="dxa"/>
            <w:vAlign w:val="bottom"/>
          </w:tcPr>
          <w:p>
            <w:pPr>
              <w:spacing w:after="0"/>
              <w:rPr>
                <w:sz w:val="2"/>
                <w:szCs w:val="2"/>
                <w:color w:val="auto"/>
              </w:rPr>
            </w:pPr>
          </w:p>
        </w:tc>
        <w:tc>
          <w:tcPr>
            <w:tcW w:w="780" w:type="dxa"/>
            <w:vAlign w:val="bottom"/>
          </w:tcPr>
          <w:p>
            <w:pPr>
              <w:spacing w:after="0"/>
              <w:rPr>
                <w:sz w:val="2"/>
                <w:szCs w:val="2"/>
                <w:color w:val="auto"/>
              </w:rPr>
            </w:pPr>
          </w:p>
        </w:tc>
        <w:tc>
          <w:tcPr>
            <w:tcW w:w="9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1120" w:type="dxa"/>
            <w:vAlign w:val="bottom"/>
          </w:tcPr>
          <w:p>
            <w:pPr>
              <w:spacing w:after="0"/>
              <w:rPr>
                <w:sz w:val="21"/>
                <w:szCs w:val="21"/>
                <w:color w:val="auto"/>
              </w:rPr>
            </w:pPr>
          </w:p>
        </w:tc>
        <w:tc>
          <w:tcPr>
            <w:tcW w:w="4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Municipals</w:t>
            </w:r>
          </w:p>
        </w:tc>
        <w:tc>
          <w:tcPr>
            <w:tcW w:w="2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60.6</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61.2</w:t>
            </w: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43"/>
        </w:trPr>
        <w:tc>
          <w:tcPr>
            <w:tcW w:w="1120" w:type="dxa"/>
            <w:vAlign w:val="bottom"/>
          </w:tcPr>
          <w:p>
            <w:pPr>
              <w:spacing w:after="0"/>
              <w:rPr>
                <w:sz w:val="21"/>
                <w:szCs w:val="21"/>
                <w:color w:val="auto"/>
              </w:rPr>
            </w:pPr>
          </w:p>
        </w:tc>
        <w:tc>
          <w:tcPr>
            <w:tcW w:w="4360" w:type="dxa"/>
            <w:vAlign w:val="bottom"/>
          </w:tcPr>
          <w:p>
            <w:pPr>
              <w:ind w:left="380"/>
              <w:spacing w:after="0"/>
              <w:rPr>
                <w:sz w:val="20"/>
                <w:szCs w:val="20"/>
                <w:color w:val="auto"/>
              </w:rPr>
            </w:pPr>
            <w:r>
              <w:rPr>
                <w:rFonts w:ascii="Arial" w:cs="Arial" w:eastAsia="Arial" w:hAnsi="Arial"/>
                <w:sz w:val="18"/>
                <w:szCs w:val="18"/>
                <w:color w:val="auto"/>
              </w:rPr>
              <w:t>Industrial</w:t>
            </w:r>
          </w:p>
        </w:tc>
        <w:tc>
          <w:tcPr>
            <w:tcW w:w="2400" w:type="dxa"/>
            <w:vAlign w:val="bottom"/>
          </w:tcPr>
          <w:p>
            <w:pPr>
              <w:jc w:val="right"/>
              <w:spacing w:after="0"/>
              <w:rPr>
                <w:sz w:val="20"/>
                <w:szCs w:val="20"/>
                <w:color w:val="auto"/>
              </w:rPr>
            </w:pPr>
            <w:r>
              <w:rPr>
                <w:rFonts w:ascii="Arial" w:cs="Arial" w:eastAsia="Arial" w:hAnsi="Arial"/>
                <w:sz w:val="18"/>
                <w:szCs w:val="18"/>
                <w:color w:val="auto"/>
              </w:rPr>
              <w:t>100.1</w:t>
            </w:r>
          </w:p>
        </w:tc>
        <w:tc>
          <w:tcPr>
            <w:tcW w:w="780" w:type="dxa"/>
            <w:vAlign w:val="bottom"/>
          </w:tcPr>
          <w:p>
            <w:pPr>
              <w:jc w:val="right"/>
              <w:spacing w:after="0"/>
              <w:rPr>
                <w:sz w:val="20"/>
                <w:szCs w:val="20"/>
                <w:color w:val="auto"/>
              </w:rPr>
            </w:pPr>
            <w:r>
              <w:rPr>
                <w:rFonts w:ascii="Arial" w:cs="Arial" w:eastAsia="Arial" w:hAnsi="Arial"/>
                <w:sz w:val="18"/>
                <w:szCs w:val="18"/>
                <w:color w:val="auto"/>
              </w:rPr>
              <w:t>98.9</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393.4</w:t>
            </w:r>
          </w:p>
        </w:tc>
        <w:tc>
          <w:tcPr>
            <w:tcW w:w="740" w:type="dxa"/>
            <w:vAlign w:val="bottom"/>
          </w:tcPr>
          <w:p>
            <w:pPr>
              <w:jc w:val="right"/>
              <w:spacing w:after="0"/>
              <w:rPr>
                <w:sz w:val="20"/>
                <w:szCs w:val="20"/>
                <w:color w:val="auto"/>
              </w:rPr>
            </w:pPr>
            <w:r>
              <w:rPr>
                <w:rFonts w:ascii="Arial" w:cs="Arial" w:eastAsia="Arial" w:hAnsi="Arial"/>
                <w:sz w:val="18"/>
                <w:szCs w:val="18"/>
                <w:color w:val="auto"/>
              </w:rPr>
              <w:t>390.2</w:t>
            </w: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1120" w:type="dxa"/>
            <w:vAlign w:val="bottom"/>
          </w:tcPr>
          <w:p>
            <w:pPr>
              <w:spacing w:after="0"/>
              <w:rPr>
                <w:sz w:val="2"/>
                <w:szCs w:val="2"/>
                <w:color w:val="auto"/>
              </w:rPr>
            </w:pPr>
          </w:p>
        </w:tc>
        <w:tc>
          <w:tcPr>
            <w:tcW w:w="436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44"/>
        </w:trPr>
        <w:tc>
          <w:tcPr>
            <w:tcW w:w="1120" w:type="dxa"/>
            <w:vAlign w:val="bottom"/>
          </w:tcPr>
          <w:p>
            <w:pPr>
              <w:spacing w:after="0"/>
              <w:rPr>
                <w:sz w:val="21"/>
                <w:szCs w:val="21"/>
                <w:color w:val="auto"/>
              </w:rPr>
            </w:pPr>
          </w:p>
        </w:tc>
        <w:tc>
          <w:tcPr>
            <w:tcW w:w="4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Retail and Municipals</w:t>
            </w:r>
          </w:p>
        </w:tc>
        <w:tc>
          <w:tcPr>
            <w:tcW w:w="2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172.8</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168.8</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674.7</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677.4</w:t>
            </w: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43"/>
        </w:trPr>
        <w:tc>
          <w:tcPr>
            <w:tcW w:w="1120" w:type="dxa"/>
            <w:vAlign w:val="bottom"/>
          </w:tcPr>
          <w:p>
            <w:pPr>
              <w:spacing w:after="0"/>
              <w:rPr>
                <w:sz w:val="21"/>
                <w:szCs w:val="21"/>
                <w:color w:val="auto"/>
              </w:rPr>
            </w:pPr>
          </w:p>
        </w:tc>
        <w:tc>
          <w:tcPr>
            <w:tcW w:w="4360" w:type="dxa"/>
            <w:vAlign w:val="bottom"/>
          </w:tcPr>
          <w:p>
            <w:pPr>
              <w:ind w:left="280"/>
              <w:spacing w:after="0"/>
              <w:rPr>
                <w:sz w:val="20"/>
                <w:szCs w:val="20"/>
                <w:color w:val="auto"/>
              </w:rPr>
            </w:pPr>
            <w:r>
              <w:rPr>
                <w:rFonts w:ascii="Arial" w:cs="Arial" w:eastAsia="Arial" w:hAnsi="Arial"/>
                <w:sz w:val="18"/>
                <w:szCs w:val="18"/>
                <w:color w:val="auto"/>
              </w:rPr>
              <w:t>Other Power Suppliers</w:t>
            </w:r>
          </w:p>
        </w:tc>
        <w:tc>
          <w:tcPr>
            <w:tcW w:w="2400" w:type="dxa"/>
            <w:vAlign w:val="bottom"/>
          </w:tcPr>
          <w:p>
            <w:pPr>
              <w:jc w:val="right"/>
              <w:spacing w:after="0"/>
              <w:rPr>
                <w:sz w:val="20"/>
                <w:szCs w:val="20"/>
                <w:color w:val="auto"/>
              </w:rPr>
            </w:pPr>
            <w:r>
              <w:rPr>
                <w:rFonts w:ascii="Arial" w:cs="Arial" w:eastAsia="Arial" w:hAnsi="Arial"/>
                <w:sz w:val="18"/>
                <w:szCs w:val="18"/>
                <w:color w:val="auto"/>
              </w:rPr>
              <w:t>18.6</w:t>
            </w:r>
          </w:p>
        </w:tc>
        <w:tc>
          <w:tcPr>
            <w:tcW w:w="780" w:type="dxa"/>
            <w:vAlign w:val="bottom"/>
          </w:tcPr>
          <w:p>
            <w:pPr>
              <w:jc w:val="right"/>
              <w:spacing w:after="0"/>
              <w:rPr>
                <w:sz w:val="20"/>
                <w:szCs w:val="20"/>
                <w:color w:val="auto"/>
              </w:rPr>
            </w:pPr>
            <w:r>
              <w:rPr>
                <w:rFonts w:ascii="Arial" w:cs="Arial" w:eastAsia="Arial" w:hAnsi="Arial"/>
                <w:sz w:val="18"/>
                <w:szCs w:val="18"/>
                <w:color w:val="auto"/>
              </w:rPr>
              <w:t>18.5</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73.1</w:t>
            </w:r>
          </w:p>
        </w:tc>
        <w:tc>
          <w:tcPr>
            <w:tcW w:w="740" w:type="dxa"/>
            <w:vAlign w:val="bottom"/>
          </w:tcPr>
          <w:p>
            <w:pPr>
              <w:jc w:val="right"/>
              <w:spacing w:after="0"/>
              <w:rPr>
                <w:sz w:val="20"/>
                <w:szCs w:val="20"/>
                <w:color w:val="auto"/>
              </w:rPr>
            </w:pPr>
            <w:r>
              <w:rPr>
                <w:rFonts w:ascii="Arial" w:cs="Arial" w:eastAsia="Arial" w:hAnsi="Arial"/>
                <w:sz w:val="18"/>
                <w:szCs w:val="18"/>
                <w:color w:val="auto"/>
              </w:rPr>
              <w:t>78.7</w:t>
            </w: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1120" w:type="dxa"/>
            <w:vAlign w:val="bottom"/>
          </w:tcPr>
          <w:p>
            <w:pPr>
              <w:spacing w:after="0"/>
              <w:rPr>
                <w:sz w:val="2"/>
                <w:szCs w:val="2"/>
                <w:color w:val="auto"/>
              </w:rPr>
            </w:pPr>
          </w:p>
        </w:tc>
        <w:tc>
          <w:tcPr>
            <w:tcW w:w="4360" w:type="dxa"/>
            <w:vAlign w:val="bottom"/>
          </w:tcPr>
          <w:p>
            <w:pPr>
              <w:spacing w:after="0"/>
              <w:rPr>
                <w:sz w:val="2"/>
                <w:szCs w:val="2"/>
                <w:color w:val="auto"/>
              </w:rPr>
            </w:pPr>
          </w:p>
        </w:tc>
        <w:tc>
          <w:tcPr>
            <w:tcW w:w="2400" w:type="dxa"/>
            <w:vAlign w:val="bottom"/>
          </w:tcPr>
          <w:p>
            <w:pPr>
              <w:spacing w:after="0"/>
              <w:rPr>
                <w:sz w:val="2"/>
                <w:szCs w:val="2"/>
                <w:color w:val="auto"/>
              </w:rPr>
            </w:pPr>
          </w:p>
        </w:tc>
        <w:tc>
          <w:tcPr>
            <w:tcW w:w="780" w:type="dxa"/>
            <w:vAlign w:val="bottom"/>
          </w:tcPr>
          <w:p>
            <w:pPr>
              <w:spacing w:after="0"/>
              <w:rPr>
                <w:sz w:val="2"/>
                <w:szCs w:val="2"/>
                <w:color w:val="auto"/>
              </w:rPr>
            </w:pPr>
          </w:p>
        </w:tc>
        <w:tc>
          <w:tcPr>
            <w:tcW w:w="9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5"/>
        </w:trPr>
        <w:tc>
          <w:tcPr>
            <w:tcW w:w="1120" w:type="dxa"/>
            <w:vAlign w:val="bottom"/>
          </w:tcPr>
          <w:p>
            <w:pPr>
              <w:spacing w:after="0"/>
              <w:rPr>
                <w:sz w:val="23"/>
                <w:szCs w:val="23"/>
                <w:color w:val="auto"/>
              </w:rPr>
            </w:pPr>
          </w:p>
        </w:tc>
        <w:tc>
          <w:tcPr>
            <w:tcW w:w="4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2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126.6</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95.8</w:t>
            </w: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37"/>
        </w:trPr>
        <w:tc>
          <w:tcPr>
            <w:tcW w:w="1120" w:type="dxa"/>
            <w:vAlign w:val="bottom"/>
          </w:tcPr>
          <w:p>
            <w:pPr>
              <w:spacing w:after="0"/>
              <w:rPr>
                <w:sz w:val="20"/>
                <w:szCs w:val="20"/>
                <w:color w:val="auto"/>
              </w:rPr>
            </w:pPr>
          </w:p>
        </w:tc>
        <w:tc>
          <w:tcPr>
            <w:tcW w:w="436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Total Regulated Utility Revenue</w:t>
            </w:r>
          </w:p>
        </w:tc>
        <w:tc>
          <w:tcPr>
            <w:tcW w:w="2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$232.4</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$219.6</w:t>
            </w:r>
          </w:p>
        </w:tc>
        <w:tc>
          <w:tcPr>
            <w:tcW w:w="9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$874.4</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$851.9</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7"/>
        </w:trPr>
        <w:tc>
          <w:tcPr>
            <w:tcW w:w="1120" w:type="dxa"/>
            <w:vAlign w:val="bottom"/>
          </w:tcPr>
          <w:p>
            <w:pPr>
              <w:spacing w:after="0"/>
              <w:rPr>
                <w:sz w:val="2"/>
                <w:szCs w:val="2"/>
                <w:color w:val="auto"/>
              </w:rPr>
            </w:pPr>
          </w:p>
        </w:tc>
        <w:tc>
          <w:tcPr>
            <w:tcW w:w="436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bl>
    <w:p>
      <w:pPr>
        <w:spacing w:after="0" w:line="198" w:lineRule="exact"/>
        <w:rPr>
          <w:sz w:val="20"/>
          <w:szCs w:val="20"/>
          <w:color w:val="auto"/>
        </w:rPr>
      </w:pPr>
    </w:p>
    <w:p>
      <w:pPr>
        <w:ind w:right="260"/>
        <w:spacing w:after="0" w:line="266" w:lineRule="auto"/>
        <w:rPr>
          <w:sz w:val="20"/>
          <w:szCs w:val="20"/>
          <w:color w:val="auto"/>
        </w:rPr>
      </w:pPr>
      <w:r>
        <w:rPr>
          <w:rFonts w:ascii="Arial" w:cs="Arial" w:eastAsia="Arial" w:hAnsi="Arial"/>
          <w:sz w:val="18"/>
          <w:szCs w:val="18"/>
          <w:b w:val="1"/>
          <w:bCs w:val="1"/>
          <w:color w:val="auto"/>
        </w:rPr>
        <w:t>This exhibit has been furnished and shall not be deemed “filed” for purposes of Section 18 of the Securities Exchange Act of 1934, nor shall it be deemed incorporated by reference in any filing under the Securities Act of 1933, except as shall be expressly set forth by specific reference in such filing.</w:t>
      </w:r>
    </w:p>
    <w:sectPr>
      <w:pgSz w:w="11900" w:h="16838" w:orient="portrait"/>
      <w:cols w:equalWidth="0" w:num="1">
        <w:col w:w="11420"/>
      </w:cols>
      <w:pgMar w:left="240" w:top="74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1574095"/>
    <w:multiLevelType w:val="hybridMultilevel"/>
    <w:lvl w:ilvl="0">
      <w:lvlJc w:val="left"/>
      <w:lvlText w:val="T"/>
      <w:numFmt w:val="bullet"/>
      <w:start w:val="1"/>
    </w:lvl>
  </w:abstractNum>
  <w:abstractNum w:abstractNumId="1">
    <w:nsid w:val="7E0C57B1"/>
    <w:multiLevelType w:val="hybridMultilevel"/>
    <w:lvl w:ilvl="0">
      <w:lvlJc w:val="left"/>
      <w:lvlText w:val="£"/>
      <w:numFmt w:val="bullet"/>
      <w:start w:val="1"/>
    </w:lvl>
  </w:abstractNum>
  <w:abstractNum w:abstractNumId="2">
    <w:nsid w:val="77AE35EB"/>
    <w:multiLevelType w:val="hybridMultilevel"/>
    <w:lvl w:ilvl="0">
      <w:lvlJc w:val="left"/>
      <w:lvlText w:val="T"/>
      <w:numFmt w:val="bullet"/>
      <w:start w:val="1"/>
    </w:lvl>
  </w:abstractNum>
  <w:abstractNum w:abstractNumId="3">
    <w:nsid w:val="579BE4F1"/>
    <w:multiLevelType w:val="hybridMultilevel"/>
    <w:lvl w:ilvl="0">
      <w:lvlJc w:val="left"/>
      <w:lvlText w:val="•"/>
      <w:numFmt w:val="bullet"/>
      <w:start w:val="1"/>
    </w:lvl>
  </w:abstractNum>
  <w:abstractNum w:abstractNumId="4">
    <w:nsid w:val="310C50B3"/>
    <w:multiLevelType w:val="hybridMultilevel"/>
    <w:lvl w:ilvl="0">
      <w:lvlJc w:val="left"/>
      <w:lvlText w:val="(%1)"/>
      <w:numFmt w:val="lowerLetter"/>
      <w:start w:val="1"/>
    </w:lvl>
  </w:abstractNum>
  <w:abstractNum w:abstractNumId="5">
    <w:nsid w:val="5FF87E05"/>
    <w:multiLevelType w:val="hybridMultilevel"/>
    <w:lvl w:ilvl="0">
      <w:lvlJc w:val="left"/>
      <w:lvlText w:val="(%1)"/>
      <w:numFmt w:val="lowerLetter"/>
      <w:start w:val="1"/>
    </w:lvl>
  </w:abstractNum>
  <w:abstractNum w:abstractNumId="6">
    <w:nsid w:val="2F305DEF"/>
    <w:multiLevelType w:val="hybridMultilevel"/>
    <w:lvl w:ilvl="0">
      <w:lvlJc w:val="left"/>
      <w:lvlText w:val="%1."/>
      <w:numFmt w:val="decimal"/>
      <w:start w:val="1"/>
    </w:lvl>
  </w:abstractNum>
  <w:abstractNum w:abstractNumId="7">
    <w:nsid w:val="25A70BF7"/>
    <w:multiLevelType w:val="hybridMultilevel"/>
    <w:lvl w:ilvl="0">
      <w:lvlJc w:val="left"/>
      <w:lvlText w:val="(%1)"/>
      <w:numFmt w:val="lowerLetter"/>
      <w:start w:val="1"/>
    </w:lvl>
  </w:abstractNum>
  <w:abstractNum w:abstractNumId="8">
    <w:nsid w:val="1DBABF00"/>
    <w:multiLevelType w:val="hybridMultilevel"/>
    <w:lvl w:ilvl="0">
      <w:lvlJc w:val="left"/>
      <w:lvlText w:val="•"/>
      <w:numFmt w:val="bullet"/>
      <w:start w:val="1"/>
    </w:lvl>
  </w:abstractNum>
  <w:abstractNum w:abstractNumId="9">
    <w:nsid w:val="4AD084E9"/>
    <w:multiLevelType w:val="hybridMultilevel"/>
    <w:lvl w:ilvl="0">
      <w:lvlJc w:val="left"/>
      <w:lvlText w:val="•"/>
      <w:numFmt w:val="bullet"/>
      <w:start w:val="1"/>
    </w:lvl>
  </w:abstractNum>
  <w:abstractNum w:abstractNumId="10">
    <w:nsid w:val="1F48EAA1"/>
    <w:multiLevelType w:val="hybridMultilevel"/>
    <w:lvl w:ilvl="0">
      <w:lvlJc w:val="left"/>
      <w:lvlText w:val="(%1)"/>
      <w:numFmt w:val="lowerLetter"/>
      <w:start w:val="1"/>
    </w:lvl>
  </w:abstractNum>
  <w:abstractNum w:abstractNumId="11">
    <w:nsid w:val="1381823A"/>
    <w:multiLevelType w:val="hybridMultilevel"/>
    <w:lvl w:ilvl="0">
      <w:lvlJc w:val="left"/>
      <w:lvlText w:val="(%1)"/>
      <w:numFmt w:val="lowerLetter"/>
      <w:start w:val="1"/>
    </w:lvl>
  </w:abstractNum>
  <w:abstractNum w:abstractNumId="12">
    <w:nsid w:val="5DB70AE5"/>
    <w:multiLevelType w:val="hybridMultilevel"/>
    <w:lvl w:ilvl="0">
      <w:lvlJc w:val="left"/>
      <w:lvlText w:val="(%1)"/>
      <w:numFmt w:val="lowerLetter"/>
      <w:start w:val="1"/>
    </w:lvl>
  </w:abstractNum>
  <w:abstractNum w:abstractNumId="13">
    <w:nsid w:val="100F8FCA"/>
    <w:multiLevelType w:val="hybridMultilevel"/>
    <w:lvl w:ilvl="0">
      <w:lvlJc w:val="left"/>
      <w:lvlText w:val="•"/>
      <w:numFmt w:val="bullet"/>
      <w:start w:val="1"/>
    </w:lvl>
  </w:abstractNum>
  <w:abstractNum w:abstractNumId="14">
    <w:nsid w:val="6590700B"/>
    <w:multiLevelType w:val="hybridMultilevel"/>
    <w:lvl w:ilvl="0">
      <w:lvlJc w:val="left"/>
      <w:lvlText w:val="(%1)"/>
      <w:numFmt w:val="lowerLetter"/>
      <w:start w:val="1"/>
    </w:lvl>
  </w:abstractNum>
  <w:abstractNum w:abstractNumId="15">
    <w:nsid w:val="15014ACB"/>
    <w:multiLevelType w:val="hybridMultilevel"/>
    <w:lvl w:ilvl="0">
      <w:lvlJc w:val="left"/>
      <w:lvlText w:val="(%1)"/>
      <w:numFmt w:val="lowerLetter"/>
      <w:start w:val="1"/>
    </w:lvl>
  </w:abstractNum>
  <w:abstractNum w:abstractNumId="16">
    <w:nsid w:val="5F5E7FD0"/>
    <w:multiLevelType w:val="hybridMultilevel"/>
    <w:lvl w:ilvl="0">
      <w:lvlJc w:val="left"/>
      <w:lvlText w:val="(%1)"/>
      <w:numFmt w:val="lowerLetter"/>
      <w:start w:val="1"/>
    </w:lvl>
  </w:abstractNum>
  <w:abstractNum w:abstractNumId="17">
    <w:nsid w:val="98A3148"/>
    <w:multiLevelType w:val="hybridMultilevel"/>
    <w:lvl w:ilvl="0">
      <w:lvlJc w:val="left"/>
      <w:lvlText w:val="(%1)"/>
      <w:numFmt w:val="lowerLetter"/>
      <w:start w:val="1"/>
    </w:lvl>
  </w:abstractNum>
  <w:abstractNum w:abstractNumId="18">
    <w:nsid w:val="799D0247"/>
    <w:multiLevelType w:val="hybridMultilevel"/>
    <w:lvl w:ilvl="0">
      <w:lvlJc w:val="left"/>
      <w:lvlText w:val="•"/>
      <w:numFmt w:val="bullet"/>
      <w:start w:val="1"/>
    </w:lvl>
  </w:abstractNum>
  <w:abstractNum w:abstractNumId="19">
    <w:nsid w:val="6B94764"/>
    <w:multiLevelType w:val="hybridMultilevel"/>
    <w:lvl w:ilvl="0">
      <w:lvlJc w:val="left"/>
      <w:lvlText w:val="•"/>
      <w:numFmt w:val="bullet"/>
      <w:start w:val="1"/>
    </w:lvl>
  </w:abstractNum>
  <w:abstractNum w:abstractNumId="20">
    <w:nsid w:val="42C296BD"/>
    <w:multiLevelType w:val="hybridMultilevel"/>
    <w:lvl w:ilvl="0">
      <w:lvlJc w:val="left"/>
      <w:lvlText w:val="(%1)"/>
      <w:numFmt w:val="lowerLetter"/>
      <w:start w:val="1"/>
    </w:lvl>
  </w:abstractNum>
  <w:abstractNum w:abstractNumId="21">
    <w:nsid w:val="168E121F"/>
    <w:multiLevelType w:val="hybridMultilevel"/>
    <w:lvl w:ilvl="0">
      <w:lvlJc w:val="left"/>
      <w:lvlText w:val="(%1)"/>
      <w:numFmt w:val="decimal"/>
      <w:start w:val="3"/>
    </w:lvl>
  </w:abstractNum>
  <w:abstractNum w:abstractNumId="22">
    <w:nsid w:val="1EBA5D23"/>
    <w:multiLevelType w:val="hybridMultilevel"/>
    <w:lvl w:ilvl="0">
      <w:lvlJc w:val="left"/>
      <w:lvlText w:val="\emdash "/>
      <w:numFmt w:val="bullet"/>
      <w:start w:val="1"/>
    </w:lvl>
  </w:abstractNum>
  <w:abstractNum w:abstractNumId="23">
    <w:nsid w:val="661E3F1E"/>
    <w:multiLevelType w:val="hybridMultilevel"/>
    <w:lvl w:ilvl="0">
      <w:lvlJc w:val="left"/>
      <w:lvlText w:val="%1"/>
      <w:numFmt w:val="decimal"/>
      <w:start w:val="32"/>
    </w:lvl>
  </w:abstractNum>
  <w:abstractNum w:abstractNumId="24">
    <w:nsid w:val="5DC79EA8"/>
    <w:multiLevelType w:val="hybridMultilevel"/>
    <w:lvl w:ilvl="0">
      <w:lvlJc w:val="left"/>
      <w:lvlText w:val="%1"/>
      <w:numFmt w:val="decimal"/>
      <w:start w:val="99"/>
    </w:lvl>
  </w:abstractNum>
  <w:abstractNum w:abstractNumId="25">
    <w:nsid w:val="540A471C"/>
    <w:multiLevelType w:val="hybridMultilevel"/>
    <w:lvl w:ilvl="0">
      <w:lvlJc w:val="left"/>
      <w:lvlText w:val="*"/>
      <w:numFmt w:val="bullet"/>
      <w:start w:val="1"/>
    </w:lvl>
  </w:abstractNum>
  <w:abstractNum w:abstractNumId="26">
    <w:nsid w:val="7BD3EE7B"/>
    <w:multiLevelType w:val="hybridMultilevel"/>
    <w:lvl w:ilvl="0">
      <w:lvlJc w:val="left"/>
      <w:lvlText w:val="+"/>
      <w:numFmt w:val="bullet"/>
      <w:start w:val="1"/>
    </w:lvl>
  </w:abstractNum>
  <w:abstractNum w:abstractNumId="27">
    <w:nsid w:val="51D9C564"/>
    <w:multiLevelType w:val="hybridMultilevel"/>
    <w:lvl w:ilvl="0">
      <w:lvlJc w:val="left"/>
      <w:lvlText w:val="(%1)"/>
      <w:numFmt w:val="lowerLetter"/>
      <w:start w:val="1"/>
    </w:lvl>
  </w:abstractNum>
  <w:abstractNum w:abstractNumId="28">
    <w:nsid w:val="613EFDC5"/>
    <w:multiLevelType w:val="hybridMultilevel"/>
    <w:lvl w:ilvl="0">
      <w:lvlJc w:val="left"/>
      <w:lvlText w:val="(%1)"/>
      <w:numFmt w:val="lowerLetter"/>
      <w:start w:val="1"/>
    </w:lvl>
  </w:abstractNum>
  <w:abstractNum w:abstractNumId="29">
    <w:nsid w:val="BF72B14"/>
    <w:multiLevelType w:val="hybridMultilevel"/>
    <w:lvl w:ilvl="0">
      <w:lvlJc w:val="left"/>
      <w:lvlText w:val="%1."/>
      <w:numFmt w:val="decimal"/>
      <w:start w:val="1"/>
    </w:lvl>
  </w:abstractNum>
  <w:abstractNum w:abstractNumId="30">
    <w:nsid w:val="11447B73"/>
    <w:multiLevelType w:val="hybridMultilevel"/>
    <w:lvl w:ilvl="0">
      <w:lvlJc w:val="left"/>
      <w:lvlText w:val="•"/>
      <w:numFmt w:val="bullet"/>
      <w:start w:val="1"/>
    </w:lvl>
  </w:abstractNum>
  <w:abstractNum w:abstractNumId="31">
    <w:nsid w:val="42963E5A"/>
    <w:multiLevelType w:val="hybridMultilevel"/>
    <w:lvl w:ilvl="0">
      <w:lvlJc w:val="left"/>
      <w:lvlText w:val="(%1)"/>
      <w:numFmt w:val="lowerLetter"/>
      <w:start w:val="1"/>
    </w:lvl>
  </w:abstractNum>
  <w:abstractNum w:abstractNumId="32">
    <w:nsid w:val="A0382C5"/>
    <w:multiLevelType w:val="hybridMultilevel"/>
    <w:lvl w:ilvl="0">
      <w:lvlJc w:val="left"/>
      <w:lvlText w:val="(%1)"/>
      <w:numFmt w:val="lowerLetter"/>
      <w:start w:val="1"/>
    </w:lvl>
  </w:abstractNum>
  <w:abstractNum w:abstractNumId="33">
    <w:nsid w:val="8F2B15E"/>
    <w:multiLevelType w:val="hybridMultilevel"/>
    <w:lvl w:ilvl="0">
      <w:lvlJc w:val="left"/>
      <w:lvlText w:val="(%1)"/>
      <w:numFmt w:val="lowerLetter"/>
      <w:start w:val="1"/>
    </w:lvl>
  </w:abstractNum>
  <w:abstractNum w:abstractNumId="34">
    <w:nsid w:val="1A32234B"/>
    <w:multiLevelType w:val="hybridMultilevel"/>
    <w:lvl w:ilvl="0">
      <w:lvlJc w:val="left"/>
      <w:lvlText w:val="(%1)"/>
      <w:numFmt w:val="lowerLetter"/>
      <w:start w:val="1"/>
    </w:lvl>
  </w:abstractNum>
  <w:abstractNum w:abstractNumId="35">
    <w:nsid w:val="3B0FD379"/>
    <w:multiLevelType w:val="hybridMultilevel"/>
    <w:lvl w:ilvl="0">
      <w:lvlJc w:val="left"/>
      <w:lvlText w:val="(%1)"/>
      <w:numFmt w:val="lowerLetter"/>
      <w:start w:val="5"/>
    </w:lvl>
  </w:abstractNum>
  <w:abstractNum w:abstractNumId="36">
    <w:nsid w:val="68EB2F63"/>
    <w:multiLevelType w:val="hybridMultilevel"/>
    <w:lvl w:ilvl="0">
      <w:lvlJc w:val="left"/>
      <w:lvlText w:val="(%1)"/>
      <w:numFmt w:val="lowerLetter"/>
      <w:start w:val="1"/>
    </w:lvl>
  </w:abstractNum>
  <w:abstractNum w:abstractNumId="37">
    <w:nsid w:val="4962813B"/>
    <w:multiLevelType w:val="hybridMultilevel"/>
    <w:lvl w:ilvl="0">
      <w:lvlJc w:val="left"/>
      <w:lvlText w:val="(%1)"/>
      <w:numFmt w:val="lowerLetter"/>
      <w:start w:val="7"/>
    </w:lvl>
  </w:abstractNum>
  <w:abstractNum w:abstractNumId="38">
    <w:nsid w:val="60B6DF70"/>
    <w:multiLevelType w:val="hybridMultilevel"/>
    <w:lvl w:ilvl="0">
      <w:lvlJc w:val="left"/>
      <w:lvlText w:val="(%1)"/>
      <w:numFmt w:val="lowerLetter"/>
      <w:start w:val="11"/>
    </w:lvl>
  </w:abstractNum>
  <w:abstractNum w:abstractNumId="39">
    <w:nsid w:val="6A5EE64"/>
    <w:multiLevelType w:val="hybridMultilevel"/>
    <w:lvl w:ilvl="0">
      <w:lvlJc w:val="left"/>
      <w:lvlText w:val="(%1)"/>
      <w:numFmt w:val="lowerLetter"/>
      <w:start w:val="1"/>
    </w:lvl>
  </w:abstractNum>
  <w:abstractNum w:abstractNumId="40">
    <w:nsid w:val="14330624"/>
    <w:multiLevelType w:val="hybridMultilevel"/>
    <w:lvl w:ilvl="0">
      <w:lvlJc w:val="left"/>
      <w:lvlText w:val="(%1)"/>
      <w:numFmt w:val="lowerLetter"/>
      <w:start w:val="3"/>
    </w:lvl>
  </w:abstractNum>
  <w:abstractNum w:abstractNumId="41">
    <w:nsid w:val="7FFFCA11"/>
    <w:multiLevelType w:val="hybridMultilevel"/>
    <w:lvl w:ilvl="0">
      <w:lvlJc w:val="left"/>
      <w:lvlText w:val="(%1)"/>
      <w:numFmt w:val="lowerLetter"/>
      <w:start w:val="1"/>
    </w:lvl>
  </w:abstractNum>
  <w:abstractNum w:abstractNumId="42">
    <w:nsid w:val="1A27709E"/>
    <w:multiLevelType w:val="hybridMultilevel"/>
    <w:lvl w:ilvl="0">
      <w:lvlJc w:val="left"/>
      <w:lvlText w:val="%1"/>
      <w:numFmt w:val="lowerLetter"/>
      <w:start w:val="1"/>
    </w:lvl>
    <w:lvl w:ilvl="1">
      <w:lvlJc w:val="left"/>
      <w:lvlText w:val="(%2)"/>
      <w:numFmt w:val="decimal"/>
      <w:start w:val="1"/>
    </w:lvl>
  </w:abstractNum>
  <w:abstractNum w:abstractNumId="43">
    <w:nsid w:val="71EA1109"/>
    <w:multiLevelType w:val="hybridMultilevel"/>
    <w:lvl w:ilvl="0">
      <w:lvlJc w:val="left"/>
      <w:lvlText w:val="(%1)"/>
      <w:numFmt w:val="lowerLetter"/>
      <w:start w:val="3"/>
    </w:lvl>
    <w:lvl w:ilvl="1">
      <w:lvlJc w:val="left"/>
      <w:lvlText w:val="%2"/>
      <w:numFmt w:val="decimal"/>
      <w:start w:val="1"/>
    </w:lvl>
  </w:abstractNum>
  <w:abstractNum w:abstractNumId="44">
    <w:nsid w:val="100F59DC"/>
    <w:multiLevelType w:val="hybridMultilevel"/>
    <w:lvl w:ilvl="0">
      <w:lvlJc w:val="left"/>
      <w:lvlText w:val="(%1)"/>
      <w:numFmt w:val="lowerLetter"/>
      <w:start w:val="1"/>
    </w:lvl>
  </w:abstractNum>
  <w:abstractNum w:abstractNumId="45">
    <w:nsid w:val="7FB7E0AA"/>
    <w:multiLevelType w:val="hybridMultilevel"/>
    <w:lvl w:ilvl="0">
      <w:lvlJc w:val="left"/>
      <w:lvlText w:val="%1"/>
      <w:numFmt w:val="lowerLetter"/>
      <w:start w:val="1"/>
    </w:lvl>
    <w:lvl w:ilvl="1">
      <w:lvlJc w:val="left"/>
      <w:lvlText w:val="(%2)"/>
      <w:numFmt w:val="decimal"/>
      <w:start w:val="1"/>
    </w:lvl>
  </w:abstractNum>
  <w:abstractNum w:abstractNumId="46">
    <w:nsid w:val="6EB5BD4"/>
    <w:multiLevelType w:val="hybridMultilevel"/>
    <w:lvl w:ilvl="0">
      <w:lvlJc w:val="left"/>
      <w:lvlText w:val="(%1)"/>
      <w:numFmt w:val="lowerLetter"/>
      <w:start w:val="2"/>
    </w:lvl>
    <w:lvl w:ilvl="1">
      <w:lvlJc w:val="left"/>
      <w:lvlText w:val="%2"/>
      <w:numFmt w:val="decimal"/>
      <w:start w:val="1"/>
    </w:lvl>
  </w:abstractNum>
  <w:abstractNum w:abstractNumId="47">
    <w:nsid w:val="6F6DD9AC"/>
    <w:multiLevelType w:val="hybridMultilevel"/>
    <w:lvl w:ilvl="0">
      <w:lvlJc w:val="left"/>
      <w:lvlText w:val="(%1)"/>
      <w:numFmt w:val="lowerLetter"/>
      <w:start w:val="1"/>
    </w:lvl>
  </w:abstractNum>
  <w:abstractNum w:abstractNumId="48">
    <w:nsid w:val="94211F2"/>
    <w:multiLevelType w:val="hybridMultilevel"/>
    <w:lvl w:ilvl="0">
      <w:lvlJc w:val="left"/>
      <w:lvlText w:val="(%1)"/>
      <w:numFmt w:val="lowerLetter"/>
      <w:start w:val="1"/>
    </w:lvl>
  </w:abstractNum>
  <w:abstractNum w:abstractNumId="49">
    <w:nsid w:val="885E1B"/>
    <w:multiLevelType w:val="hybridMultilevel"/>
    <w:lvl w:ilvl="0">
      <w:lvlJc w:val="left"/>
      <w:lvlText w:val="(%1)"/>
      <w:numFmt w:val="decimal"/>
      <w:start w:val="1"/>
    </w:lvl>
    <w:lvl w:ilvl="1">
      <w:lvlJc w:val="left"/>
      <w:lvlText w:val="%2."/>
      <w:numFmt w:val="lowerLetter"/>
      <w:start w:val="1"/>
    </w:lvl>
  </w:abstractNum>
  <w:abstractNum w:abstractNumId="50">
    <w:nsid w:val="76272110"/>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2"/>
    </w:lvl>
  </w:abstractNum>
  <w:abstractNum w:abstractNumId="51">
    <w:nsid w:val="4C04A8AF"/>
    <w:multiLevelType w:val="hybridMultilevel"/>
    <w:lvl w:ilvl="0">
      <w:lvlJc w:val="left"/>
      <w:lvlText w:val="(%1)"/>
      <w:numFmt w:val="lowerLetter"/>
      <w:start w:val="2"/>
    </w:lvl>
    <w:lvl w:ilvl="1">
      <w:lvlJc w:val="left"/>
      <w:lvlText w:val="(%2)"/>
      <w:numFmt w:val="decimal"/>
      <w:start w:val="1"/>
    </w:lvl>
    <w:lvl w:ilvl="2">
      <w:lvlJc w:val="left"/>
      <w:lvlText w:val="%3"/>
      <w:numFmt w:val="lowerLetter"/>
      <w:start w:val="1"/>
    </w:lvl>
  </w:abstractNum>
  <w:abstractNum w:abstractNumId="52">
    <w:nsid w:val="1716703B"/>
    <w:multiLevelType w:val="hybridMultilevel"/>
    <w:lvl w:ilvl="0">
      <w:lvlJc w:val="left"/>
      <w:lvlText w:val="(%1)"/>
      <w:numFmt w:val="decimal"/>
      <w:start w:val="2"/>
    </w:lvl>
  </w:abstractNum>
  <w:abstractNum w:abstractNumId="53">
    <w:nsid w:val="14E17E33"/>
    <w:multiLevelType w:val="hybridMultilevel"/>
    <w:lvl w:ilvl="0">
      <w:lvlJc w:val="left"/>
      <w:lvlText w:val="(%1)"/>
      <w:numFmt w:val="decimal"/>
      <w:start w:val="10"/>
    </w:lvl>
  </w:abstractNum>
  <w:abstractNum w:abstractNumId="54">
    <w:nsid w:val="3222E7CD"/>
    <w:multiLevelType w:val="hybridMultilevel"/>
    <w:lvl w:ilvl="0">
      <w:lvlJc w:val="left"/>
      <w:lvlText w:val="%1"/>
      <w:numFmt w:val="lowerLetter"/>
      <w:start w:val="1"/>
    </w:lvl>
    <w:lvl w:ilvl="1">
      <w:lvlJc w:val="left"/>
      <w:lvlText w:val="(%2)"/>
      <w:numFmt w:val="decimal"/>
      <w:start w:val="17"/>
    </w:lvl>
    <w:lvl w:ilvl="2">
      <w:lvlJc w:val="left"/>
      <w:lvlText w:val="%3"/>
      <w:numFmt w:val="decimal"/>
      <w:start w:val="1"/>
    </w:lvl>
  </w:abstractNum>
  <w:abstractNum w:abstractNumId="55">
    <w:nsid w:val="74DE0EE3"/>
    <w:multiLevelType w:val="hybridMultilevel"/>
    <w:lvl w:ilvl="0">
      <w:lvlJc w:val="left"/>
      <w:lvlText w:val="(%1)"/>
      <w:numFmt w:val="lowerLetter"/>
      <w:start w:val="3"/>
    </w:lvl>
    <w:lvl w:ilvl="1">
      <w:lvlJc w:val="left"/>
      <w:lvlText w:val="%2"/>
      <w:numFmt w:val="decimal"/>
      <w:start w:val="1"/>
    </w:lvl>
    <w:lvl w:ilvl="2">
      <w:lvlJc w:val="left"/>
      <w:lvlText w:val="(%3)"/>
      <w:numFmt w:val="decimal"/>
      <w:start w:val="1"/>
    </w:lvl>
  </w:abstractNum>
  <w:abstractNum w:abstractNumId="56">
    <w:nsid w:val="68EBC550"/>
    <w:multiLevelType w:val="hybridMultilevel"/>
    <w:lvl w:ilvl="0">
      <w:lvlJc w:val="left"/>
      <w:lvlText w:val="(%1)"/>
      <w:numFmt w:val="lowerLetter"/>
      <w:start w:val="1"/>
    </w:lvl>
  </w:abstractNum>
  <w:abstractNum w:abstractNumId="57">
    <w:nsid w:val="2DF6D648"/>
    <w:multiLevelType w:val="hybridMultilevel"/>
    <w:lvl w:ilvl="0">
      <w:lvlJc w:val="left"/>
      <w:lvlText w:val="(%1)"/>
      <w:numFmt w:val="lowerLetter"/>
      <w:start w:val="2"/>
    </w:lvl>
  </w:abstractNum>
  <w:abstractNum w:abstractNumId="58">
    <w:nsid w:val="46B7D447"/>
    <w:multiLevelType w:val="hybridMultilevel"/>
    <w:lvl w:ilvl="0">
      <w:lvlJc w:val="left"/>
      <w:lvlText w:val="(%1)"/>
      <w:numFmt w:val="lowerLetter"/>
      <w:start w:val="1"/>
    </w:lvl>
  </w:abstractNum>
  <w:abstractNum w:abstractNumId="59">
    <w:nsid w:val="4A2AC315"/>
    <w:multiLevelType w:val="hybridMultilevel"/>
    <w:lvl w:ilvl="0">
      <w:lvlJc w:val="left"/>
      <w:lvlText w:val="(%1)"/>
      <w:numFmt w:val="lowerLetter"/>
      <w:start w:val="1"/>
    </w:lvl>
  </w:abstractNum>
  <w:abstractNum w:abstractNumId="60">
    <w:nsid w:val="39EE015C"/>
    <w:multiLevelType w:val="hybridMultilevel"/>
    <w:lvl w:ilvl="0">
      <w:lvlJc w:val="left"/>
      <w:lvlText w:val="(%1)"/>
      <w:numFmt w:val="lowerLetter"/>
      <w:start w:val="6"/>
    </w:lvl>
  </w:abstractNum>
  <w:abstractNum w:abstractNumId="61">
    <w:nsid w:val="57FC4FBB"/>
    <w:multiLevelType w:val="hybridMultilevel"/>
    <w:lvl w:ilvl="0">
      <w:lvlJc w:val="left"/>
      <w:lvlText w:val="(%1)"/>
      <w:numFmt w:val="lowerLetter"/>
      <w:start w:val="1"/>
    </w:lvl>
  </w:abstractNum>
  <w:abstractNum w:abstractNumId="62">
    <w:nsid w:val="CC1016F"/>
    <w:multiLevelType w:val="hybridMultilevel"/>
    <w:lvl w:ilvl="0">
      <w:lvlJc w:val="left"/>
      <w:lvlText w:val="(%1)"/>
      <w:numFmt w:val="lowerLetter"/>
      <w:start w:val="1"/>
    </w:lvl>
  </w:abstractNum>
  <w:abstractNum w:abstractNumId="63">
    <w:nsid w:val="43F18422"/>
    <w:multiLevelType w:val="hybridMultilevel"/>
    <w:lvl w:ilvl="0">
      <w:lvlJc w:val="left"/>
      <w:lvlText w:val="(%1)"/>
      <w:numFmt w:val="lowerLetter"/>
      <w:start w:val="1"/>
    </w:lvl>
  </w:abstractNum>
  <w:abstractNum w:abstractNumId="64">
    <w:nsid w:val="60EF0119"/>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65">
    <w:nsid w:val="26F324BA"/>
    <w:multiLevelType w:val="hybridMultilevel"/>
    <w:lvl w:ilvl="0">
      <w:lvlJc w:val="left"/>
      <w:lvlText w:val="%1."/>
      <w:numFmt w:val="lowerRoman"/>
      <w:start w:val="2"/>
    </w:lvl>
  </w:abstractNum>
  <w:abstractNum w:abstractNumId="66">
    <w:nsid w:val="7F01579B"/>
    <w:multiLevelType w:val="hybridMultilevel"/>
    <w:lvl w:ilvl="0">
      <w:lvlJc w:val="left"/>
      <w:lvlText w:val="(%1)"/>
      <w:numFmt w:val="lowerLetter"/>
      <w:start w:val="1"/>
    </w:lvl>
  </w:abstractNum>
  <w:abstractNum w:abstractNumId="67">
    <w:nsid w:val="49DA307D"/>
    <w:multiLevelType w:val="hybridMultilevel"/>
    <w:lvl w:ilvl="0">
      <w:lvlJc w:val="left"/>
      <w:lvlText w:val="%1"/>
      <w:numFmt w:val="lowerLetter"/>
      <w:start w:val="1"/>
    </w:lvl>
    <w:lvl w:ilvl="1">
      <w:lvlJc w:val="left"/>
      <w:lvlText w:val="(%2)"/>
      <w:numFmt w:val="decimal"/>
      <w:start w:val="3"/>
    </w:lvl>
  </w:abstractNum>
  <w:abstractNum w:abstractNumId="68">
    <w:nsid w:val="7055A5F5"/>
    <w:multiLevelType w:val="hybridMultilevel"/>
    <w:lvl w:ilvl="0">
      <w:lvlJc w:val="left"/>
      <w:lvlText w:val="(%1)"/>
      <w:numFmt w:val="lowerLetter"/>
      <w:start w:val="2"/>
    </w:lvl>
    <w:lvl w:ilvl="1">
      <w:lvlJc w:val="left"/>
      <w:lvlText w:val="%2"/>
      <w:numFmt w:val="decimal"/>
      <w:start w:val="1"/>
    </w:lvl>
  </w:abstractNum>
  <w:abstractNum w:abstractNumId="69">
    <w:nsid w:val="5FB8370B"/>
    <w:multiLevelType w:val="hybridMultilevel"/>
    <w:lvl w:ilvl="0">
      <w:lvlJc w:val="left"/>
      <w:lvlText w:val="(%1)"/>
      <w:numFmt w:val="lowerLetter"/>
      <w:start w:val="1"/>
    </w:lvl>
  </w:abstractNum>
  <w:abstractNum w:abstractNumId="70">
    <w:nsid w:val="50801EE1"/>
    <w:multiLevelType w:val="hybridMultilevel"/>
    <w:lvl w:ilvl="0">
      <w:lvlJc w:val="left"/>
      <w:lvlText w:val="(%1)"/>
      <w:numFmt w:val="lowerLetter"/>
      <w:start w:val="1"/>
    </w:lvl>
  </w:abstractNum>
  <w:abstractNum w:abstractNumId="71">
    <w:nsid w:val="488AC1A"/>
    <w:multiLevelType w:val="hybridMultilevel"/>
    <w:lvl w:ilvl="0">
      <w:lvlJc w:val="left"/>
      <w:lvlText w:val="%1."/>
      <w:numFmt w:val="decimal"/>
      <w:start w:val="1"/>
    </w:lvl>
  </w:abstractNum>
  <w:abstractNum w:abstractNumId="72">
    <w:nsid w:val="5FB8011C"/>
    <w:multiLevelType w:val="hybridMultilevel"/>
    <w:lvl w:ilvl="0">
      <w:lvlJc w:val="left"/>
      <w:lvlText w:val="(%1)"/>
      <w:numFmt w:val="lowerRoman"/>
      <w:start w:val="3"/>
    </w:lvl>
  </w:abstractNum>
  <w:abstractNum w:abstractNumId="73">
    <w:nsid w:val="6AA78F7F"/>
    <w:multiLevelType w:val="hybridMultilevel"/>
    <w:lvl w:ilvl="0">
      <w:lvlJc w:val="left"/>
      <w:lvlText w:val="%1."/>
      <w:numFmt w:val="decimal"/>
      <w:start w:val="5"/>
    </w:lvl>
  </w:abstractNum>
  <w:abstractNum w:abstractNumId="74">
    <w:nsid w:val="7672BD23"/>
    <w:multiLevelType w:val="hybridMultilevel"/>
    <w:lvl w:ilvl="0">
      <w:lvlJc w:val="left"/>
      <w:lvlText w:val="(%1)"/>
      <w:numFmt w:val="lowerLetter"/>
      <w:start w:val="1"/>
    </w:lvl>
  </w:abstractNum>
  <w:abstractNum w:abstractNumId="75">
    <w:nsid w:val="6FC75AF8"/>
    <w:multiLevelType w:val="hybridMultilevel"/>
    <w:lvl w:ilvl="0">
      <w:lvlJc w:val="left"/>
      <w:lvlText w:val="%1."/>
      <w:numFmt w:val="decimal"/>
      <w:start w:val="1"/>
    </w:lvl>
  </w:abstractNum>
  <w:abstractNum w:abstractNumId="76">
    <w:nsid w:val="6A5F7029"/>
    <w:multiLevelType w:val="hybridMultilevel"/>
    <w:lvl w:ilvl="0">
      <w:lvlJc w:val="left"/>
      <w:lvlText w:val="%1."/>
      <w:numFmt w:val="decimal"/>
      <w:start w:val="4"/>
    </w:lvl>
  </w:abstractNum>
  <w:abstractNum w:abstractNumId="77">
    <w:nsid w:val="7D5E18F8"/>
    <w:multiLevelType w:val="hybridMultilevel"/>
    <w:lvl w:ilvl="0">
      <w:lvlJc w:val="left"/>
      <w:lvlText w:val="%1."/>
      <w:numFmt w:val="decimal"/>
      <w:start w:val="6"/>
    </w:lvl>
  </w:abstractNum>
  <w:abstractNum w:abstractNumId="78">
    <w:nsid w:val="5F3534A4"/>
    <w:multiLevelType w:val="hybridMultilevel"/>
    <w:lvl w:ilvl="0">
      <w:lvlJc w:val="left"/>
      <w:lvlText w:val="(%1)"/>
      <w:numFmt w:val="lowerRoman"/>
      <w:start w:val="1"/>
    </w:lvl>
  </w:abstractNum>
  <w:abstractNum w:abstractNumId="79">
    <w:nsid w:val="73A1821B"/>
    <w:multiLevelType w:val="hybridMultilevel"/>
    <w:lvl w:ilvl="0">
      <w:lvlJc w:val="left"/>
      <w:lvlText w:val="(%1)"/>
      <w:numFmt w:val="lowerRoman"/>
      <w:start w:val="3"/>
    </w:lvl>
  </w:abstractNum>
  <w:abstractNum w:abstractNumId="80">
    <w:nsid w:val="7DE67713"/>
    <w:multiLevelType w:val="hybridMultilevel"/>
    <w:lvl w:ilvl="0">
      <w:lvlJc w:val="left"/>
      <w:lvlText w:val="%1."/>
      <w:numFmt w:val="lowerRoman"/>
      <w:start w:val="1"/>
    </w:lvl>
  </w:abstractNum>
  <w:abstractNum w:abstractNumId="81">
    <w:nsid w:val="555C55B5"/>
    <w:multiLevelType w:val="hybridMultilevel"/>
    <w:lvl w:ilvl="0">
      <w:lvlJc w:val="left"/>
      <w:lvlText w:val="%1."/>
      <w:numFmt w:val="lowerRoman"/>
      <w:start w:val="4"/>
    </w:lvl>
  </w:abstractNum>
  <w:abstractNum w:abstractNumId="82">
    <w:nsid w:val="3FA62ACA"/>
    <w:multiLevelType w:val="hybridMultilevel"/>
    <w:lvl w:ilvl="0">
      <w:lvlJc w:val="left"/>
      <w:lvlText w:val="(%1)"/>
      <w:numFmt w:val="decimal"/>
      <w:start w:val="6"/>
    </w:lvl>
  </w:abstractNum>
  <w:abstractNum w:abstractNumId="83">
    <w:nsid w:val="14FCE74E"/>
    <w:multiLevelType w:val="hybridMultilevel"/>
    <w:lvl w:ilvl="0">
      <w:lvlJc w:val="left"/>
      <w:lvlText w:val="%1."/>
      <w:numFmt w:val="decimal"/>
      <w:start w:val="1"/>
    </w:lvl>
  </w:abstractNum>
  <w:abstractNum w:abstractNumId="84">
    <w:nsid w:val="6A3DD3E8"/>
    <w:multiLevelType w:val="hybridMultilevel"/>
    <w:lvl w:ilvl="0">
      <w:lvlJc w:val="left"/>
      <w:lvlText w:val="(%1)"/>
      <w:numFmt w:val="lowerRoman"/>
      <w:start w:val="2"/>
    </w:lvl>
  </w:abstractNum>
  <w:abstractNum w:abstractNumId="85">
    <w:nsid w:val="71C91298"/>
    <w:multiLevelType w:val="hybridMultilevel"/>
    <w:lvl w:ilvl="0">
      <w:lvlJc w:val="left"/>
      <w:lvlText w:val="(%1)"/>
      <w:numFmt w:val="lowerLetter"/>
      <w:start w:val="1"/>
    </w:lvl>
  </w:abstractNum>
  <w:abstractNum w:abstractNumId="86">
    <w:nsid w:val="9DAF632"/>
    <w:multiLevelType w:val="hybridMultilevel"/>
    <w:lvl w:ilvl="0">
      <w:lvlJc w:val="left"/>
      <w:lvlText w:val="(%1)"/>
      <w:numFmt w:val="lowerLetter"/>
      <w:start w:val="1"/>
    </w:lvl>
  </w:abstractNum>
  <w:abstractNum w:abstractNumId="87">
    <w:nsid w:val="53299938"/>
    <w:multiLevelType w:val="hybridMultilevel"/>
    <w:lvl w:ilvl="0">
      <w:lvlJc w:val="left"/>
      <w:lvlText w:val="(%1)"/>
      <w:numFmt w:val="lowerLetter"/>
      <w:start w:val="9"/>
    </w:lvl>
  </w:abstractNum>
  <w:abstractNum w:abstractNumId="88">
    <w:nsid w:val="1FBFE8E0"/>
    <w:multiLevelType w:val="hybridMultilevel"/>
    <w:lvl w:ilvl="0">
      <w:lvlJc w:val="left"/>
      <w:lvlText w:val="(%1)"/>
      <w:numFmt w:val="lowerLetter"/>
      <w:start w:val="1"/>
    </w:lvl>
  </w:abstractNum>
  <w:abstractNum w:abstractNumId="89">
    <w:nsid w:val="5092CA79"/>
    <w:multiLevelType w:val="hybridMultilevel"/>
    <w:lvl w:ilvl="0">
      <w:lvlJc w:val="left"/>
      <w:lvlText w:val="(%1)"/>
      <w:numFmt w:val="lowerLetter"/>
      <w:start w:val="4"/>
    </w:lvl>
  </w:abstractNum>
  <w:abstractNum w:abstractNumId="90">
    <w:nsid w:val="1D545C4D"/>
    <w:multiLevelType w:val="hybridMultilevel"/>
    <w:lvl w:ilvl="0">
      <w:lvlJc w:val="left"/>
      <w:lvlText w:val="(%1)"/>
      <w:numFmt w:val="lowerLetter"/>
      <w:start w:val="1"/>
    </w:lvl>
    <w:lvl w:ilvl="1">
      <w:lvlJc w:val="left"/>
      <w:lvlText w:val="(%2)"/>
      <w:numFmt w:val="decimal"/>
      <w:start w:val="1"/>
    </w:lvl>
  </w:abstractNum>
  <w:abstractNum w:abstractNumId="91">
    <w:nsid w:val="59ADEA3D"/>
    <w:multiLevelType w:val="hybridMultilevel"/>
    <w:lvl w:ilvl="0">
      <w:lvlJc w:val="left"/>
      <w:lvlText w:val="%1"/>
      <w:numFmt w:val="lowerLetter"/>
      <w:start w:val="1"/>
    </w:lvl>
    <w:lvl w:ilvl="1">
      <w:lvlJc w:val="left"/>
      <w:lvlText w:val="(%2)"/>
      <w:numFmt w:val="decimal"/>
      <w:start w:val="4"/>
    </w:lvl>
  </w:abstractNum>
  <w:abstractNum w:abstractNumId="92">
    <w:nsid w:val="288F1A34"/>
    <w:multiLevelType w:val="hybridMultilevel"/>
    <w:lvl w:ilvl="0">
      <w:lvlJc w:val="left"/>
      <w:lvlText w:val="(%1)"/>
      <w:numFmt w:val="lowerLetter"/>
      <w:start w:val="3"/>
    </w:lvl>
    <w:lvl w:ilvl="1">
      <w:lvlJc w:val="left"/>
      <w:lvlText w:val="%2"/>
      <w:numFmt w:val="decimal"/>
      <w:start w:val="1"/>
    </w:lvl>
  </w:abstractNum>
  <w:abstractNum w:abstractNumId="93">
    <w:nsid w:val="2A155DBC"/>
    <w:multiLevelType w:val="hybridMultilevel"/>
    <w:lvl w:ilvl="0">
      <w:lvlJc w:val="left"/>
      <w:lvlText w:val="(%1)"/>
      <w:numFmt w:val="lowerLetter"/>
      <w:start w:val="1"/>
    </w:lvl>
    <w:lvl w:ilvl="1">
      <w:lvlJc w:val="left"/>
      <w:lvlText w:val="(%2)"/>
      <w:numFmt w:val="decimal"/>
      <w:start w:val="1"/>
    </w:lvl>
  </w:abstractNum>
  <w:abstractNum w:abstractNumId="94">
    <w:nsid w:val="1D9F6E5F"/>
    <w:multiLevelType w:val="hybridMultilevel"/>
    <w:lvl w:ilvl="0">
      <w:lvlJc w:val="left"/>
      <w:lvlText w:val="(%1)"/>
      <w:numFmt w:val="lowerLetter"/>
      <w:start w:val="1"/>
    </w:lvl>
  </w:abstractNum>
  <w:abstractNum w:abstractNumId="95">
    <w:nsid w:val="97E1B4E"/>
    <w:multiLevelType w:val="hybridMultilevel"/>
    <w:lvl w:ilvl="0">
      <w:lvlJc w:val="left"/>
      <w:lvlText w:val="(%1)"/>
      <w:numFmt w:val="lowerLetter"/>
      <w:start w:val="2"/>
    </w:lvl>
  </w:abstractNum>
  <w:abstractNum w:abstractNumId="96">
    <w:nsid w:val="51088277"/>
    <w:multiLevelType w:val="hybridMultilevel"/>
    <w:lvl w:ilvl="0">
      <w:lvlJc w:val="left"/>
      <w:lvlText w:val="(%1)"/>
      <w:numFmt w:val="lowerLetter"/>
      <w:start w:val="1"/>
    </w:lvl>
    <w:lvl w:ilvl="1">
      <w:lvlJc w:val="left"/>
      <w:lvlText w:val="(%2)"/>
      <w:numFmt w:val="decimal"/>
      <w:start w:val="1"/>
    </w:lvl>
  </w:abstractNum>
  <w:abstractNum w:abstractNumId="97">
    <w:nsid w:val="1CA0C5FA"/>
    <w:multiLevelType w:val="hybridMultilevel"/>
    <w:lvl w:ilvl="0">
      <w:lvlJc w:val="left"/>
      <w:lvlText w:val="(%1)"/>
      <w:numFmt w:val="decimal"/>
      <w:start w:val="4"/>
    </w:lvl>
    <w:lvl w:ilvl="1">
      <w:lvlJc w:val="left"/>
      <w:lvlText w:val="%2."/>
      <w:numFmt w:val="lowerLetter"/>
      <w:start w:val="1"/>
    </w:lvl>
  </w:abstractNum>
  <w:abstractNum w:abstractNumId="98">
    <w:nsid w:val="53584BCB"/>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3"/>
    </w:lvl>
  </w:abstractNum>
  <w:abstractNum w:abstractNumId="99">
    <w:nsid w:val="415E286C"/>
    <w:multiLevelType w:val="hybridMultilevel"/>
    <w:lvl w:ilvl="0">
      <w:lvlJc w:val="left"/>
      <w:lvlText w:val="(%1)"/>
      <w:numFmt w:val="lowerLetter"/>
      <w:start w:val="2"/>
    </w:lvl>
    <w:lvl w:ilvl="1">
      <w:lvlJc w:val="left"/>
      <w:lvlText w:val="(%2)"/>
      <w:numFmt w:val="decimal"/>
      <w:start w:val="1"/>
    </w:lvl>
    <w:lvl w:ilvl="2">
      <w:lvlJc w:val="left"/>
      <w:lvlText w:val="%3"/>
      <w:numFmt w:val="lowerLetter"/>
      <w:start w:val="1"/>
    </w:lvl>
  </w:abstractNum>
  <w:abstractNum w:abstractNumId="100">
    <w:nsid w:val="7C58FD05"/>
    <w:multiLevelType w:val="hybridMultilevel"/>
    <w:lvl w:ilvl="0">
      <w:lvlJc w:val="left"/>
      <w:lvlText w:val="(%1)"/>
      <w:numFmt w:val="decimal"/>
      <w:start w:val="6"/>
    </w:lvl>
  </w:abstractNum>
  <w:abstractNum w:abstractNumId="101">
    <w:nsid w:val="23D86AAC"/>
    <w:multiLevelType w:val="hybridMultilevel"/>
    <w:lvl w:ilvl="0">
      <w:lvlJc w:val="left"/>
      <w:lvlText w:val="(%1)"/>
      <w:numFmt w:val="decimal"/>
      <w:start w:val="15"/>
    </w:lvl>
  </w:abstractNum>
  <w:abstractNum w:abstractNumId="102">
    <w:nsid w:val="45E6D486"/>
    <w:multiLevelType w:val="hybridMultilevel"/>
    <w:lvl w:ilvl="0">
      <w:lvlJc w:val="left"/>
      <w:lvlText w:val="%1"/>
      <w:numFmt w:val="lowerLetter"/>
      <w:start w:val="1"/>
    </w:lvl>
    <w:lvl w:ilvl="1">
      <w:lvlJc w:val="left"/>
      <w:lvlText w:val="(%2)"/>
      <w:numFmt w:val="decimal"/>
      <w:start w:val="17"/>
    </w:lvl>
    <w:lvl w:ilvl="2">
      <w:lvlJc w:val="left"/>
      <w:lvlText w:val="%3"/>
      <w:numFmt w:val="decimal"/>
      <w:start w:val="1"/>
    </w:lvl>
  </w:abstractNum>
  <w:abstractNum w:abstractNumId="103">
    <w:nsid w:val="5C10FE21"/>
    <w:multiLevelType w:val="hybridMultilevel"/>
    <w:lvl w:ilvl="0">
      <w:lvlJc w:val="left"/>
      <w:lvlText w:val="(%1)"/>
      <w:numFmt w:val="lowerLetter"/>
      <w:start w:val="3"/>
    </w:lvl>
    <w:lvl w:ilvl="1">
      <w:lvlJc w:val="left"/>
      <w:lvlText w:val="%2"/>
      <w:numFmt w:val="decimal"/>
      <w:start w:val="1"/>
    </w:lvl>
    <w:lvl w:ilvl="2">
      <w:lvlJc w:val="left"/>
      <w:lvlText w:val="(%3)"/>
      <w:numFmt w:val="decimal"/>
      <w:start w:val="1"/>
    </w:lvl>
  </w:abstractNum>
  <w:abstractNum w:abstractNumId="104">
    <w:nsid w:val="E7FFA2B"/>
    <w:multiLevelType w:val="hybridMultilevel"/>
    <w:lvl w:ilvl="0">
      <w:lvlJc w:val="left"/>
      <w:lvlText w:val="(%1)"/>
      <w:numFmt w:val="lowerLetter"/>
      <w:start w:val="6"/>
    </w:lvl>
  </w:abstractNum>
  <w:abstractNum w:abstractNumId="105">
    <w:nsid w:val="3C5991AA"/>
    <w:multiLevelType w:val="hybridMultilevel"/>
    <w:lvl w:ilvl="0">
      <w:lvlJc w:val="left"/>
      <w:lvlText w:val="(%1)"/>
      <w:numFmt w:val="lowerLetter"/>
      <w:start w:val="1"/>
    </w:lvl>
  </w:abstractNum>
  <w:abstractNum w:abstractNumId="106">
    <w:nsid w:val="4BD8591A"/>
    <w:multiLevelType w:val="hybridMultilevel"/>
    <w:lvl w:ilvl="0">
      <w:lvlJc w:val="left"/>
      <w:lvlText w:val="(%1)"/>
      <w:numFmt w:val="lowerLetter"/>
      <w:start w:val="1"/>
    </w:lvl>
  </w:abstractNum>
  <w:abstractNum w:abstractNumId="107">
    <w:nsid w:val="78DF6A55"/>
    <w:multiLevelType w:val="hybridMultilevel"/>
    <w:lvl w:ilvl="0">
      <w:lvlJc w:val="left"/>
      <w:lvlText w:val="(%1)"/>
      <w:numFmt w:val="lowerLetter"/>
      <w:start w:val="1"/>
    </w:lvl>
  </w:abstractNum>
  <w:abstractNum w:abstractNumId="108">
    <w:nsid w:val="39B7AAA2"/>
    <w:multiLevelType w:val="hybridMultilevel"/>
    <w:lvl w:ilvl="0">
      <w:lvlJc w:val="left"/>
      <w:lvlText w:val="(%1)"/>
      <w:numFmt w:val="lowerLetter"/>
      <w:start w:val="4"/>
    </w:lvl>
  </w:abstractNum>
  <w:abstractNum w:abstractNumId="109">
    <w:nsid w:val="2B0D8DBE"/>
    <w:multiLevelType w:val="hybridMultilevel"/>
    <w:lvl w:ilvl="0">
      <w:lvlJc w:val="left"/>
      <w:lvlText w:val="(%1)"/>
      <w:numFmt w:val="lowerLetter"/>
      <w:start w:val="1"/>
    </w:lvl>
  </w:abstractNum>
  <w:abstractNum w:abstractNumId="110">
    <w:nsid w:val="6C80EC70"/>
    <w:multiLevelType w:val="hybridMultilevel"/>
    <w:lvl w:ilvl="0">
      <w:lvlJc w:val="left"/>
      <w:lvlText w:val="(%1)"/>
      <w:numFmt w:val="lowerLetter"/>
      <w:start w:val="4"/>
    </w:lvl>
  </w:abstractNum>
  <w:abstractNum w:abstractNumId="111">
    <w:nsid w:val="379E21B5"/>
    <w:multiLevelType w:val="hybridMultilevel"/>
    <w:lvl w:ilvl="0">
      <w:lvlJc w:val="left"/>
      <w:lvlText w:val="(%1)"/>
      <w:numFmt w:val="lowerLetter"/>
      <w:start w:val="1"/>
    </w:lvl>
  </w:abstractNum>
  <w:abstractNum w:abstractNumId="112">
    <w:nsid w:val="69E373"/>
    <w:multiLevelType w:val="hybridMultilevel"/>
    <w:lvl w:ilvl="0">
      <w:lvlJc w:val="left"/>
      <w:lvlText w:val="(%1)"/>
      <w:numFmt w:val="lowerLetter"/>
      <w:start w:val="1"/>
    </w:lvl>
  </w:abstractNum>
  <w:abstractNum w:abstractNumId="113">
    <w:nsid w:val="2C27173B"/>
    <w:multiLevelType w:val="hybridMultilevel"/>
    <w:lvl w:ilvl="0">
      <w:lvlJc w:val="left"/>
      <w:lvlText w:val="(%1)"/>
      <w:numFmt w:val="lowerLetter"/>
      <w:start w:val="3"/>
    </w:lvl>
  </w:abstractNum>
  <w:abstractNum w:abstractNumId="114">
    <w:nsid w:val="4C9B0904"/>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115">
    <w:nsid w:val="6AA7B75C"/>
    <w:multiLevelType w:val="hybridMultilevel"/>
    <w:lvl w:ilvl="0">
      <w:lvlJc w:val="left"/>
      <w:lvlText w:val="%1."/>
      <w:numFmt w:val="lowerRoman"/>
      <w:start w:val="2"/>
    </w:lvl>
  </w:abstractNum>
  <w:abstractNum w:abstractNumId="116">
    <w:nsid w:val="1DF029D3"/>
    <w:multiLevelType w:val="hybridMultilevel"/>
    <w:lvl w:ilvl="0">
      <w:lvlJc w:val="left"/>
      <w:lvlText w:val="%1"/>
      <w:numFmt w:val="lowerLetter"/>
      <w:start w:val="1"/>
    </w:lvl>
    <w:lvl w:ilvl="1">
      <w:lvlJc w:val="left"/>
      <w:lvlText w:val="(%2)"/>
      <w:numFmt w:val="decimal"/>
      <w:start w:val="3"/>
    </w:lvl>
  </w:abstractNum>
  <w:abstractNum w:abstractNumId="117">
    <w:nsid w:val="5675FF36"/>
    <w:multiLevelType w:val="hybridMultilevel"/>
    <w:lvl w:ilvl="0">
      <w:lvlJc w:val="left"/>
      <w:lvlText w:val="(%1)"/>
      <w:numFmt w:val="lowerLetter"/>
      <w:start w:val="2"/>
    </w:lvl>
    <w:lvl w:ilvl="1">
      <w:lvlJc w:val="left"/>
      <w:lvlText w:val="%2"/>
      <w:numFmt w:val="decimal"/>
      <w:start w:val="1"/>
    </w:lvl>
  </w:abstractNum>
  <w:abstractNum w:abstractNumId="118">
    <w:nsid w:val="3DD15094"/>
    <w:multiLevelType w:val="hybridMultilevel"/>
    <w:lvl w:ilvl="0">
      <w:lvlJc w:val="left"/>
      <w:lvlText w:val="(%1)"/>
      <w:numFmt w:val="lowerLetter"/>
      <w:start w:val="1"/>
    </w:lvl>
  </w:abstractNum>
  <w:abstractNum w:abstractNumId="119">
    <w:nsid w:val="3DB012B3"/>
    <w:multiLevelType w:val="hybridMultilevel"/>
    <w:lvl w:ilvl="0">
      <w:lvlJc w:val="left"/>
      <w:lvlText w:val="(%1)"/>
      <w:numFmt w:val="lowerLetter"/>
      <w:start w:val="1"/>
    </w:lvl>
  </w:abstractNum>
  <w:abstractNum w:abstractNumId="120">
    <w:nsid w:val="2708C9AF"/>
    <w:multiLevelType w:val="hybridMultilevel"/>
    <w:lvl w:ilvl="0">
      <w:lvlJc w:val="left"/>
      <w:lvlText w:val="%1."/>
      <w:numFmt w:val="decimal"/>
      <w:start w:val="1"/>
    </w:lvl>
    <w:lvl w:ilvl="1">
      <w:lvlJc w:val="left"/>
      <w:lvlText w:val="%2."/>
      <w:numFmt w:val="lowerLetter"/>
      <w:start w:val="1"/>
    </w:lvl>
  </w:abstractNum>
  <w:abstractNum w:abstractNumId="121">
    <w:nsid w:val="5B25ACE2"/>
    <w:multiLevelType w:val="hybridMultilevel"/>
    <w:lvl w:ilvl="0">
      <w:lvlJc w:val="left"/>
      <w:lvlText w:val="%1."/>
      <w:numFmt w:val="decimal"/>
      <w:start w:val="1"/>
    </w:lvl>
    <w:lvl w:ilvl="1">
      <w:lvlJc w:val="left"/>
      <w:lvlText w:val="%2."/>
      <w:numFmt w:val="lowerLetter"/>
      <w:start w:val="1"/>
    </w:lvl>
  </w:abstractNum>
  <w:abstractNum w:abstractNumId="122">
    <w:nsid w:val="175DFCF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2019-12-05T13:02:28Z</dcterms:created>
  <dcterms:modified xsi:type="dcterms:W3CDTF">2019-12-05T13:02:28Z</dcterms:modified>
</cp:coreProperties>
</file>