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(Mark One)</w:t>
      </w:r>
    </w:p>
    <w:p>
      <w:pPr>
        <w:spacing w:after="0" w:line="86" w:lineRule="exact"/>
        <w:rPr>
          <w:sz w:val="24"/>
          <w:szCs w:val="24"/>
          <w:color w:val="auto"/>
        </w:rPr>
      </w:pPr>
    </w:p>
    <w:p>
      <w:pPr>
        <w:ind w:left="1360" w:right="4440" w:hanging="825"/>
        <w:spacing w:after="0" w:line="363" w:lineRule="auto"/>
        <w:tabs>
          <w:tab w:leader="none" w:pos="1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 31, 2013</w:t>
      </w:r>
    </w:p>
    <w:p>
      <w:pPr>
        <w:spacing w:after="0" w:line="159" w:lineRule="exact"/>
        <w:rPr>
          <w:sz w:val="24"/>
          <w:szCs w:val="24"/>
          <w:color w:val="auto"/>
        </w:rPr>
      </w:pPr>
    </w:p>
    <w:p>
      <w:pPr>
        <w:ind w:left="1360" w:right="4260" w:hanging="825"/>
        <w:spacing w:after="0" w:line="381" w:lineRule="auto"/>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No.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481" w:right="239" w:bottom="1440" w:gutter="0" w:footer="0" w:header="0"/>
        </w:sectPr>
      </w:pPr>
    </w:p>
    <w:p>
      <w:pPr>
        <w:spacing w:after="0" w:line="240"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41-0418150</w:t>
      </w:r>
    </w:p>
    <w:p>
      <w:pPr>
        <w:spacing w:after="0" w:line="100" w:lineRule="exact"/>
        <w:rPr>
          <w:sz w:val="24"/>
          <w:szCs w:val="24"/>
          <w:color w:val="auto"/>
        </w:rPr>
      </w:pPr>
    </w:p>
    <w:p>
      <w:pPr>
        <w:sectPr>
          <w:pgSz w:w="11900" w:h="16838" w:orient="portrait"/>
          <w:cols w:equalWidth="0" w:num="2">
            <w:col w:w="7900" w:space="720"/>
            <w:col w:w="2800"/>
          </w:cols>
          <w:pgMar w:left="240" w:top="481" w:right="239" w:bottom="1440" w:gutter="0" w:footer="0" w:header="0"/>
          <w:type w:val="continuous"/>
        </w:sectPr>
      </w:pPr>
    </w:p>
    <w:p>
      <w:pPr>
        <w:ind w:left="7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100" w:space="720"/>
            <w:col w:w="3600"/>
          </w:cols>
          <w:pgMar w:left="240" w:top="481" w:right="239" w:bottom="1440" w:gutter="0" w:footer="0" w:header="0"/>
          <w:type w:val="continuous"/>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30 West Superior Street, Duluth, Minnesota 55802-2093</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(218) 279-5000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481" w:right="239" w:bottom="1440" w:gutter="0" w:footer="0" w:header="0"/>
          <w:type w:val="continuous"/>
        </w:sectPr>
      </w:pPr>
    </w:p>
    <w:p>
      <w:pPr>
        <w:spacing w:after="0" w:line="248"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96" w:lineRule="exact"/>
        <w:rPr>
          <w:sz w:val="24"/>
          <w:szCs w:val="24"/>
          <w:color w:val="auto"/>
        </w:rPr>
      </w:pPr>
    </w:p>
    <w:p>
      <w:pPr>
        <w:sectPr>
          <w:pgSz w:w="11900" w:h="16838" w:orient="portrait"/>
          <w:cols w:equalWidth="0" w:num="2">
            <w:col w:w="6840" w:space="720"/>
            <w:col w:w="3860"/>
          </w:cols>
          <w:pgMar w:left="240" w:top="481" w:right="239" w:bottom="1440" w:gutter="0" w:footer="0" w:header="0"/>
          <w:type w:val="continuous"/>
        </w:sectPr>
      </w:pPr>
    </w:p>
    <w:p>
      <w:pPr>
        <w:ind w:left="1340"/>
        <w:spacing w:after="0"/>
        <w:rPr>
          <w:sz w:val="20"/>
          <w:szCs w:val="20"/>
          <w:color w:val="auto"/>
        </w:rPr>
      </w:pPr>
      <w:r>
        <w:rPr>
          <w:rFonts w:ascii="Arial" w:cs="Arial" w:eastAsia="Arial" w:hAnsi="Arial"/>
          <w:sz w:val="14"/>
          <w:szCs w:val="14"/>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00" w:lineRule="exact"/>
        <w:rPr>
          <w:sz w:val="24"/>
          <w:szCs w:val="24"/>
          <w:color w:val="auto"/>
        </w:rPr>
      </w:pPr>
    </w:p>
    <w:p>
      <w:pPr>
        <w:sectPr>
          <w:pgSz w:w="11900" w:h="16838" w:orient="portrait"/>
          <w:cols w:equalWidth="0" w:num="2">
            <w:col w:w="7400" w:space="720"/>
            <w:col w:w="3300"/>
          </w:cols>
          <w:pgMar w:left="240" w:top="481" w:right="239" w:bottom="1440" w:gutter="0" w:footer="0" w:header="0"/>
          <w:type w:val="continuous"/>
        </w:sectPr>
      </w:pP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481" w:right="239" w:bottom="1440" w:gutter="0" w:footer="0" w:header="0"/>
          <w:type w:val="continuous"/>
        </w:sect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Yes </w:t>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7620" w:space="200"/>
            <w:col w:w="360" w:space="200"/>
            <w:col w:w="3040"/>
          </w:cols>
          <w:pgMar w:left="240" w:top="481" w:right="239" w:bottom="1440" w:gutter="0" w:footer="0" w:header="0"/>
          <w:type w:val="continuous"/>
        </w:sectPr>
      </w:pPr>
    </w:p>
    <w:p>
      <w:pPr>
        <w:spacing w:after="0" w:line="184"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No </w:t>
      </w:r>
      <w:r>
        <w:rPr>
          <w:rFonts w:ascii="Arial" w:cs="Arial" w:eastAsia="Arial" w:hAnsi="Arial"/>
          <w:sz w:val="17"/>
          <w:szCs w:val="17"/>
          <w:color w:val="auto"/>
        </w:rPr>
        <w:t>x</w:t>
      </w:r>
    </w:p>
    <w:p>
      <w:pPr>
        <w:spacing w:after="0" w:line="200" w:lineRule="exact"/>
        <w:rPr>
          <w:sz w:val="24"/>
          <w:szCs w:val="24"/>
          <w:color w:val="auto"/>
        </w:rPr>
      </w:pPr>
    </w:p>
    <w:p>
      <w:pPr>
        <w:sectPr>
          <w:pgSz w:w="11900" w:h="16838" w:orient="portrait"/>
          <w:cols w:equalWidth="0" w:num="2">
            <w:col w:w="8240" w:space="200"/>
            <w:col w:w="2980"/>
          </w:cols>
          <w:pgMar w:left="240" w:top="481" w:right="239" w:bottom="1440" w:gutter="0" w:footer="0" w:header="0"/>
          <w:type w:val="continuous"/>
        </w:sectPr>
      </w:pPr>
    </w:p>
    <w:p>
      <w:pPr>
        <w:spacing w:after="0" w:line="28"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p>
    <w:p>
      <w:pPr>
        <w:ind w:left="180"/>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line="314"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300" w:hanging="292"/>
        <w:spacing w:after="0" w:line="207" w:lineRule="exact"/>
        <w:tabs>
          <w:tab w:leader="none" w:pos="300" w:val="left"/>
        </w:tabs>
        <w:numPr>
          <w:ilvl w:val="0"/>
          <w:numId w:val="3"/>
        </w:numPr>
        <w:rPr>
          <w:rFonts w:ascii="Arial" w:cs="Arial" w:eastAsia="Arial" w:hAnsi="Arial"/>
          <w:sz w:val="18"/>
          <w:szCs w:val="18"/>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208" w:lineRule="exact"/>
        <w:rPr>
          <w:sz w:val="24"/>
          <w:szCs w:val="24"/>
          <w:color w:val="auto"/>
        </w:rPr>
      </w:pPr>
    </w:p>
    <w:p>
      <w:pPr>
        <w:ind w:right="20"/>
        <w:spacing w:after="0" w:line="22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60" w:lineRule="exact"/>
        <w:rPr>
          <w:sz w:val="24"/>
          <w:szCs w:val="24"/>
          <w:color w:val="auto"/>
        </w:rPr>
      </w:pPr>
    </w:p>
    <w:p>
      <w:pPr>
        <w:ind w:right="20"/>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(as defined in Rule 12b-2 of the Act).</w:t>
      </w:r>
    </w:p>
    <w:p>
      <w:pPr>
        <w:spacing w:after="0" w:line="1" w:lineRule="exact"/>
        <w:rPr>
          <w:sz w:val="24"/>
          <w:szCs w:val="24"/>
          <w:color w:val="auto"/>
        </w:rPr>
      </w:pPr>
    </w:p>
    <w:p>
      <w:pPr>
        <w:jc w:val="both"/>
        <w:ind w:right="3540" w:firstLine="648"/>
        <w:spacing w:after="0" w:line="338" w:lineRule="exact"/>
        <w:rPr>
          <w:sz w:val="20"/>
          <w:szCs w:val="20"/>
          <w:color w:val="auto"/>
        </w:rPr>
      </w:pPr>
      <w:r>
        <w:rPr>
          <w:rFonts w:ascii="Arial" w:cs="Arial" w:eastAsia="Arial" w:hAnsi="Arial"/>
          <w:sz w:val="15"/>
          <w:szCs w:val="15"/>
          <w:color w:val="auto"/>
        </w:rPr>
        <w:t xml:space="preserve">Large Accelerated Filer </w:t>
      </w:r>
      <w:r>
        <w:rPr>
          <w:rFonts w:ascii="Arial" w:cs="Arial" w:eastAsia="Arial" w:hAnsi="Arial"/>
          <w:sz w:val="17"/>
          <w:szCs w:val="17"/>
          <w:color w:val="auto"/>
        </w:rPr>
        <w:t>x</w:t>
      </w:r>
      <w:r>
        <w:rPr>
          <w:rFonts w:ascii="Arial" w:cs="Arial" w:eastAsia="Arial" w:hAnsi="Arial"/>
          <w:sz w:val="15"/>
          <w:szCs w:val="15"/>
          <w:color w:val="auto"/>
        </w:rPr>
        <w:t xml:space="preserve"> 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Non-Accelerated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5"/>
          <w:szCs w:val="15"/>
          <w:color w:val="auto"/>
        </w:rPr>
        <w:t xml:space="preserve"> 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Arial" w:cs="Arial" w:eastAsia="Arial" w:hAnsi="Arial"/>
          <w:sz w:val="17"/>
          <w:szCs w:val="17"/>
          <w:color w:val="auto"/>
        </w:rPr>
        <w:t>x</w:t>
      </w:r>
      <w:r>
        <w:rPr>
          <w:rFonts w:ascii="Arial" w:cs="Arial" w:eastAsia="Arial" w:hAnsi="Arial"/>
          <w:sz w:val="15"/>
          <w:szCs w:val="15"/>
          <w:color w:val="auto"/>
        </w:rPr>
        <w:t xml:space="preserve"> The aggregate market value of voting stock held by nonaffiliates on June 30, 2013, was $1,989,608,714.</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2014, there were 41,817,714 shares of ALLETE Common Stock, without par value, outstanding.</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2014 Annual Meeting of Shareholders are incorporated by reference in Part III.</w:t>
      </w:r>
    </w:p>
    <w:p>
      <w:pPr>
        <w:sectPr>
          <w:pgSz w:w="11900" w:h="16838" w:orient="portrait"/>
          <w:cols w:equalWidth="0" w:num="1">
            <w:col w:w="11420"/>
          </w:cols>
          <w:pgMar w:left="240" w:top="48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80" w:type="dxa"/>
            <w:vAlign w:val="bottom"/>
            <w:tcBorders>
              <w:right w:val="single" w:sz="8" w:color="CCEEFF"/>
            </w:tcBorders>
            <w:gridSpan w:val="3"/>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Definitions</w:t>
              </w:r>
            </w:hyperlink>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200" w:type="dxa"/>
            <w:vAlign w:val="bottom"/>
            <w:tcBorders>
              <w:left w:val="single" w:sz="8" w:color="CCEEFF"/>
            </w:tcBorders>
            <w:gridSpan w:val="2"/>
            <w:shd w:val="clear" w:color="auto" w:fill="CCEEFF"/>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c>
          <w:tcPr>
            <w:tcW w:w="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80" w:type="dxa"/>
            <w:vAlign w:val="bottom"/>
            <w:tcBorders>
              <w:top w:val="single" w:sz="8" w:color="CCEEFF"/>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9940" w:type="dxa"/>
            <w:vAlign w:val="bottom"/>
            <w:gridSpan w:val="44"/>
            <w:shd w:val="clear" w:color="auto" w:fill="CCEEFF"/>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Forward-Looking Statements</w:t>
              </w:r>
            </w:hyperlink>
          </w:p>
        </w:tc>
        <w:tc>
          <w:tcPr>
            <w:tcW w:w="200" w:type="dxa"/>
            <w:vAlign w:val="bottom"/>
            <w:tcBorders>
              <w:left w:val="single" w:sz="8" w:color="CCEEFF"/>
            </w:tcBorders>
            <w:gridSpan w:val="2"/>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6</w:t>
              </w:r>
            </w:hyperlink>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80" w:type="dxa"/>
            <w:vAlign w:val="bottom"/>
            <w:tcBorders>
              <w:top w:val="single" w:sz="8" w:color="CCEEFF"/>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1180" w:type="dxa"/>
            <w:vAlign w:val="bottom"/>
            <w:tcBorders>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w:t>
            </w:r>
          </w:p>
        </w:tc>
        <w:tc>
          <w:tcPr>
            <w:tcW w:w="8760" w:type="dxa"/>
            <w:vAlign w:val="bottom"/>
            <w:gridSpan w:val="41"/>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200" w:type="dxa"/>
            <w:vAlign w:val="bottom"/>
            <w:gridSpan w:val="2"/>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760" w:type="dxa"/>
            <w:vAlign w:val="bottom"/>
            <w:gridSpan w:val="41"/>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Regulated Operations</w:t>
              </w:r>
            </w:hyperlink>
          </w:p>
        </w:tc>
        <w:tc>
          <w:tcPr>
            <w:tcW w:w="200" w:type="dxa"/>
            <w:vAlign w:val="bottom"/>
            <w:tcBorders>
              <w:left w:val="single" w:sz="8" w:color="CCEEFF"/>
            </w:tcBorders>
            <w:gridSpan w:val="2"/>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34"/>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Electric Sales / Customers</w:t>
              </w:r>
            </w:hyperlink>
          </w:p>
        </w:tc>
        <w:tc>
          <w:tcPr>
            <w:tcW w:w="200" w:type="dxa"/>
            <w:vAlign w:val="bottom"/>
            <w:gridSpan w:val="2"/>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940" w:type="dxa"/>
            <w:vAlign w:val="bottom"/>
            <w:gridSpan w:val="34"/>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Seasonality</w:t>
              </w:r>
            </w:hyperlink>
          </w:p>
        </w:tc>
        <w:tc>
          <w:tcPr>
            <w:tcW w:w="220" w:type="dxa"/>
            <w:vAlign w:val="bottom"/>
            <w:tcBorders>
              <w:left w:val="single" w:sz="8" w:color="CCEEFF"/>
            </w:tcBorders>
            <w:gridSpan w:val="3"/>
            <w:shd w:val="clear" w:color="auto" w:fill="CCEEFF"/>
          </w:tcPr>
          <w:p>
            <w:pPr>
              <w:ind w:left="4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34"/>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Power Supply</w:t>
              </w:r>
            </w:hyperlink>
          </w:p>
        </w:tc>
        <w:tc>
          <w:tcPr>
            <w:tcW w:w="220" w:type="dxa"/>
            <w:vAlign w:val="bottom"/>
            <w:gridSpan w:val="3"/>
          </w:tcPr>
          <w:p>
            <w:pPr>
              <w:ind w:left="4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80" w:type="dxa"/>
            <w:vAlign w:val="bottom"/>
            <w:gridSpan w:val="28"/>
            <w:shd w:val="clear" w:color="auto" w:fill="CCEEFF"/>
          </w:tcPr>
          <w:p>
            <w:pPr>
              <w:spacing w:after="0" w:line="202"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Transmission and Distribution</w:t>
              </w:r>
            </w:hyperlink>
          </w:p>
        </w:tc>
        <w:tc>
          <w:tcPr>
            <w:tcW w:w="5760" w:type="dxa"/>
            <w:vAlign w:val="bottom"/>
            <w:gridSpan w:val="6"/>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gridSpan w:val="28"/>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Investment in ATC</w:t>
              </w:r>
            </w:hyperlink>
          </w:p>
        </w:tc>
        <w:tc>
          <w:tcPr>
            <w:tcW w:w="5760" w:type="dxa"/>
            <w:vAlign w:val="bottom"/>
            <w:gridSpan w:val="6"/>
          </w:tcPr>
          <w:p>
            <w:pPr>
              <w:spacing w:after="0"/>
              <w:rPr>
                <w:sz w:val="17"/>
                <w:szCs w:val="17"/>
                <w:color w:val="auto"/>
              </w:rPr>
            </w:pPr>
          </w:p>
        </w:tc>
        <w:tc>
          <w:tcPr>
            <w:tcW w:w="1480" w:type="dxa"/>
            <w:vAlign w:val="bottom"/>
            <w:gridSpan w:val="4"/>
          </w:tcPr>
          <w:p>
            <w:pPr>
              <w:ind w:left="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940" w:type="dxa"/>
            <w:vAlign w:val="bottom"/>
            <w:gridSpan w:val="34"/>
            <w:shd w:val="clear" w:color="auto" w:fill="CCEEFF"/>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34"/>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Regulatory Matters</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22"/>
            <w:shd w:val="clear" w:color="auto" w:fill="CCEEFF"/>
          </w:tcPr>
          <w:p>
            <w:pP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Regional Organizations</w:t>
              </w:r>
            </w:hyperlink>
          </w:p>
        </w:tc>
        <w:tc>
          <w:tcPr>
            <w:tcW w:w="6240" w:type="dxa"/>
            <w:vAlign w:val="bottom"/>
            <w:gridSpan w:val="12"/>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22"/>
          </w:tcPr>
          <w:p>
            <w:pPr>
              <w:spacing w:after="0" w:line="202"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Minnesota Legislation</w:t>
              </w:r>
            </w:hyperlink>
          </w:p>
        </w:tc>
        <w:tc>
          <w:tcPr>
            <w:tcW w:w="6240" w:type="dxa"/>
            <w:vAlign w:val="bottom"/>
            <w:gridSpan w:val="12"/>
          </w:tcPr>
          <w:p>
            <w:pPr>
              <w:spacing w:after="0"/>
              <w:rPr>
                <w:sz w:val="17"/>
                <w:szCs w:val="17"/>
                <w:color w:val="auto"/>
              </w:rPr>
            </w:pPr>
          </w:p>
        </w:tc>
        <w:tc>
          <w:tcPr>
            <w:tcW w:w="1480" w:type="dxa"/>
            <w:vAlign w:val="bottom"/>
            <w:gridSpan w:val="4"/>
          </w:tcPr>
          <w:p>
            <w:pPr>
              <w:ind w:left="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gridSpan w:val="11"/>
            <w:shd w:val="clear" w:color="auto" w:fill="CCEEFF"/>
          </w:tcPr>
          <w:p>
            <w:pPr>
              <w:spacing w:after="0" w:line="202"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Competition</w:t>
              </w:r>
            </w:hyperlink>
          </w:p>
        </w:tc>
        <w:tc>
          <w:tcPr>
            <w:tcW w:w="7040" w:type="dxa"/>
            <w:vAlign w:val="bottom"/>
            <w:gridSpan w:val="23"/>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11"/>
          </w:tcPr>
          <w:p>
            <w:pPr>
              <w:spacing w:after="0" w:line="20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Franchises</w:t>
              </w:r>
            </w:hyperlink>
          </w:p>
        </w:tc>
        <w:tc>
          <w:tcPr>
            <w:tcW w:w="7040" w:type="dxa"/>
            <w:vAlign w:val="bottom"/>
            <w:gridSpan w:val="23"/>
          </w:tcPr>
          <w:p>
            <w:pPr>
              <w:spacing w:after="0"/>
              <w:rPr>
                <w:sz w:val="17"/>
                <w:szCs w:val="17"/>
                <w:color w:val="auto"/>
              </w:rPr>
            </w:pPr>
          </w:p>
        </w:tc>
        <w:tc>
          <w:tcPr>
            <w:tcW w:w="1480" w:type="dxa"/>
            <w:vAlign w:val="bottom"/>
            <w:gridSpan w:val="4"/>
          </w:tcPr>
          <w:p>
            <w:pPr>
              <w:ind w:left="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40" w:type="dxa"/>
            <w:vAlign w:val="bottom"/>
            <w:gridSpan w:val="16"/>
            <w:shd w:val="clear" w:color="auto" w:fill="CCEEFF"/>
          </w:tcPr>
          <w:p>
            <w:pPr>
              <w:spacing w:after="0" w:line="202"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Investments and Other</w:t>
              </w:r>
            </w:hyperlink>
          </w:p>
        </w:tc>
        <w:tc>
          <w:tcPr>
            <w:tcW w:w="7120" w:type="dxa"/>
            <w:vAlign w:val="bottom"/>
            <w:gridSpan w:val="25"/>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9"/>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BNI Coal</w:t>
              </w:r>
            </w:hyperlink>
          </w:p>
        </w:tc>
        <w:tc>
          <w:tcPr>
            <w:tcW w:w="7120" w:type="dxa"/>
            <w:vAlign w:val="bottom"/>
            <w:gridSpan w:val="25"/>
          </w:tcPr>
          <w:p>
            <w:pPr>
              <w:spacing w:after="0"/>
              <w:rPr>
                <w:sz w:val="17"/>
                <w:szCs w:val="17"/>
                <w:color w:val="auto"/>
              </w:rPr>
            </w:pPr>
          </w:p>
        </w:tc>
        <w:tc>
          <w:tcPr>
            <w:tcW w:w="1480" w:type="dxa"/>
            <w:vAlign w:val="bottom"/>
            <w:gridSpan w:val="4"/>
          </w:tcPr>
          <w:p>
            <w:pPr>
              <w:ind w:left="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20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940" w:type="dxa"/>
            <w:vAlign w:val="bottom"/>
            <w:gridSpan w:val="34"/>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ALLETE Properties</w:t>
              </w:r>
            </w:hyperlink>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34"/>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ALLETE Clean Energy</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40" w:type="dxa"/>
            <w:vAlign w:val="bottom"/>
            <w:gridSpan w:val="25"/>
            <w:shd w:val="clear" w:color="auto" w:fill="CCEEFF"/>
          </w:tcPr>
          <w:p>
            <w:pPr>
              <w:spacing w:after="0" w:line="202"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Non-Rate Base Generation</w:t>
              </w:r>
            </w:hyperlink>
          </w:p>
        </w:tc>
        <w:tc>
          <w:tcPr>
            <w:tcW w:w="6000" w:type="dxa"/>
            <w:vAlign w:val="bottom"/>
            <w:gridSpan w:val="9"/>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60" w:type="dxa"/>
            <w:vAlign w:val="bottom"/>
            <w:gridSpan w:val="41"/>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Environmental Matters</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760" w:type="dxa"/>
            <w:vAlign w:val="bottom"/>
            <w:gridSpan w:val="41"/>
            <w:shd w:val="clear" w:color="auto" w:fill="CCEEFF"/>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Employees</w:t>
              </w:r>
            </w:hyperlink>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60" w:type="dxa"/>
            <w:vAlign w:val="bottom"/>
            <w:gridSpan w:val="41"/>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Availability of Information</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0" w:type="dxa"/>
            <w:vAlign w:val="bottom"/>
            <w:gridSpan w:val="30"/>
            <w:shd w:val="clear" w:color="auto" w:fill="CCEEFF"/>
          </w:tcPr>
          <w:p>
            <w:pPr>
              <w:spacing w:after="0" w:line="202"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Executive Officers of the Registrant</w:t>
              </w:r>
            </w:hyperlink>
          </w:p>
        </w:tc>
        <w:tc>
          <w:tcPr>
            <w:tcW w:w="6160" w:type="dxa"/>
            <w:vAlign w:val="bottom"/>
            <w:gridSpan w:val="11"/>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1A.</w:t>
            </w:r>
          </w:p>
        </w:tc>
        <w:tc>
          <w:tcPr>
            <w:tcW w:w="2600" w:type="dxa"/>
            <w:vAlign w:val="bottom"/>
            <w:gridSpan w:val="30"/>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160" w:type="dxa"/>
            <w:vAlign w:val="bottom"/>
            <w:gridSpan w:val="11"/>
          </w:tcPr>
          <w:p>
            <w:pPr>
              <w:spacing w:after="0"/>
              <w:rPr>
                <w:sz w:val="17"/>
                <w:szCs w:val="17"/>
                <w:color w:val="auto"/>
              </w:rPr>
            </w:pPr>
          </w:p>
        </w:tc>
        <w:tc>
          <w:tcPr>
            <w:tcW w:w="1480" w:type="dxa"/>
            <w:vAlign w:val="bottom"/>
            <w:gridSpan w:val="4"/>
          </w:tcPr>
          <w:p>
            <w:pPr>
              <w:ind w:left="4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tcBorders>
              <w:right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8760" w:type="dxa"/>
            <w:vAlign w:val="bottom"/>
            <w:gridSpan w:val="41"/>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23"/>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720" w:type="dxa"/>
            <w:vAlign w:val="bottom"/>
            <w:gridSpan w:val="18"/>
          </w:tcPr>
          <w:p>
            <w:pPr>
              <w:spacing w:after="0"/>
              <w:rPr>
                <w:sz w:val="17"/>
                <w:szCs w:val="17"/>
                <w:color w:val="auto"/>
              </w:rPr>
            </w:pPr>
          </w:p>
        </w:tc>
        <w:tc>
          <w:tcPr>
            <w:tcW w:w="1480" w:type="dxa"/>
            <w:vAlign w:val="bottom"/>
            <w:gridSpan w:val="4"/>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tcBorders>
              <w:right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340" w:type="dxa"/>
            <w:vAlign w:val="bottom"/>
            <w:gridSpan w:val="11"/>
            <w:shd w:val="clear" w:color="auto" w:fill="CCEEFF"/>
          </w:tcPr>
          <w:p>
            <w:pPr>
              <w:spacing w:after="0" w:line="202"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7420" w:type="dxa"/>
            <w:vAlign w:val="bottom"/>
            <w:gridSpan w:val="30"/>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4.</w:t>
            </w:r>
          </w:p>
        </w:tc>
        <w:tc>
          <w:tcPr>
            <w:tcW w:w="8760" w:type="dxa"/>
            <w:vAlign w:val="bottom"/>
            <w:gridSpan w:val="41"/>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180" w:type="dxa"/>
            <w:vAlign w:val="bottom"/>
            <w:tcBorders>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5.</w:t>
            </w:r>
          </w:p>
        </w:tc>
        <w:tc>
          <w:tcPr>
            <w:tcW w:w="8760" w:type="dxa"/>
            <w:vAlign w:val="bottom"/>
            <w:gridSpan w:val="41"/>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60" w:type="dxa"/>
            <w:vAlign w:val="bottom"/>
            <w:tcBorders>
              <w:top w:val="single" w:sz="8" w:color="0000EE"/>
            </w:tcBorders>
            <w:gridSpan w:val="38"/>
          </w:tcPr>
          <w:p>
            <w:pPr>
              <w:ind w:left="24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Issuer Purchases of Equity Securities</w:t>
              </w:r>
            </w:hyperlink>
          </w:p>
        </w:tc>
        <w:tc>
          <w:tcPr>
            <w:tcW w:w="3400" w:type="dxa"/>
            <w:vAlign w:val="bottom"/>
            <w:gridSpan w:val="3"/>
          </w:tcPr>
          <w:p>
            <w:pPr>
              <w:spacing w:after="0"/>
              <w:rPr>
                <w:sz w:val="17"/>
                <w:szCs w:val="17"/>
                <w:color w:val="auto"/>
              </w:rPr>
            </w:pPr>
          </w:p>
        </w:tc>
        <w:tc>
          <w:tcPr>
            <w:tcW w:w="1480" w:type="dxa"/>
            <w:vAlign w:val="bottom"/>
            <w:gridSpan w:val="4"/>
          </w:tcPr>
          <w:p>
            <w:pPr>
              <w:ind w:left="4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tcBorders>
              <w:right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720" w:type="dxa"/>
            <w:vAlign w:val="bottom"/>
            <w:gridSpan w:val="18"/>
            <w:shd w:val="clear" w:color="auto" w:fill="CCEEFF"/>
          </w:tcPr>
          <w:p>
            <w:pPr>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Financial Data</w:t>
              </w:r>
            </w:hyperlink>
          </w:p>
        </w:tc>
        <w:tc>
          <w:tcPr>
            <w:tcW w:w="7040" w:type="dxa"/>
            <w:vAlign w:val="bottom"/>
            <w:gridSpan w:val="23"/>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7.</w:t>
            </w:r>
          </w:p>
        </w:tc>
        <w:tc>
          <w:tcPr>
            <w:tcW w:w="8760" w:type="dxa"/>
            <w:vAlign w:val="bottom"/>
            <w:gridSpan w:val="41"/>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4"/>
            <w:shd w:val="clear" w:color="auto" w:fill="CCEEFF"/>
          </w:tcPr>
          <w:p>
            <w:pPr>
              <w:spacing w:after="0" w:line="202"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Overview</w:t>
              </w:r>
            </w:hyperlink>
          </w:p>
        </w:tc>
        <w:tc>
          <w:tcPr>
            <w:tcW w:w="8040" w:type="dxa"/>
            <w:vAlign w:val="bottom"/>
            <w:gridSpan w:val="37"/>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Borders>
              <w:right w:val="single" w:sz="8" w:color="CCEEFF"/>
            </w:tcBorders>
          </w:tcPr>
          <w:p>
            <w:pPr>
              <w:spacing w:after="0"/>
              <w:rPr>
                <w:sz w:val="17"/>
                <w:szCs w:val="17"/>
                <w:color w:val="auto"/>
              </w:rPr>
            </w:pPr>
          </w:p>
        </w:tc>
        <w:tc>
          <w:tcPr>
            <w:tcW w:w="8760" w:type="dxa"/>
            <w:vAlign w:val="bottom"/>
            <w:gridSpan w:val="41"/>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2013 Compared to 2012</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36</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Borders>
              <w:right w:val="single" w:sz="8" w:color="CCEEFF"/>
            </w:tcBorders>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60" w:type="dxa"/>
            <w:vAlign w:val="bottom"/>
            <w:gridSpan w:val="41"/>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2012 Compared to 2011</w:t>
              </w:r>
            </w:hyperlink>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60" w:type="dxa"/>
            <w:vAlign w:val="bottom"/>
            <w:gridSpan w:val="41"/>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Critical Accounting Policies</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spacing w:after="0" w:line="202"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Outlook</w:t>
              </w:r>
            </w:hyperlink>
          </w:p>
        </w:tc>
        <w:tc>
          <w:tcPr>
            <w:tcW w:w="8160" w:type="dxa"/>
            <w:vAlign w:val="bottom"/>
            <w:gridSpan w:val="39"/>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60" w:type="dxa"/>
            <w:vAlign w:val="bottom"/>
            <w:gridSpan w:val="41"/>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Liquidity and Capital Resources</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760" w:type="dxa"/>
            <w:vAlign w:val="bottom"/>
            <w:gridSpan w:val="4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Capital Requirements</w:t>
              </w:r>
            </w:hyperlink>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60" w:type="dxa"/>
            <w:vAlign w:val="bottom"/>
            <w:gridSpan w:val="4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Environmental and Other Matters</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8"/>
            <w:shd w:val="clear" w:color="auto" w:fill="CCEEFF"/>
          </w:tcPr>
          <w:p>
            <w:pPr>
              <w:spacing w:after="0" w:line="202"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Market Risk</w:t>
              </w:r>
            </w:hyperlink>
          </w:p>
        </w:tc>
        <w:tc>
          <w:tcPr>
            <w:tcW w:w="7860" w:type="dxa"/>
            <w:vAlign w:val="bottom"/>
            <w:gridSpan w:val="33"/>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60" w:type="dxa"/>
            <w:vAlign w:val="bottom"/>
            <w:gridSpan w:val="41"/>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Recently Adopted Accounting Standards</w:t>
              </w:r>
            </w:hyperlink>
          </w:p>
        </w:tc>
        <w:tc>
          <w:tcPr>
            <w:tcW w:w="1480" w:type="dxa"/>
            <w:vAlign w:val="bottom"/>
            <w:gridSpan w:val="4"/>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tcBorders>
              <w:right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4320" w:type="dxa"/>
            <w:vAlign w:val="bottom"/>
            <w:gridSpan w:val="37"/>
            <w:shd w:val="clear" w:color="auto" w:fill="CCEEFF"/>
          </w:tcPr>
          <w:p>
            <w:pPr>
              <w:spacing w:after="0" w:line="202"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Quantitative and Qualitative Disclosures about Market Risk</w:t>
              </w:r>
            </w:hyperlink>
          </w:p>
        </w:tc>
        <w:tc>
          <w:tcPr>
            <w:tcW w:w="4440" w:type="dxa"/>
            <w:vAlign w:val="bottom"/>
            <w:gridSpan w:val="4"/>
            <w:shd w:val="clear" w:color="auto" w:fill="CCEEFF"/>
          </w:tcPr>
          <w:p>
            <w:pPr>
              <w:spacing w:after="0"/>
              <w:rPr>
                <w:sz w:val="17"/>
                <w:szCs w:val="17"/>
                <w:color w:val="auto"/>
              </w:rPr>
            </w:pP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8.</w:t>
            </w:r>
          </w:p>
        </w:tc>
        <w:tc>
          <w:tcPr>
            <w:tcW w:w="4320" w:type="dxa"/>
            <w:vAlign w:val="bottom"/>
            <w:gridSpan w:val="37"/>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440" w:type="dxa"/>
            <w:vAlign w:val="bottom"/>
            <w:gridSpan w:val="4"/>
          </w:tcPr>
          <w:p>
            <w:pPr>
              <w:spacing w:after="0"/>
              <w:rPr>
                <w:sz w:val="17"/>
                <w:szCs w:val="17"/>
                <w:color w:val="auto"/>
              </w:rPr>
            </w:pPr>
          </w:p>
        </w:tc>
        <w:tc>
          <w:tcPr>
            <w:tcW w:w="1480" w:type="dxa"/>
            <w:vAlign w:val="bottom"/>
            <w:gridSpan w:val="4"/>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tcBorders>
              <w:right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8760" w:type="dxa"/>
            <w:vAlign w:val="bottom"/>
            <w:gridSpan w:val="41"/>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104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9A.</w:t>
            </w:r>
          </w:p>
        </w:tc>
        <w:tc>
          <w:tcPr>
            <w:tcW w:w="6480" w:type="dxa"/>
            <w:vAlign w:val="bottom"/>
            <w:gridSpan w:val="40"/>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2280" w:type="dxa"/>
            <w:vAlign w:val="bottom"/>
          </w:tcPr>
          <w:p>
            <w:pPr>
              <w:spacing w:after="0"/>
              <w:rPr>
                <w:sz w:val="17"/>
                <w:szCs w:val="17"/>
                <w:color w:val="auto"/>
              </w:rPr>
            </w:pPr>
          </w:p>
        </w:tc>
        <w:tc>
          <w:tcPr>
            <w:tcW w:w="1480" w:type="dxa"/>
            <w:vAlign w:val="bottom"/>
            <w:gridSpan w:val="4"/>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tcBorders>
              <w:right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8760" w:type="dxa"/>
            <w:vAlign w:val="bottom"/>
            <w:gridSpan w:val="41"/>
            <w:shd w:val="clear" w:color="auto" w:fill="CCEEFF"/>
          </w:tcPr>
          <w:p>
            <w:pPr>
              <w:spacing w:after="0" w:line="202" w:lineRule="exact"/>
              <w:rPr>
                <w:sz w:val="20"/>
                <w:szCs w:val="20"/>
                <w:color w:val="auto"/>
              </w:rPr>
            </w:pPr>
            <w:r>
              <w:rPr>
                <w:rFonts w:ascii="Arial" w:cs="Arial" w:eastAsia="Arial" w:hAnsi="Arial"/>
                <w:sz w:val="18"/>
                <w:szCs w:val="18"/>
                <w:color w:val="0000EE"/>
              </w:rPr>
              <w:t>Other Information</w:t>
            </w:r>
          </w:p>
        </w:tc>
        <w:tc>
          <w:tcPr>
            <w:tcW w:w="1480" w:type="dxa"/>
            <w:vAlign w:val="bottom"/>
            <w:tcBorders>
              <w:left w:val="single" w:sz="8" w:color="CCEEFF"/>
            </w:tcBorders>
            <w:gridSpan w:val="4"/>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lef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666"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10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2240" w:type="dxa"/>
            <w:vAlign w:val="bottom"/>
            <w:gridSpan w:val="3"/>
          </w:tcPr>
          <w:p>
            <w:pPr>
              <w:jc w:val="right"/>
              <w:ind w:right="126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11.</w:t>
            </w:r>
          </w:p>
        </w:tc>
        <w:tc>
          <w:tcPr>
            <w:tcW w:w="1800" w:type="dxa"/>
            <w:vAlign w:val="bottom"/>
            <w:gridSpan w:val="2"/>
            <w:shd w:val="clear" w:color="auto" w:fill="CCEEFF"/>
          </w:tcPr>
          <w:p>
            <w:pP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Executive Compensation</w:t>
              </w:r>
            </w:hyperlink>
          </w:p>
        </w:tc>
        <w:tc>
          <w:tcPr>
            <w:tcW w:w="6300" w:type="dxa"/>
            <w:vAlign w:val="bottom"/>
            <w:gridSpan w:val="6"/>
            <w:shd w:val="clear" w:color="auto" w:fill="CCEEFF"/>
          </w:tcPr>
          <w:p>
            <w:pPr>
              <w:spacing w:after="0"/>
              <w:rPr>
                <w:sz w:val="17"/>
                <w:szCs w:val="17"/>
                <w:color w:val="auto"/>
              </w:rPr>
            </w:pPr>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12.</w:t>
            </w:r>
          </w:p>
        </w:tc>
        <w:tc>
          <w:tcPr>
            <w:tcW w:w="8100" w:type="dxa"/>
            <w:vAlign w:val="bottom"/>
            <w:gridSpan w:val="8"/>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2240" w:type="dxa"/>
            <w:vAlign w:val="bottom"/>
            <w:gridSpan w:val="3"/>
          </w:tcPr>
          <w:p>
            <w:pPr>
              <w:jc w:val="right"/>
              <w:ind w:right="126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13.</w:t>
            </w:r>
          </w:p>
        </w:tc>
        <w:tc>
          <w:tcPr>
            <w:tcW w:w="8100" w:type="dxa"/>
            <w:vAlign w:val="bottom"/>
            <w:gridSpan w:val="8"/>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14.</w:t>
            </w:r>
          </w:p>
        </w:tc>
        <w:tc>
          <w:tcPr>
            <w:tcW w:w="5440" w:type="dxa"/>
            <w:vAlign w:val="bottom"/>
            <w:gridSpan w:val="6"/>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Accounting Fees and Services</w:t>
              </w:r>
            </w:hyperlink>
          </w:p>
        </w:tc>
        <w:tc>
          <w:tcPr>
            <w:tcW w:w="2660" w:type="dxa"/>
            <w:vAlign w:val="bottom"/>
            <w:gridSpan w:val="2"/>
          </w:tcPr>
          <w:p>
            <w:pPr>
              <w:spacing w:after="0"/>
              <w:rPr>
                <w:sz w:val="17"/>
                <w:szCs w:val="17"/>
                <w:color w:val="auto"/>
              </w:rPr>
            </w:pPr>
          </w:p>
        </w:tc>
        <w:tc>
          <w:tcPr>
            <w:tcW w:w="2240" w:type="dxa"/>
            <w:vAlign w:val="bottom"/>
            <w:gridSpan w:val="3"/>
          </w:tcPr>
          <w:p>
            <w:pPr>
              <w:jc w:val="right"/>
              <w:ind w:right="126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1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15.</w:t>
            </w:r>
          </w:p>
        </w:tc>
        <w:tc>
          <w:tcPr>
            <w:tcW w:w="8100" w:type="dxa"/>
            <w:vAlign w:val="bottom"/>
            <w:gridSpan w:val="8"/>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Exhibits and Financial Statement Schedules</w:t>
              </w:r>
            </w:hyperlink>
          </w:p>
        </w:tc>
        <w:tc>
          <w:tcPr>
            <w:tcW w:w="2240" w:type="dxa"/>
            <w:vAlign w:val="bottom"/>
            <w:gridSpan w:val="3"/>
          </w:tcPr>
          <w:p>
            <w:pPr>
              <w:jc w:val="right"/>
              <w:ind w:right="126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Signatures</w:t>
              </w:r>
            </w:hyperlink>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gridSpan w:val="3"/>
          </w:tcPr>
          <w:p>
            <w:pPr>
              <w:jc w:val="right"/>
              <w:ind w:right="126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63</w:t>
              </w:r>
            </w:hyperlink>
          </w:p>
        </w:tc>
      </w:tr>
      <w:tr>
        <w:trPr>
          <w:trHeight w:val="48"/>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9140" w:type="dxa"/>
            <w:vAlign w:val="bottom"/>
            <w:gridSpan w:val="10"/>
          </w:tcPr>
          <w:p>
            <w:pPr>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Consolidated Financial Statements</w:t>
              </w:r>
            </w:hyperlink>
          </w:p>
        </w:tc>
        <w:tc>
          <w:tcPr>
            <w:tcW w:w="2240" w:type="dxa"/>
            <w:vAlign w:val="bottom"/>
            <w:gridSpan w:val="3"/>
          </w:tcPr>
          <w:p>
            <w:pPr>
              <w:jc w:val="right"/>
              <w:ind w:right="126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Alternating Current</w:t>
            </w:r>
          </w:p>
        </w:tc>
      </w:tr>
      <w:tr>
        <w:trPr>
          <w:trHeight w:val="229"/>
        </w:trPr>
        <w:tc>
          <w:tcPr>
            <w:tcW w:w="2340" w:type="dxa"/>
            <w:vAlign w:val="bottom"/>
          </w:tcPr>
          <w:p>
            <w:pPr>
              <w:ind w:left="40"/>
              <w:spacing w:after="0"/>
              <w:rPr>
                <w:sz w:val="20"/>
                <w:szCs w:val="20"/>
                <w:color w:val="auto"/>
              </w:rPr>
            </w:pPr>
            <w:r>
              <w:rPr>
                <w:rFonts w:ascii="Arial" w:cs="Arial" w:eastAsia="Arial" w:hAnsi="Arial"/>
                <w:sz w:val="18"/>
                <w:szCs w:val="18"/>
                <w:color w:val="auto"/>
              </w:rPr>
              <w:t>AFUDC</w:t>
            </w:r>
          </w:p>
        </w:tc>
        <w:tc>
          <w:tcPr>
            <w:tcW w:w="9080" w:type="dxa"/>
            <w:vAlign w:val="bottom"/>
          </w:tcPr>
          <w:p>
            <w:pPr>
              <w:ind w:left="320"/>
              <w:spacing w:after="0"/>
              <w:rPr>
                <w:sz w:val="20"/>
                <w:szCs w:val="20"/>
                <w:color w:val="auto"/>
              </w:rPr>
            </w:pPr>
            <w:r>
              <w:rPr>
                <w:rFonts w:ascii="Arial" w:cs="Arial" w:eastAsia="Arial" w:hAnsi="Arial"/>
                <w:sz w:val="18"/>
                <w:szCs w:val="18"/>
                <w:color w:val="auto"/>
                <w:w w:val="96"/>
              </w:rPr>
              <w:t>Allowance for Funds Used During Construction - the cost of both debt and equity funds used to finance utility plant</w:t>
            </w:r>
          </w:p>
        </w:tc>
      </w:tr>
      <w:tr>
        <w:trPr>
          <w:trHeight w:val="230"/>
        </w:trPr>
        <w:tc>
          <w:tcPr>
            <w:tcW w:w="234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additions during construction periods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ALLETE Clean Energy</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Clean Energy, Inc.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ArcelorMittal</w:t>
            </w:r>
          </w:p>
        </w:tc>
        <w:tc>
          <w:tcPr>
            <w:tcW w:w="9080" w:type="dxa"/>
            <w:vAlign w:val="bottom"/>
          </w:tcPr>
          <w:p>
            <w:pPr>
              <w:ind w:left="320"/>
              <w:spacing w:after="0"/>
              <w:rPr>
                <w:sz w:val="20"/>
                <w:szCs w:val="20"/>
                <w:color w:val="auto"/>
              </w:rPr>
            </w:pPr>
            <w:r>
              <w:rPr>
                <w:rFonts w:ascii="Arial" w:cs="Arial" w:eastAsia="Arial" w:hAnsi="Arial"/>
                <w:sz w:val="18"/>
                <w:szCs w:val="18"/>
                <w:color w:val="auto"/>
              </w:rPr>
              <w:t>ArcelorMittal USA, Inc.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Basin</w:t>
            </w:r>
          </w:p>
        </w:tc>
        <w:tc>
          <w:tcPr>
            <w:tcW w:w="9080" w:type="dxa"/>
            <w:vAlign w:val="bottom"/>
          </w:tcPr>
          <w:p>
            <w:pPr>
              <w:ind w:left="320"/>
              <w:spacing w:after="0"/>
              <w:rPr>
                <w:sz w:val="20"/>
                <w:szCs w:val="20"/>
                <w:color w:val="auto"/>
              </w:rPr>
            </w:pPr>
            <w:r>
              <w:rPr>
                <w:rFonts w:ascii="Arial" w:cs="Arial" w:eastAsia="Arial" w:hAnsi="Arial"/>
                <w:sz w:val="18"/>
                <w:szCs w:val="18"/>
                <w:color w:val="auto"/>
              </w:rPr>
              <w:t>Basin Electric Power Cooperative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 Wind Energy Center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Bison 1, 2 &amp; 3 Wind Facilities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Bison 4</w:t>
            </w:r>
          </w:p>
        </w:tc>
        <w:tc>
          <w:tcPr>
            <w:tcW w:w="9080" w:type="dxa"/>
            <w:vAlign w:val="bottom"/>
          </w:tcPr>
          <w:p>
            <w:pPr>
              <w:ind w:left="320"/>
              <w:spacing w:after="0"/>
              <w:rPr>
                <w:sz w:val="20"/>
                <w:szCs w:val="20"/>
                <w:color w:val="auto"/>
              </w:rPr>
            </w:pPr>
            <w:r>
              <w:rPr>
                <w:rFonts w:ascii="Arial" w:cs="Arial" w:eastAsia="Arial" w:hAnsi="Arial"/>
                <w:sz w:val="18"/>
                <w:szCs w:val="18"/>
                <w:color w:val="auto"/>
              </w:rPr>
              <w:t>Bison 4 Wind Project</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BNI Coal, Ltd.</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Boswell</w:t>
            </w:r>
          </w:p>
        </w:tc>
        <w:tc>
          <w:tcPr>
            <w:tcW w:w="9080" w:type="dxa"/>
            <w:vAlign w:val="bottom"/>
          </w:tcPr>
          <w:p>
            <w:pPr>
              <w:ind w:left="320"/>
              <w:spacing w:after="0"/>
              <w:rPr>
                <w:sz w:val="20"/>
                <w:szCs w:val="20"/>
                <w:color w:val="auto"/>
              </w:rPr>
            </w:pPr>
            <w:r>
              <w:rPr>
                <w:rFonts w:ascii="Arial" w:cs="Arial" w:eastAsia="Arial" w:hAnsi="Arial"/>
                <w:sz w:val="18"/>
                <w:szCs w:val="18"/>
                <w:color w:val="auto"/>
              </w:rPr>
              <w:t>Boswell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CAIR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Clean Air Interstate Rule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9080" w:type="dxa"/>
            <w:vAlign w:val="bottom"/>
          </w:tcPr>
          <w:p>
            <w:pPr>
              <w:ind w:left="320"/>
              <w:spacing w:after="0"/>
              <w:rPr>
                <w:sz w:val="20"/>
                <w:szCs w:val="20"/>
                <w:color w:val="auto"/>
              </w:rPr>
            </w:pPr>
            <w:r>
              <w:rPr>
                <w:rFonts w:ascii="Arial" w:cs="Arial" w:eastAsia="Arial" w:hAnsi="Arial"/>
                <w:sz w:val="18"/>
                <w:szCs w:val="18"/>
                <w:color w:val="auto"/>
              </w:rPr>
              <w:t>Carbon Dioxide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CSAPR</w:t>
            </w:r>
          </w:p>
        </w:tc>
        <w:tc>
          <w:tcPr>
            <w:tcW w:w="9080" w:type="dxa"/>
            <w:vAlign w:val="bottom"/>
          </w:tcPr>
          <w:p>
            <w:pPr>
              <w:ind w:left="320"/>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 Current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EPA</w:t>
            </w:r>
          </w:p>
        </w:tc>
        <w:tc>
          <w:tcPr>
            <w:tcW w:w="9080" w:type="dxa"/>
            <w:vAlign w:val="bottom"/>
          </w:tcPr>
          <w:p>
            <w:pPr>
              <w:ind w:left="320"/>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FASB</w:t>
            </w:r>
          </w:p>
        </w:tc>
        <w:tc>
          <w:tcPr>
            <w:tcW w:w="9080" w:type="dxa"/>
            <w:vAlign w:val="bottom"/>
          </w:tcPr>
          <w:p>
            <w:pPr>
              <w:ind w:left="32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Form 8-K</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Current Report on Form 8-K</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Form 10-Q</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GHG</w:t>
            </w:r>
          </w:p>
        </w:tc>
        <w:tc>
          <w:tcPr>
            <w:tcW w:w="9080" w:type="dxa"/>
            <w:vAlign w:val="bottom"/>
          </w:tcPr>
          <w:p>
            <w:pPr>
              <w:ind w:left="320"/>
              <w:spacing w:after="0"/>
              <w:rPr>
                <w:sz w:val="20"/>
                <w:szCs w:val="20"/>
                <w:color w:val="auto"/>
              </w:rPr>
            </w:pPr>
            <w:r>
              <w:rPr>
                <w:rFonts w:ascii="Arial" w:cs="Arial" w:eastAsia="Arial" w:hAnsi="Arial"/>
                <w:sz w:val="18"/>
                <w:szCs w:val="18"/>
                <w:color w:val="auto"/>
              </w:rPr>
              <w:t>Greenhouse Gases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IBEW</w:t>
            </w:r>
          </w:p>
        </w:tc>
        <w:tc>
          <w:tcPr>
            <w:tcW w:w="9080" w:type="dxa"/>
            <w:vAlign w:val="bottom"/>
          </w:tcPr>
          <w:p>
            <w:pPr>
              <w:ind w:left="320"/>
              <w:spacing w:after="0"/>
              <w:rPr>
                <w:sz w:val="20"/>
                <w:szCs w:val="20"/>
                <w:color w:val="auto"/>
              </w:rPr>
            </w:pPr>
            <w:r>
              <w:rPr>
                <w:rFonts w:ascii="Arial" w:cs="Arial" w:eastAsia="Arial" w:hAnsi="Arial"/>
                <w:sz w:val="18"/>
                <w:szCs w:val="18"/>
                <w:color w:val="auto"/>
              </w:rPr>
              <w:t>International Brotherhood of Electrical Workers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Item ___</w:t>
            </w:r>
          </w:p>
        </w:tc>
        <w:tc>
          <w:tcPr>
            <w:tcW w:w="9080" w:type="dxa"/>
            <w:vAlign w:val="bottom"/>
          </w:tcPr>
          <w:p>
            <w:pPr>
              <w:ind w:left="320"/>
              <w:spacing w:after="0"/>
              <w:rPr>
                <w:sz w:val="20"/>
                <w:szCs w:val="20"/>
                <w:color w:val="auto"/>
              </w:rPr>
            </w:pPr>
            <w:r>
              <w:rPr>
                <w:rFonts w:ascii="Arial" w:cs="Arial" w:eastAsia="Arial" w:hAnsi="Arial"/>
                <w:sz w:val="18"/>
                <w:szCs w:val="18"/>
                <w:color w:val="auto"/>
              </w:rPr>
              <w:t>Item ___ of this Form 10-K</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Kilovolt(s)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Laskin</w:t>
            </w:r>
          </w:p>
        </w:tc>
        <w:tc>
          <w:tcPr>
            <w:tcW w:w="9080" w:type="dxa"/>
            <w:vAlign w:val="bottom"/>
          </w:tcPr>
          <w:p>
            <w:pPr>
              <w:ind w:left="320"/>
              <w:spacing w:after="0"/>
              <w:rPr>
                <w:sz w:val="20"/>
                <w:szCs w:val="20"/>
                <w:color w:val="auto"/>
              </w:rPr>
            </w:pPr>
            <w:r>
              <w:rPr>
                <w:rFonts w:ascii="Arial" w:cs="Arial" w:eastAsia="Arial" w:hAnsi="Arial"/>
                <w:sz w:val="18"/>
                <w:szCs w:val="18"/>
                <w:color w:val="auto"/>
              </w:rPr>
              <w:t>Laskin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London Inter Bank Offered Rate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MACT</w:t>
            </w:r>
          </w:p>
        </w:tc>
        <w:tc>
          <w:tcPr>
            <w:tcW w:w="9080" w:type="dxa"/>
            <w:vAlign w:val="bottom"/>
          </w:tcPr>
          <w:p>
            <w:pPr>
              <w:ind w:left="320"/>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Magnetation, LLC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Manitoba Hydro</w:t>
            </w:r>
          </w:p>
        </w:tc>
        <w:tc>
          <w:tcPr>
            <w:tcW w:w="9080" w:type="dxa"/>
            <w:vAlign w:val="bottom"/>
          </w:tcPr>
          <w:p>
            <w:pPr>
              <w:ind w:left="320"/>
              <w:spacing w:after="0"/>
              <w:rPr>
                <w:sz w:val="20"/>
                <w:szCs w:val="20"/>
                <w:color w:val="auto"/>
              </w:rPr>
            </w:pPr>
            <w:r>
              <w:rPr>
                <w:rFonts w:ascii="Arial" w:cs="Arial" w:eastAsia="Arial" w:hAnsi="Arial"/>
                <w:sz w:val="18"/>
                <w:szCs w:val="18"/>
                <w:color w:val="auto"/>
              </w:rPr>
              <w:t>Manitoba Hydro-Electric Board</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MBtu</w:t>
            </w:r>
          </w:p>
        </w:tc>
        <w:tc>
          <w:tcPr>
            <w:tcW w:w="9080" w:type="dxa"/>
            <w:vAlign w:val="bottom"/>
          </w:tcPr>
          <w:p>
            <w:pPr>
              <w:ind w:left="320"/>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 Part D</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Mesabi Nugget</w:t>
            </w:r>
          </w:p>
        </w:tc>
        <w:tc>
          <w:tcPr>
            <w:tcW w:w="9080" w:type="dxa"/>
            <w:vAlign w:val="bottom"/>
          </w:tcPr>
          <w:p>
            <w:pPr>
              <w:ind w:left="320"/>
              <w:spacing w:after="0"/>
              <w:rPr>
                <w:sz w:val="20"/>
                <w:szCs w:val="20"/>
                <w:color w:val="auto"/>
              </w:rPr>
            </w:pPr>
            <w:r>
              <w:rPr>
                <w:rFonts w:ascii="Arial" w:cs="Arial" w:eastAsia="Arial" w:hAnsi="Arial"/>
                <w:sz w:val="18"/>
                <w:szCs w:val="18"/>
                <w:color w:val="auto"/>
              </w:rPr>
              <w:t>Mesabi Nugget Delaware, LLC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An operating division of ALLETE, Inc.</w:t>
            </w:r>
          </w:p>
        </w:tc>
      </w:tr>
      <w:tr>
        <w:trPr>
          <w:trHeight w:val="445"/>
        </w:trPr>
        <w:tc>
          <w:tcPr>
            <w:tcW w:w="2340" w:type="dxa"/>
            <w:vAlign w:val="bottom"/>
          </w:tcPr>
          <w:p>
            <w:pPr>
              <w:spacing w:after="0"/>
              <w:rPr>
                <w:sz w:val="24"/>
                <w:szCs w:val="24"/>
                <w:color w:val="auto"/>
              </w:rPr>
            </w:pPr>
          </w:p>
        </w:tc>
        <w:tc>
          <w:tcPr>
            <w:tcW w:w="9080" w:type="dxa"/>
            <w:vAlign w:val="bottom"/>
          </w:tcPr>
          <w:p>
            <w:pPr>
              <w:ind w:left="2400"/>
              <w:spacing w:after="0"/>
              <w:rPr>
                <w:sz w:val="20"/>
                <w:szCs w:val="20"/>
                <w:color w:val="auto"/>
              </w:rPr>
            </w:pPr>
            <w:r>
              <w:rPr>
                <w:rFonts w:ascii="Arial" w:cs="Arial" w:eastAsia="Arial" w:hAnsi="Arial"/>
                <w:sz w:val="18"/>
                <w:szCs w:val="18"/>
                <w:color w:val="auto"/>
              </w:rPr>
              <w:t>ALLETE 2013 Form 10-K</w:t>
            </w:r>
          </w:p>
        </w:tc>
      </w:tr>
      <w:tr>
        <w:trPr>
          <w:trHeight w:val="230"/>
        </w:trPr>
        <w:tc>
          <w:tcPr>
            <w:tcW w:w="2340" w:type="dxa"/>
            <w:vAlign w:val="bottom"/>
          </w:tcPr>
          <w:p>
            <w:pPr>
              <w:spacing w:after="0"/>
              <w:rPr>
                <w:sz w:val="20"/>
                <w:szCs w:val="20"/>
                <w:color w:val="auto"/>
              </w:rPr>
            </w:pPr>
          </w:p>
        </w:tc>
        <w:tc>
          <w:tcPr>
            <w:tcW w:w="9080" w:type="dxa"/>
            <w:vAlign w:val="bottom"/>
          </w:tcPr>
          <w:p>
            <w:pPr>
              <w:ind w:left="33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240" w:type="dxa"/>
            <w:vAlign w:val="bottom"/>
          </w:tcPr>
          <w:p>
            <w:pPr>
              <w:jc w:val="center"/>
              <w:ind w:right="2070"/>
              <w:spacing w:after="0"/>
              <w:rPr>
                <w:sz w:val="20"/>
                <w:szCs w:val="20"/>
                <w:color w:val="auto"/>
              </w:rPr>
            </w:pPr>
            <w:r>
              <w:rPr>
                <w:rFonts w:ascii="Arial" w:cs="Arial" w:eastAsia="Arial" w:hAnsi="Arial"/>
                <w:sz w:val="18"/>
                <w:szCs w:val="18"/>
                <w:b w:val="1"/>
                <w:bCs w:val="1"/>
                <w:color w:val="auto"/>
                <w:w w:val="89"/>
              </w:rPr>
              <w:t>Definitions (continued)</w:t>
            </w:r>
          </w:p>
        </w:tc>
      </w:tr>
      <w:tr>
        <w:trPr>
          <w:trHeight w:val="351"/>
        </w:trPr>
        <w:tc>
          <w:tcPr>
            <w:tcW w:w="218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MISO</w:t>
            </w:r>
          </w:p>
        </w:tc>
        <w:tc>
          <w:tcPr>
            <w:tcW w:w="9240" w:type="dxa"/>
            <w:vAlign w:val="bottom"/>
          </w:tcPr>
          <w:p>
            <w:pPr>
              <w:ind w:left="360"/>
              <w:spacing w:after="0"/>
              <w:rPr>
                <w:sz w:val="20"/>
                <w:szCs w:val="20"/>
                <w:color w:val="auto"/>
              </w:rPr>
            </w:pPr>
            <w:r>
              <w:rPr>
                <w:rFonts w:ascii="Arial" w:cs="Arial" w:eastAsia="Arial" w:hAnsi="Arial"/>
                <w:sz w:val="18"/>
                <w:szCs w:val="18"/>
                <w:color w:val="auto"/>
              </w:rPr>
              <w:t>Midcontinent Independent System Operator, Inc.</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MPCA</w:t>
            </w:r>
          </w:p>
        </w:tc>
        <w:tc>
          <w:tcPr>
            <w:tcW w:w="9240" w:type="dxa"/>
            <w:vAlign w:val="bottom"/>
          </w:tcPr>
          <w:p>
            <w:pPr>
              <w:ind w:left="360"/>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MW / MWh</w:t>
            </w:r>
          </w:p>
        </w:tc>
        <w:tc>
          <w:tcPr>
            <w:tcW w:w="9240" w:type="dxa"/>
            <w:vAlign w:val="bottom"/>
          </w:tcPr>
          <w:p>
            <w:pPr>
              <w:ind w:left="360"/>
              <w:spacing w:after="0"/>
              <w:rPr>
                <w:sz w:val="20"/>
                <w:szCs w:val="20"/>
                <w:color w:val="auto"/>
              </w:rPr>
            </w:pPr>
            <w:r>
              <w:rPr>
                <w:rFonts w:ascii="Arial" w:cs="Arial" w:eastAsia="Arial" w:hAnsi="Arial"/>
                <w:sz w:val="18"/>
                <w:szCs w:val="18"/>
                <w:color w:val="auto"/>
              </w:rPr>
              <w:t>Megawatt(s) / Megawatt-hour(s)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NDPSC</w:t>
            </w:r>
          </w:p>
        </w:tc>
        <w:tc>
          <w:tcPr>
            <w:tcW w:w="9240" w:type="dxa"/>
            <w:vAlign w:val="bottom"/>
          </w:tcPr>
          <w:p>
            <w:pPr>
              <w:ind w:left="360"/>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NERC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North American Electric Reliability Corporation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NOL</w:t>
            </w:r>
          </w:p>
        </w:tc>
        <w:tc>
          <w:tcPr>
            <w:tcW w:w="9240" w:type="dxa"/>
            <w:vAlign w:val="bottom"/>
          </w:tcPr>
          <w:p>
            <w:pPr>
              <w:ind w:left="360"/>
              <w:spacing w:after="0"/>
              <w:rPr>
                <w:sz w:val="20"/>
                <w:szCs w:val="20"/>
                <w:color w:val="auto"/>
              </w:rPr>
            </w:pPr>
            <w:r>
              <w:rPr>
                <w:rFonts w:ascii="Arial" w:cs="Arial" w:eastAsia="Arial" w:hAnsi="Arial"/>
                <w:sz w:val="18"/>
                <w:szCs w:val="18"/>
                <w:color w:val="auto"/>
              </w:rPr>
              <w:t>Net Operating Loss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9240" w:type="dxa"/>
            <w:vAlign w:val="bottom"/>
          </w:tcPr>
          <w:p>
            <w:pPr>
              <w:ind w:left="360"/>
              <w:spacing w:after="0"/>
              <w:rPr>
                <w:sz w:val="20"/>
                <w:szCs w:val="20"/>
                <w:color w:val="auto"/>
              </w:rPr>
            </w:pPr>
            <w:r>
              <w:rPr>
                <w:rFonts w:ascii="Arial" w:cs="Arial" w:eastAsia="Arial" w:hAnsi="Arial"/>
                <w:sz w:val="18"/>
                <w:szCs w:val="18"/>
                <w:color w:val="auto"/>
              </w:rPr>
              <w:t>Nitrogen Dioxide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Nitrogen Oxides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Note ___</w:t>
            </w:r>
          </w:p>
        </w:tc>
        <w:tc>
          <w:tcPr>
            <w:tcW w:w="9240" w:type="dxa"/>
            <w:vAlign w:val="bottom"/>
          </w:tcPr>
          <w:p>
            <w:pPr>
              <w:ind w:left="360"/>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NYSE</w:t>
            </w:r>
          </w:p>
        </w:tc>
        <w:tc>
          <w:tcPr>
            <w:tcW w:w="9240" w:type="dxa"/>
            <w:vAlign w:val="bottom"/>
          </w:tcPr>
          <w:p>
            <w:pPr>
              <w:ind w:left="360"/>
              <w:spacing w:after="0"/>
              <w:rPr>
                <w:sz w:val="20"/>
                <w:szCs w:val="20"/>
                <w:color w:val="auto"/>
              </w:rPr>
            </w:pPr>
            <w:r>
              <w:rPr>
                <w:rFonts w:ascii="Arial" w:cs="Arial" w:eastAsia="Arial" w:hAnsi="Arial"/>
                <w:sz w:val="18"/>
                <w:szCs w:val="18"/>
                <w:color w:val="auto"/>
              </w:rPr>
              <w:t>New York Stock Exchange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Oliver Wind I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Oliver Wind II</w:t>
            </w:r>
          </w:p>
        </w:tc>
        <w:tc>
          <w:tcPr>
            <w:tcW w:w="9240" w:type="dxa"/>
            <w:vAlign w:val="bottom"/>
          </w:tcPr>
          <w:p>
            <w:pPr>
              <w:ind w:left="360"/>
              <w:spacing w:after="0"/>
              <w:rPr>
                <w:sz w:val="20"/>
                <w:szCs w:val="20"/>
                <w:color w:val="auto"/>
              </w:rPr>
            </w:pPr>
            <w:r>
              <w:rPr>
                <w:rFonts w:ascii="Arial" w:cs="Arial" w:eastAsia="Arial" w:hAnsi="Arial"/>
                <w:sz w:val="18"/>
                <w:szCs w:val="18"/>
                <w:color w:val="auto"/>
              </w:rPr>
              <w:t>Oliver Wind II Energy Center</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Palm Coast Park</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Palm Coast Park development project in Florida</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Palm Coast Park District</w:t>
            </w:r>
          </w:p>
        </w:tc>
        <w:tc>
          <w:tcPr>
            <w:tcW w:w="9240" w:type="dxa"/>
            <w:vAlign w:val="bottom"/>
          </w:tcPr>
          <w:p>
            <w:pPr>
              <w:ind w:left="360"/>
              <w:spacing w:after="0"/>
              <w:rPr>
                <w:sz w:val="20"/>
                <w:szCs w:val="20"/>
                <w:color w:val="auto"/>
              </w:rPr>
            </w:pPr>
            <w:r>
              <w:rPr>
                <w:rFonts w:ascii="Arial" w:cs="Arial" w:eastAsia="Arial" w:hAnsi="Arial"/>
                <w:sz w:val="18"/>
                <w:szCs w:val="18"/>
                <w:color w:val="auto"/>
              </w:rPr>
              <w:t>Palm Coast Park Community Development District</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PolyMet Mining Corporation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PPA</w:t>
            </w:r>
          </w:p>
        </w:tc>
        <w:tc>
          <w:tcPr>
            <w:tcW w:w="9240" w:type="dxa"/>
            <w:vAlign w:val="bottom"/>
          </w:tcPr>
          <w:p>
            <w:pPr>
              <w:ind w:left="360"/>
              <w:spacing w:after="0"/>
              <w:rPr>
                <w:sz w:val="20"/>
                <w:szCs w:val="20"/>
                <w:color w:val="auto"/>
              </w:rPr>
            </w:pPr>
            <w:r>
              <w:rPr>
                <w:rFonts w:ascii="Arial" w:cs="Arial" w:eastAsia="Arial" w:hAnsi="Arial"/>
                <w:sz w:val="18"/>
                <w:szCs w:val="18"/>
                <w:color w:val="auto"/>
              </w:rPr>
              <w:t>Power Purchase Agreement</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PSCW</w:t>
            </w:r>
          </w:p>
        </w:tc>
        <w:tc>
          <w:tcPr>
            <w:tcW w:w="9240" w:type="dxa"/>
            <w:vAlign w:val="bottom"/>
          </w:tcPr>
          <w:p>
            <w:pPr>
              <w:ind w:left="360"/>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RSOP</w:t>
            </w:r>
          </w:p>
        </w:tc>
        <w:tc>
          <w:tcPr>
            <w:tcW w:w="9240" w:type="dxa"/>
            <w:vAlign w:val="bottom"/>
          </w:tcPr>
          <w:p>
            <w:pPr>
              <w:ind w:left="360"/>
              <w:spacing w:after="0"/>
              <w:rPr>
                <w:sz w:val="20"/>
                <w:szCs w:val="20"/>
                <w:color w:val="auto"/>
              </w:rPr>
            </w:pPr>
            <w:r>
              <w:rPr>
                <w:rFonts w:ascii="Arial" w:cs="Arial" w:eastAsia="Arial" w:hAnsi="Arial"/>
                <w:sz w:val="18"/>
                <w:szCs w:val="18"/>
                <w:color w:val="auto"/>
              </w:rPr>
              <w:t>Retirement Savings and Stock Ownership Plan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SIP</w:t>
            </w:r>
          </w:p>
        </w:tc>
        <w:tc>
          <w:tcPr>
            <w:tcW w:w="9240" w:type="dxa"/>
            <w:vAlign w:val="bottom"/>
          </w:tcPr>
          <w:p>
            <w:pPr>
              <w:ind w:left="360"/>
              <w:spacing w:after="0"/>
              <w:rPr>
                <w:sz w:val="20"/>
                <w:szCs w:val="20"/>
                <w:color w:val="auto"/>
              </w:rPr>
            </w:pPr>
            <w:r>
              <w:rPr>
                <w:rFonts w:ascii="Arial" w:cs="Arial" w:eastAsia="Arial" w:hAnsi="Arial"/>
                <w:sz w:val="18"/>
                <w:szCs w:val="18"/>
                <w:color w:val="auto"/>
              </w:rPr>
              <w:t>State Implementation Plan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Sulfur Dioxide</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Square Butte</w:t>
            </w:r>
          </w:p>
        </w:tc>
        <w:tc>
          <w:tcPr>
            <w:tcW w:w="9240" w:type="dxa"/>
            <w:vAlign w:val="bottom"/>
          </w:tcPr>
          <w:p>
            <w:pPr>
              <w:ind w:left="360"/>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Standard &amp; Poor’s Ratings Services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SWL&amp;P</w:t>
            </w:r>
          </w:p>
        </w:tc>
        <w:tc>
          <w:tcPr>
            <w:tcW w:w="9240" w:type="dxa"/>
            <w:vAlign w:val="bottom"/>
          </w:tcPr>
          <w:p>
            <w:pPr>
              <w:ind w:left="360"/>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Taconite Ridge</w:t>
            </w:r>
          </w:p>
        </w:tc>
        <w:tc>
          <w:tcPr>
            <w:tcW w:w="9240" w:type="dxa"/>
            <w:vAlign w:val="bottom"/>
          </w:tcPr>
          <w:p>
            <w:pPr>
              <w:ind w:left="360"/>
              <w:spacing w:after="0"/>
              <w:rPr>
                <w:sz w:val="20"/>
                <w:szCs w:val="20"/>
                <w:color w:val="auto"/>
              </w:rPr>
            </w:pPr>
            <w:r>
              <w:rPr>
                <w:rFonts w:ascii="Arial" w:cs="Arial" w:eastAsia="Arial" w:hAnsi="Arial"/>
                <w:sz w:val="18"/>
                <w:szCs w:val="18"/>
                <w:color w:val="auto"/>
              </w:rPr>
              <w:t>Taconite Ridge Energy Center</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Town Center District</w:t>
            </w:r>
          </w:p>
        </w:tc>
        <w:tc>
          <w:tcPr>
            <w:tcW w:w="9240" w:type="dxa"/>
            <w:vAlign w:val="bottom"/>
          </w:tcPr>
          <w:p>
            <w:pPr>
              <w:ind w:left="36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United States of America</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9240" w:type="dxa"/>
            <w:vAlign w:val="bottom"/>
          </w:tcPr>
          <w:p>
            <w:pPr>
              <w:ind w:left="360"/>
              <w:spacing w:after="0"/>
              <w:rPr>
                <w:sz w:val="20"/>
                <w:szCs w:val="20"/>
                <w:color w:val="auto"/>
              </w:rPr>
            </w:pPr>
            <w:r>
              <w:rPr>
                <w:rFonts w:ascii="Arial" w:cs="Arial" w:eastAsia="Arial" w:hAnsi="Arial"/>
                <w:sz w:val="18"/>
                <w:szCs w:val="18"/>
                <w:color w:val="auto"/>
              </w:rPr>
              <w:t>United States Steel Corporation</w:t>
            </w:r>
          </w:p>
        </w:tc>
      </w:tr>
      <w:tr>
        <w:trPr>
          <w:trHeight w:val="472"/>
        </w:trPr>
        <w:tc>
          <w:tcPr>
            <w:tcW w:w="2180" w:type="dxa"/>
            <w:vAlign w:val="bottom"/>
          </w:tcPr>
          <w:p>
            <w:pPr>
              <w:spacing w:after="0"/>
              <w:rPr>
                <w:sz w:val="24"/>
                <w:szCs w:val="24"/>
                <w:color w:val="auto"/>
              </w:rPr>
            </w:pPr>
          </w:p>
        </w:tc>
        <w:tc>
          <w:tcPr>
            <w:tcW w:w="9240" w:type="dxa"/>
            <w:vAlign w:val="bottom"/>
          </w:tcPr>
          <w:p>
            <w:pPr>
              <w:jc w:val="center"/>
              <w:ind w:right="2090"/>
              <w:spacing w:after="0"/>
              <w:rPr>
                <w:sz w:val="20"/>
                <w:szCs w:val="20"/>
                <w:color w:val="auto"/>
              </w:rPr>
            </w:pPr>
            <w:r>
              <w:rPr>
                <w:rFonts w:ascii="Arial" w:cs="Arial" w:eastAsia="Arial" w:hAnsi="Arial"/>
                <w:sz w:val="18"/>
                <w:szCs w:val="18"/>
                <w:color w:val="auto"/>
                <w:w w:val="95"/>
              </w:rPr>
              <w:t>ALLETE 2013 Form 10-K</w:t>
            </w:r>
          </w:p>
        </w:tc>
      </w:tr>
      <w:tr>
        <w:trPr>
          <w:trHeight w:val="230"/>
        </w:trPr>
        <w:tc>
          <w:tcPr>
            <w:tcW w:w="2180" w:type="dxa"/>
            <w:vAlign w:val="bottom"/>
          </w:tcPr>
          <w:p>
            <w:pPr>
              <w:spacing w:after="0"/>
              <w:rPr>
                <w:sz w:val="20"/>
                <w:szCs w:val="20"/>
                <w:color w:val="auto"/>
              </w:rPr>
            </w:pPr>
          </w:p>
        </w:tc>
        <w:tc>
          <w:tcPr>
            <w:tcW w:w="9240" w:type="dxa"/>
            <w:vAlign w:val="bottom"/>
          </w:tcPr>
          <w:p>
            <w:pPr>
              <w:jc w:val="center"/>
              <w:ind w:right="209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or legislative actions, including those of the United States Congress, state legislatures, the FERC, the MPUC, the PSCW, the NDPSC, the EPA and various state and local regulators, that impact our allowed rates of return, capital structure, ability to secure financing, industry and rate structure, acquisition and disposal of assets and facilities, operation and construction of plant facilities, recovery of purchased power, capital investments and other expenses, including present or prospective environmental matters;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on our Regulated Operations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recover these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population growth rates and demographic patterns;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Item 1A under the heading “Risk Factors” beginning on page 28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identify the risks and uncertainties that may affect our business.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SWL&amp;P, a wholly-owned subsidiary of ALLETE and a Wisconsin utility, is also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5,000 acres of land in Minnesota, and earnings on cash and investments.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2013, unless otherwise indicated. All subsidiaries are wholly-owned unless otherwise specifically indicated. References in this report to “we,” “us” and “our” are to ALLETE and its subsidiaries, collectively.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r>
      <w:tr>
        <w:trPr>
          <w:trHeight w:val="27"/>
        </w:trPr>
        <w:tc>
          <w:tcPr>
            <w:tcW w:w="53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532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Consolidated Operating Revenue – Millions</w:t>
            </w:r>
          </w:p>
        </w:tc>
        <w:tc>
          <w:tcPr>
            <w:tcW w:w="3160" w:type="dxa"/>
            <w:vAlign w:val="bottom"/>
          </w:tcPr>
          <w:p>
            <w:pPr>
              <w:jc w:val="right"/>
              <w:ind w:right="570"/>
              <w:spacing w:after="0"/>
              <w:rPr>
                <w:sz w:val="20"/>
                <w:szCs w:val="20"/>
                <w:color w:val="auto"/>
              </w:rPr>
            </w:pPr>
            <w:r>
              <w:rPr>
                <w:rFonts w:ascii="Arial" w:cs="Arial" w:eastAsia="Arial" w:hAnsi="Arial"/>
                <w:sz w:val="18"/>
                <w:szCs w:val="18"/>
                <w:color w:val="auto"/>
              </w:rPr>
              <w:t>$1,018.4</w:t>
            </w: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$961.2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$928.2</w:t>
            </w:r>
          </w:p>
        </w:tc>
      </w:tr>
      <w:tr>
        <w:trPr>
          <w:trHeight w:val="27"/>
        </w:trPr>
        <w:tc>
          <w:tcPr>
            <w:tcW w:w="53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532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Percentage of Consolidated Operating Revenue</w:t>
            </w:r>
          </w:p>
        </w:tc>
        <w:tc>
          <w:tcPr>
            <w:tcW w:w="3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3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91%</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91%</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Investments and Other</w:t>
            </w:r>
          </w:p>
        </w:tc>
        <w:tc>
          <w:tcPr>
            <w:tcW w:w="3160" w:type="dxa"/>
            <w:vAlign w:val="bottom"/>
          </w:tcPr>
          <w:p>
            <w:pPr>
              <w:jc w:val="right"/>
              <w:ind w:right="410"/>
              <w:spacing w:after="0"/>
              <w:rPr>
                <w:sz w:val="20"/>
                <w:szCs w:val="20"/>
                <w:color w:val="auto"/>
              </w:rPr>
            </w:pPr>
            <w:r>
              <w:rPr>
                <w:rFonts w:ascii="Arial" w:cs="Arial" w:eastAsia="Arial" w:hAnsi="Arial"/>
                <w:sz w:val="18"/>
                <w:szCs w:val="18"/>
                <w:color w:val="auto"/>
              </w:rPr>
              <w:t>9%</w:t>
            </w: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53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0"/>
        </w:trPr>
        <w:tc>
          <w:tcPr>
            <w:tcW w:w="532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2. Business Segments.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Sales / Customers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Regulated Utility Electric Sales</w:t>
            </w: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Millions of Kilowatt-hours</w:t>
            </w: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Municipals</w:t>
            </w:r>
          </w:p>
        </w:tc>
        <w:tc>
          <w:tcPr>
            <w:tcW w:w="18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1,177</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1,132</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1,159</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1,455</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1,436</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1,433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7,338</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55</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7,502</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57</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7,365</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56</w:t>
            </w: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Municipals</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999</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1,020</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1,013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Retail and Municipals</w:t>
            </w:r>
          </w:p>
        </w:tc>
        <w:tc>
          <w:tcPr>
            <w:tcW w:w="1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10,969</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83</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11,090</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85</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10,970</w:t>
            </w: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83</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Power Suppliers</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2,278</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1,999</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2,205</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r>
      <w:tr>
        <w:trPr>
          <w:trHeight w:val="237"/>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Electric Sales</w:t>
            </w:r>
          </w:p>
        </w:tc>
        <w:tc>
          <w:tcPr>
            <w:tcW w:w="1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13,247</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13,089</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13,175</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2013, our industrial customers represented 55 percent of total regulated utility kilowatt-hour sales. Our industrial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in the taconite mining, iron concentrate, paper, pulp and wood products, and pipeline industries.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Industrial Customer Electric Sales</w:t>
            </w: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r>
      <w:tr>
        <w:trPr>
          <w:trHeight w:val="27"/>
        </w:trPr>
        <w:tc>
          <w:tcPr>
            <w:tcW w:w="4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Millions of Kilowatt-hours</w:t>
            </w: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Taconite/Iron Concentrate </w:t>
            </w:r>
            <w:r>
              <w:rPr>
                <w:rFonts w:ascii="Arial" w:cs="Arial" w:eastAsia="Arial" w:hAnsi="Arial"/>
                <w:sz w:val="18"/>
                <w:szCs w:val="18"/>
                <w:i w:val="1"/>
                <w:iCs w:val="1"/>
                <w:color w:val="auto"/>
              </w:rPr>
              <w:t>(a)</w:t>
            </w:r>
          </w:p>
        </w:tc>
        <w:tc>
          <w:tcPr>
            <w:tcW w:w="18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4,851</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66</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4,968</w:t>
            </w:r>
          </w:p>
        </w:tc>
        <w:tc>
          <w:tcPr>
            <w:tcW w:w="1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66</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4,874</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Paper, Pulp and Wood Products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1,505</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1,571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1,560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
        </w:trPr>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Pipelines and Other Industrial</w:t>
            </w:r>
          </w:p>
        </w:tc>
        <w:tc>
          <w:tcPr>
            <w:tcW w:w="18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982</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963</w:t>
            </w:r>
          </w:p>
        </w:tc>
        <w:tc>
          <w:tcPr>
            <w:tcW w:w="1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931</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37"/>
        </w:trPr>
        <w:tc>
          <w:tcPr>
            <w:tcW w:w="4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Industrial Customer Electric Sales</w:t>
            </w:r>
          </w:p>
        </w:tc>
        <w:tc>
          <w:tcPr>
            <w:tcW w:w="18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7,338</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7,502</w:t>
            </w:r>
          </w:p>
        </w:tc>
        <w:tc>
          <w:tcPr>
            <w:tcW w:w="10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7,365</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Kilowatt-hour sales to taconite/iron concentrate customers decreased from 2012 primarily due to 154 million kilowatt-hours sold in 2012 through a short-term, fixed price contract.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Five Minnesota Power taconite customers produce approximately 75 percent of the iron ore produced in the U.S. according to the U.S. Geological Survey’s 2011 Minerals Yearbook published in January 2013. Sales to taconite customers and iron concentrate customers represented 4,851 million kilowatt-hours, or 66 percent, of our total industrial sales in 2013. Taconite, an iron-bearing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five taconite customers have the capability to produce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2013, the domestic steel industry’s production levels enabled Minnesota taconite producers to operate at, or near, full capacity for the entire year. According to the American Iron and Steel Institute (AISI), an association of North American steel producers, U.S. raw steel production operated at approximately 77 percent of capacity in 2013 (75 percent in 2012 and 2011).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past three years, annual taconite production in Minnesota has remained strong at, or near, full production . 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203200</wp:posOffset>
            </wp:positionV>
            <wp:extent cx="4253865" cy="2418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3865" cy="2418080"/>
                    </a:xfrm>
                    <a:prstGeom prst="rect">
                      <a:avLst/>
                    </a:prstGeom>
                    <a:noFill/>
                  </pic:spPr>
                </pic:pic>
              </a:graphicData>
            </a:graphic>
          </wp:anchor>
        </w:drawing>
      </w:r>
    </w:p>
    <w:p>
      <w:pPr>
        <w:spacing w:after="0" w:line="309" w:lineRule="exact"/>
        <w:rPr>
          <w:sz w:val="20"/>
          <w:szCs w:val="20"/>
          <w:color w:val="auto"/>
        </w:rPr>
      </w:pPr>
    </w:p>
    <w:tbl>
      <w:tblPr>
        <w:tblLayout w:type="fixed"/>
        <w:tblInd w:w="238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Minnesota Power Taconite Customer Production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1"/>
        </w:trPr>
        <w:tc>
          <w:tcPr>
            <w:tcW w:w="1440" w:type="dxa"/>
            <w:vAlign w:val="bottom"/>
          </w:tcPr>
          <w:p>
            <w:pPr>
              <w:ind w:left="960"/>
              <w:spacing w:after="0"/>
              <w:rPr>
                <w:sz w:val="20"/>
                <w:szCs w:val="20"/>
                <w:color w:val="auto"/>
              </w:rPr>
            </w:pPr>
            <w:r>
              <w:rPr>
                <w:rFonts w:ascii="Arial" w:cs="Arial" w:eastAsia="Arial" w:hAnsi="Arial"/>
                <w:sz w:val="18"/>
                <w:szCs w:val="18"/>
                <w:b w:val="1"/>
                <w:bCs w:val="1"/>
                <w:color w:val="auto"/>
              </w:rPr>
              <w:t>Year</w:t>
            </w:r>
          </w:p>
        </w:tc>
        <w:tc>
          <w:tcPr>
            <w:tcW w:w="20" w:type="dxa"/>
            <w:vAlign w:val="bottom"/>
          </w:tcPr>
          <w:p>
            <w:pPr>
              <w:spacing w:after="0"/>
              <w:rPr>
                <w:sz w:val="24"/>
                <w:szCs w:val="24"/>
                <w:color w:val="auto"/>
              </w:rPr>
            </w:pPr>
          </w:p>
        </w:tc>
        <w:tc>
          <w:tcPr>
            <w:tcW w:w="522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1"/>
              </w:rPr>
              <w:t>Tons (Millions)</w:t>
            </w:r>
          </w:p>
        </w:tc>
        <w:tc>
          <w:tcPr>
            <w:tcW w:w="20" w:type="dxa"/>
            <w:vAlign w:val="bottom"/>
          </w:tcPr>
          <w:p>
            <w:pPr>
              <w:spacing w:after="0"/>
              <w:rPr>
                <w:sz w:val="24"/>
                <w:szCs w:val="24"/>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4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93"/>
              </w:rPr>
              <w:t>2013*</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2012</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2011</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2010</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2009</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2008</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2007</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2006</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2005</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2004</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bl>
    <w:p>
      <w:pPr>
        <w:spacing w:after="0" w:line="58" w:lineRule="exact"/>
        <w:rPr>
          <w:sz w:val="20"/>
          <w:szCs w:val="20"/>
          <w:color w:val="auto"/>
        </w:rPr>
      </w:pPr>
    </w:p>
    <w:p>
      <w:pPr>
        <w:ind w:left="2420"/>
        <w:spacing w:after="0"/>
        <w:rPr>
          <w:sz w:val="20"/>
          <w:szCs w:val="20"/>
          <w:color w:val="auto"/>
        </w:rPr>
      </w:pPr>
      <w:r>
        <w:rPr>
          <w:rFonts w:ascii="Arial" w:cs="Arial" w:eastAsia="Arial" w:hAnsi="Arial"/>
          <w:sz w:val="14"/>
          <w:szCs w:val="14"/>
          <w:i w:val="1"/>
          <w:iCs w:val="1"/>
          <w:color w:val="auto"/>
        </w:rPr>
        <w:t>Source: Minnesota Department of Revenue November 2013 Mining Tax Guide for years 2004 - 2012.</w:t>
      </w:r>
    </w:p>
    <w:p>
      <w:pPr>
        <w:spacing w:after="0" w:line="96" w:lineRule="exact"/>
        <w:rPr>
          <w:sz w:val="20"/>
          <w:szCs w:val="20"/>
          <w:color w:val="auto"/>
        </w:rPr>
      </w:pPr>
    </w:p>
    <w:p>
      <w:pPr>
        <w:ind w:left="2420"/>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serving the taconite industry, Minnesota Power also serves a number of customers in the paper, pulp and secondary wood products industry, which represented 1,505 million kilowatt-hours, or 21 percent, of our total industrial sales in 2013. Three of the four major paper mills we serve reported operating at, or near, full capacity in 2013. In October 2013, Boise, Inc. (Boise), permanently shut down two paper machines representing approximately 20 percent of its paper making capacity. Boise’s reduction in paper making capacity is not expected to have a material impact on the Company’s consolidated financial position, results of operations, or cash flows.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9 Large Power Customer contracts, each serving requirements of 10 MW or more of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load. The customers consist of five taconite producing facilities (two of which are owned by one company and are served under a single contract), one iron nugget plant, and four paper and pulp mills.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term of the agreement. In addition to the demand charge, each Large Power Customer is billed an energy charge for each kilowatt-hour used that recovers the variable costs incurred in generating electricity. Three of the Large Power Customers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contracts with Large Power Customers continue past the contract termination date unless the required advance notice of cancellation has been given. The required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Item 1. Business – Regulated Operations – Regulatory Matters – Electric Rates.)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as permitted by the MPUC, requires its taconite-producing Large Power Customers to pay weekly for electric usage based on monthly energy usage estimates. These customers receive estimated bills based on Minnesota Power’s estimate of the customer’s energy usage, forecasted energy prices, and fuel clause adjustment estimates. Minnesota Power’s four taconite-producing Large Power Customers have generally predictable energy usage on a week-to-week basis, and any differences that occur are trued-up the following month.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jc w:val="right"/>
              <w:ind w:right="570"/>
              <w:spacing w:after="0"/>
              <w:rPr>
                <w:sz w:val="20"/>
                <w:szCs w:val="20"/>
                <w:color w:val="auto"/>
              </w:rPr>
            </w:pPr>
            <w:r>
              <w:rPr>
                <w:rFonts w:ascii="Arial" w:cs="Arial" w:eastAsia="Arial" w:hAnsi="Arial"/>
                <w:sz w:val="18"/>
                <w:szCs w:val="18"/>
                <w:b w:val="1"/>
                <w:bCs w:val="1"/>
                <w:color w:val="auto"/>
              </w:rPr>
              <w:t>Earliest</w:t>
            </w:r>
          </w:p>
        </w:tc>
      </w:tr>
      <w:tr>
        <w:trPr>
          <w:trHeight w:val="234"/>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i w:val="1"/>
                <w:iCs w:val="1"/>
                <w:color w:val="auto"/>
              </w:rPr>
              <w:t>(d)</w:t>
            </w: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Industry</w:t>
            </w:r>
          </w:p>
        </w:tc>
        <w:tc>
          <w:tcPr>
            <w:tcW w:w="2240" w:type="dxa"/>
            <w:vAlign w:val="bottom"/>
          </w:tcPr>
          <w:p>
            <w:pPr>
              <w:ind w:left="80"/>
              <w:spacing w:after="0"/>
              <w:rPr>
                <w:sz w:val="20"/>
                <w:szCs w:val="20"/>
                <w:color w:val="auto"/>
              </w:rPr>
            </w:pPr>
            <w:r>
              <w:rPr>
                <w:rFonts w:ascii="Arial" w:cs="Arial" w:eastAsia="Arial" w:hAnsi="Arial"/>
                <w:sz w:val="18"/>
                <w:szCs w:val="18"/>
                <w:b w:val="1"/>
                <w:bCs w:val="1"/>
                <w:color w:val="auto"/>
              </w:rPr>
              <w:t>Location</w:t>
            </w:r>
          </w:p>
        </w:tc>
        <w:tc>
          <w:tcPr>
            <w:tcW w:w="3260" w:type="dxa"/>
            <w:vAlign w:val="bottom"/>
          </w:tcPr>
          <w:p>
            <w:pPr>
              <w:ind w:left="120"/>
              <w:spacing w:after="0"/>
              <w:rPr>
                <w:sz w:val="20"/>
                <w:szCs w:val="20"/>
                <w:color w:val="auto"/>
              </w:rPr>
            </w:pPr>
            <w:r>
              <w:rPr>
                <w:rFonts w:ascii="Arial" w:cs="Arial" w:eastAsia="Arial" w:hAnsi="Arial"/>
                <w:sz w:val="18"/>
                <w:szCs w:val="18"/>
                <w:b w:val="1"/>
                <w:bCs w:val="1"/>
                <w:color w:val="auto"/>
              </w:rPr>
              <w:t>Ownership</w:t>
            </w:r>
          </w:p>
        </w:tc>
        <w:tc>
          <w:tcPr>
            <w:tcW w:w="2180" w:type="dxa"/>
            <w:vAlign w:val="bottom"/>
          </w:tcPr>
          <w:p>
            <w:pPr>
              <w:jc w:val="right"/>
              <w:ind w:right="190"/>
              <w:spacing w:after="0"/>
              <w:rPr>
                <w:sz w:val="20"/>
                <w:szCs w:val="20"/>
                <w:color w:val="auto"/>
              </w:rPr>
            </w:pPr>
            <w:r>
              <w:rPr>
                <w:rFonts w:ascii="Arial" w:cs="Arial" w:eastAsia="Arial" w:hAnsi="Arial"/>
                <w:sz w:val="18"/>
                <w:szCs w:val="18"/>
                <w:b w:val="1"/>
                <w:bCs w:val="1"/>
                <w:color w:val="auto"/>
              </w:rPr>
              <w:t>Termination Date</w:t>
            </w:r>
          </w:p>
        </w:tc>
      </w:tr>
      <w:tr>
        <w:trPr>
          <w:trHeight w:val="27"/>
        </w:trPr>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ArcelorMittal – Minorca Mine </w:t>
            </w: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ArcelorMittal</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2018</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 xml:space="preserve">Hibbing Taconite Co. </w:t>
            </w:r>
            <w:r>
              <w:rPr>
                <w:rFonts w:ascii="Arial" w:cs="Arial" w:eastAsia="Arial" w:hAnsi="Arial"/>
                <w:sz w:val="18"/>
                <w:szCs w:val="18"/>
                <w:i w:val="1"/>
                <w:iCs w:val="1"/>
                <w:color w:val="auto"/>
              </w:rPr>
              <w:t>(a)</w:t>
            </w:r>
          </w:p>
        </w:tc>
        <w:tc>
          <w:tcPr>
            <w:tcW w:w="1020" w:type="dxa"/>
            <w:vAlign w:val="bottom"/>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Pr>
          <w:p>
            <w:pPr>
              <w:ind w:left="80"/>
              <w:spacing w:after="0"/>
              <w:rPr>
                <w:sz w:val="20"/>
                <w:szCs w:val="20"/>
                <w:color w:val="auto"/>
              </w:rPr>
            </w:pPr>
            <w:r>
              <w:rPr>
                <w:rFonts w:ascii="Arial" w:cs="Arial" w:eastAsia="Arial" w:hAnsi="Arial"/>
                <w:sz w:val="18"/>
                <w:szCs w:val="18"/>
                <w:color w:val="auto"/>
              </w:rPr>
              <w:t>Hibbing, MN</w:t>
            </w:r>
          </w:p>
        </w:tc>
        <w:tc>
          <w:tcPr>
            <w:tcW w:w="3260" w:type="dxa"/>
            <w:vAlign w:val="bottom"/>
          </w:tcPr>
          <w:p>
            <w:pPr>
              <w:ind w:left="120"/>
              <w:spacing w:after="0"/>
              <w:rPr>
                <w:sz w:val="20"/>
                <w:szCs w:val="20"/>
                <w:color w:val="auto"/>
              </w:rPr>
            </w:pPr>
            <w:r>
              <w:rPr>
                <w:rFonts w:ascii="Arial" w:cs="Arial" w:eastAsia="Arial" w:hAnsi="Arial"/>
                <w:sz w:val="18"/>
                <w:szCs w:val="18"/>
                <w:color w:val="auto"/>
              </w:rPr>
              <w:t>62.3% ArcelorMittal</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2018</w:t>
            </w: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23.0% Cliffs Natural Resources Inc.</w:t>
            </w:r>
          </w:p>
        </w:tc>
        <w:tc>
          <w:tcPr>
            <w:tcW w:w="218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14.7% USS Corporation</w:t>
            </w: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United Taconite LLC </w:t>
            </w: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Eveleth, MN</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Cliffs Natural Resources Inc.</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2018</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1020" w:type="dxa"/>
            <w:vAlign w:val="bottom"/>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Pr>
          <w:p>
            <w:pPr>
              <w:ind w:left="80"/>
              <w:spacing w:after="0"/>
              <w:rPr>
                <w:sz w:val="20"/>
                <w:szCs w:val="20"/>
                <w:color w:val="auto"/>
              </w:rPr>
            </w:pPr>
            <w:r>
              <w:rPr>
                <w:rFonts w:ascii="Arial" w:cs="Arial" w:eastAsia="Arial" w:hAnsi="Arial"/>
                <w:sz w:val="18"/>
                <w:szCs w:val="18"/>
                <w:color w:val="auto"/>
                <w:w w:val="98"/>
              </w:rPr>
              <w:t>Mt. Iron, MN and Keewatin,</w:t>
            </w:r>
          </w:p>
        </w:tc>
        <w:tc>
          <w:tcPr>
            <w:tcW w:w="3260" w:type="dxa"/>
            <w:vAlign w:val="bottom"/>
          </w:tcPr>
          <w:p>
            <w:pPr>
              <w:ind w:left="120"/>
              <w:spacing w:after="0"/>
              <w:rPr>
                <w:sz w:val="20"/>
                <w:szCs w:val="20"/>
                <w:color w:val="auto"/>
              </w:rPr>
            </w:pPr>
            <w:r>
              <w:rPr>
                <w:rFonts w:ascii="Arial" w:cs="Arial" w:eastAsia="Arial" w:hAnsi="Arial"/>
                <w:sz w:val="18"/>
                <w:szCs w:val="18"/>
                <w:color w:val="auto"/>
              </w:rPr>
              <w:t>USS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2018</w:t>
            </w:r>
          </w:p>
        </w:tc>
      </w:tr>
      <w:tr>
        <w:trPr>
          <w:trHeight w:val="230"/>
        </w:trPr>
        <w:tc>
          <w:tcPr>
            <w:tcW w:w="2720" w:type="dxa"/>
            <w:vAlign w:val="bottom"/>
          </w:tcPr>
          <w:p>
            <w:pPr>
              <w:ind w:left="4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8"/>
                <w:szCs w:val="18"/>
                <w:i w:val="1"/>
                <w:iCs w:val="1"/>
                <w:color w:val="auto"/>
              </w:rPr>
              <w:t>(a,b)</w:t>
            </w:r>
          </w:p>
        </w:tc>
        <w:tc>
          <w:tcPr>
            <w:tcW w:w="1020" w:type="dxa"/>
            <w:vAlign w:val="bottom"/>
          </w:tcPr>
          <w:p>
            <w:pPr>
              <w:spacing w:after="0"/>
              <w:rPr>
                <w:sz w:val="20"/>
                <w:szCs w:val="20"/>
                <w:color w:val="auto"/>
              </w:rPr>
            </w:pPr>
          </w:p>
        </w:tc>
        <w:tc>
          <w:tcPr>
            <w:tcW w:w="2240" w:type="dxa"/>
            <w:vAlign w:val="bottom"/>
          </w:tcPr>
          <w:p>
            <w:pPr>
              <w:ind w:left="80"/>
              <w:spacing w:after="0"/>
              <w:rPr>
                <w:sz w:val="20"/>
                <w:szCs w:val="20"/>
                <w:color w:val="auto"/>
              </w:rPr>
            </w:pPr>
            <w:r>
              <w:rPr>
                <w:rFonts w:ascii="Arial" w:cs="Arial" w:eastAsia="Arial" w:hAnsi="Arial"/>
                <w:sz w:val="18"/>
                <w:szCs w:val="18"/>
                <w:color w:val="auto"/>
              </w:rPr>
              <w:t>MN</w:t>
            </w:r>
          </w:p>
        </w:tc>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Iron Nugget</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Hoyt Lakes, MN</w:t>
            </w: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80% Steel Dynamics, Inc.</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2017</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 Kobe Steel USA</w:t>
            </w:r>
          </w:p>
        </w:tc>
        <w:tc>
          <w:tcPr>
            <w:tcW w:w="2180" w:type="dxa"/>
            <w:vAlign w:val="bottom"/>
            <w:tcBorders>
              <w:bottom w:val="single" w:sz="8" w:color="CCEEFF"/>
            </w:tcBorders>
            <w:shd w:val="clear" w:color="auto" w:fill="CCEEFF"/>
          </w:tcPr>
          <w:p>
            <w:pPr>
              <w:spacing w:after="0"/>
              <w:rPr>
                <w:sz w:val="20"/>
                <w:szCs w:val="20"/>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Boise, Inc.</w:t>
            </w:r>
          </w:p>
        </w:tc>
        <w:tc>
          <w:tcPr>
            <w:tcW w:w="1020" w:type="dxa"/>
            <w:vAlign w:val="bottom"/>
          </w:tcPr>
          <w:p>
            <w:pPr>
              <w:ind w:left="60"/>
              <w:spacing w:after="0"/>
              <w:rPr>
                <w:sz w:val="20"/>
                <w:szCs w:val="20"/>
                <w:color w:val="auto"/>
              </w:rPr>
            </w:pPr>
            <w:r>
              <w:rPr>
                <w:rFonts w:ascii="Arial" w:cs="Arial" w:eastAsia="Arial" w:hAnsi="Arial"/>
                <w:sz w:val="18"/>
                <w:szCs w:val="18"/>
                <w:color w:val="auto"/>
              </w:rPr>
              <w:t>Paper</w:t>
            </w:r>
          </w:p>
        </w:tc>
        <w:tc>
          <w:tcPr>
            <w:tcW w:w="2240" w:type="dxa"/>
            <w:vAlign w:val="bottom"/>
          </w:tcPr>
          <w:p>
            <w:pPr>
              <w:ind w:left="80"/>
              <w:spacing w:after="0"/>
              <w:rPr>
                <w:sz w:val="20"/>
                <w:szCs w:val="20"/>
                <w:color w:val="auto"/>
              </w:rPr>
            </w:pPr>
            <w:r>
              <w:rPr>
                <w:rFonts w:ascii="Arial" w:cs="Arial" w:eastAsia="Arial" w:hAnsi="Arial"/>
                <w:sz w:val="18"/>
                <w:szCs w:val="18"/>
                <w:color w:val="auto"/>
              </w:rPr>
              <w:t>International Falls, MN</w:t>
            </w:r>
          </w:p>
        </w:tc>
        <w:tc>
          <w:tcPr>
            <w:tcW w:w="3260" w:type="dxa"/>
            <w:vAlign w:val="bottom"/>
          </w:tcPr>
          <w:p>
            <w:pPr>
              <w:ind w:left="120"/>
              <w:spacing w:after="0"/>
              <w:rPr>
                <w:sz w:val="20"/>
                <w:szCs w:val="20"/>
                <w:color w:val="auto"/>
              </w:rPr>
            </w:pPr>
            <w:r>
              <w:rPr>
                <w:rFonts w:ascii="Arial" w:cs="Arial" w:eastAsia="Arial" w:hAnsi="Arial"/>
                <w:sz w:val="18"/>
                <w:szCs w:val="18"/>
                <w:color w:val="auto"/>
              </w:rPr>
              <w:t>Packaging Corporation of America</w:t>
            </w:r>
          </w:p>
        </w:tc>
        <w:tc>
          <w:tcPr>
            <w:tcW w:w="2180" w:type="dxa"/>
            <w:vAlign w:val="bottom"/>
          </w:tcPr>
          <w:p>
            <w:pPr>
              <w:jc w:val="right"/>
              <w:spacing w:after="0"/>
              <w:rPr>
                <w:sz w:val="20"/>
                <w:szCs w:val="20"/>
                <w:color w:val="auto"/>
              </w:rPr>
            </w:pPr>
            <w:r>
              <w:rPr>
                <w:rFonts w:ascii="Arial" w:cs="Arial" w:eastAsia="Arial" w:hAnsi="Arial"/>
                <w:sz w:val="18"/>
                <w:szCs w:val="18"/>
                <w:color w:val="auto"/>
              </w:rPr>
              <w:t>December 31, 2023</w:t>
            </w: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UPM, Blandin Paper Mill </w:t>
            </w: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Paper</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Grand Rapids, MN</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UPM-Kymmene Corporation</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2018</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w w:val="94"/>
              </w:rPr>
              <w:t>NewPage Corporation – Duluth Mill</w:t>
            </w:r>
          </w:p>
        </w:tc>
        <w:tc>
          <w:tcPr>
            <w:tcW w:w="1020" w:type="dxa"/>
            <w:vAlign w:val="bottom"/>
          </w:tcPr>
          <w:p>
            <w:pPr>
              <w:ind w:left="60"/>
              <w:spacing w:after="0"/>
              <w:rPr>
                <w:sz w:val="20"/>
                <w:szCs w:val="20"/>
                <w:color w:val="auto"/>
              </w:rPr>
            </w:pPr>
            <w:r>
              <w:rPr>
                <w:rFonts w:ascii="Arial" w:cs="Arial" w:eastAsia="Arial" w:hAnsi="Arial"/>
                <w:sz w:val="18"/>
                <w:szCs w:val="18"/>
                <w:color w:val="auto"/>
              </w:rPr>
              <w:t>Paper and</w:t>
            </w:r>
          </w:p>
        </w:tc>
        <w:tc>
          <w:tcPr>
            <w:tcW w:w="2240" w:type="dxa"/>
            <w:vAlign w:val="bottom"/>
          </w:tcPr>
          <w:p>
            <w:pPr>
              <w:ind w:left="80"/>
              <w:spacing w:after="0"/>
              <w:rPr>
                <w:sz w:val="20"/>
                <w:szCs w:val="20"/>
                <w:color w:val="auto"/>
              </w:rPr>
            </w:pPr>
            <w:r>
              <w:rPr>
                <w:rFonts w:ascii="Arial" w:cs="Arial" w:eastAsia="Arial" w:hAnsi="Arial"/>
                <w:sz w:val="18"/>
                <w:szCs w:val="18"/>
                <w:color w:val="auto"/>
              </w:rPr>
              <w:t>Duluth, MN</w:t>
            </w:r>
          </w:p>
        </w:tc>
        <w:tc>
          <w:tcPr>
            <w:tcW w:w="3260" w:type="dxa"/>
            <w:vAlign w:val="bottom"/>
          </w:tcPr>
          <w:p>
            <w:pPr>
              <w:ind w:left="120"/>
              <w:spacing w:after="0"/>
              <w:rPr>
                <w:sz w:val="20"/>
                <w:szCs w:val="20"/>
                <w:color w:val="auto"/>
              </w:rPr>
            </w:pPr>
            <w:r>
              <w:rPr>
                <w:rFonts w:ascii="Arial" w:cs="Arial" w:eastAsia="Arial" w:hAnsi="Arial"/>
                <w:sz w:val="18"/>
                <w:szCs w:val="18"/>
                <w:color w:val="auto"/>
              </w:rPr>
              <w:t>NewPage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December 31, 2022</w:t>
            </w:r>
          </w:p>
        </w:tc>
      </w:tr>
      <w:tr>
        <w:trPr>
          <w:trHeight w:val="230"/>
        </w:trPr>
        <w:tc>
          <w:tcPr>
            <w:tcW w:w="2720" w:type="dxa"/>
            <w:vAlign w:val="bottom"/>
          </w:tcPr>
          <w:p>
            <w:pPr>
              <w:ind w:left="40"/>
              <w:spacing w:after="0"/>
              <w:rPr>
                <w:sz w:val="20"/>
                <w:szCs w:val="20"/>
                <w:color w:val="auto"/>
              </w:rPr>
            </w:pPr>
            <w:r>
              <w:rPr>
                <w:rFonts w:ascii="Arial" w:cs="Arial" w:eastAsia="Arial" w:hAnsi="Arial"/>
                <w:sz w:val="18"/>
                <w:szCs w:val="18"/>
                <w:i w:val="1"/>
                <w:iCs w:val="1"/>
                <w:color w:val="auto"/>
              </w:rPr>
              <w:t>(c)</w:t>
            </w:r>
          </w:p>
        </w:tc>
        <w:tc>
          <w:tcPr>
            <w:tcW w:w="1020" w:type="dxa"/>
            <w:vAlign w:val="bottom"/>
          </w:tcPr>
          <w:p>
            <w:pPr>
              <w:ind w:left="60"/>
              <w:spacing w:after="0"/>
              <w:rPr>
                <w:sz w:val="20"/>
                <w:szCs w:val="20"/>
                <w:color w:val="auto"/>
              </w:rPr>
            </w:pPr>
            <w:r>
              <w:rPr>
                <w:rFonts w:ascii="Arial" w:cs="Arial" w:eastAsia="Arial" w:hAnsi="Arial"/>
                <w:sz w:val="18"/>
                <w:szCs w:val="18"/>
                <w:color w:val="auto"/>
              </w:rPr>
              <w:t>Pulp</w:t>
            </w:r>
          </w:p>
        </w:tc>
        <w:tc>
          <w:tcPr>
            <w:tcW w:w="22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8"/>
                <w:szCs w:val="18"/>
                <w:i w:val="1"/>
                <w:iCs w:val="1"/>
                <w:color w:val="auto"/>
              </w:rPr>
              <w:t>(a)</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Paper and</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Cloquet, MN</w:t>
            </w: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Sappi Limited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2018</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Pulp</w:t>
            </w:r>
          </w:p>
        </w:tc>
        <w:tc>
          <w:tcPr>
            <w:tcW w:w="224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January 31, 2018.</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5"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6, 2014, Verso Paper Corporation announced its plan to acquire NewPage Corporation, which is expected to occur in the second half of 2014. This acquisition will not impact Minnesota Power’s electric service agreement with NewPage Corporation.</w:t>
      </w:r>
    </w:p>
    <w:p>
      <w:pPr>
        <w:jc w:val="both"/>
        <w:ind w:left="340" w:hanging="332"/>
        <w:spacing w:after="0" w:line="252"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27 2014, a new electric service agreement was entered into between Minnesota Power and Magnetation for its facility near Coleraine, Minnesota. This agreement is subject to MPUC approval and will be effective one month following approval through December 31, 2025. In addition, a transmission service extension is required to be constructed and is expected to complete in the fourth quarter of 2014.</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Residential and Commercial Customers. </w:t>
      </w:r>
      <w:r>
        <w:rPr>
          <w:rFonts w:ascii="Arial" w:cs="Arial" w:eastAsia="Arial" w:hAnsi="Arial"/>
          <w:sz w:val="18"/>
          <w:szCs w:val="18"/>
          <w:color w:val="auto"/>
        </w:rPr>
        <w:t>In 2013, our residential and commercial customers represented 20 percent of total regulated utility kilowatt-hour</w:t>
      </w:r>
      <w:r>
        <w:rPr>
          <w:rFonts w:ascii="Arial" w:cs="Arial" w:eastAsia="Arial" w:hAnsi="Arial"/>
          <w:sz w:val="18"/>
          <w:szCs w:val="18"/>
          <w:b w:val="1"/>
          <w:bCs w:val="1"/>
          <w:color w:val="auto"/>
        </w:rPr>
        <w:t xml:space="preserve"> </w:t>
      </w:r>
      <w:r>
        <w:rPr>
          <w:rFonts w:ascii="Arial" w:cs="Arial" w:eastAsia="Arial" w:hAnsi="Arial"/>
          <w:sz w:val="18"/>
          <w:szCs w:val="18"/>
          <w:color w:val="auto"/>
        </w:rPr>
        <w:t>sales. Minnesota Power provides regulated utility electric service in northeastern Minnesota to approximately 143,000 residential and commercial customers. SWL&amp;P provides regulated electric, natural gas and water service in northwestern Wisconsin to approximately 15,000 electric customers, 12,000 natural gas customers and 10,000 water customers.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2013, our municipal customers represented 8 percent of total regulated utility kilowatt-hour sales, which included 16</w:t>
      </w:r>
      <w:r>
        <w:rPr>
          <w:rFonts w:ascii="Arial" w:cs="Arial" w:eastAsia="Arial" w:hAnsi="Arial"/>
          <w:sz w:val="18"/>
          <w:szCs w:val="18"/>
          <w:b w:val="1"/>
          <w:bCs w:val="1"/>
          <w:color w:val="auto"/>
        </w:rPr>
        <w:t xml:space="preserve"> </w:t>
      </w:r>
      <w:r>
        <w:rPr>
          <w:rFonts w:ascii="Arial" w:cs="Arial" w:eastAsia="Arial" w:hAnsi="Arial"/>
          <w:sz w:val="18"/>
          <w:szCs w:val="18"/>
          <w:color w:val="auto"/>
        </w:rPr>
        <w:t>municipalities in Minnesota and 1 Wisconsin utility which terminated its contract effective December 31, 2013.</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sold at market-based prices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MISO market on a daily basis or through bilateral agreements of various durations.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Basin Power Sales Agreement. </w:t>
      </w:r>
      <w:r>
        <w:rPr>
          <w:rFonts w:ascii="Arial" w:cs="Arial" w:eastAsia="Arial" w:hAnsi="Arial"/>
          <w:sz w:val="18"/>
          <w:szCs w:val="18"/>
          <w:color w:val="auto"/>
        </w:rPr>
        <w:t>Minnesota Power entered into an agreement to sell 100 MW of capacity and energy to Basin for a ten-year period which began</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2010. The capacity charge is based on a fixed monthly schedule with a minimum annual escalation provision. The energy charge is based on a fixed monthly schedule and provides for annual escalation based on our cost of fuel. The agreement allows us to recover a pro rata share of increased costs related to emissions that may occur during the last five years of the contract.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December 2009, Minnesota Power entered into a power sales agreement with Minnkota Power. Under the power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 (See Note 12. Commitments, Guarantees and Contingencies.)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Power Suppliers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the 2009 agreement until Minnkota Power has placed in service a new AC transmission line, which is anticipated to occur in mid-2014. This new AC transmission line will allow Minnkota Power to transmit its entitlement from Square Butte directly to its customers, which in turn will enable Minnesota Power to transmit additional wind generation on the existing DC transmission 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operations of our industrial customers, which make up a large portion of our sales portfolio as shown in the table above, are not typically subject to significant seasonal variations. As a result, Minnesota Power is generally not subject to significant seasonal fluctuations in electric sales; however, residential sales in 2013 were higher than 2012 as heating degree days in Duluth, Minnesota were approximately 22 percent higher in 2013 than 2012 as a result of unseasonably warm weather during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meet our customers’ electric requirements, we utilize a mix of Company generation and purchased power. The Company’s generation is primarily coal-fired, but also includes approximately 91 MW of hydroelectric generation from ten hydro stations in Minnesota, 317 MW of nameplate capacity wind generation, and 81 MW of biomass co-fired generation. Purchased power consists of long-term coal, wind and hydro PPAs as well as market purchases. The following table reflects the Company’s generating capabilities as of December 31, 2013, and total electrical output for 2013. Minnesota Power had an annual net peak load of 1,646 MW on August 20, 2013.</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60" w:type="dxa"/>
            <w:vAlign w:val="bottom"/>
          </w:tcPr>
          <w:p>
            <w:pPr>
              <w:jc w:val="center"/>
              <w:ind w:left="813"/>
              <w:spacing w:after="0"/>
              <w:rPr>
                <w:sz w:val="20"/>
                <w:szCs w:val="20"/>
                <w:color w:val="auto"/>
              </w:rPr>
            </w:pPr>
            <w:r>
              <w:rPr>
                <w:rFonts w:ascii="Arial" w:cs="Arial" w:eastAsia="Arial" w:hAnsi="Arial"/>
                <w:sz w:val="18"/>
                <w:szCs w:val="18"/>
                <w:b w:val="1"/>
                <w:bCs w:val="1"/>
                <w:color w:val="auto"/>
                <w:w w:val="92"/>
              </w:rPr>
              <w:t>Year Ended</w:t>
            </w:r>
          </w:p>
        </w:tc>
        <w:tc>
          <w:tcPr>
            <w:tcW w:w="880" w:type="dxa"/>
            <w:vAlign w:val="bottom"/>
          </w:tcPr>
          <w:p>
            <w:pPr>
              <w:spacing w:after="0"/>
              <w:rPr>
                <w:sz w:val="20"/>
                <w:szCs w:val="20"/>
                <w:color w:val="auto"/>
              </w:rPr>
            </w:pPr>
          </w:p>
        </w:tc>
      </w:tr>
      <w:tr>
        <w:trPr>
          <w:trHeight w:val="270"/>
        </w:trPr>
        <w:tc>
          <w:tcPr>
            <w:tcW w:w="50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 2013</w:t>
            </w:r>
          </w:p>
        </w:tc>
      </w:tr>
      <w:tr>
        <w:trPr>
          <w:trHeight w:val="270"/>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Regulated Utility Power Supply</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Capability</w:t>
            </w:r>
          </w:p>
        </w:tc>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Generation and Purchases</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2060" w:type="dxa"/>
            <w:vAlign w:val="bottom"/>
          </w:tcPr>
          <w:p>
            <w:pPr>
              <w:jc w:val="right"/>
              <w:ind w:right="953"/>
              <w:spacing w:after="0"/>
              <w:rPr>
                <w:sz w:val="20"/>
                <w:szCs w:val="20"/>
                <w:color w:val="auto"/>
              </w:rPr>
            </w:pPr>
            <w:r>
              <w:rPr>
                <w:rFonts w:ascii="Arial" w:cs="Arial" w:eastAsia="Arial" w:hAnsi="Arial"/>
                <w:sz w:val="18"/>
                <w:szCs w:val="18"/>
                <w:b w:val="1"/>
                <w:bCs w:val="1"/>
                <w:color w:val="auto"/>
              </w:rPr>
              <w:t>MWh</w:t>
            </w:r>
          </w:p>
        </w:tc>
        <w:tc>
          <w:tcPr>
            <w:tcW w:w="8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Coal-Fired</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Boswell Energy Center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Cohasset,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1960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506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2060" w:type="dxa"/>
            <w:vAlign w:val="bottom"/>
            <w:shd w:val="clear" w:color="auto" w:fill="CCEEFF"/>
          </w:tcPr>
          <w:p>
            <w:pPr>
              <w:jc w:val="right"/>
              <w:ind w:right="1773"/>
              <w:spacing w:after="0"/>
              <w:rPr>
                <w:sz w:val="20"/>
                <w:szCs w:val="20"/>
                <w:color w:val="auto"/>
              </w:rPr>
            </w:pPr>
            <w:r>
              <w:rPr>
                <w:rFonts w:ascii="Arial" w:cs="Arial" w:eastAsia="Arial" w:hAnsi="Arial"/>
                <w:sz w:val="14"/>
                <w:szCs w:val="14"/>
                <w:i w:val="1"/>
                <w:iCs w:val="1"/>
                <w:color w:val="auto"/>
              </w:rPr>
              <w:t>(a)</w:t>
            </w:r>
          </w:p>
        </w:tc>
        <w:tc>
          <w:tcPr>
            <w:tcW w:w="880" w:type="dxa"/>
            <w:vAlign w:val="bottom"/>
            <w:shd w:val="clear" w:color="auto" w:fill="CCEEFF"/>
          </w:tcPr>
          <w:p>
            <w:pPr>
              <w:spacing w:after="0"/>
              <w:rPr>
                <w:sz w:val="22"/>
                <w:szCs w:val="22"/>
                <w:color w:val="auto"/>
              </w:rPr>
            </w:pPr>
          </w:p>
        </w:tc>
      </w:tr>
      <w:tr>
        <w:trPr>
          <w:trHeight w:val="243"/>
        </w:trPr>
        <w:tc>
          <w:tcPr>
            <w:tcW w:w="5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6,869,392</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51.0</w:t>
            </w:r>
          </w:p>
        </w:tc>
      </w:tr>
      <w:tr>
        <w:trPr>
          <w:trHeight w:val="27"/>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Laskin Energy Center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2060" w:type="dxa"/>
            <w:vAlign w:val="bottom"/>
            <w:shd w:val="clear" w:color="auto" w:fill="CCEEFF"/>
          </w:tcPr>
          <w:p>
            <w:pPr>
              <w:jc w:val="right"/>
              <w:ind w:right="1773"/>
              <w:spacing w:after="0"/>
              <w:rPr>
                <w:sz w:val="20"/>
                <w:szCs w:val="20"/>
                <w:color w:val="auto"/>
              </w:rPr>
            </w:pPr>
            <w:r>
              <w:rPr>
                <w:rFonts w:ascii="Arial" w:cs="Arial" w:eastAsia="Arial" w:hAnsi="Arial"/>
                <w:sz w:val="14"/>
                <w:szCs w:val="14"/>
                <w:i w:val="1"/>
                <w:iCs w:val="1"/>
                <w:color w:val="auto"/>
              </w:rPr>
              <w:t>(b)</w:t>
            </w:r>
          </w:p>
        </w:tc>
        <w:tc>
          <w:tcPr>
            <w:tcW w:w="880" w:type="dxa"/>
            <w:vAlign w:val="bottom"/>
            <w:shd w:val="clear" w:color="auto" w:fill="CCEEFF"/>
          </w:tcPr>
          <w:p>
            <w:pPr>
              <w:spacing w:after="0"/>
              <w:rPr>
                <w:sz w:val="22"/>
                <w:szCs w:val="22"/>
                <w:color w:val="auto"/>
              </w:rPr>
            </w:pPr>
          </w:p>
        </w:tc>
      </w:tr>
      <w:tr>
        <w:trPr>
          <w:trHeight w:val="264"/>
        </w:trPr>
        <w:tc>
          <w:tcPr>
            <w:tcW w:w="5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 Hoyt Lakes, MN</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2060" w:type="dxa"/>
            <w:vAlign w:val="bottom"/>
            <w:tcBorders>
              <w:bottom w:val="single" w:sz="8" w:color="CCEEFF"/>
            </w:tcBorders>
          </w:tcPr>
          <w:p>
            <w:pPr>
              <w:jc w:val="right"/>
              <w:ind w:right="1773"/>
              <w:spacing w:after="0"/>
              <w:rPr>
                <w:sz w:val="20"/>
                <w:szCs w:val="20"/>
                <w:color w:val="auto"/>
              </w:rPr>
            </w:pPr>
            <w:r>
              <w:rPr>
                <w:rFonts w:ascii="Arial" w:cs="Arial" w:eastAsia="Arial" w:hAnsi="Arial"/>
                <w:sz w:val="14"/>
                <w:szCs w:val="14"/>
                <w:i w:val="1"/>
                <w:iCs w:val="1"/>
                <w:color w:val="auto"/>
              </w:rPr>
              <w:t>(b)</w:t>
            </w:r>
          </w:p>
        </w:tc>
        <w:tc>
          <w:tcPr>
            <w:tcW w:w="880" w:type="dxa"/>
            <w:vAlign w:val="bottom"/>
            <w:tcBorders>
              <w:bottom w:val="single" w:sz="8" w:color="CCEEFF"/>
            </w:tcBorders>
          </w:tcPr>
          <w:p>
            <w:pPr>
              <w:spacing w:after="0"/>
              <w:rPr>
                <w:sz w:val="22"/>
                <w:szCs w:val="22"/>
                <w:color w:val="auto"/>
              </w:rPr>
            </w:pPr>
          </w:p>
        </w:tc>
      </w:tr>
      <w:tr>
        <w:trPr>
          <w:trHeight w:val="270"/>
        </w:trPr>
        <w:tc>
          <w:tcPr>
            <w:tcW w:w="50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471,771</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r>
      <w:tr>
        <w:trPr>
          <w:trHeight w:val="237"/>
        </w:trPr>
        <w:tc>
          <w:tcPr>
            <w:tcW w:w="5060" w:type="dxa"/>
            <w:vAlign w:val="bottom"/>
          </w:tcPr>
          <w:p>
            <w:pPr>
              <w:ind w:left="280"/>
              <w:spacing w:after="0"/>
              <w:rPr>
                <w:sz w:val="20"/>
                <w:szCs w:val="20"/>
                <w:color w:val="auto"/>
              </w:rPr>
            </w:pPr>
            <w:r>
              <w:rPr>
                <w:rFonts w:ascii="Arial" w:cs="Arial" w:eastAsia="Arial" w:hAnsi="Arial"/>
                <w:sz w:val="18"/>
                <w:szCs w:val="18"/>
                <w:color w:val="auto"/>
              </w:rPr>
              <w:t>Taconite Harbor Energy Center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Schroeder,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4"/>
        </w:trPr>
        <w:tc>
          <w:tcPr>
            <w:tcW w:w="50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1967</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2060" w:type="dxa"/>
            <w:vAlign w:val="bottom"/>
            <w:tcBorders>
              <w:bottom w:val="single" w:sz="8" w:color="CCEEFF"/>
            </w:tcBorders>
          </w:tcPr>
          <w:p>
            <w:pPr>
              <w:jc w:val="right"/>
              <w:ind w:right="1773"/>
              <w:spacing w:after="0"/>
              <w:rPr>
                <w:sz w:val="20"/>
                <w:szCs w:val="20"/>
                <w:color w:val="auto"/>
              </w:rPr>
            </w:pPr>
            <w:r>
              <w:rPr>
                <w:rFonts w:ascii="Arial" w:cs="Arial" w:eastAsia="Arial" w:hAnsi="Arial"/>
                <w:sz w:val="14"/>
                <w:szCs w:val="14"/>
                <w:i w:val="1"/>
                <w:iCs w:val="1"/>
                <w:color w:val="auto"/>
              </w:rPr>
              <w:t>(b)</w:t>
            </w:r>
          </w:p>
        </w:tc>
        <w:tc>
          <w:tcPr>
            <w:tcW w:w="880" w:type="dxa"/>
            <w:vAlign w:val="bottom"/>
            <w:tcBorders>
              <w:bottom w:val="single" w:sz="8" w:color="CCEEFF"/>
            </w:tcBorders>
          </w:tcPr>
          <w:p>
            <w:pPr>
              <w:spacing w:after="0"/>
              <w:rPr>
                <w:sz w:val="22"/>
                <w:szCs w:val="22"/>
                <w:color w:val="auto"/>
              </w:rPr>
            </w:pPr>
          </w:p>
        </w:tc>
      </w:tr>
      <w:tr>
        <w:trPr>
          <w:trHeight w:val="275"/>
        </w:trPr>
        <w:tc>
          <w:tcPr>
            <w:tcW w:w="50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1,064,434</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Coal</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1,304</w:t>
            </w: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8,405,597</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62.4</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Biomass/Coal/Natural Gas</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Hibbard Renewable Energy Center in Duluth,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 &amp; 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1949, 1951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25,216</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0.2</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Cloquet Energy Center in Cloquet,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98,022</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Biomass/Coal/Natural Gas</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123,238</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0.9</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(c)</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Group consisting of ten stations in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190,273</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(d)</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Taconite Ridge Energy Center in Mt. Iron,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55,891</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0.4</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Bison Wind Energy Center in Oliver and Morton Counties, ND</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2010-2012</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780,799</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Wind</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317</w:t>
            </w: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836,690</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6.2</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Company Generation</w:t>
            </w:r>
          </w:p>
        </w:tc>
        <w:tc>
          <w:tcPr>
            <w:tcW w:w="10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9,555,798</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70.9</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Lignite Coal - Square Butte near Center, ND</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1,254,622</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Wind - Oliver County, ND</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307,595</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2.3</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Hydro - Manitoba Hydro in Winnipeg, MB, Canada</w:t>
            </w:r>
          </w:p>
        </w:tc>
        <w:tc>
          <w:tcPr>
            <w:tcW w:w="10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261,085</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Long-Term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1,823,302</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13.5</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(e</w:t>
            </w:r>
            <w:r>
              <w:rPr>
                <w:rFonts w:ascii="Arial" w:cs="Arial" w:eastAsia="Arial" w:hAnsi="Arial"/>
                <w:sz w:val="14"/>
                <w:szCs w:val="14"/>
                <w:i w:val="1"/>
                <w:iCs w:val="1"/>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2,106,725</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15.6</w:t>
            </w:r>
          </w:p>
        </w:tc>
      </w:tr>
      <w:tr>
        <w:trPr>
          <w:trHeight w:val="237"/>
        </w:trPr>
        <w:tc>
          <w:tcPr>
            <w:tcW w:w="50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3,930,027</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29.1</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13,485,825</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r>
      <w:tr>
        <w:trPr>
          <w:trHeight w:val="20"/>
        </w:trPr>
        <w:tc>
          <w:tcPr>
            <w:tcW w:w="50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ind w:left="340" w:hanging="332"/>
        <w:spacing w:after="0" w:line="251"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4. Jointly-Owned Facilities and Projects.)</w:t>
      </w:r>
    </w:p>
    <w:p>
      <w:pPr>
        <w:jc w:val="both"/>
        <w:ind w:left="340" w:hanging="332"/>
        <w:spacing w:after="0" w:line="26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Future plans for our Laskin Energy Center and Taconite Harbor Unit 3 are included in our “EnergyForward” plan which includes the conversion of Laskin from coal to natural gas in 2015 and the retiring of Taconite Harbor Unit 3 in 2015. (See Item 7. Management’s Discussion and Analysis of Financial Condition and Results of Operations </w:t>
      </w:r>
      <w:r>
        <w:rPr>
          <w:rFonts w:ascii="Arial" w:cs="Arial" w:eastAsia="Arial" w:hAnsi="Arial"/>
          <w:sz w:val="18"/>
          <w:szCs w:val="18"/>
          <w:color w:val="auto"/>
        </w:rPr>
        <w:t>–</w:t>
      </w:r>
      <w:r>
        <w:rPr>
          <w:rFonts w:ascii="Arial" w:cs="Arial" w:eastAsia="Arial" w:hAnsi="Arial"/>
          <w:sz w:val="16"/>
          <w:szCs w:val="16"/>
          <w:i w:val="1"/>
          <w:iCs w:val="1"/>
          <w:color w:val="auto"/>
        </w:rPr>
        <w:t xml:space="preserve"> Outlook </w:t>
      </w:r>
      <w:r>
        <w:rPr>
          <w:rFonts w:ascii="Arial" w:cs="Arial" w:eastAsia="Arial" w:hAnsi="Arial"/>
          <w:sz w:val="18"/>
          <w:szCs w:val="18"/>
          <w:color w:val="auto"/>
        </w:rPr>
        <w:t>–</w:t>
      </w:r>
      <w:r>
        <w:rPr>
          <w:rFonts w:ascii="Arial" w:cs="Arial" w:eastAsia="Arial" w:hAnsi="Arial"/>
          <w:sz w:val="16"/>
          <w:szCs w:val="16"/>
          <w:i w:val="1"/>
          <w:iCs w:val="1"/>
          <w:color w:val="auto"/>
        </w:rPr>
        <w:t xml:space="preserve"> EnergyForward.)</w:t>
      </w:r>
    </w:p>
    <w:p>
      <w:pPr>
        <w:ind w:left="340" w:hanging="332"/>
        <w:spacing w:after="0" w:line="263"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Thomson Energy Center is currently off-line due to damage to the forebay canal and flooding at the facility, which occurred in June 2012. (See Item 7. Management’s Discussion and Analysis of Financial Condition and Results of Operations </w:t>
      </w:r>
      <w:r>
        <w:rPr>
          <w:rFonts w:ascii="Arial" w:cs="Arial" w:eastAsia="Arial" w:hAnsi="Arial"/>
          <w:sz w:val="18"/>
          <w:szCs w:val="18"/>
          <w:color w:val="auto"/>
        </w:rPr>
        <w:t>–</w:t>
      </w:r>
      <w:r>
        <w:rPr>
          <w:rFonts w:ascii="Arial" w:cs="Arial" w:eastAsia="Arial" w:hAnsi="Arial"/>
          <w:sz w:val="16"/>
          <w:szCs w:val="16"/>
          <w:i w:val="1"/>
          <w:iCs w:val="1"/>
          <w:color w:val="auto"/>
        </w:rPr>
        <w:t xml:space="preserve"> Outlook </w:t>
      </w:r>
      <w:r>
        <w:rPr>
          <w:rFonts w:ascii="Arial" w:cs="Arial" w:eastAsia="Arial" w:hAnsi="Arial"/>
          <w:sz w:val="18"/>
          <w:szCs w:val="18"/>
          <w:color w:val="auto"/>
        </w:rPr>
        <w:t>–</w:t>
      </w:r>
      <w:r>
        <w:rPr>
          <w:rFonts w:ascii="Arial" w:cs="Arial" w:eastAsia="Arial" w:hAnsi="Arial"/>
          <w:sz w:val="16"/>
          <w:szCs w:val="16"/>
          <w:i w:val="1"/>
          <w:iCs w:val="1"/>
          <w:color w:val="auto"/>
        </w:rPr>
        <w:t xml:space="preserve"> Hydro Operations.)</w:t>
      </w:r>
    </w:p>
    <w:p>
      <w:pPr>
        <w:jc w:val="both"/>
        <w:ind w:left="340" w:hanging="332"/>
        <w:spacing w:after="0" w:line="24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Taconite Ridge consists of 10 wind turbine generator units with a total nameplate capacity of 25 MW. Bison Wind Energy Center consists of 101 wind turbine generator units, with a total nameplate capacity of 292 MW. The net capability reflected in the table is the actual accredited capacity of the facility, which is the amount of net generating capability associated with the facility for which capacity credit was obtained using limited historical data. As more data is collected, actual accredited capacity may increase.</w:t>
      </w:r>
    </w:p>
    <w:p>
      <w:pPr>
        <w:spacing w:after="0" w:line="3"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ectPr>
          <w:pgSz w:w="11900" w:h="16838" w:orient="portrait"/>
          <w:cols w:equalWidth="0" w:num="1">
            <w:col w:w="11420"/>
          </w:cols>
          <w:pgMar w:left="240" w:top="36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2013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Fuel</w:t>
      </w:r>
      <w:r>
        <w:rPr>
          <w:rFonts w:ascii="Arial" w:cs="Arial" w:eastAsia="Arial" w:hAnsi="Arial"/>
          <w:sz w:val="18"/>
          <w:szCs w:val="18"/>
          <w:color w:val="auto"/>
        </w:rPr>
        <w:t>. Minnesota Power purchases low-sulfur, sub-bituminous coal from the Powder River Basin region located in Montana and Wyoming. Coal consumption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2013 for electric generation at Minnesota Power’s coal-fired generating stations was 5.1 million tons. As of December 31, 2013, Minnesota Power had a coal inventory of 0.4 million tons. Fuel inventory was lower in 2013 primarily due to higher than expected thermal generation and the timing of coal shipments. Minnesota Power’s coal supply agreements have expiration dates through 2015. In 2014, Minnesota Power expects to obtain coal under these coal supply agreements and in the spot market. Minnesota Power also continues to explore other future coal supply options. We believe that adequate supplies of low-sulfur, sub-bituminous coal will continue to be available.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also has transportation agreements in place for the delivery of a significant portion of its coal requirements. These transportation agreements have expiration dates through 2015. Currently, Minnesota Power is in discussions regarding the extension of our coal supply and transportation contracts beyond 2015. The delivered costs of fuel for Minnesota Power’s generation are recoverable from Minnesota Power’s utility customers through the fuel adjustment clause.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Coal Delivered to Minnesota Power</w:t>
            </w:r>
          </w:p>
        </w:tc>
        <w:tc>
          <w:tcPr>
            <w:tcW w:w="3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6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Ton</w:t>
            </w:r>
          </w:p>
        </w:tc>
        <w:tc>
          <w:tcPr>
            <w:tcW w:w="3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$28.90</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$29.58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Average Price per MBtu</w:t>
            </w:r>
          </w:p>
        </w:tc>
        <w:tc>
          <w:tcPr>
            <w:tcW w:w="3600" w:type="dxa"/>
            <w:vAlign w:val="bottom"/>
          </w:tcPr>
          <w:p>
            <w:pPr>
              <w:jc w:val="right"/>
              <w:ind w:right="350"/>
              <w:spacing w:after="0"/>
              <w:rPr>
                <w:sz w:val="20"/>
                <w:szCs w:val="20"/>
                <w:color w:val="auto"/>
              </w:rPr>
            </w:pPr>
            <w:r>
              <w:rPr>
                <w:rFonts w:ascii="Arial" w:cs="Arial" w:eastAsia="Arial" w:hAnsi="Arial"/>
                <w:sz w:val="18"/>
                <w:szCs w:val="18"/>
                <w:color w:val="auto"/>
              </w:rPr>
              <w:t>$1.60</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$1.64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hydro</w:t>
      </w:r>
      <w:r>
        <w:rPr>
          <w:rFonts w:ascii="Arial" w:cs="Arial" w:eastAsia="Arial" w:hAnsi="Arial"/>
          <w:sz w:val="18"/>
          <w:szCs w:val="18"/>
          <w:b w:val="1"/>
          <w:bCs w:val="1"/>
          <w:color w:val="auto"/>
        </w:rPr>
        <w:t xml:space="preserve"> </w:t>
      </w:r>
      <w:r>
        <w:rPr>
          <w:rFonts w:ascii="Arial" w:cs="Arial" w:eastAsia="Arial" w:hAnsi="Arial"/>
          <w:sz w:val="18"/>
          <w:szCs w:val="18"/>
          <w:color w:val="auto"/>
        </w:rPr>
        <w:t>and wind generating facilities.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Under the long-term agreement with Square Butte, which expires at the end of 2026, Minnesota Power is currently entitled to 50 percent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of a 455-MW coal-fired generating unit located near Center, North Dakota. (See Note 12. Commitments, Guarantees and Contingencies.) BNI Coal supplies lignite coal to Square Butte. This lignite supply is sufficient to provide fuel for the anticipated useful life of the generating unit. Square Butte’s cost of lignite burned in 2013 was approximately $1.72 per MBtu.</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over the term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2011, Minnesota Power and Manitoba Hydro signed an additional long-term PPA. The PPA calls for Manitoba Hydro to sell 250 MW of capacity and energy to Minnesota Power for 15 years beginning in 2020 and is subject to construction of additional transmission capacity between Manitoba and the U.S., along with construction of new hydroelectric generating capacity in Manitoba (See Item 1. Business – Regulated Operations – Transmission and Distribution.)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electric transmission and distribution lines of 500 kV (8 miles), 345 kV (29 miles), 250 kV (465 miles), 230 kV (814 miles), 161 kV (43 miles), 138 kV (128 miles), 115 kV (1,244 miles) and less than 115 kV (6,264 miles). We own and operate 172 substations with a total capacity of 11,110 megavoltamperes. Some of our transmission and distribution lines interconnect with other utilities.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in August 2012. The entire 238-mile, 345 kV line from Fargo to Monticello is expected to be in service by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$80.5 million was spent through December 31, 2013, of which $69.6 million related to the Fargo, North Dakota to Monticello, Minnesota projects and $10.9 million related to the Bemidji, Minnesota to Minnesota Power’s Boswell Energy Center project ($48.2 million as of December 31, 2012 of which $37.3 million related to the Fargo, North Dakota to Monticello, Minnesota projects and $10.9 million related to the Bemidji, Minnesota to Minnesota Power’s Boswell Energy Center project). As future CapX2020 projects are identified, Minnesota Power may elect to participate on a project-by-project basis.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(See Item 1. Business – Regulated Operations – Power Supply.) As a result, Minnesota Power and Manitoba Hydro proposed construction of the GNTL, an approximately 240-mile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GNTL is subject to various federal and state regulatory approvals. Before a large energy facility can be sited or constructed in Minnesota, the MPUC requires a Certificate of Need, which was filed on October 21, 2013. In an order dated January 8, 2014, the MPUC determined the Certificate of Need application was complete and referred the docket to an administrative law judge for a contested case proceeding.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Minnesota Power’s portion of capital expenditures for the GNTL is estimated to be approximately $300 million depending on the final route of the line, reflecting approximately 51 percent of the total line cost.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ATC Joint Development. </w:t>
      </w:r>
      <w:r>
        <w:rPr>
          <w:rFonts w:ascii="Arial" w:cs="Arial" w:eastAsia="Arial" w:hAnsi="Arial"/>
          <w:sz w:val="18"/>
          <w:szCs w:val="18"/>
          <w:color w:val="auto"/>
        </w:rPr>
        <w:t>Minnesota Power and ATC are evaluating the joint development of a 345 kV transmission line from Minnesota’s Iron Range to</w:t>
      </w:r>
      <w:r>
        <w:rPr>
          <w:rFonts w:ascii="Arial" w:cs="Arial" w:eastAsia="Arial" w:hAnsi="Arial"/>
          <w:sz w:val="18"/>
          <w:szCs w:val="18"/>
          <w:i w:val="1"/>
          <w:iCs w:val="1"/>
          <w:color w:val="auto"/>
        </w:rPr>
        <w:t xml:space="preserve"> </w:t>
      </w:r>
      <w:r>
        <w:rPr>
          <w:rFonts w:ascii="Arial" w:cs="Arial" w:eastAsia="Arial" w:hAnsi="Arial"/>
          <w:sz w:val="18"/>
          <w:szCs w:val="18"/>
          <w:color w:val="auto"/>
        </w:rPr>
        <w:t>Duluth, Minnesota, for service after 2020, connecting to the GNTL. This is in addition to assessing transmission alternatives in Wisconsin that would allow for the movement of more renewable energy in the Upper Midwest while at the same time strengthening electric reliability in the region. Total project costs, ownership shares and cost allocation are still to be determined.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Rainy River Energy, our wholly-owned subsidiary,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December 31, 2013, our equity investment in ATC was $114.6 million ($107.3 million at December 31, 2012). (See Note 6. Investment in ATC.)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2013, ATC updated its 10-year transmission assessment covering the years 2013 through 2022 which identifies a need for between $3.0 and $3.6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the FERC, MISO, PJM Interconnection LLC and various other independent system operators and state regulatory authorities. We intend to maintain our pro rata investment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own office and service buildings, an energy control center, repair shops, and storerooms in various localities. All of our electric plants are subject to mortgages, which collateralize the outstanding first mortgage bonds of Minnesota Power and SWL&amp;P. All of our generating plants and most of our substations are located on real property owned by us, subject to the lien of a mortgage, whereas most of our electric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4. Jointly-Owned Facilities and Projects.)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the jurisdiction of various regulatory authorities and other organizations. The MPUC has regulatory authority over Minnesota Power’s retail service area in Minnesota, retail rates, retail services, capital structure, issuance of securities and other matters. The FERC has jurisdiction over the licensing of hydroelectric projects, the establishment of rates and charges for transmission of electricity in interstate commerce and electricity sold at wholesale (including the rates for our municipal customers), natural gas transportation, certain accounting and record-keeping practices, certain activities of our regulated utilities, and the operations of ATC. The NERC has been certified by the FERC as the national electric reliability organization and has jurisdiction over certain aspects of the Company’s generation and transmission operations, including cybersecurity relating to generation and transmission reliability. The PSCW has regulatory authority over SWL&amp;P’s retail sales of electricity, natural gas, water, issuances of securities, and other matters. The NDPSC has jurisdiction over site and route permitting of generation and transmission facilities necessary for construction in North Dakota.</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w:t>
      </w:r>
      <w:r>
        <w:rPr>
          <w:rFonts w:ascii="Arial" w:cs="Arial" w:eastAsia="Arial" w:hAnsi="Arial"/>
          <w:sz w:val="18"/>
          <w:szCs w:val="18"/>
          <w:b w:val="1"/>
          <w:bCs w:val="1"/>
          <w:color w:val="auto"/>
        </w:rPr>
        <w:t xml:space="preserve"> </w:t>
      </w:r>
      <w:r>
        <w:rPr>
          <w:rFonts w:ascii="Arial" w:cs="Arial" w:eastAsia="Arial" w:hAnsi="Arial"/>
          <w:sz w:val="18"/>
          <w:szCs w:val="18"/>
          <w:color w:val="auto"/>
        </w:rPr>
        <w:t>designs its retail electric service rates based on cost of service studies under which allocations are made to the various classes of customers as approved by the MPUC. Nearly all retail sales include billing adjustment clauses, which adjust electric service rates for changes in the cost of fuel and purchased energy, recovery of current and deferred conservation improvement program expenditures and recovery of certain environmental, transmission and renewable expenditures.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published by the Edison Electric Institute (</w:t>
      </w:r>
      <w:r>
        <w:rPr>
          <w:rFonts w:ascii="Arial" w:cs="Arial" w:eastAsia="Arial" w:hAnsi="Arial"/>
          <w:sz w:val="18"/>
          <w:szCs w:val="18"/>
          <w:i w:val="1"/>
          <w:iCs w:val="1"/>
          <w:color w:val="auto"/>
        </w:rPr>
        <w:t>Typical Bills and Average Rates Report – Summer 2013</w:t>
      </w:r>
      <w:r>
        <w:rPr>
          <w:rFonts w:ascii="Arial" w:cs="Arial" w:eastAsia="Arial" w:hAnsi="Arial"/>
          <w:sz w:val="18"/>
          <w:szCs w:val="18"/>
          <w:color w:val="auto"/>
        </w:rPr>
        <w:t xml:space="preserve"> and </w:t>
      </w:r>
      <w:r>
        <w:rPr>
          <w:rFonts w:ascii="Arial" w:cs="Arial" w:eastAsia="Arial" w:hAnsi="Arial"/>
          <w:sz w:val="18"/>
          <w:szCs w:val="18"/>
          <w:i w:val="1"/>
          <w:iCs w:val="1"/>
          <w:color w:val="auto"/>
        </w:rPr>
        <w:t>Rankings – July 1, 2013</w:t>
      </w:r>
      <w:r>
        <w:rPr>
          <w:rFonts w:ascii="Arial" w:cs="Arial" w:eastAsia="Arial" w:hAnsi="Arial"/>
          <w:sz w:val="18"/>
          <w:szCs w:val="18"/>
          <w:color w:val="auto"/>
        </w:rPr>
        <w:t>) ranked Minnesota Power as having the fourth lowest average retail rates out of 165 utilities in the U.S. Minnesota Power had the lowest rates in Minnesota and second lowest in the region consisting of Iowa, Kansas, Minnesota, Missouri, North Dakota, South Dakota and Wisconsin.</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retail service area in Minnesota, retail rates,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capital structure, issuance of securities and other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Minnesota Power’s current retail rates are based on a 2011 MPUC retail rate order, effective June 1, 2011, that allowed for a 10.38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and a 54.29 percent equity ratio.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Renewable Cost Recovery Rider. </w:t>
      </w:r>
      <w:r>
        <w:rPr>
          <w:rFonts w:ascii="Arial" w:cs="Arial" w:eastAsia="Arial" w:hAnsi="Arial"/>
          <w:sz w:val="16"/>
          <w:szCs w:val="16"/>
          <w:color w:val="auto"/>
        </w:rPr>
        <w:t>The Bison Wind Energy Center in North Dakota currently consists of 292 MW of nameplate capacity and was completed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phases through 2012. Customer billing rates for our Bison Wind Energy Center were approved by the MPUC in an order dated December 3, 2013.</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25, 2013, the NDPSC approved the site permit for construction of Bison 4, a 205 MW wind project in North Dakota, which is an addition to our Bison Wind Energy Center. As a result, construction has commenced and is expected to be completed by the end of 2014. The total project investment for Bison 4 is estimated to be approximately $345 million, of which $55.6 million was spent through December 31, 2013. On January 17, 2014, the MPUC approved Minnesota Power’s petition seeking cost recovery for investments and expenditures related to Bison 4. We anticipate including Bison 4 as part of our renewable resources rider factor filing along with the Company’s other renewable projects in the first quarter of 2014, which upon approval, authorizes updated rates to be included on customer bills.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In an order dated November 12, 2013, the MPUC approved Minnesota Power’s 2013 Integrated Resource Plan which details our</w:t>
      </w:r>
      <w:r>
        <w:rPr>
          <w:rFonts w:ascii="Arial" w:cs="Arial" w:eastAsia="Arial" w:hAnsi="Arial"/>
          <w:sz w:val="17"/>
          <w:szCs w:val="17"/>
          <w:i w:val="1"/>
          <w:iCs w:val="1"/>
          <w:color w:val="auto"/>
        </w:rPr>
        <w:t xml:space="preserve"> </w:t>
      </w:r>
      <w:r>
        <w:rPr>
          <w:rFonts w:ascii="Arial" w:cs="Arial" w:eastAsia="Arial" w:hAnsi="Arial"/>
          <w:sz w:val="17"/>
          <w:szCs w:val="17"/>
          <w:color w:val="auto"/>
        </w:rPr>
        <w:t>“EnergyForward” strategic plan (see Item 7. Management’s Discussion and Analysis of Financial Condition and Results of Operations – Outlook – EnergyForward), and includes an analysis of a variety of existing and future energy resource alternatives and a projection of customer cost impact by class. Significant elements of the “EnergyForward” plan include major wind investments in North Dakota, installation of emissions control technology at our Boswell Unit 4, planning for the proposed GNTL, conversion of Laskin from coal to cleaner-burning natural gas in 2015 and retiring Taconite Harbor Unit 3 in 2015. (See Item 7. Management’s Discussion and Analysis of Financial Condition and Results of Operations – Outlook – EnergyForward.)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 comply</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$310 million. On November 5, 2013, the MPUC issued an order approving the Boswell Unit 4 mercury emissions reduction plan and cost recovery, establishing an environmental improvement rider. On November 25, 2013, environmental intervenors filed a petition for reconsideration with the MPUC which was subsequently denied in an order dated January 17, 2014. On December 20, 2013, Minnesota Power filed a petition with the MPUC to establish customer billing rates for the approved environmental improvement rider based on actual and estimated investments and expenditures, which is expected to be approved in the second quarter of 2014.</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12, 2013, the MPUC approved Minnesota Power’s updated billing factor which allows Minnesota Power to charge retail customers on a current basis for the costs of constructing certain transmission facilities plus a return on the capital invested. We anticipate filing a petition in the first quarter of 2014 to include additional transmission investments and expenditures in customer billing rates.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Minnesota Power and Manitoba Hydro have proposed construction of the GNTL, an approximately 240-mile 500</w:t>
      </w:r>
      <w:r>
        <w:rPr>
          <w:rFonts w:ascii="Arial" w:cs="Arial" w:eastAsia="Arial" w:hAnsi="Arial"/>
          <w:sz w:val="18"/>
          <w:szCs w:val="18"/>
          <w:i w:val="1"/>
          <w:iCs w:val="1"/>
          <w:color w:val="auto"/>
        </w:rPr>
        <w:t xml:space="preserve"> </w:t>
      </w:r>
      <w:r>
        <w:rPr>
          <w:rFonts w:ascii="Arial" w:cs="Arial" w:eastAsia="Arial" w:hAnsi="Arial"/>
          <w:sz w:val="18"/>
          <w:szCs w:val="18"/>
          <w:color w:val="auto"/>
        </w:rPr>
        <w:t>kV transmission line between Manitoba and Minnesota’s Iron Range. The GNTL is subject to various federal and state regulatory approvals. On October 21, 2013, a Certificate of Need application was filed with the MPUC with respect to the GNTL. In an order dated January 8, 2014, the MPUC determined that the Certificate of Need application was complete and referred the docket to an administrative law judge for a contested case proceeding.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(See Item 1. Business – Regulated Operations – Transmission and Distribution.)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Rapids Energy Center. </w:t>
      </w:r>
      <w:r>
        <w:rPr>
          <w:rFonts w:ascii="Arial" w:cs="Arial" w:eastAsia="Arial" w:hAnsi="Arial"/>
          <w:sz w:val="16"/>
          <w:szCs w:val="16"/>
          <w:color w:val="auto"/>
        </w:rPr>
        <w:t>In December 2012, Minnesota Power filed with the MPUC for approval to transfer the assets of Rapids Energy Center from non-rate</w:t>
      </w:r>
      <w:r>
        <w:rPr>
          <w:rFonts w:ascii="Arial" w:cs="Arial" w:eastAsia="Arial" w:hAnsi="Arial"/>
          <w:sz w:val="16"/>
          <w:szCs w:val="16"/>
          <w:i w:val="1"/>
          <w:iCs w:val="1"/>
          <w:color w:val="auto"/>
        </w:rPr>
        <w:t xml:space="preserve"> </w:t>
      </w:r>
      <w:r>
        <w:rPr>
          <w:rFonts w:ascii="Arial" w:cs="Arial" w:eastAsia="Arial" w:hAnsi="Arial"/>
          <w:sz w:val="16"/>
          <w:szCs w:val="16"/>
          <w:color w:val="auto"/>
        </w:rPr>
        <w:t>base generation to Minnesota Power’s Regulated Operations. Rapids Energy Center is a generation facility that is located at the UPM, Blandin Paper Mill. On October 9, 2013, the MPUC issued an order denying, without prejudice, the transfer of assets from non-rate base generation to Minnesota Power’s Regulated Operations. This decision had no impact on the Company’s consolidated financial position, results of operations, or cash flows.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The Patient Protection and Affordable Care Act of 2010 (PPACA). </w:t>
      </w:r>
      <w:r>
        <w:rPr>
          <w:rFonts w:ascii="Arial" w:cs="Arial" w:eastAsia="Arial" w:hAnsi="Arial"/>
          <w:sz w:val="17"/>
          <w:szCs w:val="17"/>
          <w:color w:val="auto"/>
        </w:rPr>
        <w:t>In March 2010, the PPACA was signed into law. One of the provisions changed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the PPACA. In May 2011, the MPUC approved our request for deferral until the next rate case and as a result we recorded an income tax benefit of $2.9 million and a related regulatory asset of $5.0 million in the second quarter of 2011.</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Conservation Improvement Program (CIP). </w:t>
      </w:r>
      <w:r>
        <w:rPr>
          <w:rFonts w:ascii="Arial" w:cs="Arial" w:eastAsia="Arial" w:hAnsi="Arial"/>
          <w:sz w:val="17"/>
          <w:szCs w:val="17"/>
          <w:color w:val="auto"/>
        </w:rPr>
        <w:t>Minnesota requires electric utilities to spend a minimum of 1.5 percent of net gross operating revenues from</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provided in the state on energy CIPs each year. These investments are recovered from certain retail customers through a combination of the conservation cost recovery charge included in retail base rates and a conservation program adjustment, which is adjusted annually through the CIP consolidated filing. The MPUC allows utilities to accumulate, in a deferred account for future cost recovery, all CIP expenditures, any financial incentive earned for cost-effective program achievements, and a carrying charge on the deferred account balance. Minnesota’s Next Generation Energy Act of 2007 introduced, in addition to the minimum spending requirements, an energy-saving goal of 1.5 percent of net gross annual retail electric energy sales beginning with program year 2010. In June 2010, Minnesota Power submitted a triennial filing for 2011 through 2013, which was subsequently approved by the Minnesota Department of Commerce. Minnesota Power’s CIP investment goal was $6.0 million for 2013 ($6.0 million for 2012; $5.9 million for 2011), with actual spending of $6.4 million in 2013 ($6.8 million in 2012; $6.3 million in 2011). On June 3, 2013, Minnesota Power submitted a triennial filing for 2014 through 2016, which was approved by the Minnesota Department of Commerce on October 10, 2013.</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light of the changes in the Next Generation Energy Act of 2007, the MPUC adjusted the utility performance incentive to recognize utilities for making progress toward and meeting the energy-savings goals established. This new incentive mechanism became effective beginning with the 2010 program year. On April 1, 2013, Minnesota Power submitted its 2012 CIP consolidated filing that calculated CIP financial incentives based upon the MPUC’s new mechanism. The total requested incentive was $7.1 million in 2013 ($7.8 million in 2012 related to the 2011 CIP consolidated filing). The requested CIP financial incentive was approved by the MPUC in an order dated October 15, 2013, and was recorded as revenue and as a regulatory asset.</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of electricity in interstate commerce and electricity sold at wholesale (including the rates for our municipal customers), natural gas transportation, certain accounting and record-keeping practices, certain activities of our regulated utilities, and the operations of ATC. FERC jurisdiction also includes enforcement of NERC mandatory electric reliability standards. Violations of FERC rules are potentially subject to enforcement action by the FERC including financial penalties up to $1 million per day per violation.</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Minnesota Power’s non-affiliated municipal customers consist of 16 municipalities in Minnesota. SWL&amp;P, a wholly-owned subsidiary of ALLETE and a Wisconsin utility, is also a customer of Minnesota Power. Minnesota Power’s formula-based rate contract with the Nashwauk Public Utilities Commission is effective through June 30, 2024, and the restated formula-based rate contracts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contract, no termination notice may be given prior to July 1, 2021. Under the restated contracts, no termination notices may be given prior to June 30, 2016. A previous municipal customer, which is a Wisconsin utility, terminated its contract effective December 31, 2013. The 17 MW of average monthly demand provided to this wholesale customer is expected to be used to supply power for prospective additional retail and municipal load.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and water, issuances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SWL&amp;P’s current retail rates are based on a 2012 PSCW retail rate order, effective January 1, 2013, that allowed for a 10.9 percent return on common equity.</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25, 2013, the NDPSC approved the site permit for construction of Bison 4, a 205 MW wind project in North Dakota, which is an addition to our Bison Wind Energy Center. As a result, construction has commenced and is expected to be completed by the end of 2014. The total project investment for Bison 4 is estimated to be approximately $345 million, of which $55.6 million was spent through December 31,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Midcontinent Independent System Operator, Inc. (MISO). </w:t>
      </w:r>
      <w:r>
        <w:rPr>
          <w:rFonts w:ascii="Arial" w:cs="Arial" w:eastAsia="Arial" w:hAnsi="Arial"/>
          <w:sz w:val="18"/>
          <w:szCs w:val="18"/>
          <w:color w:val="auto"/>
        </w:rPr>
        <w:t>Minnesota Power and SWL&amp;P are members of MISO, a regional transmission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While Minnesota Power and SWL&amp;P retain ownership of their respective transmission assets, their transmission networks are under the regional operational control of MISO. Minnesota Power and SWL&amp;P take and provide transmission service under the MISO open access transmission tariff. MISO continues its efforts to standardize rates, terms, and conditions of transmission service over its region, which encompasses all or parts of 15 states and the Canadian province of Manitoba, and over 100,000 MW of generating capacity.</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North American Electric Reliability Corporation (NERC). </w:t>
      </w:r>
      <w:r>
        <w:rPr>
          <w:rFonts w:ascii="Arial" w:cs="Arial" w:eastAsia="Arial" w:hAnsi="Arial"/>
          <w:sz w:val="17"/>
          <w:szCs w:val="17"/>
          <w:color w:val="auto"/>
        </w:rPr>
        <w:t>The NERC has been certified by the FERC as the national electric reliability organization.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NERC ensures the reliability and security of the North American bulk power system. The NERC oversees eight regional entities that establish requirements, approved by the FERC, for reliable operation and maintenance of power generation facilities and transmission systems. Minnesota Power is subject to these reliability requirements and can incur significant penalties for failing to comply with them.</w:t>
      </w:r>
    </w:p>
    <w:p>
      <w:pPr>
        <w:spacing w:after="0" w:line="16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Midwest Reliability Organization (MRO). </w:t>
      </w:r>
      <w:r>
        <w:rPr>
          <w:rFonts w:ascii="Arial" w:cs="Arial" w:eastAsia="Arial" w:hAnsi="Arial"/>
          <w:sz w:val="16"/>
          <w:szCs w:val="16"/>
          <w:color w:val="auto"/>
        </w:rPr>
        <w:t>Minnesota Power is a member of the MRO, one of the eight regional entities overseen by the NERC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(1) developing and implementing electricity reliability standards; (2) enforcing compliance with those standards; (3) providing seasonal and long-term assessments of the bulk power system’s ability to meet demand for electricity; and (4) providing an appeals and dispute resolution process.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MRO region spans the Canadian provinces of Saskatchewan and Manitoba, all of North Dakota, Minnesota, Nebraska and the majority of South Dakota, Iowa and Wisconsin. The region includes more than 100 organizations that are involved in the production and delivery of power to more than 20 million people. These organizations include municipal utilities, cooperatives, investor-owned utilities, a federal power marketing agency, Canadian Crown corporations, independent power producers and others who have interests in the reliability of the bulk power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Renewable Energy. </w:t>
      </w:r>
      <w:r>
        <w:rPr>
          <w:rFonts w:ascii="Arial" w:cs="Arial" w:eastAsia="Arial" w:hAnsi="Arial"/>
          <w:sz w:val="16"/>
          <w:szCs w:val="16"/>
          <w:color w:val="auto"/>
        </w:rPr>
        <w:t>In February 2007, Minnesota enacted a law requiring 25 percent of Minnesota Power’s total retail and municipal energy sales in</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2013 Integrated Resource Plan. Minnesota Power’s 2013 Integrated Resource Plan, which was approved by the MPUC in an order dated November 12, 2013, included an update on its plans and progress in meeting the Minnesota renewable energy milestones through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 (Continued)</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Minnesota Power continues to execute its renewable energy strategy through key renewable projects that will ensure we meet the identified state mandate at the lowest cost for customers. Our wind energy facilities consist of our 292 MW Bison Wind Energy Center located in North Dakota completed in various phases through 2012, and our 25 MW Taconite Ridge Energy Center located in northeastern Minnesota completed in 2008. Construction is also in progress for our 205 MW, Bison 4 Wind Project located in North Dakota, which is an addition to our Bison Wind Energy Center. We also have two long-term wind PPAs with an affiliate of NextEra Energy, Inc. to purchase the output from Oliver Wind I (50 MW) and Oliver Wind II (48 MW) located in North Dakota. We expect 19 percent of the Company’s total retail and municipal energy sales will be supplied by renewable energy sources in 2014.</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Minnesota Solar Mandate. </w:t>
      </w:r>
      <w:r>
        <w:rPr>
          <w:rFonts w:ascii="Arial" w:cs="Arial" w:eastAsia="Arial" w:hAnsi="Arial"/>
          <w:sz w:val="16"/>
          <w:szCs w:val="16"/>
          <w:color w:val="auto"/>
        </w:rPr>
        <w:t>In May 2013, legislation was enacted by the state of Minnesota requiring at least 1.5 percent of total retail electric sales,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sales to certain industrial customers, to be generated by solar energy by the end of 2020. At least ten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investment is expected to be recovered in customer 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may be allowed to choose a supplier upon MPUC approval. Minnesota Power serves 10 Large Power facilities over 10 MW, none of which have engaged in a competitive rate process. No other large commercial or small industrial customers in Minnesota Power’s service territory have attempted to seek a provider outside Minnesota Power’s service territory since 1994.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2013, 8 percent of the Company’s electric energy sales were to municipal customers in Minnesota and a non-affiliated utility in Wisconsin by contract under a formula-based rate approved by FERC. These customers have the right to seek an energy supply from any wholesale electric service provider upon contract expiration. Effective December 31, 2013, the non-affiliated Wisconsin utility terminated its contract. The 17 MW of average monthly demand provided to this wholesale customer is expected to be used to supply power for prospective additional retail and municipal load. (See Item 1. Business – Regulated Operations – Regulatory Matters.)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more competitive wholesale market through open-access electric transmission and other means. As a result, our electric sales to Other Power Suppliers and our purchases to supply our retail and wholesale load are made in the competitive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91 cities. The remaining cities, villages and towns served by us do not require a franchise to operate. SWL&amp;P serves customers with electric, natural gas and/or water systems in 1 city and 16 villages and towns.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Investments and Other is comprised primarily of BNI Coal, our coal mining operations in North Dakota, ALLETE Properties, our Florida real estate 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5,000 acres of land in Minnesota, and earnings on cash and investments.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Coal</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BNI Coal is a supplier of lignite in North Dakota, producing about 4 million tons annually. Two electric generating cooperatives, Minnkota Power and Square Butte, presently consume virtually all of BNI Coal’s production of lignite under a cost plus fixed fee coal supply agreement extending to May 1, 2027. (See Item 1. Business – Regulated Operations – Power Supply – Long-Term Purchased Power and Note 12. Commitments, Guarantees and Contingencies.) The mining process disturbs and reclaims between 200 and 250 acres per year. Laws require that the reclaimed land be at least as productive as it was prior to mining. As of December 31, 2013, BNI Coal had a $12.4 million asset reclamation obligation ($11.0 million at December 31, 2012) included in other non-current liabilities on our Consolidated Balance Sheet. These costs are included in the cost plus fixed fee contract, for which an asset reclamation cost receivable was included in other non-current assets on our Consolidated Balance Sheet. The asset reclamation obligation is guaranteed by surety bonds and a letter of credit. (See Note 12. Commitments, Guarantees and Contingencies.) BNI Coal has lignite reserves of an estimated 650 million tons.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sell the portfolio when opportunities arise and reinvest the proceeds in our growth initiatives. ALLETE does not intend to acquire additional Florida real estate.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 See Item 7. Management’s Discussion and Analysis of Financial Condition and Results of Operations – Outlook for more information on ALLETE Properties’ land holdings.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certain qualified buyers. At December 31, 2013,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$1.4 million, net of reserves, with maturities through 2014. These finance receivables accrue interest at market-based rates and are collateralized by the financed properties.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2011, we established ALLETE Clean Energy, a wholly-owned subsidiary of ALLETE. ALLETE Clean Energy operates independently of Minnesota Power to develop or acquire capital projects aimed at creating energy solutions via wind, solar, biomass, midstream gas and oil infrastructure, among other energy-related projects. ALLETE Clean Energy intends to market to electric utilities, cooperatives, municipalities, independent power marketers and large end-users across North America through long-term contracts or other sale arrangements. In August 2011, the Company filed with the MPUC for approval of certain affiliated interest agreements between ALLETE and ALLETE Clean Energy. (See Item 1. Business – Regulated Operations – Regulatory Matters.)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30, 2014, ALLETE Clean Energy acquired wind energy facilities located in Lake Benton, Minnesota (Lake Benton), Storm Lake, Iowa (Storm Lake) and Condon, Oregon (Condon) from The AES Corporation (AES) for approximately $27 million, subject to a working capital adjustment. The acquisition was financed with cash from operations. The necessary FERC approvals were received in December 2013. ALLETE Clean Energy also has an option to acquire a fourth wind facility from AES in Armenia Mountain, Pennsylvania (Armenia Mountain), in June 2015.</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Lake Benton, Storm Lake and Condon facilities have 104 MW, 77 MW and 50 MW of generating capability, respectively. Lake Benton and Storm Lake began commercial operations in 1999,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from AES in June 2015. Armenia Mountain began operations in 2009.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2013, non-rate base generation consists of 27 MW of generation at Rapids Energy Center. In 2013, we sold 0.1 million MWh of non-rate base generation (0.1 million in 2012 and 0.1 million in 2011).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Capability</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Non-Rate Base Power Supply</w:t>
            </w:r>
          </w:p>
        </w:tc>
        <w:tc>
          <w:tcPr>
            <w:tcW w:w="2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2"/>
              </w:rPr>
              <w:t>Unit No.</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r>
      <w:tr>
        <w:trPr>
          <w:trHeight w:val="27"/>
        </w:trPr>
        <w:tc>
          <w:tcPr>
            <w:tcW w:w="4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8"/>
                <w:szCs w:val="18"/>
                <w:i w:val="1"/>
                <w:iCs w:val="1"/>
                <w:color w:val="auto"/>
              </w:rPr>
              <w:t>(a)</w:t>
            </w:r>
          </w:p>
        </w:tc>
        <w:tc>
          <w:tcPr>
            <w:tcW w:w="2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Grand Rapids, MN</w:t>
            </w:r>
          </w:p>
        </w:tc>
        <w:tc>
          <w:tcPr>
            <w:tcW w:w="2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8"/>
                <w:szCs w:val="18"/>
                <w:color w:val="auto"/>
              </w:rPr>
              <w:t xml:space="preserve">Steam – Biomass </w:t>
            </w:r>
            <w:r>
              <w:rPr>
                <w:rFonts w:ascii="Arial" w:cs="Arial" w:eastAsia="Arial" w:hAnsi="Arial"/>
                <w:sz w:val="18"/>
                <w:szCs w:val="18"/>
                <w:i w:val="1"/>
                <w:iCs w:val="1"/>
                <w:color w:val="auto"/>
              </w:rPr>
              <w:t>(b)</w:t>
            </w:r>
          </w:p>
        </w:tc>
        <w:tc>
          <w:tcPr>
            <w:tcW w:w="2620" w:type="dxa"/>
            <w:vAlign w:val="bottom"/>
          </w:tcPr>
          <w:p>
            <w:pPr>
              <w:jc w:val="center"/>
              <w:ind w:left="1250"/>
              <w:spacing w:after="0"/>
              <w:rPr>
                <w:sz w:val="20"/>
                <w:szCs w:val="20"/>
                <w:color w:val="auto"/>
              </w:rPr>
            </w:pPr>
            <w:r>
              <w:rPr>
                <w:rFonts w:ascii="Arial" w:cs="Arial" w:eastAsia="Arial" w:hAnsi="Arial"/>
                <w:sz w:val="18"/>
                <w:szCs w:val="18"/>
                <w:color w:val="auto"/>
                <w:w w:val="95"/>
              </w:rPr>
              <w:t>6 &amp; 7</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1969, 1980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26</w:t>
            </w: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Hydro – Conventional Run-of-River</w:t>
            </w:r>
          </w:p>
        </w:tc>
        <w:tc>
          <w:tcPr>
            <w:tcW w:w="2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5"/>
              </w:rPr>
              <w:t>4 &amp; 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1917, 1948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w:t>
            </w:r>
          </w:p>
        </w:tc>
      </w:tr>
      <w:tr>
        <w:trPr>
          <w:trHeight w:val="20"/>
        </w:trPr>
        <w:tc>
          <w:tcPr>
            <w:tcW w:w="466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net generation is primarily dedicated to the needs of one customer.</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Rapids Energy Center’s fuel supply is supplemented by coal.</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2012, Minnesota Power filed with the MPUC for approval to transfer the assets of Rapids Energy Center from non-rate base generation to Minnesota Power’s Regulated Operations. Rapids Energy Center is a generation facility that is located at the UPM, Blandin Paper Mill. On October 9, 2013, the MPUC issued an order denying, without prejudice, the transfer of assets from non-rate base generation to Minnesota Power’s Regulated Operations. This decision had no impact on the Company’s consolidated financial position, results of operations, or cash flows (see Item 1. Business – Regulated Operations – Regulatory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New Source Review (NSR)</w:t>
      </w:r>
      <w:r>
        <w:rPr>
          <w:rFonts w:ascii="Arial" w:cs="Arial" w:eastAsia="Arial" w:hAnsi="Arial"/>
          <w:sz w:val="17"/>
          <w:szCs w:val="17"/>
          <w:color w:val="auto"/>
        </w:rPr>
        <w:t>. 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The NOV asserts that seven projects undertaken at these coal-fired plants between the years 1981 and 2000 should have been reviewed under the NSR requirements and that Boswell Unit 4’s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Resolution of the NOVs could result in civil penalties, which we do not believe will be material to our results of operations, retirements or refueling of generating units, and the installation of additional pollution control equipment, some of which is already planned or which has been completed to comply with other regulatory requirements. We are engaged in discussions with the EPA regarding resolution of these matters, but we are unable to estimate the expenditures, or range of expenditures, that may be required upon resolution. Any costs of retirements, refueling, or installing additional pollution control equipment would likely be eligible for recovery in rates over time subject to regulatory approval in a rate proceeding.</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Cross-State Air Pollution Rule (CSAPR)</w:t>
      </w:r>
      <w:r>
        <w:rPr>
          <w:rFonts w:ascii="Arial" w:cs="Arial" w:eastAsia="Arial" w:hAnsi="Arial"/>
          <w:sz w:val="18"/>
          <w:szCs w:val="18"/>
          <w:color w:val="auto"/>
        </w:rPr>
        <w:t>. In July 2011, the EPA issued the CSAPR, which replaced the EPA’s 2005 CAIR. However, in August 2012, a three-judge panel of the District of Columbia Circuit Court of Appeals vacated the CSAPR, ordering that the CAIR remain in effect while a CSAPR replacement rule is promulgated. On March 29, 2013, the EPA petitioned the Supreme Court to review the District of Columbia Circuit Court of Appeals ruling. The Supreme Court decided to grant review on June 24, 2013, and is likely to issue its decision by mid-2014. If reinstated after Supreme Court review, the CSAPR would require states in the CSAPR region, including Minnesota, to significantly improve air quality by reducing power plant emissions that contribute to ozone and/or fine particle pollution in other states. The CSAPR would not directly require the installation of controls. Instead, the rule would require facilities to have sufficient emission allowances to cover their emissions on an annual basis. These allowances would be allocated to facilities from each state’s annual budget and could be bought and sold.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 It remains uncertain if emission restrictions similar to those contained in the CSAPR will become effective for Minnesota utilities as a result of the August 2012 District of Columbia Circuit Court of Appeals decision.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2013. We are unable to predict any additional compliance costs we might incur if the CSAPR is reinstated or if a CSAPR replacement rule is promulgated.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Regional Haze</w:t>
      </w:r>
      <w:r>
        <w:rPr>
          <w:rFonts w:ascii="Arial" w:cs="Arial" w:eastAsia="Arial" w:hAnsi="Arial"/>
          <w:sz w:val="18"/>
          <w:szCs w:val="18"/>
          <w:color w:val="auto"/>
        </w:rPr>
        <w:t>. The federal Regional Haze Rule requires states to submit SIPs to the EPA to address regional haze visibility impairment in 156 federally-protected parks and wilderness areas. Under the first phase of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legal challenges at both the State and Federal levels, there is currently no applicable compliance deadline for the Regional Haze Rule. If additional regional haze related controls are ultimately required, Minnesota Power will have up to five years from the final rule promulgation date to bring Taconite Harbor Unit 3 into compliance. As part of our 2013 Integrated Resource Plan, which was approved by the MPUC in an order dated November 12, 2013, we plan to retire Taconite Harbor Unit 3 in 2015. We believe that the Taconite Harbor Unit 3 retirement will be accomplished before any compliance deadline takes effect.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(Continued)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environmental upgrade to April 1, 2016. Compliance at Boswell Unit 4 to address the final MATS rule is expected to result in capital expenditures of approximately $310 million through 2016. Our “EnergyForward” plan, which was approved as part of our 2013 Integrated Resource Plan by the MPUC in an order dated November 12, 2013, also includes the conversion of Laskin Units 1 and 2 to natural gas in 2015, to position the Company for MATS compliance. On January 9, 2014, the MPCA approved Minnesota Power’s application to extend the deadline for Taconite Harbor Unit 3 to comply with MATS by approximately six weeks (until May 31, 2015), in order to align the Unit 3 retirement with MISO’s resource planning year.</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In January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costs for complying with the final rule are not expected to be material at this time.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Minnesota Mercury Emissions Reduction Act</w:t>
      </w:r>
      <w:r>
        <w:rPr>
          <w:rFonts w:ascii="Arial" w:cs="Arial" w:eastAsia="Arial" w:hAnsi="Arial"/>
          <w:sz w:val="17"/>
          <w:szCs w:val="17"/>
          <w:color w:val="auto"/>
        </w:rPr>
        <w:t>. In order to comply with the 2006 Minnesota Mercury Emissions Reduction Act, Minnesota Power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implementing a mercury emissions reduction project for Boswell Unit 4 by December 31, 2018. In August 2012, Minnesota Power filed its mercury emissions reduction plan for Boswell Unit 4 with the MPUC and the MPCA. The plan proposes that Minnesota Power install pollution controls to address both the Minnesota mercury emissions reduction requirements and the MATS rule, which also regulates mercury emissions. Minnesota Power’s request of an additional year extending the date of compliance for the Boswell Unit 4 environmental upgrade to April 1, 2016, was approved by the MPCA. Costs to implement the Boswell Unit 4 mercury emissions reduction plan are included in the estimated capital expenditures required for compliance with the MATS rule discussed above (see </w:t>
      </w:r>
      <w:r>
        <w:rPr>
          <w:rFonts w:ascii="Arial" w:cs="Arial" w:eastAsia="Arial" w:hAnsi="Arial"/>
          <w:sz w:val="17"/>
          <w:szCs w:val="17"/>
          <w:i w:val="1"/>
          <w:iCs w:val="1"/>
          <w:color w:val="auto"/>
        </w:rPr>
        <w:t>Mercury and Air Toxics Standards (MATS) Rule</w:t>
      </w:r>
      <w:r>
        <w:rPr>
          <w:rFonts w:ascii="Arial" w:cs="Arial" w:eastAsia="Arial" w:hAnsi="Arial"/>
          <w:sz w:val="17"/>
          <w:szCs w:val="17"/>
          <w:color w:val="auto"/>
        </w:rPr>
        <w: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to more stringently control emissions that result in ground level ozone. In January 2010, the EPA proposed to revise</w:t>
      </w:r>
      <w:r>
        <w:rPr>
          <w:rFonts w:ascii="Arial" w:cs="Arial" w:eastAsia="Arial" w:hAnsi="Arial"/>
          <w:sz w:val="17"/>
          <w:szCs w:val="17"/>
          <w:i w:val="1"/>
          <w:iCs w:val="1"/>
          <w:color w:val="auto"/>
        </w:rPr>
        <w:t xml:space="preserve"> </w:t>
      </w:r>
      <w:r>
        <w:rPr>
          <w:rFonts w:ascii="Arial" w:cs="Arial" w:eastAsia="Arial" w:hAnsi="Arial"/>
          <w:sz w:val="17"/>
          <w:szCs w:val="17"/>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2014 or later. Consequently, the costs for complying with the final ozone NAAQS cannot be estimated at this time.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has established a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the annual PM</w:t>
      </w:r>
      <w:r>
        <w:rPr>
          <w:rFonts w:ascii="Arial" w:cs="Arial" w:eastAsia="Arial" w:hAnsi="Arial"/>
          <w:sz w:val="11"/>
          <w:szCs w:val="11"/>
          <w:color w:val="auto"/>
        </w:rPr>
        <w:t>2.5</w:t>
      </w:r>
      <w:r>
        <w:rPr>
          <w:rFonts w:ascii="Arial" w:cs="Arial" w:eastAsia="Arial" w:hAnsi="Arial"/>
          <w:sz w:val="17"/>
          <w:szCs w:val="17"/>
          <w:color w:val="auto"/>
        </w:rPr>
        <w:t xml:space="preserve"> standard and the 24-hour coarse particulate matter standard have remained unchanged. The United States Court of Appeals for the District of Columbia Circuit remanded the annual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standard values. The EPA proposed new PM</w:t>
      </w:r>
      <w:r>
        <w:rPr>
          <w:rFonts w:ascii="Arial" w:cs="Arial" w:eastAsia="Arial" w:hAnsi="Arial"/>
          <w:sz w:val="11"/>
          <w:szCs w:val="11"/>
          <w:color w:val="auto"/>
        </w:rPr>
        <w:t>2.5</w:t>
      </w:r>
      <w:r>
        <w:rPr>
          <w:rFonts w:ascii="Arial" w:cs="Arial" w:eastAsia="Arial" w:hAnsi="Arial"/>
          <w:sz w:val="17"/>
          <w:szCs w:val="17"/>
          <w:color w:val="auto"/>
        </w:rPr>
        <w:t xml:space="preserve"> standards in June 2012.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and Finalized National Ambient Air Quality Standards (NAAQS)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designations and permitting requirements. New projects and permits must comply with the new more stringent standard, and compliance with the NAAQS at the facility level is generally demonstrated by modeling.</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final rule, states will be responsible for additional PM</w:t>
      </w:r>
      <w:r>
        <w:rPr>
          <w:rFonts w:ascii="Arial" w:cs="Arial" w:eastAsia="Arial" w:hAnsi="Arial"/>
          <w:sz w:val="11"/>
          <w:szCs w:val="11"/>
          <w:color w:val="auto"/>
        </w:rPr>
        <w:t>2.5</w:t>
      </w:r>
      <w:r>
        <w:rPr>
          <w:rFonts w:ascii="Arial" w:cs="Arial" w:eastAsia="Arial" w:hAnsi="Arial"/>
          <w:sz w:val="17"/>
          <w:szCs w:val="17"/>
          <w:color w:val="auto"/>
        </w:rPr>
        <w:t xml:space="preserve"> monitoring, which will likely be accomplished by relocating or repurposing existing monitors. The EPA asked states to submit attainment designations by December 2013, based on already available monitoring data. The EPA believes that most U.S. counties currently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 Minnesota is anticipating that it will retain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 be</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may require the EPA to evaluate modeling data to determine attainment. The EPA notified states that their infrastructure SIPs for maintaining attainment of the standard were required to be submitted to the EPA for approval by June 2013. However, the State of Minnesota has delayed completing the documents pending receipt of EPA guidance to states for preparing the SIP submittal. Guidance was expected in 2013 and has been delayed.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2011, the MPCA initiated modeling activities that included approximately 65 sources within Minnesota that emit greater than 100 tons of SO</w:t>
      </w:r>
      <w:r>
        <w:rPr>
          <w:rFonts w:ascii="Arial" w:cs="Arial" w:eastAsia="Arial" w:hAnsi="Arial"/>
          <w:sz w:val="12"/>
          <w:szCs w:val="12"/>
          <w:color w:val="auto"/>
        </w:rPr>
        <w:t>2</w:t>
      </w:r>
      <w:r>
        <w:rPr>
          <w:rFonts w:ascii="Arial" w:cs="Arial" w:eastAsia="Arial" w:hAnsi="Arial"/>
          <w:sz w:val="18"/>
          <w:szCs w:val="18"/>
          <w:color w:val="auto"/>
        </w:rPr>
        <w:t xml:space="preserve"> per year. However, in April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President Obama’s Climate Action Plan</w:t>
      </w:r>
      <w:r>
        <w:rPr>
          <w:rFonts w:ascii="Arial" w:cs="Arial" w:eastAsia="Arial" w:hAnsi="Arial"/>
          <w:sz w:val="18"/>
          <w:szCs w:val="18"/>
          <w:color w:val="auto"/>
        </w:rPr>
        <w:t>. On June 25, 2013, President Obama announced a Climate Action Plan (CAP) that calls for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as further described below.</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would have applied only to new or re-powered units. Based on the volume of comments received, the EPA announced its intent to re-propose the rule.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20, 2013, the EPA retracted its March 2012 proposal and announced the release of a revised NSPS for new or re-powered utility CO</w:t>
      </w:r>
      <w:r>
        <w:rPr>
          <w:rFonts w:ascii="Arial" w:cs="Arial" w:eastAsia="Arial" w:hAnsi="Arial"/>
          <w:sz w:val="11"/>
          <w:szCs w:val="11"/>
          <w:color w:val="auto"/>
        </w:rPr>
        <w:t>2</w:t>
      </w:r>
      <w:r>
        <w:rPr>
          <w:rFonts w:ascii="Arial" w:cs="Arial" w:eastAsia="Arial" w:hAnsi="Arial"/>
          <w:sz w:val="17"/>
          <w:szCs w:val="17"/>
          <w:color w:val="auto"/>
        </w:rPr>
        <w:t xml:space="preserve"> emissions. The EPA also reaffirmed its plans to propose NSPS or regulatory guidelines for existing fossil fuel-fired electric generating units by June 1, 2014, and to finalize such rules by June 1, 2015. The EPA is soliciting feedback as to the approaches the EPA should consider for regulation of CO</w:t>
      </w:r>
      <w:r>
        <w:rPr>
          <w:rFonts w:ascii="Arial" w:cs="Arial" w:eastAsia="Arial" w:hAnsi="Arial"/>
          <w:sz w:val="11"/>
          <w:szCs w:val="11"/>
          <w:color w:val="auto"/>
        </w:rPr>
        <w:t>2</w:t>
      </w:r>
      <w:r>
        <w:rPr>
          <w:rFonts w:ascii="Arial" w:cs="Arial" w:eastAsia="Arial" w:hAnsi="Arial"/>
          <w:sz w:val="17"/>
          <w:szCs w:val="17"/>
          <w:color w:val="auto"/>
        </w:rPr>
        <w:t xml:space="preserve"> under the NSPS provisions of the Clean Air Act. Under the CAP, an approach was described where the EPA will issue regulatory guidelines and objectives to the states, which in turn will submit SIPs for EPA approval that demonstrate how the state will meet or surpass achievement of the EPA targeted objectives. The CAP directs the EPA to require states to submit such SIPs by June 30, 2016.</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has already initiated several measures consistent with those called for under the CAP. Minnesota Power has also announced its “EnergyForward” strategic plan that provides for significant emission reductions and diversifying our electricity generation mix to include more renewable and natural gas energy.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Legal challenges have been filed with respect to the EPA’s regulation of GHG emissions, including the Tailoring Rule. In June 2012, the United States Court of Appeals for the District of Columbia Circuit upheld most of the EPA’s proposed regulations, including the Tailoring Rule criteria, finding that the Clean Air Act compels the EPA to regulate in the manner the EPA proposed. On October 15, 2013, the U.S. Supreme Court announced that it would grant review of the Circuit Court’s decision, with such review limited to the question of whether EPA’s regulation of GHGs under the PSD provisions of the Clean Air Act and the Tailoring Rule was permissible. The Supreme Court’s decision, which is expected in 2014, is not expected to affect EPA’s authority to regulate CO</w:t>
      </w:r>
      <w:r>
        <w:rPr>
          <w:rFonts w:ascii="Arial" w:cs="Arial" w:eastAsia="Arial" w:hAnsi="Arial"/>
          <w:sz w:val="11"/>
          <w:szCs w:val="11"/>
          <w:color w:val="auto"/>
        </w:rPr>
        <w:t>2</w:t>
      </w:r>
      <w:r>
        <w:rPr>
          <w:rFonts w:ascii="Arial" w:cs="Arial" w:eastAsia="Arial" w:hAnsi="Arial"/>
          <w:sz w:val="16"/>
          <w:szCs w:val="16"/>
          <w:color w:val="auto"/>
        </w:rPr>
        <w:t xml:space="preserve"> from fossil fuel-fired electric generating units under the NSPS provisions of the Clean Air Act, but may affect the timing of such regulations.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expects to issue a final rule on April 17, 2014. We are unable to predict the compliance costs we might incur under the final rule;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(Continued)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On April 19, 2013, the EPA announced proposed revisions to the federal effluent guidelines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Instead of proposing a single rule, the EPA proposed eight “options,” of which four are “preferred”.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on June 7, 2013, and public comments were due by September 20, 2013. It is expected that the EPA will issue a final rule in 2014. Compliance with the final rule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generates coal ash at all five of its coal-fired electric generating facilities. Two facilities store ash in</w:t>
      </w:r>
      <w:r>
        <w:rPr>
          <w:rFonts w:ascii="Arial" w:cs="Arial" w:eastAsia="Arial" w:hAnsi="Arial"/>
          <w:sz w:val="18"/>
          <w:szCs w:val="18"/>
          <w:i w:val="1"/>
          <w:iCs w:val="1"/>
          <w:color w:val="auto"/>
        </w:rPr>
        <w:t xml:space="preserve"> </w:t>
      </w:r>
      <w:r>
        <w:rPr>
          <w:rFonts w:ascii="Arial" w:cs="Arial" w:eastAsia="Arial" w:hAnsi="Arial"/>
          <w:sz w:val="18"/>
          <w:szCs w:val="18"/>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The EPA has committed to publish the final rule by the end of 2014. We are unable to predict the compliance costs we might incur; however, the costs could be material. We would seek recovery of any additional costs through cost recovery riders or in a general rate case.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ALLETE had 1,560 employees, of which 1,521 were full-time.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and SWL&amp;P have an aggregate of 596 employees who are members of the IBEW Local 31. Labor agreements expired on January 31, 2014, and on February 5, 2014, Minnesota Power, SWL&amp;P and IBEW Local 31 agreed to amend the current contracts and extend the expiration of both to January 31,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BNI Coal had 162 employees, of which 119 are members of IBEW Local 1593. The current labor agreement between BNI Coal and IBEW Local 1593 expires on March 31, 2014. Negotiations are proceeding and we believe a ratified agreement will be agreed upon prior to the expiration of the existing contract.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3080" w:type="dxa"/>
            <w:vAlign w:val="bottom"/>
          </w:tcPr>
          <w:p>
            <w:pPr>
              <w:spacing w:after="0"/>
              <w:rPr>
                <w:sz w:val="20"/>
                <w:szCs w:val="20"/>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color w:val="auto"/>
              </w:rPr>
              <w:t>As of February 14, 2014, these are the executive officers of ALLETE:</w:t>
            </w:r>
          </w:p>
        </w:tc>
        <w:tc>
          <w:tcPr>
            <w:tcW w:w="3080" w:type="dxa"/>
            <w:vAlign w:val="bottom"/>
          </w:tcPr>
          <w:p>
            <w:pPr>
              <w:spacing w:after="0"/>
              <w:rPr>
                <w:sz w:val="24"/>
                <w:szCs w:val="24"/>
                <w:color w:val="auto"/>
              </w:rPr>
            </w:pPr>
          </w:p>
        </w:tc>
      </w:tr>
      <w:tr>
        <w:trPr>
          <w:trHeight w:val="378"/>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3080" w:type="dxa"/>
            <w:vAlign w:val="bottom"/>
          </w:tcPr>
          <w:p>
            <w:pPr>
              <w:ind w:left="940"/>
              <w:spacing w:after="0"/>
              <w:rPr>
                <w:sz w:val="20"/>
                <w:szCs w:val="20"/>
                <w:color w:val="auto"/>
              </w:rPr>
            </w:pPr>
            <w:r>
              <w:rPr>
                <w:rFonts w:ascii="Arial" w:cs="Arial" w:eastAsia="Arial" w:hAnsi="Arial"/>
                <w:sz w:val="18"/>
                <w:szCs w:val="18"/>
                <w:b w:val="1"/>
                <w:bCs w:val="1"/>
                <w:color w:val="auto"/>
              </w:rPr>
              <w:t>Initial Effective Date</w:t>
            </w:r>
          </w:p>
        </w:tc>
      </w:tr>
      <w:tr>
        <w:trPr>
          <w:trHeight w:val="27"/>
        </w:trPr>
        <w:tc>
          <w:tcPr>
            <w:tcW w:w="8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64"/>
        </w:trPr>
        <w:tc>
          <w:tcPr>
            <w:tcW w:w="8340" w:type="dxa"/>
            <w:vAlign w:val="bottom"/>
          </w:tcPr>
          <w:p>
            <w:pPr>
              <w:spacing w:after="0"/>
              <w:rPr>
                <w:sz w:val="22"/>
                <w:szCs w:val="22"/>
                <w:color w:val="auto"/>
              </w:rPr>
            </w:pPr>
          </w:p>
        </w:tc>
        <w:tc>
          <w:tcPr>
            <w:tcW w:w="30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Alan R. Hodnik, Age 54</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Chairman, President and Chief Executive Officer</w:t>
            </w:r>
          </w:p>
        </w:tc>
        <w:tc>
          <w:tcPr>
            <w:tcW w:w="3080" w:type="dxa"/>
            <w:vAlign w:val="bottom"/>
          </w:tcPr>
          <w:p>
            <w:pPr>
              <w:ind w:left="940"/>
              <w:spacing w:after="0"/>
              <w:rPr>
                <w:sz w:val="20"/>
                <w:szCs w:val="20"/>
                <w:color w:val="auto"/>
              </w:rPr>
            </w:pPr>
            <w:r>
              <w:rPr>
                <w:rFonts w:ascii="Arial" w:cs="Arial" w:eastAsia="Arial" w:hAnsi="Arial"/>
                <w:sz w:val="18"/>
                <w:szCs w:val="18"/>
                <w:color w:val="auto"/>
              </w:rPr>
              <w:t>May 10, 2011</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080" w:type="dxa"/>
            <w:vAlign w:val="bottom"/>
          </w:tcPr>
          <w:p>
            <w:pPr>
              <w:ind w:left="940"/>
              <w:spacing w:after="0"/>
              <w:rPr>
                <w:sz w:val="20"/>
                <w:szCs w:val="20"/>
                <w:color w:val="auto"/>
              </w:rPr>
            </w:pPr>
            <w:r>
              <w:rPr>
                <w:rFonts w:ascii="Arial" w:cs="Arial" w:eastAsia="Arial" w:hAnsi="Arial"/>
                <w:sz w:val="18"/>
                <w:szCs w:val="18"/>
                <w:color w:val="auto"/>
              </w:rPr>
              <w:t>May 1, 2010</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President</w:t>
            </w:r>
          </w:p>
        </w:tc>
        <w:tc>
          <w:tcPr>
            <w:tcW w:w="3080" w:type="dxa"/>
            <w:vAlign w:val="bottom"/>
          </w:tcPr>
          <w:p>
            <w:pPr>
              <w:ind w:left="940"/>
              <w:spacing w:after="0"/>
              <w:rPr>
                <w:sz w:val="20"/>
                <w:szCs w:val="20"/>
                <w:color w:val="auto"/>
              </w:rPr>
            </w:pPr>
            <w:r>
              <w:rPr>
                <w:rFonts w:ascii="Arial" w:cs="Arial" w:eastAsia="Arial" w:hAnsi="Arial"/>
                <w:sz w:val="18"/>
                <w:szCs w:val="18"/>
                <w:color w:val="auto"/>
              </w:rPr>
              <w:t>May 1, 2009</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Chief Operating Officer – Minnesota Power</w:t>
            </w:r>
          </w:p>
        </w:tc>
        <w:tc>
          <w:tcPr>
            <w:tcW w:w="3080" w:type="dxa"/>
            <w:vAlign w:val="bottom"/>
          </w:tcPr>
          <w:p>
            <w:pPr>
              <w:ind w:left="940"/>
              <w:spacing w:after="0"/>
              <w:rPr>
                <w:sz w:val="20"/>
                <w:szCs w:val="20"/>
                <w:color w:val="auto"/>
              </w:rPr>
            </w:pPr>
            <w:r>
              <w:rPr>
                <w:rFonts w:ascii="Arial" w:cs="Arial" w:eastAsia="Arial" w:hAnsi="Arial"/>
                <w:sz w:val="18"/>
                <w:szCs w:val="18"/>
                <w:color w:val="auto"/>
              </w:rPr>
              <w:t>May 8, 2007</w:t>
            </w:r>
          </w:p>
        </w:tc>
      </w:tr>
      <w:tr>
        <w:trPr>
          <w:trHeight w:val="297"/>
        </w:trPr>
        <w:tc>
          <w:tcPr>
            <w:tcW w:w="83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Robert J. Adams, Age 51</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Vice President – Business Development and Chief Risk Officer</w:t>
            </w:r>
          </w:p>
        </w:tc>
        <w:tc>
          <w:tcPr>
            <w:tcW w:w="3080" w:type="dxa"/>
            <w:vAlign w:val="bottom"/>
          </w:tcPr>
          <w:p>
            <w:pPr>
              <w:ind w:left="940"/>
              <w:spacing w:after="0"/>
              <w:rPr>
                <w:sz w:val="20"/>
                <w:szCs w:val="20"/>
                <w:color w:val="auto"/>
              </w:rPr>
            </w:pPr>
            <w:r>
              <w:rPr>
                <w:rFonts w:ascii="Arial" w:cs="Arial" w:eastAsia="Arial" w:hAnsi="Arial"/>
                <w:sz w:val="18"/>
                <w:szCs w:val="18"/>
                <w:color w:val="auto"/>
              </w:rPr>
              <w:t>May 13, 2008</w:t>
            </w:r>
          </w:p>
        </w:tc>
      </w:tr>
      <w:tr>
        <w:trPr>
          <w:trHeight w:val="297"/>
        </w:trPr>
        <w:tc>
          <w:tcPr>
            <w:tcW w:w="83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Deborah A. Amberg, Age 48</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Vice President, General Counsel and Secretary</w:t>
            </w:r>
          </w:p>
        </w:tc>
        <w:tc>
          <w:tcPr>
            <w:tcW w:w="3080" w:type="dxa"/>
            <w:vAlign w:val="bottom"/>
          </w:tcPr>
          <w:p>
            <w:pPr>
              <w:ind w:left="940"/>
              <w:spacing w:after="0"/>
              <w:rPr>
                <w:sz w:val="20"/>
                <w:szCs w:val="20"/>
                <w:color w:val="auto"/>
              </w:rPr>
            </w:pPr>
            <w:r>
              <w:rPr>
                <w:rFonts w:ascii="Arial" w:cs="Arial" w:eastAsia="Arial" w:hAnsi="Arial"/>
                <w:sz w:val="18"/>
                <w:szCs w:val="18"/>
                <w:color w:val="auto"/>
              </w:rPr>
              <w:t>January 1, 2006</w:t>
            </w:r>
          </w:p>
        </w:tc>
      </w:tr>
      <w:tr>
        <w:trPr>
          <w:trHeight w:val="297"/>
        </w:trPr>
        <w:tc>
          <w:tcPr>
            <w:tcW w:w="83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Q. DeVinck, Age 54</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Controller and Vice President – Business Support</w:t>
            </w:r>
          </w:p>
        </w:tc>
        <w:tc>
          <w:tcPr>
            <w:tcW w:w="3080" w:type="dxa"/>
            <w:vAlign w:val="bottom"/>
          </w:tcPr>
          <w:p>
            <w:pPr>
              <w:ind w:left="940"/>
              <w:spacing w:after="0"/>
              <w:rPr>
                <w:sz w:val="20"/>
                <w:szCs w:val="20"/>
                <w:color w:val="auto"/>
              </w:rPr>
            </w:pPr>
            <w:r>
              <w:rPr>
                <w:rFonts w:ascii="Arial" w:cs="Arial" w:eastAsia="Arial" w:hAnsi="Arial"/>
                <w:sz w:val="18"/>
                <w:szCs w:val="18"/>
                <w:color w:val="auto"/>
              </w:rPr>
              <w:t>December 5, 2009</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Controller</w:t>
            </w:r>
          </w:p>
        </w:tc>
        <w:tc>
          <w:tcPr>
            <w:tcW w:w="3080" w:type="dxa"/>
            <w:vAlign w:val="bottom"/>
          </w:tcPr>
          <w:p>
            <w:pPr>
              <w:ind w:left="940"/>
              <w:spacing w:after="0"/>
              <w:rPr>
                <w:sz w:val="20"/>
                <w:szCs w:val="20"/>
                <w:color w:val="auto"/>
              </w:rPr>
            </w:pPr>
            <w:r>
              <w:rPr>
                <w:rFonts w:ascii="Arial" w:cs="Arial" w:eastAsia="Arial" w:hAnsi="Arial"/>
                <w:sz w:val="18"/>
                <w:szCs w:val="18"/>
                <w:color w:val="auto"/>
              </w:rPr>
              <w:t>July 12, 2006</w:t>
            </w:r>
          </w:p>
        </w:tc>
      </w:tr>
      <w:tr>
        <w:trPr>
          <w:trHeight w:val="297"/>
        </w:trPr>
        <w:tc>
          <w:tcPr>
            <w:tcW w:w="83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David J. McMillan, Age 52</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Vice President – External Affairs</w:t>
            </w:r>
          </w:p>
        </w:tc>
        <w:tc>
          <w:tcPr>
            <w:tcW w:w="3080" w:type="dxa"/>
            <w:vAlign w:val="bottom"/>
          </w:tcPr>
          <w:p>
            <w:pPr>
              <w:ind w:left="940"/>
              <w:spacing w:after="0"/>
              <w:rPr>
                <w:sz w:val="20"/>
                <w:szCs w:val="20"/>
                <w:color w:val="auto"/>
              </w:rPr>
            </w:pPr>
            <w:r>
              <w:rPr>
                <w:rFonts w:ascii="Arial" w:cs="Arial" w:eastAsia="Arial" w:hAnsi="Arial"/>
                <w:sz w:val="18"/>
                <w:szCs w:val="18"/>
                <w:color w:val="auto"/>
              </w:rPr>
              <w:t>January 1, 2012</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Senior Vice President – Marketing, Regulatory and Public Affairs</w:t>
            </w:r>
          </w:p>
        </w:tc>
        <w:tc>
          <w:tcPr>
            <w:tcW w:w="3080" w:type="dxa"/>
            <w:vAlign w:val="bottom"/>
          </w:tcPr>
          <w:p>
            <w:pPr>
              <w:ind w:left="940"/>
              <w:spacing w:after="0"/>
              <w:rPr>
                <w:sz w:val="20"/>
                <w:szCs w:val="20"/>
                <w:color w:val="auto"/>
              </w:rPr>
            </w:pPr>
            <w:r>
              <w:rPr>
                <w:rFonts w:ascii="Arial" w:cs="Arial" w:eastAsia="Arial" w:hAnsi="Arial"/>
                <w:sz w:val="18"/>
                <w:szCs w:val="18"/>
                <w:color w:val="auto"/>
              </w:rPr>
              <w:t>January 1, 2006</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Executive Vice President – Minnesota Power</w:t>
            </w:r>
          </w:p>
        </w:tc>
        <w:tc>
          <w:tcPr>
            <w:tcW w:w="3080" w:type="dxa"/>
            <w:vAlign w:val="bottom"/>
          </w:tcPr>
          <w:p>
            <w:pPr>
              <w:ind w:left="940"/>
              <w:spacing w:after="0"/>
              <w:rPr>
                <w:sz w:val="20"/>
                <w:szCs w:val="20"/>
                <w:color w:val="auto"/>
              </w:rPr>
            </w:pPr>
            <w:r>
              <w:rPr>
                <w:rFonts w:ascii="Arial" w:cs="Arial" w:eastAsia="Arial" w:hAnsi="Arial"/>
                <w:sz w:val="18"/>
                <w:szCs w:val="18"/>
                <w:color w:val="auto"/>
              </w:rPr>
              <w:t>January 1, 2006</w:t>
            </w:r>
          </w:p>
        </w:tc>
      </w:tr>
      <w:tr>
        <w:trPr>
          <w:trHeight w:val="297"/>
        </w:trPr>
        <w:tc>
          <w:tcPr>
            <w:tcW w:w="83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 A. Schober, Age 58</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3080" w:type="dxa"/>
            <w:vAlign w:val="bottom"/>
          </w:tcPr>
          <w:p>
            <w:pPr>
              <w:ind w:left="940"/>
              <w:spacing w:after="0"/>
              <w:rPr>
                <w:sz w:val="20"/>
                <w:szCs w:val="20"/>
                <w:color w:val="auto"/>
              </w:rPr>
            </w:pPr>
            <w:r>
              <w:rPr>
                <w:rFonts w:ascii="Arial" w:cs="Arial" w:eastAsia="Arial" w:hAnsi="Arial"/>
                <w:sz w:val="18"/>
                <w:szCs w:val="18"/>
                <w:color w:val="auto"/>
              </w:rPr>
              <w:t>July 1, 2006</w:t>
            </w:r>
          </w:p>
        </w:tc>
      </w:tr>
      <w:tr>
        <w:trPr>
          <w:trHeight w:val="297"/>
        </w:trPr>
        <w:tc>
          <w:tcPr>
            <w:tcW w:w="83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Donald W. Stellmaker, Age 56</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Vice President and Corporate Treasurer</w:t>
            </w:r>
          </w:p>
        </w:tc>
        <w:tc>
          <w:tcPr>
            <w:tcW w:w="3080" w:type="dxa"/>
            <w:vAlign w:val="bottom"/>
          </w:tcPr>
          <w:p>
            <w:pPr>
              <w:ind w:left="940"/>
              <w:spacing w:after="0"/>
              <w:rPr>
                <w:sz w:val="20"/>
                <w:szCs w:val="20"/>
                <w:color w:val="auto"/>
              </w:rPr>
            </w:pPr>
            <w:r>
              <w:rPr>
                <w:rFonts w:ascii="Arial" w:cs="Arial" w:eastAsia="Arial" w:hAnsi="Arial"/>
                <w:sz w:val="18"/>
                <w:szCs w:val="18"/>
                <w:color w:val="auto"/>
              </w:rPr>
              <w:t>August 19, 2011</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3080" w:type="dxa"/>
            <w:vAlign w:val="bottom"/>
          </w:tcPr>
          <w:p>
            <w:pPr>
              <w:ind w:left="940"/>
              <w:spacing w:after="0"/>
              <w:rPr>
                <w:sz w:val="20"/>
                <w:szCs w:val="20"/>
                <w:color w:val="auto"/>
              </w:rPr>
            </w:pPr>
            <w:r>
              <w:rPr>
                <w:rFonts w:ascii="Arial" w:cs="Arial" w:eastAsia="Arial" w:hAnsi="Arial"/>
                <w:sz w:val="18"/>
                <w:szCs w:val="18"/>
                <w:color w:val="auto"/>
              </w:rPr>
              <w:t>July 24, 2004</w:t>
            </w:r>
          </w:p>
        </w:tc>
      </w:tr>
      <w:tr>
        <w:trPr>
          <w:trHeight w:val="27"/>
        </w:trPr>
        <w:tc>
          <w:tcPr>
            <w:tcW w:w="8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426"/>
        </w:trPr>
        <w:tc>
          <w:tcPr>
            <w:tcW w:w="8340" w:type="dxa"/>
            <w:vAlign w:val="bottom"/>
          </w:tcPr>
          <w:p>
            <w:pPr>
              <w:spacing w:after="0"/>
              <w:rPr>
                <w:sz w:val="20"/>
                <w:szCs w:val="20"/>
                <w:color w:val="auto"/>
              </w:rPr>
            </w:pPr>
            <w:r>
              <w:rPr>
                <w:rFonts w:ascii="Arial" w:cs="Arial" w:eastAsia="Arial" w:hAnsi="Arial"/>
                <w:sz w:val="18"/>
                <w:szCs w:val="18"/>
                <w:color w:val="auto"/>
              </w:rPr>
              <w:t>All of the executive officers have been employed by us for more than five years in executive positions.</w:t>
            </w:r>
          </w:p>
        </w:tc>
        <w:tc>
          <w:tcPr>
            <w:tcW w:w="30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26, 2013, Mark A. Schober announced his retirement from the Company, effective in mid-2014. On December 2 2013, ALLETE announced Steven Q. DeVinck as the new Senior Vice President and Chief Financial Officer, effective March 3, 2014. On January 10, 2014, the Company announced Steven W. Morris, age 52, as the new Controller, effective March 3, 2014. Since May 10, 2010, Mr. Morris has held the position of Director of Accounting. Prior to that, he held the position of Director of Internal Audit from June 2005 through May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term of office of the executive officers listed above extends to the first meeting of our Board of Directors after the next annual meeting of shareholders. Both meetings are scheduled for May 13,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and uncertainties discussed below could materially affect our business, financial position and results of operations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are filed with the SEC.</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could be negatively impacted if our Large Power Customers experience an economic downturn, incur work stoppages, fail to compete effectively in the economy or experience decreased demand for their product.</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Power’s 9 Large Power Customers accounted for 31 percent of our 2013 consolidated operating revenue (33 percent in 2012; 34 percent in 2011), of which one of these customers accounted for 12.0 percent of consolidated revenue in 2013 (12.3 percent in 2012; 12.6 percent in 2011). These customers are involved in cyclical industries that by their nature are adversely impacted by economic downturns and are subject to strong competition in the marketplace. Many of our Large Power Customers also have unionized workforces which put them at risk for work stoppages. In addition, the North American paper and pulp industry also faces declining demand due to the impact of electronic substitution for print and changing customer needs.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if our customers experience an economic downturn, incur a work stoppage (including strikes, lock-outs or other events), fail to compete effectively in the economy, or experience decreased demand for their product, there could be material adverse effects on their operations and, consequently, could have a negative impact on our results of operations if we are unable to remarket at similar prices the energy that would otherwise have been sold to such Large Power Customers.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utility operations are subject to an extensive legal and regulatory framework under federal and state laws as well as regulations imposed by other organizations that may have a negative impact on our business and results of operations.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an extensive legal and regulatory framework imposed under federal and state law including regulations administered by the FERC, the MPUC, the PSCW, the NDPSC and the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among other things. Energy policy initiatives at the state or federal level could increase incentives for distributed generation or community-based generation, municipal utility ownership, or local initiatives could introduce generation or distribution requirements, that could change the current integrated utility model. Our transmission systems and electric generation facilities are subject to the NERC mandatory reliability standards, including cybersecurity standards. Compliance with these standards may lead to increased operating costs and capital expenditures. If we were found to not be in compliance with these mandatory reliability standards or other statutes, rules and orders, we could incur substantial monetary penalties and other sanctions, which could adversely affect our results of operations.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rate cases with, or otherwise seek cost recovery authorization from, federal and state regulatory authorities. If Minnesota Power and SWL&amp;P do not receive an adequate amount of rate relief in rate cases, including if rates are reduced, if increased rates are not approved on a timely basis or costs are otherwise unable to be recovered through rates, or if cost recovery is not granted at the requested level,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Our operations pose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extensive environmental laws and regulations affecting many aspects of our present and future operations, including air quality, water quality and usage, waste management, reclamation, hazardous wastes, avian mortality and natural resources. These laws and regulations can result in increased capital, environmental emission allowance trading, operating and other costs, as a result of compliance, remediation, containment and monitoring obligations, particularly with regard to laws relating to power plant emissions, coal ash, water discharge and wind generation facilities.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laws and regulations could restrict the output of some existing facilities, limit the use of some fuels necessary for the production of electricity, require the installation of additional pollution control equipment, require participation in environmental emission allowance trading, and/or lead to other environmental considerations and costs, which could have a material adverse impact on our business, operations and results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Both governmental authorities and private parties may seek to enforce applicable environmental laws and regulations. We cannot predict the financial or operational outcome of any related litigation that may arise.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environmental regulations may be revised and new regulations seeking to protect the environment may be adopted or become applicable to us. Revised or additional regulations which result in increased compliance costs or additional operating restrictions, particularly if those costs are not fully recoverable from customers, could have a material adverse effect on our results of operations.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is growing concern that emissions of GHGs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adversely affect our business and operations.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Proposals for voluntary initiatives to reduce GHGs such as CO</w:t>
      </w:r>
      <w:r>
        <w:rPr>
          <w:rFonts w:ascii="Arial" w:cs="Arial" w:eastAsia="Arial" w:hAnsi="Arial"/>
          <w:sz w:val="11"/>
          <w:szCs w:val="11"/>
          <w:color w:val="auto"/>
        </w:rPr>
        <w:t>2</w:t>
      </w:r>
      <w:r>
        <w:rPr>
          <w:rFonts w:ascii="Arial" w:cs="Arial" w:eastAsia="Arial" w:hAnsi="Arial"/>
          <w:sz w:val="17"/>
          <w:szCs w:val="17"/>
          <w:color w:val="auto"/>
        </w:rPr>
        <w:t>, a by-product of burning fossil fuels, have been discussed within Minnesota, among a group of Midwestern states that includes Minnesota and in the United States Congress. In June 2013, President Obama announced a Climate Action Plan (CAP) that calls for implementation of measures 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The implementation of the CAP could have a material impact on our results of operations if additional capital expenditures and operating costs are required and if those costs are not fully recovered from customers.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significant uncertainty regarding whether new laws or regulations will be adopted to reduce GHGs and what effect any such laws or regulations would have on us. In 2013, coal was the primary fuel source for 88 percent of the energy produced by our generating facilities. Future limits on GHG emissions would likely require us to incur significant increases in capital expenditures and operating costs, which if excessive, could result in the closure of certain coal-fired energy centers, impairment of assets, or otherwise materially adversely affect our results of operations, particularly if implementation costs are not fully recoverable from customers.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amount or timing of all future expenditures related to environmental matters because of the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non-compliance.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sufficient capital in the amounts and at the times needed, our ability to execute our business plans, make capital expenditures or pursue other strategic actions that we may otherwise rely on for future growth could be adversely affected.</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access to financing sources and capital markets as sources of liquidity for capital requirements not satisfied by our cash flow from operations. If we are not able to access capital on satisfactory terms, or at all, the ability to maintain our business or to implement our business plans may be adversely affected. Market disruptions or a downgrade of our credit ratings may increase the cost of borrowing or adversely affect our ability to access capital markets. Such disruptions could include a significant economic downturn, the financial distress of non-affiliated electric utility companies or financial services companies, a deterioration in capital market conditions, or volatility in commodity prices.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operation and maintenance of our electric generation and transmission facilities are subject to operational risks that could adversely affect our financial position, results of operations and cash flows.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operation of generating facilities involves many risks, including start-up operations risks, breakdown or failure of facilities, the dependence on a specific fuel source, inadequate fuel supply, or availability of fuel transportation, or the impact of unusual or adverse weather conditions or other natural events, as well as the risk of performance below expected levels of output or efficiency. A significant portion of Minnesota Power’s facilities were constructed many years ago. In particular, older generating equipment, even if maintained in accordance with good engineering practices, may require significant capital expenditures to continue operating at peak efficiency. Generation and transmission facilities and equipment are also likely to require periodic upgrades and improvements due to changing environmental standards and technological advances. We could be subject to costs associated with any unexpected failure to produce and/or deliver power, including failure caused by breakdown or forced outage, as well as repairing damage to facilities due to storms, natural disasters, wars, sabotage, terrorist acts and other catastrophic events.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successfully and timely complete capital improvements to existing facilities or other capital projects is contingent upon many variables.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or may be, engaged in significant capital improvements to its existing electric generation facilities, including the installation of pollution control equipment and the conversion of certain coal-fired electric generation facilities to natural gas. We are also engaged in development and/or construction of new wind and transmission facilities. Should any such efforts be unsuccessful or not completed in a timely manner, we could be subject to additional costs or impairments which could have a material adverse impact on our financial position and results of operation.</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electrical generating operations may not have access to adequate and reliable transmission and distribution facilities necessary to deliver electricity to our customers.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our own transmission and distribution facilities, and facilities owned by other utilities, to deliver the electricity produced and sold to our customers, and to other energy suppliers. If transmission capacity is inadequate, our ability to sell and deliver electricity may be limited.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with our service, which could have a material impact on our business, operations or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and fuel may be volatile.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Volatility in market prices for electricity and fuel could adversely impact our financial position and results of operations and may result from:</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outages at our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fuel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fluctuations in fuel expense related to our regulated utility operations are passed on to customers through our fuel clause, risk of volatility in market prices for fuel and electricity primarily impacts our sales to Other Power Suppliers.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 We believe we have good relations with our members of IBEW Local 31 and IBEW Local 1593, and have contracts in place through January 31, 2018, and March 31, 2014, respectively. Negotiations are proceeding between BNI Coal and IBEW Local 1593 and we believe a ratified agreement will be agreed upon prior to the expiration of the existing contract.</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postretirement benefit plan assets, which may result in significant additional funding requirements and increased annual expenses.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performance of the capital markets affects the values of the assets that are held in trust to satisfy future obligations under our pension and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postretirement benefit plan assets would increase the funding requirements under our benefit plans if asset returns do not recover. Additionally, our pension and postretirement benefit plan liabilities are sensitive to changes in interest rates. As interest rates decrease, the liabilities increase, potentially increasing benefit expense and funding requirements. Our pension and postretirement benefit plan costs are generally recoverable in our electric rates as allowed by our regulators. However, there is no certainty that regulators will continue to allow recovery of these rising costs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technologies may adversely affect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pace of technology development has been increasing, the basic structure of energy production, sale and delivery upon which our business model is based has remained substantially unchanged. The development of new commercially viable technology in areas such as distributed generation, energy storage and energy conservation could significantly decrease demand for our current products and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acts of terrorism or cyber attacks.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generation plants, fuel storage facilities, and transmission and distribution facilities may be targets of terrorist activities, including cybersecurity attacks, which could result in the disruption of our ability to produce or distribute some portion of our energy products. We could be subject to computer viruses, terrorism, theft and sabotage, which may also disrupt our operations and/or adversely impact our results of operations. We operate in a highly regulated industry that requires the continued operation of sophisticated information technology systems and network infrastructure. Our technology systems may be vulnerable to disability, failures or unauthorized access due to hacking, viruses, acts of war or terrorism and other causes. If our technology systems were to fail or be breached and we were unable to recover in a timely manner, we may be unable to fulfill critical business functions and sensitive, confidential and other data could be compromised, which could have a material adverse effect on our financial position, results of operations and cash flows.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results from any acquisitions of assets or businesses made by us, or strategic investments that we may make, may not achieve the results that we expect or seek and may adversely affect our financial position and results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Acquisitions are subject to uncertainties. If we are unable to successfully manage future acquisitions or strategic investments it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17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w:t>
      </w:r>
    </w:p>
    <w:p>
      <w:pPr>
        <w:spacing w:after="0" w:line="120"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As part of our long-term strategy, we pursue new wholesale and retail loads in and around our service territory. Currently, there are several companies in northeastern Minnesota that are in the process of developing natural resource-based projects that represent long-term growth potential and load diversity for Minnesota Power. These projects may include construction of new facilities and restarts of old facilities, both of which require permitting and/or approvals to be obtained before the projects can be successfully implemented.If a project does not obtain any necessary governmental (including environmental) permits and approvals, our long</w:t>
      </w:r>
      <w:r>
        <w:rPr>
          <w:rFonts w:ascii="MS PGothic" w:cs="MS PGothic" w:eastAsia="MS PGothic" w:hAnsi="MS PGothic"/>
          <w:sz w:val="16"/>
          <w:szCs w:val="16"/>
          <w:color w:val="auto"/>
        </w:rPr>
        <w:t>‑</w:t>
      </w:r>
      <w:r>
        <w:rPr>
          <w:rFonts w:ascii="Arial" w:cs="Arial" w:eastAsia="Arial" w:hAnsi="Arial"/>
          <w:sz w:val="16"/>
          <w:szCs w:val="16"/>
          <w:color w:val="auto"/>
        </w:rPr>
        <w:t>term strategy and thus our results of operations could be adversely impacted. Furthermore, even if the necessary permits and approvals are obtained, our long-term strategy could be adversely impacted if these customers are unable to successfully implement expansion plans.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market conditions where our Florida real estate investment is located may affect our strategy to sell our Florida real estate.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intends to sell its Florida land assets when opportunities arise. However, adverse market conditions could impact our future operations, which could result in little to no sales while still incurring operating expenses such as community development district assessments and property taxes, as well as continued annual net operating losses at ALLETE Properties. Furthermore, weak market conditions could put the properties at risk for impairment which could adversely impact our results of operations.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material legal and regulatory proceedings is included in Item 1. Business and is incorporated by reference herein.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In response to a Motion for Summary Judgment by Minnesota Power, the Court dismissed all of plaintiffs’ claims in an order dated August 21, 2013. On October 29, 2013, the plaintiffs’ appealed the decision to the Minnesota Court of Appeals. The Company has responded to the appeal. As of December 31, 2013, a potential loss is not currently probable or reasonably estimable.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Notice of Potential Clean Air Act Citizen Lawsuit. </w:t>
      </w:r>
      <w:r>
        <w:rPr>
          <w:rFonts w:ascii="Arial" w:cs="Arial" w:eastAsia="Arial" w:hAnsi="Arial"/>
          <w:sz w:val="18"/>
          <w:szCs w:val="18"/>
          <w:color w:val="auto"/>
        </w:rPr>
        <w:t>In July 2013, the Sierra Club submitted to Minnesota Power a notice of intent to file a citizen suit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 Air Act.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December 31, 2013, because a potential loss is not currently probable or reasonably estimable.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listed on the NYSE under the symbol ALE. We have paid dividends, without interruption, on our common stock since 1948. A quarterly dividend of $0.49 per share on our common stock is payable on March 1, 2014, to the shareholders of record on February 14, 2014. The timing and amount of future dividends will depend upon earnings, cash requirements, the financial condition of ALLETE and it’s subsidiaries, applicable government regulations and other factors deemed relevant by the ALLETE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dividends declared per share, and the high and low prices of our common stock for the periods indicated as reported by the NYSE: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2013</w:t>
            </w:r>
          </w:p>
        </w:tc>
        <w:tc>
          <w:tcPr>
            <w:tcW w:w="1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2012</w:t>
            </w:r>
          </w:p>
        </w:tc>
        <w:tc>
          <w:tcPr>
            <w:tcW w:w="13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90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Dividends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88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Dividends</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Quarter</w:t>
            </w:r>
          </w:p>
        </w:tc>
        <w:tc>
          <w:tcPr>
            <w:tcW w:w="1880" w:type="dxa"/>
            <w:vAlign w:val="bottom"/>
          </w:tcPr>
          <w:p>
            <w:pPr>
              <w:jc w:val="right"/>
              <w:ind w:right="910"/>
              <w:spacing w:after="0"/>
              <w:rPr>
                <w:sz w:val="20"/>
                <w:szCs w:val="20"/>
                <w:color w:val="auto"/>
              </w:rPr>
            </w:pPr>
            <w:r>
              <w:rPr>
                <w:rFonts w:ascii="Arial" w:cs="Arial" w:eastAsia="Arial" w:hAnsi="Arial"/>
                <w:sz w:val="18"/>
                <w:szCs w:val="18"/>
                <w:b w:val="1"/>
                <w:bCs w:val="1"/>
                <w:color w:val="auto"/>
              </w:rPr>
              <w:t>High</w:t>
            </w: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Low</w:t>
            </w: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Declared</w:t>
            </w:r>
          </w:p>
        </w:tc>
        <w:tc>
          <w:tcPr>
            <w:tcW w:w="1660" w:type="dxa"/>
            <w:vAlign w:val="bottom"/>
          </w:tcPr>
          <w:p>
            <w:pPr>
              <w:jc w:val="right"/>
              <w:ind w:right="890"/>
              <w:spacing w:after="0"/>
              <w:rPr>
                <w:sz w:val="20"/>
                <w:szCs w:val="20"/>
                <w:color w:val="auto"/>
              </w:rPr>
            </w:pPr>
            <w:r>
              <w:rPr>
                <w:rFonts w:ascii="Arial" w:cs="Arial" w:eastAsia="Arial" w:hAnsi="Arial"/>
                <w:sz w:val="18"/>
                <w:szCs w:val="18"/>
                <w:b w:val="1"/>
                <w:bCs w:val="1"/>
                <w:color w:val="auto"/>
              </w:rPr>
              <w:t>High</w:t>
            </w: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Low</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Declared</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$49.50</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$41.39</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$0.475</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$42.49</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$39.98</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Second</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$52.25</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$46.85</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0.475</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$41.99</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$38.03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$54.14</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$45.78</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0.475</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$42.66</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$40.33</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Fourth</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$51.72</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$47.48</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0.475</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$42.09</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$37.73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Total</w:t>
            </w:r>
          </w:p>
        </w:tc>
        <w:tc>
          <w:tcPr>
            <w:tcW w:w="18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$1.90</w:t>
            </w:r>
          </w:p>
        </w:tc>
        <w:tc>
          <w:tcPr>
            <w:tcW w:w="1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0"/>
        </w:trPr>
        <w:tc>
          <w:tcPr>
            <w:tcW w:w="3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February 1, 2014, there were approximately 26,000 common stock shareholders of record.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94"/>
        </w:trPr>
        <w:tc>
          <w:tcPr>
            <w:tcW w:w="4600" w:type="dxa"/>
            <w:vAlign w:val="bottom"/>
          </w:tcPr>
          <w:p>
            <w:pPr>
              <w:spacing w:after="0"/>
              <w:rPr>
                <w:sz w:val="24"/>
                <w:szCs w:val="24"/>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2009</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$1,018.4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$961.2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$928.2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$907.0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$759.1</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864.3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806.0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778.2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771.2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653.1</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104.7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97.1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93.6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74.8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60.7</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 xml:space="preserve">Less: Non-Controlling Interest in Subsidiaries </w:t>
            </w:r>
            <w:r>
              <w:rPr>
                <w:rFonts w:ascii="Arial" w:cs="Arial" w:eastAsia="Arial" w:hAnsi="Arial"/>
                <w:sz w:val="18"/>
                <w:szCs w:val="18"/>
                <w:i w:val="1"/>
                <w:iCs w:val="1"/>
                <w:color w:val="auto"/>
              </w:rPr>
              <w:t>(a)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$104.7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$97.1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$93.8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$75.2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$69.1</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$62.1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$60.8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$56.5</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Retained in Business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$28.0</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Shares Outstanding – Millions</w:t>
            </w:r>
          </w:p>
        </w:tc>
        <w:tc>
          <w:tcPr>
            <w:tcW w:w="18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Year-End</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35.2</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i w:val="1"/>
                <w:iCs w:val="1"/>
                <w:color w:val="auto"/>
              </w:rPr>
              <w:t>(b)</w:t>
            </w: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39.7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37.6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32.2</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39.8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37.6</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35.4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34.3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32.2</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$3,476.8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$3,253.4</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$2,876.0</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$2,609.1</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$2,393.1</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$1,083.0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$933.6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$857.9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$771.6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$695.8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Return on Common Equity</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$1.90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$1.84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$1.78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$1.76</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$1.76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Payout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Book Value Per Share at Year-End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$32.43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$30.50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$28.77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$27.25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$26.39</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by Segment</w:t>
            </w:r>
          </w:p>
        </w:tc>
        <w:tc>
          <w:tcPr>
            <w:tcW w:w="1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$326.3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$418.2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$228.0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$256.4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$299.2</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and Other</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14.0</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$339.5</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$432.2</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$246.8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$260.0</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 2011, the remaining shares of the ALLETE Properties non-controlling interest were purchased.</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Excludes unallocated ESOP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“Forward-Looking Statements” located on page 6 and “Risk Factors” located in Item 1A.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in this Form 10-K are realized.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SWL&amp;P is also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Item 1. Business – Regulated Operations – Regulatory Matters.)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5,000 acres of land in Minnesota, and earnings on cash and investments.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2013,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2013, to the year ended December 31, 2012.</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net income attributable to ALLETE for 2013 was $104.7 million, or $2.63 per diluted share, compared to $97.1 million, or $2.58 per diluted share, for 2012. Net income in 2013 included $1.0 million after-tax, or $0.03 per share, of acquisition costs for the ALLETE Clean Energy acquisition which closed on January 30, 2014 (see Note 7. Acquisitions). Net income for 2013 reflected higher kilowatt-hour sales, cost recovery rider revenue, federal production tax credits, transmission revenue and municipal rates. These increases were partially offset by higher operating and maintenance, depreciation, property tax and interest expenses, as well as increased costs under the Square Butte purchased power contract. Earnings per share dilution was $0.15 as a result of additional shares of common stock outstanding in 2013. (See Note 13. Common Stock and Earnings Per Share.)</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$104.9 million in 2013, compared to $96.1 million in 2012. Net income for 2013 reflected</w:t>
      </w:r>
      <w:r>
        <w:rPr>
          <w:rFonts w:ascii="Arial" w:cs="Arial" w:eastAsia="Arial" w:hAnsi="Arial"/>
          <w:sz w:val="18"/>
          <w:szCs w:val="18"/>
          <w:b w:val="1"/>
          <w:bCs w:val="1"/>
          <w:color w:val="auto"/>
        </w:rPr>
        <w:t xml:space="preserve"> </w:t>
      </w:r>
      <w:r>
        <w:rPr>
          <w:rFonts w:ascii="Arial" w:cs="Arial" w:eastAsia="Arial" w:hAnsi="Arial"/>
          <w:sz w:val="18"/>
          <w:szCs w:val="18"/>
          <w:color w:val="auto"/>
        </w:rPr>
        <w:t>higher kilowatt-hour sales, cost recovery rider revenue, federal production tax credits, transmission revenue and municipal rates. These increases were partially offset by higher operating and maintenance, depreciation, property tax and interest expenses, as well as increased costs under the Square Butte purchased power contract.</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reflected a net loss attributable to ALLETE of $0.2 million for 2013, compared to net income of $1.0 million in 2012. The net loss in</w:t>
      </w:r>
      <w:r>
        <w:rPr>
          <w:rFonts w:ascii="Arial" w:cs="Arial" w:eastAsia="Arial" w:hAnsi="Arial"/>
          <w:sz w:val="18"/>
          <w:szCs w:val="18"/>
          <w:b w:val="1"/>
          <w:bCs w:val="1"/>
          <w:color w:val="auto"/>
        </w:rPr>
        <w:t xml:space="preserve"> </w:t>
      </w:r>
      <w:r>
        <w:rPr>
          <w:rFonts w:ascii="Arial" w:cs="Arial" w:eastAsia="Arial" w:hAnsi="Arial"/>
          <w:sz w:val="18"/>
          <w:szCs w:val="18"/>
          <w:color w:val="auto"/>
        </w:rPr>
        <w:t>2013 included $1.0 million of acquisition costs for the ALLETE Clean Energy acquisition (see Note 7. Acquisitions). The net loss in 2013 also included higher interest and state income tax expense and lower net income at BNI Coal due to a fourth quarter planned outage at Square Butte. These decreases were partially offset by a lower loss at ALLETE Properties due to land sales in 2013 and gains as a result of the exit from a legacy benefit plan and investment sales.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2013 Compared to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$51.1 million, or 6 percent, from 2012 primarily due to a 1.2 percent increase in kilowatt-hour sales, and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 clause recoveries, transmission revenue, cost recovery rider revenue, gas sales, and municipal rates.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recoveries increased $13.5 million due to higher fuel and purchased power costs attributable to our retail and municipal customers. (See </w:t>
      </w:r>
      <w:r>
        <w:rPr>
          <w:rFonts w:ascii="Arial" w:cs="Arial" w:eastAsia="Arial" w:hAnsi="Arial"/>
          <w:sz w:val="18"/>
          <w:szCs w:val="18"/>
          <w:i w:val="1"/>
          <w:iCs w:val="1"/>
          <w:color w:val="auto"/>
        </w:rPr>
        <w:t>Operating Expenses</w:t>
      </w:r>
      <w:r>
        <w:rPr>
          <w:rFonts w:ascii="Arial" w:cs="Arial" w:eastAsia="Arial" w:hAnsi="Arial"/>
          <w:sz w:val="18"/>
          <w:szCs w:val="18"/>
          <w:color w:val="auto"/>
        </w:rPr>
        <w:t xml:space="preserve"> – </w:t>
      </w:r>
      <w:r>
        <w:rPr>
          <w:rFonts w:ascii="Arial" w:cs="Arial" w:eastAsia="Arial" w:hAnsi="Arial"/>
          <w:sz w:val="18"/>
          <w:szCs w:val="18"/>
          <w:i w:val="1"/>
          <w:iCs w:val="1"/>
          <w:color w:val="auto"/>
        </w:rPr>
        <w:t>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 xml:space="preserve">Transmission revenue increased $6.3 million primarily due to the commencement of recovery of our transmission investment related to the 230 kV transmission system upgrade that was placed into service in March 2013 (see </w:t>
      </w:r>
      <w:r>
        <w:rPr>
          <w:rFonts w:ascii="Arial" w:cs="Arial" w:eastAsia="Arial" w:hAnsi="Arial"/>
          <w:sz w:val="17"/>
          <w:szCs w:val="17"/>
          <w:i w:val="1"/>
          <w:iCs w:val="1"/>
          <w:color w:val="auto"/>
        </w:rPr>
        <w:t>Outlook</w:t>
      </w:r>
      <w:r>
        <w:rPr>
          <w:rFonts w:ascii="Arial" w:cs="Arial" w:eastAsia="Arial" w:hAnsi="Arial"/>
          <w:sz w:val="17"/>
          <w:szCs w:val="17"/>
          <w:color w:val="auto"/>
        </w:rPr>
        <w:t xml:space="preserve"> – </w:t>
      </w:r>
      <w:r>
        <w:rPr>
          <w:rFonts w:ascii="Arial" w:cs="Arial" w:eastAsia="Arial" w:hAnsi="Arial"/>
          <w:sz w:val="17"/>
          <w:szCs w:val="17"/>
          <w:i w:val="1"/>
          <w:iCs w:val="1"/>
          <w:color w:val="auto"/>
        </w:rPr>
        <w:t>Prospective Additional Load</w:t>
      </w:r>
      <w:r>
        <w:rPr>
          <w:rFonts w:ascii="Arial" w:cs="Arial" w:eastAsia="Arial" w:hAnsi="Arial"/>
          <w:sz w:val="17"/>
          <w:szCs w:val="17"/>
          <w:color w:val="auto"/>
        </w:rPr>
        <w:t xml:space="preserve"> – </w:t>
      </w:r>
      <w:r>
        <w:rPr>
          <w:rFonts w:ascii="Arial" w:cs="Arial" w:eastAsia="Arial" w:hAnsi="Arial"/>
          <w:sz w:val="17"/>
          <w:szCs w:val="17"/>
          <w:i w:val="1"/>
          <w:iCs w:val="1"/>
          <w:color w:val="auto"/>
        </w:rPr>
        <w:t>Nashwauk Public Utilities</w:t>
      </w:r>
      <w:r>
        <w:rPr>
          <w:rFonts w:ascii="Arial" w:cs="Arial" w:eastAsia="Arial" w:hAnsi="Arial"/>
          <w:sz w:val="17"/>
          <w:szCs w:val="17"/>
          <w:color w:val="auto"/>
        </w:rPr>
        <w:t xml:space="preserve"> </w:t>
      </w:r>
      <w:r>
        <w:rPr>
          <w:rFonts w:ascii="Arial" w:cs="Arial" w:eastAsia="Arial" w:hAnsi="Arial"/>
          <w:sz w:val="17"/>
          <w:szCs w:val="17"/>
          <w:i w:val="1"/>
          <w:iCs w:val="1"/>
          <w:color w:val="auto"/>
        </w:rPr>
        <w:t>Commission</w:t>
      </w:r>
      <w:r>
        <w:rPr>
          <w:rFonts w:ascii="Arial" w:cs="Arial" w:eastAsia="Arial" w:hAnsi="Arial"/>
          <w:sz w:val="17"/>
          <w:szCs w:val="17"/>
          <w:color w:val="auto"/>
        </w:rPr>
        <w:t>) and higher MISO Regional Expansion Criteria and Benefits (RECB) revenue related to CapX2020 transmission projects.</w:t>
      </w:r>
    </w:p>
    <w:p>
      <w:pPr>
        <w:spacing w:after="0" w:line="16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Cost recovery rider revenue increased $5.3 million primarily due to higher capital expenditures related to our Bison Wind Energy Center, CapX2020 projects and the Boswell Unit 4 environmental upgrade. Our Bison Wind Energy Center was completed in various phases through December 2012. Cost recovery for our Boswell Unit 4 mercury emissions reduction plan was approved by the MPUC in November 2013.</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Revenue from gas sales at SWL&amp;P increased $4.8 million as heating degree days in 2013 were approximately 22 percent higher than 2012. The increase was also due to higher purchased gas expenses. (See </w:t>
      </w:r>
      <w:r>
        <w:rPr>
          <w:rFonts w:ascii="Arial" w:cs="Arial" w:eastAsia="Arial" w:hAnsi="Arial"/>
          <w:sz w:val="18"/>
          <w:szCs w:val="18"/>
          <w:i w:val="1"/>
          <w:iCs w:val="1"/>
          <w:color w:val="auto"/>
        </w:rPr>
        <w:t>Operating Expenses</w:t>
      </w:r>
      <w:r>
        <w:rPr>
          <w:rFonts w:ascii="Arial" w:cs="Arial" w:eastAsia="Arial" w:hAnsi="Arial"/>
          <w:sz w:val="18"/>
          <w:szCs w:val="18"/>
          <w:color w:val="auto"/>
        </w:rPr>
        <w:t xml:space="preserve"> – </w:t>
      </w:r>
      <w:r>
        <w:rPr>
          <w:rFonts w:ascii="Arial" w:cs="Arial" w:eastAsia="Arial" w:hAnsi="Arial"/>
          <w:sz w:val="18"/>
          <w:szCs w:val="18"/>
          <w:i w:val="1"/>
          <w:iCs w:val="1"/>
          <w:color w:val="auto"/>
        </w:rPr>
        <w:t>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our municipal customers increased $3.8 million as a result of higher rates under the cost-based formula primarily due to higher capital expenditures, as well as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14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Revenue from Regulated Operations increased $13.8 million due to a 1.2 percent increase in kilowatt-hour sales. The increase was due primarily to a 14.0 percent increase in kilowatt-hour sales to Other Power Suppliers. Sales to Other Power Suppliers are sold at market-based prices into the MISO market on a daily basis or through bilateral agreements of various durations. Also contributing to the increase was higher sales to residential and commercial customers. Heating degree days in Duluth, Minnesota were approximately 22 percent higher in 2013 than 2012. Kilowatt-hour sales to industrial customers decreased 2.2 percent from 2012 primarily due to 154 million kilowatt-hours sold in 2012 through a short-term, fixed price contract.</w:t>
      </w:r>
    </w:p>
    <w:p>
      <w:pPr>
        <w:spacing w:after="0" w:line="3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1,177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1,132</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1,455</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1,436</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1.3</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7,338</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7,502</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(164)</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999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1,020</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(2.1)</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10,969</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11,090</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(121)</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2,278</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1,999</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279</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14.0</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13,247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13,089</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158</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r>
      <w:tr>
        <w:trPr>
          <w:trHeight w:val="20"/>
        </w:trPr>
        <w:tc>
          <w:tcPr>
            <w:tcW w:w="4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25 percent of consolidated operating revenue in 2013 (26 percent in 2012). Revenue from electric sales to paper, pulp and wood product customers accounted for 8 percent of consolidated operating revenue in 2013 (9 percent in 2012). Revenue from electric sales to pipelines and other industrials accounted for 6 percent of consolidated operating revenue in 2013 (6 percent in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2013 Compared to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$54.8 million, or 8 percent, from 2012.</w:t>
      </w:r>
    </w:p>
    <w:p>
      <w:pPr>
        <w:spacing w:after="0" w:line="225"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Fuel and Purchased Power Expense </w:t>
      </w:r>
      <w:r>
        <w:rPr>
          <w:rFonts w:ascii="Arial" w:cs="Arial" w:eastAsia="Arial" w:hAnsi="Arial"/>
          <w:sz w:val="16"/>
          <w:szCs w:val="16"/>
          <w:color w:val="auto"/>
        </w:rPr>
        <w:t>increased $26.1 million, or 8 percent, from 2012 primarily due to higher company generation, kilowatt-hours sold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purchased power prices. Fuel and purchased power expense related to our retail and municipal customers is recovered through the fuel adjustment clause (see </w:t>
      </w:r>
      <w:r>
        <w:rPr>
          <w:rFonts w:ascii="Arial" w:cs="Arial" w:eastAsia="Arial" w:hAnsi="Arial"/>
          <w:sz w:val="16"/>
          <w:szCs w:val="16"/>
          <w:i w:val="1"/>
          <w:iCs w:val="1"/>
          <w:color w:val="auto"/>
        </w:rPr>
        <w:t>Operating Revenue</w:t>
      </w:r>
      <w:r>
        <w:rPr>
          <w:rFonts w:ascii="Arial" w:cs="Arial" w:eastAsia="Arial" w:hAnsi="Arial"/>
          <w:sz w:val="16"/>
          <w:szCs w:val="16"/>
          <w:color w:val="auto"/>
        </w:rPr>
        <w:t>). A scheduled major outage in 2013 also increased costs under the Square Butte purchased power contract.</w:t>
      </w:r>
    </w:p>
    <w:p>
      <w:pPr>
        <w:spacing w:after="0" w:line="14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i w:val="1"/>
          <w:iCs w:val="1"/>
          <w:color w:val="auto"/>
        </w:rPr>
        <w:t xml:space="preserve">Operating and Maintenance Expense </w:t>
      </w:r>
      <w:r>
        <w:rPr>
          <w:rFonts w:ascii="Arial" w:cs="Arial" w:eastAsia="Arial" w:hAnsi="Arial"/>
          <w:sz w:val="17"/>
          <w:szCs w:val="17"/>
          <w:color w:val="auto"/>
        </w:rPr>
        <w:t>increased $12.4 million, or 4 percent, from 2012 primarily due to higher property tax expenses as a result of higher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taxable plant and rates, higher transmission expense primarily due to higher MISO RECB expense, higher operating and maintenance expenses related to our Bison Wind Energy Center, which was in service in 2013, and higher purchased gas expenses. Purchased gas expenses increased due to higher gas sales at SWL&amp;P in 2013 as heating degree days in 2013 were approximately 22 percent higher than 2012; purchased gas costs are recovered through a purchased gas adjustment clause from customers (see </w:t>
      </w:r>
      <w:r>
        <w:rPr>
          <w:rFonts w:ascii="Arial" w:cs="Arial" w:eastAsia="Arial" w:hAnsi="Arial"/>
          <w:sz w:val="17"/>
          <w:szCs w:val="17"/>
          <w:i w:val="1"/>
          <w:iCs w:val="1"/>
          <w:color w:val="auto"/>
        </w:rPr>
        <w:t>Operating Revenue</w:t>
      </w:r>
      <w:r>
        <w:rPr>
          <w:rFonts w:ascii="Arial" w:cs="Arial" w:eastAsia="Arial" w:hAnsi="Arial"/>
          <w:sz w:val="17"/>
          <w:szCs w:val="17"/>
          <w:color w:val="auto"/>
        </w:rPr>
        <w: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$16.3 million, or 17 percent, from 2012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$2.3 million, or 6 percent, from 2012 primarily due to higher average long-term debt balances.</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$14.3 million, or 28 percent, from 2012 primarily due to higher federal production tax credits in 2013 as our Bison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Center was completed in various phases through December 2012 and in service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$6.1 million, or 7 percent, from 2012 primarily due to a $3.6 million increase in revenue at BNI Coal and a $2.3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in revenue at ALLETE Properties. BNI Coal, which operates under a cost plus fixed fee contract, recorded higher revenue as a result of higher expenses in 2013 (see </w:t>
      </w:r>
      <w:r>
        <w:rPr>
          <w:rFonts w:ascii="Arial" w:cs="Arial" w:eastAsia="Arial" w:hAnsi="Arial"/>
          <w:sz w:val="18"/>
          <w:szCs w:val="18"/>
          <w:i w:val="1"/>
          <w:iCs w:val="1"/>
          <w:color w:val="auto"/>
        </w:rPr>
        <w:t>Operating Expenses</w:t>
      </w:r>
      <w:r>
        <w:rPr>
          <w:rFonts w:ascii="Arial" w:cs="Arial" w:eastAsia="Arial" w:hAnsi="Arial"/>
          <w:sz w:val="18"/>
          <w:szCs w:val="18"/>
          <w:color w:val="auto"/>
        </w:rPr>
        <w:t>), which was partially offset by fewer tons sold in 2013. The increase at ALLETE Properties was primarily due to land sales in 2013.</w:t>
      </w:r>
    </w:p>
    <w:p>
      <w:pPr>
        <w:spacing w:after="0" w:line="34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780" w:type="dxa"/>
            <w:vAlign w:val="bottom"/>
          </w:tcPr>
          <w:p>
            <w:pPr>
              <w:spacing w:after="0"/>
              <w:rPr>
                <w:sz w:val="20"/>
                <w:szCs w:val="20"/>
                <w:color w:val="auto"/>
              </w:rPr>
            </w:pP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312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27"/>
        </w:trPr>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293</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312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3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64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ind w:left="660" w:hanging="328"/>
        <w:spacing w:after="0"/>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w:t>
      </w:r>
    </w:p>
    <w:p>
      <w:pPr>
        <w:spacing w:after="0" w:line="9" w:lineRule="exact"/>
        <w:rPr>
          <w:rFonts w:ascii="Arial" w:cs="Arial" w:eastAsia="Arial" w:hAnsi="Arial"/>
          <w:sz w:val="16"/>
          <w:szCs w:val="16"/>
          <w:i w:val="1"/>
          <w:iCs w:val="1"/>
          <w:color w:val="auto"/>
        </w:rPr>
      </w:pPr>
    </w:p>
    <w:p>
      <w:pPr>
        <w:ind w:left="660" w:hanging="328"/>
        <w:spacing w:after="0"/>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2012, Other Revenue includes wetland mitigation bank credit sales of $1.1 million.</w:t>
      </w:r>
    </w:p>
    <w:p>
      <w:pPr>
        <w:spacing w:after="0" w:line="176"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$3.5 million, or 4 percent, from 2012 reflecting higher expenses at BNI Coal of $5.0 million primarily due to higher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repairs, fuel and labor costs; these costs are recovered through the cost plus contract. (See </w:t>
      </w:r>
      <w:r>
        <w:rPr>
          <w:rFonts w:ascii="Arial" w:cs="Arial" w:eastAsia="Arial" w:hAnsi="Arial"/>
          <w:sz w:val="16"/>
          <w:szCs w:val="16"/>
          <w:i w:val="1"/>
          <w:iCs w:val="1"/>
          <w:color w:val="auto"/>
        </w:rPr>
        <w:t>Operating Revenue</w:t>
      </w:r>
      <w:r>
        <w:rPr>
          <w:rFonts w:ascii="Arial" w:cs="Arial" w:eastAsia="Arial" w:hAnsi="Arial"/>
          <w:sz w:val="16"/>
          <w:szCs w:val="16"/>
          <w:color w:val="auto"/>
        </w:rPr>
        <w:t>.) Operating expenses in 2013 also included $1.0 million of acquisition costs for the ALLETE Clean Energy acquisition and higher cost of land sales at ALLETE Properties. These increases were partially offset by gains as a result of the exit from a legacy benefit plan and lower operating expenses related to our non-rate base generation.</w:t>
      </w:r>
    </w:p>
    <w:p>
      <w:pPr>
        <w:spacing w:after="0" w:line="15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$2.5 million from 2012 primarily due to the proportion of ALLETE interest expense allocated to Minnesota Power.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interest expense for our Regulated Operations based on Minnesota Power’s rate base and authorized capital structure, and allocate the remaining balance to Investments and Other.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$3.7 million from 2012 primarily due to gains on sales of investments.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2013 Compared to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decreased $5.0 million, or 40 percent, from 2012 primarily due to a decrease in pretax losses and higher state tax expense.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expense was higher in 2013 as more North Dakota income tax credits attributable to our North Dakota capital investments were recognized in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For the year ended December 31, 2013, the effective tax rate was 21.5 percent (28.1 percent for the year ended December 31, 2012). The decrease from the year ended December 31, 2012, was primarily due to increased federal production tax credits in 2013 related to additional wind generation assets in service during 2013. The effective tax rate deviated from the statutory rate of approximately 41 percent primarily due to deductions for AFUDC - Equity, investment tax credits, federal production tax credits, state income tax credits and depletion. (See Note 15. Income Tax Expense.)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Compared to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$22.5 million, or 3 percent, from 2011 primarily due to higher cost recovery rider revenue and transmission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lower fuel adjustment clause recoveries, lower revenue from our municipal customers and a 0.7 percent decrease in kilowatt-hours sold.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recovery rider revenue increased $22.1 million due to higher capital expenditures related to our Bison Wind Energy Center and CapX2020 projects.</w:t>
      </w:r>
    </w:p>
    <w:p>
      <w:pPr>
        <w:spacing w:after="0" w:line="2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$7.3 million primarily due to higher MISO Regional Expansion Criteria and Benefits (RECB) revenue related to our investment in CapX2020.</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$1.7 million due to lower fuel and purchased power costs attributable to our retail and municipal customers. (See </w:t>
      </w:r>
      <w:r>
        <w:rPr>
          <w:rFonts w:ascii="Arial" w:cs="Arial" w:eastAsia="Arial" w:hAnsi="Arial"/>
          <w:sz w:val="18"/>
          <w:szCs w:val="18"/>
          <w:i w:val="1"/>
          <w:iCs w:val="1"/>
          <w:color w:val="auto"/>
        </w:rPr>
        <w:t>Operating Expenses</w:t>
      </w:r>
      <w:r>
        <w:rPr>
          <w:rFonts w:ascii="Arial" w:cs="Arial" w:eastAsia="Arial" w:hAnsi="Arial"/>
          <w:sz w:val="18"/>
          <w:szCs w:val="18"/>
          <w:color w:val="auto"/>
        </w:rPr>
        <w:t xml:space="preserve"> – </w:t>
      </w:r>
      <w:r>
        <w:rPr>
          <w:rFonts w:ascii="Arial" w:cs="Arial" w:eastAsia="Arial" w:hAnsi="Arial"/>
          <w:sz w:val="18"/>
          <w:szCs w:val="18"/>
          <w:i w:val="1"/>
          <w:iCs w:val="1"/>
          <w:color w:val="auto"/>
        </w:rPr>
        <w:t>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our municipal customers decreased $1.6 million primarily due to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18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Revenue from Regulated Operations decreased $1.1 million due to a 0.7 percent reduction in kilowatt-hour sales. The decrease in kilowatt-hour sales was primarily due to lower sales to residential customers and Other Power Suppliers. Residential sales, as compared to 2011, were down primarily due to unseasonably warm weather during the first four months of 2012; heating degree days in Duluth, Minnesota were approximately 22 percent lower than in the first four months of 2011. Total kilowatt-hour sales to Other Power Suppliers decreased 9.3 percent from 2011. Sales to Other Power Suppliers are sold at market-based prices into the MISO market on a daily basis or through bilateral agreements of various durations. These decreases were partially offset by higher sales to our industrial customers, which increased 1.9 percent over 2011.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2012 Compared to 2011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1,132</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1,159</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1,436</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1,433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0.2</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7,502</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7,365</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137</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1,020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1,013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0.7</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11,090</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10,970</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120</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1,999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2,205</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(206)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(9.3)</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13,089</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13,175</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(86)</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r>
      <w:tr>
        <w:trPr>
          <w:trHeight w:val="20"/>
        </w:trPr>
        <w:tc>
          <w:tcPr>
            <w:tcW w:w="4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2012 (26 percent in 2011). Revenue from electric sales to paper, pulp and wood product customers accounted for 9 percent of consolidated operating revenue in 2012 (9 percent in 2011). Revenue from electric sales to pipelines and other industrials accounted for 6 percent of consolidated operating revenue in 2012 (7 percent in 2011).</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$19.1 million, or 3 percent, from 2011.</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$2.1 million, or 1 percent, from 2011 primarily due to a $3.2 million increase in the capacity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Square Butte PPA; the capacity component is not recovered through our fuel adjustment clause.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Operating and Maintenance Expense </w:t>
      </w:r>
      <w:r>
        <w:rPr>
          <w:rFonts w:ascii="Arial" w:cs="Arial" w:eastAsia="Arial" w:hAnsi="Arial"/>
          <w:sz w:val="16"/>
          <w:szCs w:val="16"/>
          <w:color w:val="auto"/>
        </w:rPr>
        <w:t>increased $8.5 million, or 3 percent, from 2011 primarily due to increased salary, benefit, and transmission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Benefit expenses increased primarily due to higher pension expense resulting from lower discount rates. Transmission expenses increased primarily due to higher MISO RECB expense. These increases were partially offset by lower plant outage and maintenance expenses in 2012.</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$8.5 million, or 10 percent, from 2011 reflecting additional property, plant and equipment in service.</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$4.0 million, or 11 percent, from 2011 primarily due to higher average long-term debt balances, partially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AFUDC - Debt.</w:t>
      </w:r>
    </w:p>
    <w:p>
      <w:pPr>
        <w:spacing w:after="0" w:line="170"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increased $7.2 million, or 17 percent, from 2011 primarily due to the non-recurring tax benefits recorded in 2011 for the reversal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$6.2 million deferred tax liability related to a revenue receivable Minnesota Power agreed to forgo as part of a stipulation and settlement agreement in its 2010 rate case and the recognition of a $2.9 million income tax benefit related to the MPUC approval of our request to defer the retail portion of the tax charge taken in 2010 resulting from the PPACA. The 2012 income tax expense was impacted by increased renewable tax credits over 2011.</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$10.5 million, or 14 percent, from 2011 primarily due to a $10.8 million increase in revenue at BNI Coal. BNI Coal,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operates under a cost plus fixed fee contract, recorded higher revenue as a result of higher expenses in 2012. (See </w:t>
      </w:r>
      <w:r>
        <w:rPr>
          <w:rFonts w:ascii="Arial" w:cs="Arial" w:eastAsia="Arial" w:hAnsi="Arial"/>
          <w:sz w:val="17"/>
          <w:szCs w:val="17"/>
          <w:i w:val="1"/>
          <w:iCs w:val="1"/>
          <w:color w:val="auto"/>
        </w:rPr>
        <w:t>Operating Expenses</w:t>
      </w:r>
      <w:r>
        <w:rPr>
          <w:rFonts w:ascii="Arial" w:cs="Arial" w:eastAsia="Arial" w:hAnsi="Arial"/>
          <w:sz w:val="17"/>
          <w:szCs w:val="17"/>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2012 Compared to 2011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000" w:type="dxa"/>
            <w:vAlign w:val="bottom"/>
          </w:tcPr>
          <w:p>
            <w:pPr>
              <w:spacing w:after="0"/>
              <w:rPr>
                <w:sz w:val="20"/>
                <w:szCs w:val="20"/>
                <w:color w:val="auto"/>
              </w:rPr>
            </w:pPr>
          </w:p>
        </w:tc>
        <w:tc>
          <w:tcPr>
            <w:tcW w:w="1320" w:type="dxa"/>
            <w:vAlign w:val="bottom"/>
          </w:tcPr>
          <w:p>
            <w:pPr>
              <w:ind w:left="940"/>
              <w:spacing w:after="0"/>
              <w:rPr>
                <w:sz w:val="20"/>
                <w:szCs w:val="20"/>
                <w:color w:val="auto"/>
              </w:rPr>
            </w:pPr>
            <w:r>
              <w:rPr>
                <w:rFonts w:ascii="Arial" w:cs="Arial" w:eastAsia="Arial" w:hAnsi="Arial"/>
                <w:sz w:val="18"/>
                <w:szCs w:val="18"/>
                <w:b w:val="1"/>
                <w:bCs w:val="1"/>
                <w:color w:val="auto"/>
                <w:w w:val="89"/>
              </w:rPr>
              <w:t>2011</w:t>
            </w:r>
          </w:p>
        </w:tc>
        <w:tc>
          <w:tcPr>
            <w:tcW w:w="940" w:type="dxa"/>
            <w:vAlign w:val="bottom"/>
          </w:tcPr>
          <w:p>
            <w:pPr>
              <w:spacing w:after="0"/>
              <w:rPr>
                <w:sz w:val="20"/>
                <w:szCs w:val="20"/>
                <w:color w:val="auto"/>
              </w:rPr>
            </w:pP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980" w:type="dxa"/>
            <w:vAlign w:val="bottom"/>
          </w:tcPr>
          <w:p>
            <w:pPr>
              <w:jc w:val="right"/>
              <w:ind w:right="3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Amount</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Amount</w:t>
            </w:r>
          </w:p>
        </w:tc>
      </w:tr>
      <w:tr>
        <w:trPr>
          <w:trHeight w:val="27"/>
        </w:trPr>
        <w:tc>
          <w:tcPr>
            <w:tcW w:w="4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3</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29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438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ind w:left="660" w:hanging="328"/>
        <w:spacing w:after="0"/>
        <w:tabs>
          <w:tab w:leader="none" w:pos="6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w:t>
      </w:r>
    </w:p>
    <w:p>
      <w:pPr>
        <w:spacing w:after="0" w:line="9" w:lineRule="exact"/>
        <w:rPr>
          <w:rFonts w:ascii="Arial" w:cs="Arial" w:eastAsia="Arial" w:hAnsi="Arial"/>
          <w:sz w:val="16"/>
          <w:szCs w:val="16"/>
          <w:i w:val="1"/>
          <w:iCs w:val="1"/>
          <w:color w:val="auto"/>
        </w:rPr>
      </w:pPr>
    </w:p>
    <w:p>
      <w:pPr>
        <w:jc w:val="both"/>
        <w:ind w:left="660" w:hanging="328"/>
        <w:spacing w:after="0" w:line="252" w:lineRule="auto"/>
        <w:tabs>
          <w:tab w:leader="none" w:pos="6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2012, Other Revenue includes wetland mitigation bank credit sales of $1.1 million. For the year ended December 31, 2011, Other Revenue includes a $0.4 million forfeited deposit due to the transfer of property back to ALLETE Properties by deed-in-lieu of foreclosure, in satisfaction of amounts previously owed under long-term financing receivables.</w:t>
      </w:r>
    </w:p>
    <w:p>
      <w:pPr>
        <w:spacing w:after="0" w:line="15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$8.7 million, or 10 percent, from 2011 reflecting higher expenses at BNI Coal of $8.4 million primarily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repairs, fuel costs and new equipment leases; these costs are recovered through the cost plus fixed fee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 The remaining increase was primarily due to higher business development expenses. These increases were partially offset by a $1.7 million pretax impairment charge taken at ALLETE Properties in 2011.</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$2.1 million, or 27 percent, from 2011 primarily due to an increase in the proportion of ALLETE interest expense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Minnesota Power. We record interest expense for our Regulated Operations based on Minnesota Power’s rate base and authorized capital structure, and allocate the remaining balance to Investments and Other. Interest expense also decreased due to the reversal of interest accrued in previous years related to our uncertain tax positions.</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increased $4.8 million, or 63 percent, from 2011 due to lower state tax expense. State income tax expense was lower in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North Dakota income tax credits attributable to our North Dakota capital investment, and recognized as a result of ALLETE’s expected generation of future taxable income in excess of that generated by our Regulated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For the year ended December 31, 2012, the effective tax rate was 28.1 percent (27.6 percent for the year ended December 31, 2011). The effective tax rate for the year ended December 31, 2011, was lowered by 4.8 percentage points due to the non-recurring reversal of the deferred tax liability related to a revenue receivable that Minnesota Power agreed to forgo as part of a stipulation and settlement agreement in its 2010 rate case, and by 2.2 percentage points due to the non-recurring income tax benefit related to the MPUC approval of our request to defer the retail portion of the tax charge taken in 2010 resulting from the PPACA). The increase in the effective tax rate from the year ended December 31, 2011, was primarily due to the 2011 non-recurring items above, which were offset by increased renewable tax credits in 2012. The effective tax rate deviated from the statutory rate of approximately 41 percent primarily due to deductions for AFUDC - Equity, investment tax credits, renewable tax credits and depletion, and in 2011, for the non-recurring items discussed above. (See Note 15. Income Tax Expense.)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The following represent the policies we believe are most critical to our business and the understanding of our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accounted for in accordance with the accounting standards for the effects of certain types of</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These standards 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5. Regulatory Matters.)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postretirement benefit obligations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accounting standards for defined benefit pension and other postretirement plans. These standards require the use of several important assumptions, including the expected long-term rate of return on plan assets and the discount rate, among others, in determining our obligations and the annual cost of our pension and postretirement benefits. 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 Our pension asset allocation at December 31, 2013, was approximately 52 percent equity securities, 34 percent debt, 9 percent private equity, and 5 percent real estate. Our postretirement health and life asset allocation at December 31, 2013, was approximately 63 percent equity securities, 29 percent debt, and 8 percent private equity. Equity securities consist of a mix of market capitalization sizes with domestic and international securities. In 2013, we used expected long-term rates of return of 8.25 percent in our actuarial determination of our pension expense and 6.60 percent to 8.25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one-quarter percent decrease in the expected long-term rate of return would increase the annual expense for pension and other postretirement benefits by approximately $1.4 million, pretax.</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discount rate is computed using a yield curve adjusted for ALLETE’s projected cash flows to match our plan characteristics. The yield curve is determined using high-quality, long-term corporate bond rates at the valuation date. In 2013, we used discount rates of 4.10 percent and 4.13 percent in our actuarial determination of our pension and other postretirement expense, respectively. We review our discount rate annually and will adjust it to respond to changing market conditions. A one-quarter percent decrease in the discount rate would increase the annual expense for pension and other postretirement benefits by approximately $2.2 million, pretax. (See Note 17. Pension and Other Postretirement Benefit Plans.)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real estate assets for recoverability by comparing the carrying amount of the asset to the undiscounted future net cash flows expected to be generated by the asset. Cash flows are assessed at the lowest level of identifiable cash flows, which may be by each land parcel, combining various parcels into bulk sales, or other combinations thereof. Our consideration of possible impairment for our real estate assets requires us to make estimates of future net cash flows on an undiscounted basis. The undiscounted future net cash flows are impacted by trends and factors known to us at the time they are calculated and our expectations related to management’s best estimate of future sales prices, the holding period and timing of sales, the method of disposition and the future expenditures necessary to develop and maintain the operations, including community development district assessments, property taxes and normal operation and maintenance costs. These estimates and expectations are specific to, and may vary among, each land parcel or bulk sale. If the excess of undiscounted future net cash flows over the carrying value of a property is small, there is a greater risk of future impairment in the event of such changes and any resulting impairment charges could be material.</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 our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taxing authorities. These tax obligations include income, real estate and sales/use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projections of our future federal and state taxable income, and state apportionment, to determine our ability to utilize NOL and credit carryforwards prior to their expiration. Significant changes in assumptions regarding future federal and state taxable income or change in tax rates could require new or increased valuation allowances which could result in a material impact on our results of operations.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2010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expects to pursue new energy-centric initiatives that provide long-term earnings growth potential and balance our exposure to global business cycles and changing demand. The new energy-centric pursuits will be in renewable energy, energy transmission and other energy-related infrastructure or infrastructure services.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believe that, over the long-term, less carbon intensive and more sustainable energy sources will play an increasingly important role in our nation’s energy mix. Minnesota Power has developed renewable resources which will be used to meet regulated renewable supply requirements and is adding another 205 MW at the Bison Wind Energy Center (see Regulated Operations – </w:t>
      </w:r>
      <w:r>
        <w:rPr>
          <w:rFonts w:ascii="Arial" w:cs="Arial" w:eastAsia="Arial" w:hAnsi="Arial"/>
          <w:sz w:val="17"/>
          <w:szCs w:val="17"/>
          <w:i w:val="1"/>
          <w:iCs w:val="1"/>
          <w:color w:val="auto"/>
        </w:rPr>
        <w:t>Renewable Energy</w:t>
      </w:r>
      <w:r>
        <w:rPr>
          <w:rFonts w:ascii="Arial" w:cs="Arial" w:eastAsia="Arial" w:hAnsi="Arial"/>
          <w:sz w:val="17"/>
          <w:szCs w:val="17"/>
          <w:color w:val="auto"/>
        </w:rPr>
        <w:t>). In addition, in 2011, we established ALLETE Clean Energy, a wholly-owned subsidiary of ALLETE. ALLETE Clean Energy operates independently of Minnesota Power to develop or acquire capital projects aimed at creating energy solutions via wind, solar, biomass, midstream gas and oil infrastructure, among other energy-related projects. ALLETE Clean Energy intends to market to electric utilities, cooperatives, municipalities, independent power marketers and large end-users across North America through long-term contracts or other sale arrangements, and will be subject to applicable state and federal regulatory approvals.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plan to make investments in transmission opportunities that strengthen or enhance the transmission grid or take advantage of our geographical location between sources of renewable energy and end users. This includes the GNTL, the CapX2020 initiative, investments to enhance our own transmission facilities, investments in other transmission assets (individually or in combination with others), and our investment in ATC. Transmission investments could be made by Minnesota Power or a subsidiary of ALLETE. (See Regulated Operations –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(see Regulated Operations –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our Regulated Operations will not earn its allowed rate of return in 2014.</w:t>
      </w:r>
    </w:p>
    <w:p>
      <w:pPr>
        <w:spacing w:after="0" w:line="164"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the FERC or the PSCW. See Item 1.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Regulated Operations – Regulatory Matters for discussion of regulatory matters within our Minnesota, FERC, Wisconsin and North Dakota jurisdictions.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Industrial Customers. </w:t>
      </w:r>
      <w:r>
        <w:rPr>
          <w:rFonts w:ascii="Arial" w:cs="Arial" w:eastAsia="Arial" w:hAnsi="Arial"/>
          <w:sz w:val="16"/>
          <w:szCs w:val="16"/>
          <w:color w:val="auto"/>
        </w:rPr>
        <w:t>Electric power is one of several key inputs in the taconite mining, iron concentrate, paper, pulp and wood products, and pipeline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industries. In 2013, 55 percent (57 percent in 2012) of our Regulated Utility kilowatt-hour sales were made to our industrial customers in these industries.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2014 will be similar to 2013. The American Iron and Steel Institute (AISI), an association of North American steel producers, reported that U.S. raw steel production operated at approximately 77 percent of capacity in 2013 (75 percent in 2012, 75 percent in 2011). Based on these projections, 2014 taconite production levels in Minnesota are expected to be similar to 2013. 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208280</wp:posOffset>
            </wp:positionV>
            <wp:extent cx="4673600" cy="257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73600" cy="2573020"/>
                    </a:xfrm>
                    <a:prstGeom prst="rect">
                      <a:avLst/>
                    </a:prstGeom>
                    <a:noFill/>
                  </pic:spPr>
                </pic:pic>
              </a:graphicData>
            </a:graphic>
          </wp:anchor>
        </w:drawing>
      </w:r>
    </w:p>
    <w:p>
      <w:pPr>
        <w:spacing w:after="0" w:line="317"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5680" w:type="dxa"/>
            <w:vAlign w:val="bottom"/>
            <w:gridSpan w:val="3"/>
          </w:tcPr>
          <w:p>
            <w:pPr>
              <w:ind w:left="120"/>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91"/>
        </w:trPr>
        <w:tc>
          <w:tcPr>
            <w:tcW w:w="1680" w:type="dxa"/>
            <w:vAlign w:val="bottom"/>
          </w:tcPr>
          <w:p>
            <w:pPr>
              <w:ind w:left="108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80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Tons (Millions)</w:t>
            </w:r>
          </w:p>
        </w:tc>
      </w:tr>
      <w:tr>
        <w:trPr>
          <w:trHeight w:val="27"/>
        </w:trPr>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16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2013*</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38</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2012</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2011</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2010</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35</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2009</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17</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2008</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2007</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38</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2006</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2005</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40</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2004</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bl>
    <w:p>
      <w:pPr>
        <w:spacing w:after="0" w:line="53" w:lineRule="exact"/>
        <w:rPr>
          <w:sz w:val="20"/>
          <w:szCs w:val="20"/>
          <w:color w:val="auto"/>
        </w:rPr>
      </w:pPr>
    </w:p>
    <w:p>
      <w:pPr>
        <w:ind w:left="2080" w:right="2500"/>
        <w:spacing w:after="0" w:line="277" w:lineRule="auto"/>
        <w:rPr>
          <w:sz w:val="20"/>
          <w:szCs w:val="20"/>
          <w:color w:val="auto"/>
        </w:rPr>
      </w:pPr>
      <w:r>
        <w:rPr>
          <w:rFonts w:ascii="Arial" w:cs="Arial" w:eastAsia="Arial" w:hAnsi="Arial"/>
          <w:sz w:val="18"/>
          <w:szCs w:val="18"/>
          <w:i w:val="1"/>
          <w:iCs w:val="1"/>
          <w:color w:val="auto"/>
        </w:rPr>
        <w:t>Source: Minnesota Department of Revenue November 2013 Mining Tax Guide for years 2004 - 2012.</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 Preliminary data from the Minnesota Department of Revenue.</w:t>
      </w: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taconite customers may experience annual variations in production levels due to such factors as economic conditions, short-term demand changes or maintenance outages. We estimate that a one million ton change in our taconite customers’ production would change our annual earnings per share by approximately $0.03, net of expected power marketing sales at 2013 year-end prices. Changes in wholesale electric prices or customer contractual demand nominations could impact this estimate. Long-term reductions in production or a permanent shut down of a taconite customer may lead us to file a rate case to recover lost revenues.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to our taconite customers, three of four major paper mills ran at, or very near, full capacity in 2013 and similar levels are expected in 2014. Boise, Inc. (Boise) operates a paper mill in International Falls, Minnesota. In October 2013, Boise permanently shut down two paper machines representing approximately 20 percent of its paper making capacity. Boise’s reduction in paper making capacity is not expected to have a material impact on the Company’s consolidated financial position, results of operations, or cash flows.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Prospective Additional Load. </w:t>
      </w:r>
      <w:r>
        <w:rPr>
          <w:rFonts w:ascii="Arial" w:cs="Arial" w:eastAsia="Arial" w:hAnsi="Arial"/>
          <w:sz w:val="16"/>
          <w:szCs w:val="16"/>
          <w:color w:val="auto"/>
        </w:rPr>
        <w:t>Minnesota Power is pursuing new wholesale and retail loads in and around its service territory. Currently, several companies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northeastern Minnesota continue to progress in the development of natural resource based projects that represent long-term growth potential and load diversity for Minnesota Power. These potential projects are in the ferrous and non-ferrous mining and steel industries and include Essar Steel Minnesota LLC (Essar), PolyMet, Mesabi Nugget, USS Corporation’s Keewatin taconite expansion and Magnetation. We cannot predict the outcome of these projects, but if these projects are constructed, Minnesota Power could serve up to approximately 500 MW of new retail or wholesale load.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Nashwauk Public Utilities Commission. </w:t>
      </w:r>
      <w:r>
        <w:rPr>
          <w:rFonts w:ascii="Arial" w:cs="Arial" w:eastAsia="Arial" w:hAnsi="Arial"/>
          <w:sz w:val="17"/>
          <w:szCs w:val="17"/>
          <w:color w:val="auto"/>
        </w:rPr>
        <w:t>In May 2012, the Company entered into a new formula-based wholesale electric sales agreement with the Nashwauk</w:t>
      </w:r>
      <w:r>
        <w:rPr>
          <w:rFonts w:ascii="Arial" w:cs="Arial" w:eastAsia="Arial" w:hAnsi="Arial"/>
          <w:sz w:val="17"/>
          <w:szCs w:val="17"/>
          <w:i w:val="1"/>
          <w:iCs w:val="1"/>
          <w:color w:val="auto"/>
        </w:rPr>
        <w:t xml:space="preserve"> </w:t>
      </w:r>
      <w:r>
        <w:rPr>
          <w:rFonts w:ascii="Arial" w:cs="Arial" w:eastAsia="Arial" w:hAnsi="Arial"/>
          <w:sz w:val="17"/>
          <w:szCs w:val="17"/>
          <w:color w:val="auto"/>
        </w:rPr>
        <w:t>Public Utilities Commission for all of its electric service requirements, effective through June 30, 2024. A new Essar taconite facility is currently under construction in the City of Nashwauk. This facility will result in up to approximately 110 MW of additional load for Minnesota Power. Essar has indicated plans for start-up in early 2015 and a move towards full production capacity levels during 2015. Expansions for additional pellet production, production of direct reduced iron and production of steel slabs are also being considered by Essar for future years. In addition, on February 11, 2013, Essar announced a ten-year iron ore pellet off-take agreement with ArcelorMittal. Under the terms of the agreement, Essar will supply approximately 3 million to 4 million metric tons of pellets annually to ArcelorMittal beginning with their facility startup in 2015.</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PolyMet</w:t>
      </w:r>
      <w:r>
        <w:rPr>
          <w:rFonts w:ascii="Arial" w:cs="Arial" w:eastAsia="Arial" w:hAnsi="Arial"/>
          <w:sz w:val="17"/>
          <w:szCs w:val="17"/>
          <w:color w:val="auto"/>
        </w:rPr>
        <w:t>. Minnesota Power has executed a long-term contract with PolyMet, a new industrial customer planning to start a copper-nickel and precious metal</w:t>
      </w:r>
      <w:r>
        <w:rPr>
          <w:rFonts w:ascii="Arial" w:cs="Arial" w:eastAsia="Arial" w:hAnsi="Arial"/>
          <w:sz w:val="17"/>
          <w:szCs w:val="17"/>
          <w:i w:val="1"/>
          <w:iCs w:val="1"/>
          <w:color w:val="auto"/>
        </w:rPr>
        <w:t xml:space="preserve"> </w:t>
      </w:r>
      <w:r>
        <w:rPr>
          <w:rFonts w:ascii="Arial" w:cs="Arial" w:eastAsia="Arial" w:hAnsi="Arial"/>
          <w:sz w:val="17"/>
          <w:szCs w:val="17"/>
          <w:color w:val="auto"/>
        </w:rPr>
        <w:t>(non-ferrous) mining operation in northeastern Minnesota. PolyMet began work on a Supplemental Draft Environmental Impact Statement (SDEIS) in 2010. The SDEIS addresses environmental issues, including those dealing with a land exchange between PolyMet and the U.S. Forest Service (USFS), which is critical to the mine site development. The Minnesota Department of Natural Resources, the U.S. Army Corps of Engineers and the USFS are co-lead agencies in the SDEIS process. The SDEIS was released on December 6, 2013, and the public review and comment period is scheduled to last until March 13, 2014. Assuming successful completion of the SDEIS process, permits could be issued during the latter part of 2014. Construction would commence immediately upon issuance of permits and Minnesota Power could begin to supply between 45 MW and 50 MW of load initially as early as 2016 through a 10-year power supply contract period that would begin upon start-up of the mining operations.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Mesabi Nugget. </w:t>
      </w:r>
      <w:r>
        <w:rPr>
          <w:rFonts w:ascii="Arial" w:cs="Arial" w:eastAsia="Arial" w:hAnsi="Arial"/>
          <w:sz w:val="17"/>
          <w:szCs w:val="17"/>
          <w:color w:val="auto"/>
        </w:rPr>
        <w:t>The construction of the initial Mesabi Nugget facility is complete and production began in January 2010. Mesabi Nugget continues to pursue</w:t>
      </w:r>
      <w:r>
        <w:rPr>
          <w:rFonts w:ascii="Arial" w:cs="Arial" w:eastAsia="Arial" w:hAnsi="Arial"/>
          <w:sz w:val="17"/>
          <w:szCs w:val="17"/>
          <w:i w:val="1"/>
          <w:iCs w:val="1"/>
          <w:color w:val="auto"/>
        </w:rPr>
        <w:t xml:space="preserve"> </w:t>
      </w:r>
      <w:r>
        <w:rPr>
          <w:rFonts w:ascii="Arial" w:cs="Arial" w:eastAsia="Arial" w:hAnsi="Arial"/>
          <w:sz w:val="17"/>
          <w:szCs w:val="17"/>
          <w:color w:val="auto"/>
        </w:rPr>
        <w:t>permits for taconite mining activities on lands formerly mined by Erie Mining Company and LTV Steel Mining Company near Hoyt Lakes, Minnesota. Upon receipt of permits to mine, Mesabi Nugget could mine and self-supply its own iron ore concentrate about a year later, which would result in increased electrical loads above our current 20 MW long-term power supply contract with Mesabi Nugget which lasts at least through 2017. In the meantime, Mesabi Nugget will receive iron ore concentrate from a new Mining Resources, LLC facility located near Chisholm, Minnesota.</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Keewatin Taconite (Keetac). </w:t>
      </w:r>
      <w:r>
        <w:rPr>
          <w:rFonts w:ascii="Arial" w:cs="Arial" w:eastAsia="Arial" w:hAnsi="Arial"/>
          <w:sz w:val="18"/>
          <w:szCs w:val="18"/>
          <w:color w:val="auto"/>
        </w:rPr>
        <w:t>USS Corporation has received environmental permits for a potential future expansion at its Keetac processing facility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could result in over 60 MW of additional load for Minnesota Power. USS Corporation continues to evaluate this project against its capital funding availability and market forecast expectations.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Magnetation. </w:t>
      </w:r>
      <w:r>
        <w:rPr>
          <w:rFonts w:ascii="Arial" w:cs="Arial" w:eastAsia="Arial" w:hAnsi="Arial"/>
          <w:sz w:val="18"/>
          <w:szCs w:val="18"/>
          <w:color w:val="auto"/>
        </w:rPr>
        <w:t>Magnetation produces iron ore concentrate from low-grade natural ore tailing basins, already mined stockpiles and newly mined iron</w:t>
      </w:r>
      <w:r>
        <w:rPr>
          <w:rFonts w:ascii="Arial" w:cs="Arial" w:eastAsia="Arial" w:hAnsi="Arial"/>
          <w:sz w:val="18"/>
          <w:szCs w:val="18"/>
          <w:i w:val="1"/>
          <w:iCs w:val="1"/>
          <w:color w:val="auto"/>
        </w:rPr>
        <w:t xml:space="preserve"> </w:t>
      </w:r>
      <w:r>
        <w:rPr>
          <w:rFonts w:ascii="Arial" w:cs="Arial" w:eastAsia="Arial" w:hAnsi="Arial"/>
          <w:sz w:val="18"/>
          <w:szCs w:val="18"/>
          <w:color w:val="auto"/>
        </w:rPr>
        <w:t>formations. Magnetation’s facility near Taconite, Minnesota is fully operational. Construction is underway at their newest concentrate facility near Coleraine, Minnesota, with production expected to commence by the end of 2014. On January 27, 2014, Minnesota Power and Magnetation entered into a new ten-year electric service agreement, subject to MPUC approval, for its facility near Coleraine, Minnesota. This agreement will be effective one month following MPUC approval through December 31, 2025. In addition, a transmission service extension is required to be constructed and is expected to be complete in the fourth quarter of 2014. Minnesota Power expects to supply approximately 20 MW of power to this new facility, making it a Large Power Customer of Minnesota Power. The new facility is expected to supply iron ore concentrate to Magnetation’s new pellet plant that is under construction in Reynolds, Indiana. The Reynolds pellet plant is expected to come on line in the second half of 2014 and will produce about 3 million tons of taconite pellets annually for AK Steel.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January 2013, Minnesota Power announced “EnergyForward”,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66"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Our Bison Wind Energy Center has 292 MW of nameplate capacity with an additional 205 MW under construction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Planned installation of approximately $310 million in emissions control technology at our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in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Retiring Taconite Harbor Unit 3, one of three coal-fired units at Taconite Harbor, in 2015.</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“EnergyForward” initiatives were included in Minnesota Power’s 2013 Integrated Resource Plan, which was approved by the MPUC in an order dated November 12, 2013. (See Item 1. Business – Regulated Operations – Regulatory Matters.)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 comply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$310 million. On November 5, 2013, the MPUC issued an order approving the Boswell Unit 4 mercury emissions reduction plan and cost recovery, establishing an environmental improvement rider. On November 25, 2013, environmental intervenors filed a petition for reconsideration with the MPUC which was subsequently denied in an order dated January 17, 2014. On December 20, 2013, we filed a petition with the MPUC to establish customer billing rates for the approved environmental improvement rider based on actual and estimated investments and expenditures, which is expected to be approved in the second quarter of 2014.</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Renewable Energy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2007, Minnesota enacted a law requiring 25 percent of Minnesota Power’s total retail and municipal energy sales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Minnesota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2013 Integrated Resource Plan. Minnesota Power’s 2013 Integrated Resource Plan, which was approved by the MPUC in an order dated November 12, 2013, included an update on its plans and progress in meeting the Minnesota renewable energy milestones through 2025.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We expect 19 percent of the Company’s total retail and municipal energy sales will be supplied by renewable energy sources in 2014.</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Wind Energy. </w:t>
      </w:r>
      <w:r>
        <w:rPr>
          <w:rFonts w:ascii="Arial" w:cs="Arial" w:eastAsia="Arial" w:hAnsi="Arial"/>
          <w:sz w:val="18"/>
          <w:szCs w:val="18"/>
          <w:color w:val="auto"/>
        </w:rPr>
        <w:t>Our wind energy facilities consist of the 292 MW Bison Wind Energy Center located in North Dakota and the 25 MW Taconite Ridge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Center located in northeastern Minnesota. We also have two long-term wind PPAs with an affiliate of NextEra Energy, Inc. to purchase the output from Oliver Wind I (50 MW) and Oliver Wind II (48 MW) located in North Dakota. We have also commenced construction of Bison 4, a 205 MW wind project in North Dakota, which is an addition to our Bison Wind Energy Center. On September 25, 2013, the NDPSC approved the site permit for Bison 4. The total project investment for Bison 4 is estimated to be approximately $345 million, of which $55.6 million was spent through December 31, 2013. The Bison 4 wind project is expected to be completed by the end of 2014.</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billing rates for our 292 MW Bison Wind Energy Center were approved by the MPUC in an order dated December 3, 2013. On January 17, 2014, the MPUC approved Minnesota Power’s petition seeking cost recovery for investments and expenditures related to Bison 4. We anticipate including Bison 4 as part of our renewable resources rider factor filing along with the Company’s other renewable projects in the first quarter of 2014, which upon approval, authorizes updated rates to be included on customer bills.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that expires in May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energy associated with that capacity. Both the capacity price and the energy price are adjusted annually by the change in a governmental inflationary index. In addition, Minnesota Power has a separate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2011, Minnesota Power and Manitoba Hydro signed an additional long-term PPA, which provides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The agreement is subject to construction of additional transmission capacity between Manitoba and Minnesota’s Iron Range. (See Regulated Operations –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Hydro Operations. </w:t>
      </w:r>
      <w:r>
        <w:rPr>
          <w:rFonts w:ascii="Arial" w:cs="Arial" w:eastAsia="Arial" w:hAnsi="Arial"/>
          <w:sz w:val="16"/>
          <w:szCs w:val="16"/>
          <w:color w:val="auto"/>
        </w:rPr>
        <w:t>In June 2012, record rainfall and flooding occurred near Duluth, Minnesota and surrounding areas. The flooding impacted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Power’s St. Louis River hydro system, particularly the Thomson Energy Center, which is currently off-line due to damage to the forebay canal and flooding at the facility. Minnesota Power continues to work in close contact with the appropriate regulatory bodies which oversee the hydro system operations, including dams and reservoirs, on restoring the Thomson facility and to rebuild the forebay embankment. The forebay rebuild cost is estimated to be approximately $25 million. In addition to the forebay work, Minnesota Power is performing restoration and upgrade work on electrical, mechanical and flow line systems at the Thomson facility, which is estimated to cost a total of approximately $40 million (net of anticipated insurance recoveries). Any expenditures to restore and upgrade systems and rebuild the forebay canal will be capitalized. Minnesota Power is working towards returning to partial generation from the Thomson Energy Center by the first half of 2014 and to full generation by the end of 2014. In addition to the work at the Thomson facility, additional work on the Thomson Dam and other facilities in the St. Louis River hydro system are necessary to meet high flow events like that experienced in June 2012, which is estimated to cost approximately $15 million through 2015. A request seeking cost recovery of capital expenditures related to the restoration and repair of the Thomson facility and other related St. Louis River hydro system projects through a renewable resources rider is expected to be filed with the MPUC in 2014.</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Minnesota Solar Mandate. </w:t>
      </w:r>
      <w:r>
        <w:rPr>
          <w:rFonts w:ascii="Arial" w:cs="Arial" w:eastAsia="Arial" w:hAnsi="Arial"/>
          <w:sz w:val="16"/>
          <w:szCs w:val="16"/>
          <w:color w:val="auto"/>
        </w:rPr>
        <w:t>In May 2013, legislation was enacted by the state of Minnesota requiring at least 1.5 percent of total retail electric sales,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sales to certain industrial customers, to be generated by solar energy by the end of 2020. At least ten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investment is expected to be recovered in customer rates.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Integrated Resource Plan. </w:t>
      </w:r>
      <w:r>
        <w:rPr>
          <w:rFonts w:ascii="Arial" w:cs="Arial" w:eastAsia="Arial" w:hAnsi="Arial"/>
          <w:sz w:val="18"/>
          <w:szCs w:val="18"/>
          <w:color w:val="auto"/>
        </w:rPr>
        <w:t>In an order dated November 12, 2013, the MPUC approved Minnesota Power’s 2013 Integrated Resource Plan which details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“EnergyForward” strategic plan (see </w:t>
      </w:r>
      <w:r>
        <w:rPr>
          <w:rFonts w:ascii="Arial" w:cs="Arial" w:eastAsia="Arial" w:hAnsi="Arial"/>
          <w:sz w:val="18"/>
          <w:szCs w:val="18"/>
          <w:i w:val="1"/>
          <w:iCs w:val="1"/>
          <w:color w:val="auto"/>
        </w:rPr>
        <w:t>EnergyForward</w:t>
      </w:r>
      <w:r>
        <w:rPr>
          <w:rFonts w:ascii="Arial" w:cs="Arial" w:eastAsia="Arial" w:hAnsi="Arial"/>
          <w:sz w:val="18"/>
          <w:szCs w:val="18"/>
          <w:color w:val="auto"/>
        </w:rPr>
        <w:t>), and includes an analysis of a variety of existing and future energy resource alternatives and a projection of customer cost impact by class.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This includes the GNTL and the CapX2020 initiative, as well as investments to enhance our own transmission facilities, investments in other transmission assets (individually or in combination with others), and our investment in ATC. See also Item 1. Business – Regulated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BNI Coal. </w:t>
      </w:r>
      <w:r>
        <w:rPr>
          <w:rFonts w:ascii="Arial" w:cs="Arial" w:eastAsia="Arial" w:hAnsi="Arial"/>
          <w:sz w:val="16"/>
          <w:szCs w:val="16"/>
          <w:color w:val="auto"/>
        </w:rPr>
        <w:t>In 2013, BNI Coal sold 3.7 million tons of coal (4.4 million tons in 2012) and anticipates 2014 sales will be similar to 2012. In 2013, a customer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BNI Coal incurred a scheduled major outage resulting in fewer tons sold. BNI Coal operates under a cost plus fixed fee agreement extending to May 1, 2027.</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ALLETE Properties. </w:t>
      </w:r>
      <w:r>
        <w:rPr>
          <w:rFonts w:ascii="Arial" w:cs="Arial" w:eastAsia="Arial" w:hAnsi="Arial"/>
          <w:sz w:val="16"/>
          <w:szCs w:val="16"/>
          <w:color w:val="auto"/>
        </w:rPr>
        <w:t>ALLETE Properties represents our Florida real estate investment. Our current strategy for the assets is to complete and maintain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entitlements and infrastructure improvements without requiring significant additional investment, sell the portfolio when opportunities arise and reinvest the proceeds in our growth initiatives. Market conditions can impact land sales and could result in our inability to cover our operating expenses and fixed carrying costs such as community development district assessments and property taxes. ALLETE does not intend to acquire additional Florida real estate.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68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68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(b,c)</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Current Development Projects</w:t>
            </w:r>
          </w:p>
        </w:tc>
        <w:tc>
          <w:tcPr>
            <w:tcW w:w="2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Town Center</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964</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2,485</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2,236,700</w:t>
            </w: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Palm Coast Park</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3,777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3,554</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3,096,800</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Development Projects</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4,741</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6,039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5,333,500</w:t>
            </w:r>
          </w:p>
        </w:tc>
      </w:tr>
      <w:tr>
        <w:trPr>
          <w:trHeight w:val="284"/>
        </w:trPr>
        <w:tc>
          <w:tcPr>
            <w:tcW w:w="5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Planned Development Project</w:t>
            </w:r>
          </w:p>
        </w:tc>
        <w:tc>
          <w:tcPr>
            <w:tcW w:w="2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Ormond Crossings</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2,914</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2,950</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3,215,000</w:t>
            </w:r>
          </w:p>
        </w:tc>
      </w:tr>
      <w:tr>
        <w:trPr>
          <w:trHeight w:val="27"/>
        </w:trPr>
        <w:tc>
          <w:tcPr>
            <w:tcW w:w="5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3,044</w:t>
            </w:r>
          </w:p>
        </w:tc>
        <w:tc>
          <w:tcPr>
            <w:tcW w:w="1380" w:type="dxa"/>
            <w:vAlign w:val="bottom"/>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60" w:type="dxa"/>
            <w:vAlign w:val="bottom"/>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10,699</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8,989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8,548,500</w:t>
            </w:r>
          </w:p>
        </w:tc>
      </w:tr>
      <w:tr>
        <w:trPr>
          <w:trHeight w:val="20"/>
        </w:trPr>
        <w:tc>
          <w:tcPr>
            <w:tcW w:w="56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1,715 acres of other land available-for-sale.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ALLETE Clean Energy. </w:t>
      </w:r>
      <w:r>
        <w:rPr>
          <w:rFonts w:ascii="Arial" w:cs="Arial" w:eastAsia="Arial" w:hAnsi="Arial"/>
          <w:sz w:val="17"/>
          <w:szCs w:val="17"/>
          <w:color w:val="auto"/>
        </w:rPr>
        <w:t>On January 30, 2014, ALLETE Clean Energy acquired wind energy facilities located in Lake Benton, Minnesota (Lake Benton),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Storm Lake, Iowa (Storm Lake) and Condon, Oregon (Condon) from The AES Corporation (AES) for approximately $27 million, subject to a working capital adjustment. The acquisition was financed with cash from operations. The necessary FERC approvals were received in December 2013. ALLETE Clean Energy also has an option to acquire a fourth wind facility from AES in Armenia Mountain, Pennsylvania (Armenia Mountain), in June 2015.</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Lake Benton, Storm Lake and Condon facilities have 104 MW, 77 MW and 50 MW of generating capability, respectively. Lake Benton and Storm Lake began commercial operations in 1999,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from AES in June 2015. Armenia Mountain began operations in 2009. (See Note 7. Acquisitions.)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2011, the Company filed with the MPUC for approval of certain affiliated interest agreements between ALLETE and 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ALLETE’s aggregate federal and multi-state statutory tax rate is approximately 41 percent for 2013. On an ongoing basis, ALLETE has tax</w:t>
      </w:r>
      <w:r>
        <w:rPr>
          <w:rFonts w:ascii="Arial" w:cs="Arial" w:eastAsia="Arial" w:hAnsi="Arial"/>
          <w:sz w:val="16"/>
          <w:szCs w:val="16"/>
          <w:b w:val="1"/>
          <w:bCs w:val="1"/>
          <w:color w:val="auto"/>
        </w:rPr>
        <w:t xml:space="preserve"> </w:t>
      </w:r>
      <w:r>
        <w:rPr>
          <w:rFonts w:ascii="Arial" w:cs="Arial" w:eastAsia="Arial" w:hAnsi="Arial"/>
          <w:sz w:val="16"/>
          <w:szCs w:val="16"/>
          <w:color w:val="auto"/>
        </w:rPr>
        <w:t>credits and other tax adjustments that reduce the statutory rate to the effective tax rate. These tax credits and adjustments historically have included items such as investment tax credits, renewable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federal production tax credits as a result of wind generation, we expect our effective tax rate to be approximately 22 percent for 2014. We also expect that our effective tax rate will be lower than the statutory rate over the next ten years due to production tax credits attributable to our wind generation.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December 31, 2013, we had cash and cash equivalents of $97.3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$401.0 million in available consolidated lines of credit and a debt-to-capital ratio of 45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w:t>
            </w:r>
          </w:p>
        </w:tc>
        <w:tc>
          <w:tcPr>
            <w:tcW w:w="1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$1,342.9</w:t>
            </w: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$1,201.0</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$1,079.3</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1,110.2</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1,018.1</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46</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863.3</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44</w:t>
            </w:r>
          </w:p>
        </w:tc>
      </w:tr>
      <w:tr>
        <w:trPr>
          <w:trHeight w:val="27"/>
        </w:trPr>
        <w:tc>
          <w:tcPr>
            <w:tcW w:w="4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4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$2,453.1</w:t>
            </w:r>
          </w:p>
        </w:tc>
        <w:tc>
          <w:tcPr>
            <w:tcW w:w="10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$2,219.1</w:t>
            </w: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$1,943.7</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r>
      <w:tr>
        <w:trPr>
          <w:trHeight w:val="27"/>
        </w:trPr>
        <w:tc>
          <w:tcPr>
            <w:tcW w:w="4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9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$80.8</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$101.1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Cash Flows from (for)</w:t>
            </w:r>
          </w:p>
        </w:tc>
        <w:tc>
          <w:tcPr>
            <w:tcW w:w="3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3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239.4</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239.6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3160" w:type="dxa"/>
            <w:vAlign w:val="bottom"/>
          </w:tcPr>
          <w:p>
            <w:pPr>
              <w:jc w:val="right"/>
              <w:ind w:right="330"/>
              <w:spacing w:after="0"/>
              <w:rPr>
                <w:sz w:val="20"/>
                <w:szCs w:val="20"/>
                <w:color w:val="auto"/>
              </w:rPr>
            </w:pPr>
            <w:r>
              <w:rPr>
                <w:rFonts w:ascii="Arial" w:cs="Arial" w:eastAsia="Arial" w:hAnsi="Arial"/>
                <w:sz w:val="18"/>
                <w:szCs w:val="18"/>
                <w:color w:val="auto"/>
              </w:rPr>
              <w:t>(336.6)</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(420.1)</w:t>
            </w:r>
          </w:p>
        </w:tc>
        <w:tc>
          <w:tcPr>
            <w:tcW w:w="1000" w:type="dxa"/>
            <w:vAlign w:val="bottom"/>
          </w:tcPr>
          <w:p>
            <w:pPr>
              <w:jc w:val="right"/>
              <w:spacing w:after="0"/>
              <w:rPr>
                <w:sz w:val="20"/>
                <w:szCs w:val="20"/>
                <w:color w:val="auto"/>
              </w:rPr>
            </w:pPr>
            <w:r>
              <w:rPr>
                <w:rFonts w:ascii="Arial" w:cs="Arial" w:eastAsia="Arial" w:hAnsi="Arial"/>
                <w:sz w:val="18"/>
                <w:szCs w:val="18"/>
                <w:color w:val="auto"/>
              </w:rPr>
              <w:t>(240.9)</w:t>
            </w:r>
          </w:p>
        </w:tc>
      </w:tr>
      <w:tr>
        <w:trPr>
          <w:trHeight w:val="27"/>
        </w:trPr>
        <w:tc>
          <w:tcPr>
            <w:tcW w:w="59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3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113.7</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160.2</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37"/>
        </w:trPr>
        <w:tc>
          <w:tcPr>
            <w:tcW w:w="5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31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16.5</w:t>
            </w:r>
          </w:p>
        </w:tc>
        <w:tc>
          <w:tcPr>
            <w:tcW w:w="13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(20.3)</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59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$97.3</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0"/>
        </w:trPr>
        <w:tc>
          <w:tcPr>
            <w:tcW w:w="590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Cash from operating activities in 2013 was similar to 2012 as higher net income and lower fuel inventories were offset by decreased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current liabilities due to higher receipts of customer security deposits in 2012 and increased cost recovery rider revenue receivables in 2013.</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from operating activities in 2012 was similar to 2011 as lower cash contributions to pension and other postretirement benefit plans ($8.8 million in 2012 and $24.7 million in 2011) were offset by higher cost recovery rider receivables in 2012 and income tax refunds received in 2011.</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decrease in cash used for investing activities in 2013 from 2012 was primarily due to lower payments for capital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proceeds from sales of available-for-sale securities in 2013.</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investing activities in 2012 was higher than 2011 primarily due to higher capital expenditures in 2012 primarily related to our Bison Wind Energy Center.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0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decrease in cash from financing activities in 2013 compared to 2012 was primarily due to lower proceeds from long-term debt</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issuances and increased payments on long-term debt maturing in 2013, partially offset by increased common stock issuances in 2013.</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Cash from financing activities was higher in 2012 compared to 2011 primarily due to increased proceeds from long-term debt and common stock issuances.</w:t>
      </w:r>
    </w:p>
    <w:p>
      <w:pPr>
        <w:spacing w:after="0" w:line="2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paper. On November 4, 2013, ALLETE entered into a $400.0 million credit agreement (Agreement). (See Note 11. Short-Term and Long-Term Debt.) The Agreement replaced our existing $250.0 million and $150.0 million credit facilities, which were originally scheduled to expire on June 30, 2015, and January 31, 2014, respectively. As of December 31, 2013, we had consolidated bank lines of credit aggregating $406.4 million ($401.0 million available as of December 31, 2013), the majority of which expire in November 2018. In addition, as of December 31, 2013, we have 2.5 million original issue shares of our common stock available for issuance through Invest Direct, our direct stock purchase and dividend reinvestment plan, and 3.1 million original issue shares of common stock available for issuance through a Distribution Agreement with Lampert Capital Markets, Inc. (successor to KCCI, Ltd.) The amount and timing of future sales of our securities will depend upon market conditions and our specific needs.</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Securities</w:t>
      </w:r>
      <w:r>
        <w:rPr>
          <w:rFonts w:ascii="Arial" w:cs="Arial" w:eastAsia="Arial" w:hAnsi="Arial"/>
          <w:sz w:val="17"/>
          <w:szCs w:val="17"/>
          <w:color w:val="auto"/>
        </w:rPr>
        <w:t>. We entered into a distribution agreement with Lampert Capital Markets, Inc. (successor to KCCI, Ltd.), in February 2008, as amended most</w:t>
      </w:r>
      <w:r>
        <w:rPr>
          <w:rFonts w:ascii="Arial" w:cs="Arial" w:eastAsia="Arial" w:hAnsi="Arial"/>
          <w:sz w:val="17"/>
          <w:szCs w:val="17"/>
          <w:b w:val="1"/>
          <w:bCs w:val="1"/>
          <w:color w:val="auto"/>
        </w:rPr>
        <w:t xml:space="preserve"> </w:t>
      </w:r>
      <w:r>
        <w:rPr>
          <w:rFonts w:ascii="Arial" w:cs="Arial" w:eastAsia="Arial" w:hAnsi="Arial"/>
          <w:sz w:val="17"/>
          <w:szCs w:val="17"/>
          <w:color w:val="auto"/>
        </w:rPr>
        <w:t>recently in February 2014, with respect to the issuance and sale of up to an aggregate of 9.6 million shares of our common stock, without par value, of which 3.1 million shares remain available for issuance. For the year ended December 31, 2013, 1.3 million shares of common stock were issued under this agreement, resulting in net proceeds of $63.4 million (1.3 million shares for net proceeds of $53.1 million for the year ended December 31, 2012). The shares sold in 2011, 2012 and through August 1, 2013, were offered and sold pursuant to Registration Statement No. 333-170289. On August 2, 2013, we filed Registration Statement No. 333-190335, pursuant to which the remaining shares will continue to be offered for sale, from time to time.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2013, we issued a total of 0.7 million shares of common stock through Invest Direct, the Employee Stock Purchase Plan, and the Retirement Savings and Stock Ownership Plan, resulting in net proceeds of $34.8 million. These shares of common stock were registered under Registration Statement Nos. 333-188315, 333-183051 and 333-162890.</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2, 2013, we issued $150.0 million of the Company’s First Mortgage Bonds (Bonds) in a private placement in three series. (See Note 11. Short-Term and Long-Term Debt.) Proceeds from the sale of the Bonds were used to fund utility capital investments, repay debt, and/or for general corporate purposes.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26, 2013, we amended our $75 million Term Loan to extend the maturity date to August 25, 2015, and lower the interest rate from the one-month LIBOR plus 1.00 percent to the one-month LIBOR plus 0.875 percent. (See Note 11. Short-Term and Long-Term Debt.)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10, 2013, we agreed to sell $215.0 million in 2014 of ALLETE First Mortgage Bonds (Bonds) in the private placement market in four series. (See Note 11. Short-Term and Long-Term Debt.) Proceeds from the sale of the Bonds will be used to refinance debt, fund utility capital expenditures or for general corporate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11. Short-Term and Long-Term Debt for information regarding our 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12. Commitments, Guarantees and Contingencies.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Following is a summarized table of contractual obligations and other commercial commitments as of December 31,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50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1 to 3</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4 to 5</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After</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Years</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$1,768.3</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$75.3</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$304.0</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$175.2</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Pension </w:t>
            </w:r>
            <w:r>
              <w:rPr>
                <w:rFonts w:ascii="Arial" w:cs="Arial" w:eastAsia="Arial" w:hAnsi="Arial"/>
                <w:sz w:val="18"/>
                <w:szCs w:val="18"/>
                <w:i w:val="1"/>
                <w:iCs w:val="1"/>
                <w:color w:val="auto"/>
              </w:rPr>
              <w:t>(a)</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379.5</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33.9</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107.6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76.5</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161.5</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Postretirement Benefit Plans </w:t>
            </w:r>
            <w:r>
              <w:rPr>
                <w:rFonts w:ascii="Arial" w:cs="Arial" w:eastAsia="Arial" w:hAnsi="Arial"/>
                <w:sz w:val="18"/>
                <w:szCs w:val="18"/>
                <w:i w:val="1"/>
                <w:iCs w:val="1"/>
                <w:color w:val="auto"/>
              </w:rPr>
              <w:t>(a)</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94.1</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7.7</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26.4</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19.3</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78.4</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12.1</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29.7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13.8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(b)</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Capital Purchase Obligations </w:t>
            </w:r>
            <w:r>
              <w:rPr>
                <w:rFonts w:ascii="Arial" w:cs="Arial" w:eastAsia="Arial" w:hAnsi="Arial"/>
                <w:sz w:val="18"/>
                <w:szCs w:val="18"/>
                <w:i w:val="1"/>
                <w:iCs w:val="1"/>
                <w:color w:val="auto"/>
              </w:rPr>
              <w:t>(c)</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358.2</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332.5</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25.7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18"/>
                <w:szCs w:val="18"/>
                <w:i w:val="1"/>
                <w:iCs w:val="1"/>
                <w:color w:val="auto"/>
              </w:rPr>
              <w:t>(d)</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452.3</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89.9</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131.5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83.6</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r>
      <w:tr>
        <w:trPr>
          <w:trHeight w:val="237"/>
        </w:trPr>
        <w:tc>
          <w:tcPr>
            <w:tcW w:w="45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$3,130.8</w:t>
            </w:r>
          </w:p>
        </w:tc>
        <w:tc>
          <w:tcPr>
            <w:tcW w:w="1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$551.4</w:t>
            </w:r>
          </w:p>
        </w:tc>
        <w:tc>
          <w:tcPr>
            <w:tcW w:w="15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$624.9</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$368.4</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estimated future benefit payments for our defined benefit pension and other postretirement plans through 2023.</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Excludes $1.2 million of non-current unrecognized tax benefits due to uncertainty regarding the timing of future cash payments related to uncertain tax positions.</w:t>
      </w:r>
    </w:p>
    <w:p>
      <w:pPr>
        <w:spacing w:after="0" w:line="16" w:lineRule="exact"/>
        <w:rPr>
          <w:rFonts w:ascii="Arial" w:cs="Arial" w:eastAsia="Arial" w:hAnsi="Arial"/>
          <w:sz w:val="15"/>
          <w:szCs w:val="15"/>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Consists mostly of capital expenditures related to our Bison 4 project and the Boswell Unit 4 environmental upgrade.</w:t>
      </w:r>
    </w:p>
    <w:p>
      <w:pPr>
        <w:spacing w:after="0" w:line="5" w:lineRule="exact"/>
        <w:rPr>
          <w:rFonts w:ascii="Arial" w:cs="Arial" w:eastAsia="Arial" w:hAnsi="Arial"/>
          <w:sz w:val="16"/>
          <w:szCs w:val="16"/>
          <w:i w:val="1"/>
          <w:iCs w:val="1"/>
          <w:color w:val="auto"/>
        </w:rPr>
      </w:pPr>
    </w:p>
    <w:p>
      <w:pPr>
        <w:jc w:val="both"/>
        <w:ind w:left="340" w:hanging="332"/>
        <w:spacing w:after="0" w:line="305" w:lineRule="auto"/>
        <w:tabs>
          <w:tab w:leader="none" w:pos="3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agreement with Manitoba Hydro expiring in 2022, as this contract is for surplus energy only. Also excludes the agreement with Manitoba Hydro commencing in 2020, as our obligation under this contract is subject to the construction of a hydro generation facility by Manitoba Hydro and additional transmission capacity. Also, excludes Oliver Wind I and Oliver Wind II, as we only pay for energy as it is delivered to us. (See Item 1. Business – Regulated Operations – Power Supply.)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on our Consolidated Balance Sheet, plus interest. The table above assumes that the interest rates in effect at December 31, 2013, remain constant through the remaining term. (See Note 11. Short-Term and Long-Term Debt.)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Pension and Other Postretirement Benefit Plans. </w:t>
      </w:r>
      <w:r>
        <w:rPr>
          <w:rFonts w:ascii="Arial" w:cs="Arial" w:eastAsia="Arial" w:hAnsi="Arial"/>
          <w:sz w:val="17"/>
          <w:szCs w:val="17"/>
          <w:color w:val="auto"/>
        </w:rPr>
        <w:t>Our pension and other postretirement benefit plan obligations represent our current estimate of future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through 2023. Pension contributions will be dependent on several factors including realized asset performance, future discount rate and other actuarial assumptions, IRS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These amounts are estimates and will change based on actual market performance, changes in interest rates and any changes in governmental regulations. (See Note 17. Pension and Other Postretirement Benefit Plans.)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Capital Purchase Obligations. </w:t>
      </w:r>
      <w:r>
        <w:rPr>
          <w:rFonts w:ascii="Arial" w:cs="Arial" w:eastAsia="Arial" w:hAnsi="Arial"/>
          <w:sz w:val="18"/>
          <w:szCs w:val="18"/>
          <w:color w:val="auto"/>
        </w:rPr>
        <w:t>Capital purchase obligations represent our purchase obligations for certain capital expenditure projects. It includes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related to our Bison 4 project, Boswell Unit 4 environmental upgrade and certain transmission projects. (See Note 12. Commitments, Guarantees and Contingencies.)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Purchase Obligations. </w:t>
      </w:r>
      <w:r>
        <w:rPr>
          <w:rFonts w:ascii="Arial" w:cs="Arial" w:eastAsia="Arial" w:hAnsi="Arial"/>
          <w:sz w:val="18"/>
          <w:szCs w:val="18"/>
          <w:color w:val="auto"/>
        </w:rPr>
        <w:t>Other purchase obligations represent our Square Butte, Manitoba Hydro and Minnkota Power purchase power contracts,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purchase commitments under coal and rail contracts. (See Note 12. Commitments, Guarantees and Contingencies.)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Minnesota Power’s PPA with Square Butte that extends through 2026, we are obligated to pay our pro rata share of Square Butte’s costs based on our entitlement to the output of Square Butte’s 455 MW coal-fired generating unit near Center, North Dakota. Minnesota Power’s payment obligation will be suspended if Square Butte fails to deliver any power, whether produced or purchased, for a period of one year. Square Butte’s fixed costs consist primarily of debt service. The table above reflects our share of future debt service based on our output entitlement of 50 percent. (See Note 12. Commitments, Guarantees and Contingencies.)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 (Continued)</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PPA with Manitoba Hydro that expires in May 2015. Under this agreement, Minnesota Power is purchasing 50 MW of capacity and the energy associated with that capacity. Both the capacity price and the energy price are adjusted annually by the change in a governmental inflationary index.</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2012, Minnesota Power entered into a long-term PPA with Minnkota Power. Under this agreement Minnesota Power will purchase 50 MW of capacity and the energy associated with that capacity over the term June 1, 2016 through May 31, 2020. The agreement includes a fixed capacity charge and energy pricing that escalates at a fixed rate annually over the term.</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Standard &amp; Poor’s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table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Credit Ratings</w:t>
            </w:r>
          </w:p>
        </w:tc>
        <w:tc>
          <w:tcPr>
            <w:tcW w:w="4880" w:type="dxa"/>
            <w:vAlign w:val="bottom"/>
          </w:tcPr>
          <w:p>
            <w:pPr>
              <w:jc w:val="center"/>
              <w:ind w:left="2690"/>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52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Issuer Credit Rating</w:t>
            </w:r>
          </w:p>
        </w:tc>
        <w:tc>
          <w:tcPr>
            <w:tcW w:w="4880" w:type="dxa"/>
            <w:vAlign w:val="bottom"/>
            <w:tcBorders>
              <w:bottom w:val="single" w:sz="8" w:color="CCEEFF"/>
            </w:tcBorders>
            <w:shd w:val="clear" w:color="auto" w:fill="CCEEFF"/>
          </w:tcPr>
          <w:p>
            <w:pPr>
              <w:jc w:val="center"/>
              <w:ind w:left="2690"/>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4880" w:type="dxa"/>
            <w:vAlign w:val="bottom"/>
          </w:tcPr>
          <w:p>
            <w:pPr>
              <w:jc w:val="center"/>
              <w:ind w:left="2670"/>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52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w:t>
            </w:r>
          </w:p>
        </w:tc>
        <w:tc>
          <w:tcPr>
            <w:tcW w:w="4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 xml:space="preserve">First Mortgage Bonds </w:t>
            </w:r>
            <w:r>
              <w:rPr>
                <w:rFonts w:ascii="Arial" w:cs="Arial" w:eastAsia="Arial" w:hAnsi="Arial"/>
                <w:sz w:val="18"/>
                <w:szCs w:val="18"/>
                <w:i w:val="1"/>
                <w:iCs w:val="1"/>
                <w:color w:val="auto"/>
              </w:rPr>
              <w:t>(a)</w:t>
            </w:r>
          </w:p>
        </w:tc>
        <w:tc>
          <w:tcPr>
            <w:tcW w:w="4880" w:type="dxa"/>
            <w:vAlign w:val="bottom"/>
          </w:tcPr>
          <w:p>
            <w:pPr>
              <w:jc w:val="center"/>
              <w:ind w:left="2690"/>
              <w:spacing w:after="0"/>
              <w:rPr>
                <w:sz w:val="20"/>
                <w:szCs w:val="20"/>
                <w:color w:val="auto"/>
              </w:rPr>
            </w:pPr>
            <w:r>
              <w:rPr>
                <w:rFonts w:ascii="Arial" w:cs="Arial" w:eastAsia="Arial" w:hAnsi="Arial"/>
                <w:sz w:val="18"/>
                <w:szCs w:val="18"/>
                <w:color w:val="auto"/>
              </w:rPr>
              <w:t>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collateralized pollution control bonds.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3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Common Stock Dividends</w:t>
      </w:r>
      <w:r>
        <w:rPr>
          <w:rFonts w:ascii="Arial" w:cs="Arial" w:eastAsia="Arial" w:hAnsi="Arial"/>
          <w:sz w:val="17"/>
          <w:szCs w:val="17"/>
          <w:color w:val="auto"/>
        </w:rPr>
        <w:t>. ALLETE is committed to providing a competitive dividend to its shareholders while at the same time funding its growth.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long-term objective is to maintain a dividend payout ratio similar to our peers and provide for future dividend increases. In 2013, we paid out 72 percent (71 percent in 2012; 67 percent in 2011) of our per share earnings in dividends. On January 30, 2014, our Board of Directors declared a dividend of $0.49 per share, which is payable on March 1, 2014, to shareholders of record at the close of business on February 14, 2014.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2014 through 2018 are presented in the table below.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 Operations</w:t>
            </w:r>
          </w:p>
        </w:tc>
        <w:tc>
          <w:tcPr>
            <w:tcW w:w="1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960"/>
              <w:spacing w:after="0"/>
              <w:rPr>
                <w:sz w:val="20"/>
                <w:szCs w:val="20"/>
                <w:color w:val="auto"/>
              </w:rPr>
            </w:pPr>
            <w:r>
              <w:rPr>
                <w:rFonts w:ascii="Arial" w:cs="Arial" w:eastAsia="Arial" w:hAnsi="Arial"/>
                <w:sz w:val="18"/>
                <w:szCs w:val="18"/>
                <w:color w:val="auto"/>
              </w:rPr>
              <w:t>Base and Other</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$175</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$170</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$145</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$140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$145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 xml:space="preserve">Cost Recovery </w:t>
            </w:r>
            <w:r>
              <w:rPr>
                <w:rFonts w:ascii="Arial" w:cs="Arial" w:eastAsia="Arial" w:hAnsi="Arial"/>
                <w:sz w:val="18"/>
                <w:szCs w:val="18"/>
                <w:i w:val="1"/>
                <w:iCs w:val="1"/>
                <w:color w:val="auto"/>
              </w:rPr>
              <w:t>(a)</w:t>
            </w:r>
          </w:p>
        </w:tc>
        <w:tc>
          <w:tcPr>
            <w:tcW w:w="1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420"/>
              <w:spacing w:after="0"/>
              <w:rPr>
                <w:sz w:val="20"/>
                <w:szCs w:val="20"/>
                <w:color w:val="auto"/>
              </w:rPr>
            </w:pPr>
            <w:r>
              <w:rPr>
                <w:rFonts w:ascii="Arial" w:cs="Arial" w:eastAsia="Arial" w:hAnsi="Arial"/>
                <w:sz w:val="18"/>
                <w:szCs w:val="18"/>
                <w:color w:val="auto"/>
              </w:rPr>
              <w:t xml:space="preserve">Environmental </w:t>
            </w:r>
            <w:r>
              <w:rPr>
                <w:rFonts w:ascii="Arial" w:cs="Arial" w:eastAsia="Arial" w:hAnsi="Arial"/>
                <w:sz w:val="18"/>
                <w:szCs w:val="18"/>
                <w:i w:val="1"/>
                <w:iCs w:val="1"/>
                <w:color w:val="auto"/>
              </w:rPr>
              <w:t>(b)</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115</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125</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 xml:space="preserve">Renewable </w:t>
            </w:r>
            <w:r>
              <w:rPr>
                <w:rFonts w:ascii="Arial" w:cs="Arial" w:eastAsia="Arial" w:hAnsi="Arial"/>
                <w:sz w:val="18"/>
                <w:szCs w:val="18"/>
                <w:i w:val="1"/>
                <w:iCs w:val="1"/>
                <w:color w:val="auto"/>
              </w:rPr>
              <w:t>(c)</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4000" w:type="dxa"/>
            <w:vAlign w:val="bottom"/>
          </w:tcPr>
          <w:p>
            <w:pPr>
              <w:ind w:left="142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8"/>
                <w:szCs w:val="18"/>
                <w:i w:val="1"/>
                <w:iCs w:val="1"/>
                <w:color w:val="auto"/>
              </w:rPr>
              <w:t>(d)</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30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85</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Cost Recovery</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430</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135</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40</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85</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Regulated Utility Capital Expenditures</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605</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305</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185</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225</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250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1,570</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Capital Expenditures</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$640</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$320</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$195</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$250</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Estimated capital expenditures eligible for cost recovery outside of a rate case.</w:t>
      </w:r>
    </w:p>
    <w:p>
      <w:pPr>
        <w:spacing w:after="0" w:line="19"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Environmental capital expenditures primarily related to compliance with the MATS rule for Boswell Unit 4 which reflect Minnesota Power’s ownership percentage of 80 percent. (See Note 12. Commitments, Guarantees and Contingencies.)</w:t>
      </w: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Bison 4. (See Outlook – Regulated Operations.)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Transmission capital expenditures related to construction of the GNTL are estimated at approximately $230 million through 2018. (See Outlook – Regulated Operations.)</w:t>
      </w:r>
    </w:p>
    <w:p>
      <w:pPr>
        <w:spacing w:after="0" w:line="2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Our 2014 projected capital expenditures include significant investments in environmental upgrades (see Outlook – Boswell Mercury Emissions Reduction Plan) and renewable energy (see Outlook – Renewable Energy – Wind Energy). Our 2014 capital expenditures are expected to be incurred ratably over the four quarters of 2014. We are well positioned to meet our financing needs due to adequate operating cash flows, available additional working capital, and access to capital markets. We will finance capital expenditures from a combination of internally generated funds and debt and equity issuance proceeds. We intend to maintain a capital structure with capital ratios near current levels. (See Liquidity and Capital Resources </w:t>
      </w:r>
      <w:r>
        <w:rPr>
          <w:rFonts w:ascii="Arial" w:cs="Arial" w:eastAsia="Arial" w:hAnsi="Arial"/>
          <w:sz w:val="14"/>
          <w:szCs w:val="14"/>
          <w:i w:val="1"/>
          <w:iCs w:val="1"/>
          <w:color w:val="auto"/>
        </w:rPr>
        <w:t>–</w:t>
      </w:r>
      <w:r>
        <w:rPr>
          <w:rFonts w:ascii="Arial" w:cs="Arial" w:eastAsia="Arial" w:hAnsi="Arial"/>
          <w:sz w:val="16"/>
          <w:szCs w:val="16"/>
          <w:color w:val="auto"/>
        </w:rPr>
        <w:t xml:space="preserve"> Capital Structure.) Based on our projected capital expenditures reflected above, we project our rate base to grow by approximately 40 percent from 2013 year-end through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We are unable to predict the outcome of the issues discussed in Note 12. Commitments, Guarantees and Contingencies. (See Item 1. Business – Environmental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At December 31, 2013, our available-for-sale securities portfolio consisted of securities established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(See Note 8. Investments.)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(Continued)</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Interest Rate Risk</w:t>
      </w:r>
      <w:r>
        <w:rPr>
          <w:rFonts w:ascii="Arial" w:cs="Arial" w:eastAsia="Arial" w:hAnsi="Arial"/>
          <w:sz w:val="17"/>
          <w:szCs w:val="17"/>
          <w:color w:val="auto"/>
        </w:rPr>
        <w:t>. We are exposed to risks resulting from changes in interest rates as a result of our issuance of variable rate debt. We manage our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table below presents the long-term debt obligations and the corresponding weighted average interest rate at December 31, 2013.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Expected Maturity Date</w:t>
            </w: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Rate Sensitive</w:t>
            </w: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Thereafter</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Millions</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Fixed Rate</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$20.4</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$52.3</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$22.3</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$51.8</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$822.9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$971.4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6.4</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 Rate</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$6.8</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$90.7</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 xml:space="preserve">Average Interest Rate – % </w:t>
            </w:r>
            <w:r>
              <w:rPr>
                <w:rFonts w:ascii="Arial" w:cs="Arial" w:eastAsia="Arial" w:hAnsi="Arial"/>
                <w:sz w:val="18"/>
                <w:szCs w:val="18"/>
                <w:i w:val="1"/>
                <w:iCs w:val="1"/>
                <w:color w:val="auto"/>
              </w:rPr>
              <w:t>(a)</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4.5</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75"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The $75 million term loan, which was amended in August 2013, matures in 2015. It has an effective fixed rate of 1.70 percent through August 2014, and 1.625 percent for the remaining term due to an interest rate swap.</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at December 31, 2013, and assuming no other changes to our financial structure, an increase of 100 basis points in interest rates would impact the amount of pretax interest expense by $0.6 million. This amount was determined by considering the impact of a hypothetical 100 basis point increase to the average variable interest rate on the variable rate debt outstanding as of December 31, 2013.</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Commodity Price Risk</w:t>
      </w:r>
      <w:r>
        <w:rPr>
          <w:rFonts w:ascii="Arial" w:cs="Arial" w:eastAsia="Arial" w:hAnsi="Arial"/>
          <w:sz w:val="18"/>
          <w:szCs w:val="18"/>
          <w:color w:val="auto"/>
        </w:rPr>
        <w:t>. Our regulated utility operations incur costs for power and fuel (primarily coal and related transportation) in Minnesota and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Power Marketing</w:t>
      </w:r>
      <w:r>
        <w:rPr>
          <w:rFonts w:ascii="Arial" w:cs="Arial" w:eastAsia="Arial" w:hAnsi="Arial"/>
          <w:sz w:val="18"/>
          <w:szCs w:val="18"/>
          <w:color w:val="auto"/>
        </w:rPr>
        <w:t>. Our power marketing activities consist of: (1) purchasing energy in the wholesale market to serve our regulated service territory when</w:t>
      </w:r>
      <w:r>
        <w:rPr>
          <w:rFonts w:ascii="Arial" w:cs="Arial" w:eastAsia="Arial" w:hAnsi="Arial"/>
          <w:sz w:val="18"/>
          <w:szCs w:val="18"/>
          <w:b w:val="1"/>
          <w:bCs w:val="1"/>
          <w:color w:val="auto"/>
        </w:rPr>
        <w:t xml:space="preserve"> </w:t>
      </w:r>
      <w:r>
        <w:rPr>
          <w:rFonts w:ascii="Arial" w:cs="Arial" w:eastAsia="Arial" w:hAnsi="Arial"/>
          <w:sz w:val="18"/>
          <w:szCs w:val="18"/>
          <w:color w:val="auto"/>
        </w:rPr>
        <w:t>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our consolidated financial statements as of December 31, 2013 and 2012, and for each of the three years in the period ended December 31, 2013, and supplementary data, which are indexed in Item 15(a).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management, including our principal executive officer and principal financial officer, as of December 31, 2013, we conducted an evaluation of the effectiveness of the design and operation of ALLETE’s disclosure controls and procedures (as defined in Rules 13a-15(e) or 15d-15(e) of the Securities Exchange Act of 1934 (Exchange Act)). Based upon those evaluations, our principal executive officer and principal financial officer have concluded that, as of December 31, 2013,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1992 framework in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2013.</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2013,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the information required by this Item is incorporated by reference herein from our Proxy Statement for the 2014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(2014 Proxy Statement) under the following headings:</w:t>
      </w:r>
    </w:p>
    <w:p>
      <w:pPr>
        <w:spacing w:after="0" w:line="20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5"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Report” section;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“Audit Committee Report” section;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25"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Section 16(a) Compliance. </w:t>
      </w:r>
      <w:r>
        <w:rPr>
          <w:rFonts w:ascii="Arial" w:cs="Arial" w:eastAsia="Arial" w:hAnsi="Arial"/>
          <w:sz w:val="18"/>
          <w:szCs w:val="18"/>
          <w:color w:val="auto"/>
        </w:rPr>
        <w:t>The information regarding Section 16(a) compliance will be included in the “Ownership of ALLETE Common Stock –</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16(a) Beneficial Ownership Reporting Compliance”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2014 Proxy Statement will be filed with the SEC within 120 days after the end of our 2013 fiscal year.</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controller.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for this Item is incorporated by reference herein from the “Compensation Discussion and Analysis,” the “Compensation of Directors and Executive Officers,” the “Executive Compensation Committee Report” and the “Director Compensation” sections in our 2014 Proxy Statement.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for this Item is incorporated by reference herein from the “Ownership of ALLETE Common Stock – Securities Owned by Certain Beneficial Owners,” the “Ownership of ALLETE Common Stock – Securities Owned by Directors and Management” and the “Equity Compensation Plan Information” sections in our 2014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“Corporate Governance” section in our 2014 Proxy Statement.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“Audit Committee Report” section in our 2014 Proxy Statement.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55" w:lineRule="exact"/>
        <w:rPr>
          <w:sz w:val="20"/>
          <w:szCs w:val="20"/>
          <w:color w:val="auto"/>
        </w:rPr>
      </w:pPr>
    </w:p>
    <w:p>
      <w:pPr>
        <w:ind w:left="840" w:hanging="805"/>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(1)</w:t>
            </w:r>
          </w:p>
        </w:tc>
        <w:tc>
          <w:tcPr>
            <w:tcW w:w="8140" w:type="dxa"/>
            <w:vAlign w:val="bottom"/>
            <w:gridSpan w:val="11"/>
          </w:tcPr>
          <w:p>
            <w:pPr>
              <w:ind w:left="300"/>
              <w:spacing w:after="0"/>
              <w:rPr>
                <w:sz w:val="20"/>
                <w:szCs w:val="20"/>
                <w:color w:val="auto"/>
              </w:rPr>
            </w:pPr>
            <w:r>
              <w:rPr>
                <w:rFonts w:ascii="Arial" w:cs="Arial" w:eastAsia="Arial" w:hAnsi="Arial"/>
                <w:sz w:val="18"/>
                <w:szCs w:val="18"/>
                <w:color w:val="auto"/>
              </w:rPr>
              <w:t>Financial Statements</w:t>
            </w:r>
          </w:p>
        </w:tc>
        <w:tc>
          <w:tcPr>
            <w:tcW w:w="2720" w:type="dxa"/>
            <w:vAlign w:val="bottom"/>
            <w:gridSpan w:val="4"/>
          </w:tcPr>
          <w:p>
            <w:pPr>
              <w:jc w:val="right"/>
              <w:ind w:right="40"/>
              <w:spacing w:after="0"/>
              <w:rPr>
                <w:sz w:val="20"/>
                <w:szCs w:val="20"/>
                <w:color w:val="auto"/>
              </w:rPr>
            </w:pPr>
            <w:r>
              <w:rPr>
                <w:rFonts w:ascii="Arial" w:cs="Arial" w:eastAsia="Arial" w:hAnsi="Arial"/>
                <w:sz w:val="18"/>
                <w:szCs w:val="18"/>
                <w:color w:val="auto"/>
              </w:rPr>
              <w:t>Page</w:t>
            </w:r>
          </w:p>
        </w:tc>
      </w:tr>
      <w:tr>
        <w:trPr>
          <w:trHeight w:val="27"/>
        </w:trPr>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11"/>
            <w:shd w:val="clear" w:color="auto" w:fill="CCEEFF"/>
          </w:tcPr>
          <w:p>
            <w:pPr>
              <w:ind w:left="540"/>
              <w:spacing w:after="0"/>
              <w:rPr>
                <w:sz w:val="20"/>
                <w:szCs w:val="20"/>
                <w:color w:val="auto"/>
              </w:rPr>
            </w:pPr>
            <w:r>
              <w:rPr>
                <w:rFonts w:ascii="Arial" w:cs="Arial" w:eastAsia="Arial" w:hAnsi="Arial"/>
                <w:sz w:val="18"/>
                <w:szCs w:val="18"/>
                <w:color w:val="auto"/>
              </w:rPr>
              <w:t>ALLETE</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540" w:type="dxa"/>
            <w:vAlign w:val="bottom"/>
          </w:tcPr>
          <w:p>
            <w:pPr>
              <w:spacing w:after="0"/>
              <w:rPr>
                <w:sz w:val="17"/>
                <w:szCs w:val="17"/>
                <w:color w:val="auto"/>
              </w:rPr>
            </w:pPr>
          </w:p>
        </w:tc>
        <w:tc>
          <w:tcPr>
            <w:tcW w:w="8140" w:type="dxa"/>
            <w:vAlign w:val="bottom"/>
            <w:gridSpan w:val="11"/>
          </w:tcPr>
          <w:p>
            <w:pPr>
              <w:ind w:left="5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2720" w:type="dxa"/>
            <w:vAlign w:val="bottom"/>
            <w:gridSpan w:val="4"/>
          </w:tcPr>
          <w:p>
            <w:pPr>
              <w:jc w:val="right"/>
              <w:ind w:righ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65</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5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380" w:type="dxa"/>
            <w:vAlign w:val="bottom"/>
            <w:gridSpan w:val="8"/>
            <w:shd w:val="clear" w:color="auto" w:fill="CCEEFF"/>
          </w:tcPr>
          <w:p>
            <w:pPr>
              <w:spacing w:after="0" w:line="202"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 at December 31, 2013 and 2012</w:t>
              </w:r>
            </w:hyperlink>
          </w:p>
        </w:tc>
        <w:tc>
          <w:tcPr>
            <w:tcW w:w="3220" w:type="dxa"/>
            <w:vAlign w:val="bottom"/>
            <w:gridSpan w:val="2"/>
            <w:shd w:val="clear" w:color="auto" w:fill="CCEEFF"/>
          </w:tcPr>
          <w:p>
            <w:pPr>
              <w:spacing w:after="0"/>
              <w:rPr>
                <w:sz w:val="21"/>
                <w:szCs w:val="21"/>
                <w:color w:val="auto"/>
              </w:rPr>
            </w:pPr>
          </w:p>
        </w:tc>
        <w:tc>
          <w:tcPr>
            <w:tcW w:w="2500" w:type="dxa"/>
            <w:vAlign w:val="bottom"/>
            <w:gridSpan w:val="2"/>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66</w:t>
              </w:r>
            </w:hyperlink>
          </w:p>
        </w:tc>
      </w:tr>
      <w:tr>
        <w:trPr>
          <w:trHeight w:val="243"/>
        </w:trPr>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3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For the Three Years Ended December 31, 2013</w:t>
            </w:r>
          </w:p>
        </w:tc>
        <w:tc>
          <w:tcPr>
            <w:tcW w:w="3220" w:type="dxa"/>
            <w:vAlign w:val="bottom"/>
            <w:tcBorders>
              <w:top w:val="single" w:sz="8" w:color="CCEEFF"/>
            </w:tcBorders>
            <w:gridSpan w:val="2"/>
          </w:tcPr>
          <w:p>
            <w:pPr>
              <w:spacing w:after="0"/>
              <w:rPr>
                <w:sz w:val="21"/>
                <w:szCs w:val="21"/>
                <w:color w:val="auto"/>
              </w:rPr>
            </w:pPr>
          </w:p>
        </w:tc>
        <w:tc>
          <w:tcPr>
            <w:tcW w:w="2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 of Income</w:t>
              </w:r>
            </w:hyperlink>
          </w:p>
        </w:tc>
        <w:tc>
          <w:tcPr>
            <w:tcW w:w="4880" w:type="dxa"/>
            <w:vAlign w:val="bottom"/>
            <w:gridSpan w:val="8"/>
            <w:shd w:val="clear" w:color="auto" w:fill="CCEEFF"/>
          </w:tcPr>
          <w:p>
            <w:pPr>
              <w:spacing w:after="0"/>
              <w:rPr>
                <w:sz w:val="17"/>
                <w:szCs w:val="17"/>
                <w:color w:val="auto"/>
              </w:rPr>
            </w:pPr>
          </w:p>
        </w:tc>
        <w:tc>
          <w:tcPr>
            <w:tcW w:w="250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gridSpan w:val="9"/>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 of Comprehensive Income</w:t>
              </w:r>
            </w:hyperlink>
          </w:p>
        </w:tc>
        <w:tc>
          <w:tcPr>
            <w:tcW w:w="2720" w:type="dxa"/>
            <w:vAlign w:val="bottom"/>
            <w:gridSpan w:val="4"/>
          </w:tcPr>
          <w:p>
            <w:pPr>
              <w:jc w:val="right"/>
              <w:ind w:righ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68</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380" w:type="dxa"/>
            <w:vAlign w:val="bottom"/>
            <w:gridSpan w:val="9"/>
            <w:shd w:val="clear" w:color="auto" w:fill="CCEEFF"/>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 of Cash Flows</w:t>
              </w:r>
            </w:hyperlink>
          </w:p>
        </w:tc>
        <w:tc>
          <w:tcPr>
            <w:tcW w:w="272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69</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gridSpan w:val="9"/>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 of Shareholders’ Equity</w:t>
              </w:r>
            </w:hyperlink>
          </w:p>
        </w:tc>
        <w:tc>
          <w:tcPr>
            <w:tcW w:w="2720" w:type="dxa"/>
            <w:vAlign w:val="bottom"/>
            <w:gridSpan w:val="4"/>
          </w:tcPr>
          <w:p>
            <w:pPr>
              <w:jc w:val="right"/>
              <w:ind w:righ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70</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160" w:type="dxa"/>
            <w:vAlign w:val="bottom"/>
            <w:gridSpan w:val="4"/>
            <w:shd w:val="clear" w:color="auto" w:fill="CCEEFF"/>
          </w:tcPr>
          <w:p>
            <w:pPr>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4440" w:type="dxa"/>
            <w:vAlign w:val="bottom"/>
            <w:gridSpan w:val="6"/>
            <w:shd w:val="clear" w:color="auto" w:fill="CCEEFF"/>
          </w:tcPr>
          <w:p>
            <w:pPr>
              <w:spacing w:after="0"/>
              <w:rPr>
                <w:sz w:val="17"/>
                <w:szCs w:val="17"/>
                <w:color w:val="auto"/>
              </w:rPr>
            </w:pPr>
          </w:p>
        </w:tc>
        <w:tc>
          <w:tcPr>
            <w:tcW w:w="250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71</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5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43"/>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(2)</w:t>
            </w:r>
          </w:p>
        </w:tc>
        <w:tc>
          <w:tcPr>
            <w:tcW w:w="8140" w:type="dxa"/>
            <w:vAlign w:val="bottom"/>
            <w:gridSpan w:val="11"/>
          </w:tcPr>
          <w:p>
            <w:pPr>
              <w:ind w:left="300"/>
              <w:spacing w:after="0"/>
              <w:rPr>
                <w:sz w:val="20"/>
                <w:szCs w:val="20"/>
                <w:color w:val="auto"/>
              </w:rPr>
            </w:pPr>
            <w:r>
              <w:rPr>
                <w:rFonts w:ascii="Arial" w:cs="Arial" w:eastAsia="Arial" w:hAnsi="Arial"/>
                <w:sz w:val="18"/>
                <w:szCs w:val="18"/>
                <w:color w:val="auto"/>
              </w:rPr>
              <w:t>Financial Statement Schedules</w:t>
            </w:r>
          </w:p>
        </w:tc>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0" w:type="dxa"/>
            <w:vAlign w:val="bottom"/>
            <w:gridSpan w:val="10"/>
            <w:shd w:val="clear" w:color="auto" w:fill="CCEEFF"/>
          </w:tcPr>
          <w:p>
            <w:pPr>
              <w:spacing w:after="0" w:line="202" w:lineRule="exact"/>
              <w:rPr>
                <w:rFonts w:ascii="Arial" w:cs="Arial" w:eastAsia="Arial" w:hAnsi="Arial"/>
                <w:sz w:val="18"/>
                <w:szCs w:val="18"/>
                <w:color w:val="0000EE"/>
              </w:rPr>
            </w:pPr>
            <w:hyperlink w:anchor="page117">
              <w:r>
                <w:rPr>
                  <w:rFonts w:ascii="Arial" w:cs="Arial" w:eastAsia="Arial" w:hAnsi="Arial"/>
                  <w:sz w:val="18"/>
                  <w:szCs w:val="18"/>
                  <w:color w:val="0000EE"/>
                </w:rPr>
                <w:t>Schedule II – ALLETE Valuation and Qualifying Accounts and Reserves</w:t>
              </w:r>
            </w:hyperlink>
          </w:p>
        </w:tc>
        <w:tc>
          <w:tcPr>
            <w:tcW w:w="272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117">
              <w:r>
                <w:rPr>
                  <w:rFonts w:ascii="Arial" w:cs="Arial" w:eastAsia="Arial" w:hAnsi="Arial"/>
                  <w:sz w:val="18"/>
                  <w:szCs w:val="18"/>
                  <w:color w:val="0000EE"/>
                </w:rPr>
                <w:t>118</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5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29"/>
        </w:trPr>
        <w:tc>
          <w:tcPr>
            <w:tcW w:w="540" w:type="dxa"/>
            <w:vAlign w:val="bottom"/>
          </w:tcPr>
          <w:p>
            <w:pPr>
              <w:spacing w:after="0"/>
              <w:rPr>
                <w:sz w:val="19"/>
                <w:szCs w:val="19"/>
                <w:color w:val="auto"/>
              </w:rPr>
            </w:pPr>
          </w:p>
        </w:tc>
        <w:tc>
          <w:tcPr>
            <w:tcW w:w="10860" w:type="dxa"/>
            <w:vAlign w:val="bottom"/>
            <w:gridSpan w:val="15"/>
          </w:tcPr>
          <w:p>
            <w:pPr>
              <w:ind w:left="300"/>
              <w:spacing w:after="0"/>
              <w:rPr>
                <w:sz w:val="20"/>
                <w:szCs w:val="20"/>
                <w:color w:val="auto"/>
              </w:rPr>
            </w:pPr>
            <w:r>
              <w:rPr>
                <w:rFonts w:ascii="Arial" w:cs="Arial" w:eastAsia="Arial" w:hAnsi="Arial"/>
                <w:sz w:val="18"/>
                <w:szCs w:val="18"/>
                <w:color w:val="auto"/>
                <w:w w:val="94"/>
              </w:rPr>
              <w:t>All other schedules have been omitted either because the information is not required to be reported by ALLETE or because the information is</w:t>
            </w:r>
          </w:p>
        </w:tc>
      </w:tr>
      <w:tr>
        <w:trPr>
          <w:trHeight w:val="230"/>
        </w:trPr>
        <w:tc>
          <w:tcPr>
            <w:tcW w:w="540" w:type="dxa"/>
            <w:vAlign w:val="bottom"/>
          </w:tcPr>
          <w:p>
            <w:pPr>
              <w:spacing w:after="0"/>
              <w:rPr>
                <w:sz w:val="20"/>
                <w:szCs w:val="20"/>
                <w:color w:val="auto"/>
              </w:rPr>
            </w:pPr>
          </w:p>
        </w:tc>
        <w:tc>
          <w:tcPr>
            <w:tcW w:w="8140" w:type="dxa"/>
            <w:vAlign w:val="bottom"/>
            <w:gridSpan w:val="11"/>
          </w:tcPr>
          <w:p>
            <w:pPr>
              <w:ind w:left="300"/>
              <w:spacing w:after="0"/>
              <w:rPr>
                <w:sz w:val="20"/>
                <w:szCs w:val="20"/>
                <w:color w:val="auto"/>
              </w:rPr>
            </w:pPr>
            <w:r>
              <w:rPr>
                <w:rFonts w:ascii="Arial" w:cs="Arial" w:eastAsia="Arial" w:hAnsi="Arial"/>
                <w:sz w:val="18"/>
                <w:szCs w:val="18"/>
                <w:color w:val="auto"/>
              </w:rPr>
              <w:t>included in the consolidated financial statements or the notes.</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p>
    <w:p>
      <w:pPr>
        <w:ind w:left="840" w:hanging="805"/>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64"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2947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79" w:lineRule="exact"/>
        <w:rPr>
          <w:sz w:val="20"/>
          <w:szCs w:val="20"/>
          <w:color w:val="auto"/>
        </w:rPr>
      </w:pPr>
    </w:p>
    <w:p>
      <w:pPr>
        <w:ind w:left="1660" w:right="40" w:hanging="1625"/>
        <w:spacing w:after="0" w:line="293" w:lineRule="auto"/>
        <w:tabs>
          <w:tab w:leader="none" w:pos="11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—Assignment and Assumption of and Amendment No. 2 to Third Amended and Restated Distribution Agreement dated February 13, 2014, between ALLETE, Inc. and Lampert Capital Markets, Inc.</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ind w:left="40"/>
              <w:spacing w:after="0"/>
              <w:rPr>
                <w:sz w:val="20"/>
                <w:szCs w:val="20"/>
                <w:color w:val="auto"/>
              </w:rPr>
            </w:pPr>
            <w:r>
              <w:rPr>
                <w:rFonts w:ascii="Arial" w:cs="Arial" w:eastAsia="Arial" w:hAnsi="Arial"/>
                <w:sz w:val="16"/>
                <w:szCs w:val="16"/>
                <w:color w:val="auto"/>
              </w:rPr>
              <w:t>*3(a)1</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840" w:type="dxa"/>
            <w:vAlign w:val="bottom"/>
            <w:gridSpan w:val="3"/>
          </w:tcPr>
          <w:p>
            <w:pPr>
              <w:ind w:left="160"/>
              <w:spacing w:after="0"/>
              <w:rPr>
                <w:sz w:val="20"/>
                <w:szCs w:val="20"/>
                <w:color w:val="auto"/>
              </w:rPr>
            </w:pPr>
            <w:r>
              <w:rPr>
                <w:rFonts w:ascii="Arial" w:cs="Arial" w:eastAsia="Arial" w:hAnsi="Arial"/>
                <w:sz w:val="16"/>
                <w:szCs w:val="16"/>
                <w:color w:val="auto"/>
                <w:w w:val="98"/>
              </w:rPr>
              <w:t>Articles of Incorporation, amended and restated as of May 8, 2001 (filed as Exhibit 3(b) to the March 31, 2001,</w:t>
            </w:r>
          </w:p>
        </w:tc>
        <w:tc>
          <w:tcPr>
            <w:tcW w:w="2060" w:type="dxa"/>
            <w:vAlign w:val="bottom"/>
          </w:tcPr>
          <w:p>
            <w:pPr>
              <w:spacing w:after="0"/>
              <w:rPr>
                <w:sz w:val="17"/>
                <w:szCs w:val="17"/>
                <w:color w:val="auto"/>
              </w:rPr>
            </w:pPr>
          </w:p>
        </w:tc>
      </w:tr>
      <w:tr>
        <w:trPr>
          <w:trHeight w:val="206"/>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00" w:type="dxa"/>
            <w:vAlign w:val="bottom"/>
            <w:gridSpan w:val="2"/>
          </w:tcPr>
          <w:p>
            <w:pPr>
              <w:ind w:left="160"/>
              <w:spacing w:after="0"/>
              <w:rPr>
                <w:sz w:val="20"/>
                <w:szCs w:val="20"/>
                <w:color w:val="auto"/>
              </w:rPr>
            </w:pPr>
            <w:r>
              <w:rPr>
                <w:rFonts w:ascii="Arial" w:cs="Arial" w:eastAsia="Arial" w:hAnsi="Arial"/>
                <w:sz w:val="16"/>
                <w:szCs w:val="16"/>
                <w:color w:val="auto"/>
              </w:rPr>
              <w:t>Form 10-Q, File No. 1-3548).</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900" w:type="dxa"/>
            <w:vAlign w:val="bottom"/>
            <w:gridSpan w:val="4"/>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*3(a)2</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w w:val="93"/>
              </w:rPr>
              <w:t>Amendment to Articles of Incorporation, dated as of September 20, 2004 (filed as Exhibit 3 to the September 21, 2004, Form 8-K, File No. 1-3548).</w:t>
            </w: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*3(a)3</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tcPr>
          <w:p>
            <w:pPr>
              <w:ind w:left="160"/>
              <w:spacing w:after="0"/>
              <w:rPr>
                <w:sz w:val="20"/>
                <w:szCs w:val="20"/>
                <w:color w:val="auto"/>
              </w:rPr>
            </w:pPr>
            <w:r>
              <w:rPr>
                <w:rFonts w:ascii="Arial" w:cs="Arial" w:eastAsia="Arial" w:hAnsi="Arial"/>
                <w:sz w:val="16"/>
                <w:szCs w:val="16"/>
                <w:color w:val="auto"/>
              </w:rPr>
              <w:t>Amendment to Articles of Incorporation, dated as of May 12, 2009 (filed as Exhibit 3 to the June 30, 2009, Form 10-Q, File No. 1-3548).</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900" w:type="dxa"/>
            <w:vAlign w:val="bottom"/>
            <w:gridSpan w:val="4"/>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*3(a)4</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Amendment to Articles of Incorporation, dated as of May 11, 2010 (filed as Exhibit 3(a) to the May 14, 2010, Form 8-K, File No. 1-3548).</w:t>
            </w:r>
          </w:p>
        </w:tc>
      </w:tr>
      <w:tr>
        <w:trPr>
          <w:trHeight w:val="220"/>
        </w:trPr>
        <w:tc>
          <w:tcPr>
            <w:tcW w:w="820" w:type="dxa"/>
            <w:vAlign w:val="bottom"/>
          </w:tcPr>
          <w:p>
            <w:pPr>
              <w:ind w:left="40"/>
              <w:spacing w:after="0"/>
              <w:rPr>
                <w:sz w:val="20"/>
                <w:szCs w:val="20"/>
                <w:color w:val="auto"/>
              </w:rPr>
            </w:pPr>
            <w:r>
              <w:rPr>
                <w:rFonts w:ascii="Arial" w:cs="Arial" w:eastAsia="Arial" w:hAnsi="Arial"/>
                <w:sz w:val="16"/>
                <w:szCs w:val="16"/>
                <w:color w:val="auto"/>
              </w:rPr>
              <w:t>*3(a)5</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840" w:type="dxa"/>
            <w:vAlign w:val="bottom"/>
            <w:gridSpan w:val="3"/>
          </w:tcPr>
          <w:p>
            <w:pPr>
              <w:ind w:left="160"/>
              <w:spacing w:after="0"/>
              <w:rPr>
                <w:sz w:val="20"/>
                <w:szCs w:val="20"/>
                <w:color w:val="auto"/>
              </w:rPr>
            </w:pPr>
            <w:r>
              <w:rPr>
                <w:rFonts w:ascii="Arial" w:cs="Arial" w:eastAsia="Arial" w:hAnsi="Arial"/>
                <w:sz w:val="16"/>
                <w:szCs w:val="16"/>
                <w:color w:val="auto"/>
                <w:w w:val="95"/>
              </w:rPr>
              <w:t>Amendment to Certificate of Assumed Name, filed with the Minnesota Secretary of State on May 8, 2001 (filed as</w:t>
            </w:r>
          </w:p>
        </w:tc>
        <w:tc>
          <w:tcPr>
            <w:tcW w:w="2060" w:type="dxa"/>
            <w:vAlign w:val="bottom"/>
          </w:tcPr>
          <w:p>
            <w:pPr>
              <w:spacing w:after="0"/>
              <w:rPr>
                <w:sz w:val="19"/>
                <w:szCs w:val="19"/>
                <w:color w:val="auto"/>
              </w:rPr>
            </w:pPr>
          </w:p>
        </w:tc>
      </w:tr>
      <w:tr>
        <w:trPr>
          <w:trHeight w:val="206"/>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40" w:type="dxa"/>
            <w:vAlign w:val="bottom"/>
            <w:gridSpan w:val="3"/>
          </w:tcPr>
          <w:p>
            <w:pPr>
              <w:ind w:left="160"/>
              <w:spacing w:after="0"/>
              <w:rPr>
                <w:sz w:val="20"/>
                <w:szCs w:val="20"/>
                <w:color w:val="auto"/>
              </w:rPr>
            </w:pPr>
            <w:r>
              <w:rPr>
                <w:rFonts w:ascii="Arial" w:cs="Arial" w:eastAsia="Arial" w:hAnsi="Arial"/>
                <w:sz w:val="16"/>
                <w:szCs w:val="16"/>
                <w:color w:val="auto"/>
              </w:rPr>
              <w:t>Exhibit 3(a) to the March 31, 2001, Form 10-Q, File No. 1-3548).</w:t>
            </w:r>
          </w:p>
        </w:tc>
        <w:tc>
          <w:tcPr>
            <w:tcW w:w="2060" w:type="dxa"/>
            <w:vAlign w:val="bottom"/>
          </w:tcPr>
          <w:p>
            <w:pPr>
              <w:spacing w:after="0"/>
              <w:rPr>
                <w:sz w:val="17"/>
                <w:szCs w:val="17"/>
                <w:color w:val="auto"/>
              </w:rPr>
            </w:pP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4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*3(b)</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w w:val="94"/>
              </w:rPr>
              <w:t>Bylaws, as amended effective May 11, 2010 (filed as Exhibit 3(b) to the May 14, 2010, Form 8-K, File No. 1-3548).</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0"/>
        </w:trPr>
        <w:tc>
          <w:tcPr>
            <w:tcW w:w="820" w:type="dxa"/>
            <w:vAlign w:val="bottom"/>
          </w:tcPr>
          <w:p>
            <w:pPr>
              <w:ind w:left="40"/>
              <w:spacing w:after="0"/>
              <w:rPr>
                <w:sz w:val="20"/>
                <w:szCs w:val="20"/>
                <w:color w:val="auto"/>
              </w:rPr>
            </w:pPr>
            <w:r>
              <w:rPr>
                <w:rFonts w:ascii="Arial" w:cs="Arial" w:eastAsia="Arial" w:hAnsi="Arial"/>
                <w:sz w:val="16"/>
                <w:szCs w:val="16"/>
                <w:color w:val="auto"/>
              </w:rPr>
              <w:t>*4(a)1</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tcPr>
          <w:p>
            <w:pPr>
              <w:ind w:left="160"/>
              <w:spacing w:after="0"/>
              <w:rPr>
                <w:sz w:val="20"/>
                <w:szCs w:val="20"/>
                <w:color w:val="auto"/>
              </w:rPr>
            </w:pPr>
            <w:r>
              <w:rPr>
                <w:rFonts w:ascii="Arial" w:cs="Arial" w:eastAsia="Arial" w:hAnsi="Arial"/>
                <w:sz w:val="16"/>
                <w:szCs w:val="16"/>
                <w:color w:val="auto"/>
                <w:w w:val="95"/>
              </w:rPr>
              <w:t>Mortgage and Deed of Trust, dated as of September 1, 1945, between Minnesota Power &amp; Light Company (now ALLETE) and The Bank of New</w:t>
            </w:r>
          </w:p>
        </w:tc>
      </w:tr>
      <w:tr>
        <w:trPr>
          <w:trHeight w:val="206"/>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00" w:type="dxa"/>
            <w:vAlign w:val="bottom"/>
            <w:gridSpan w:val="4"/>
          </w:tcPr>
          <w:p>
            <w:pPr>
              <w:ind w:left="160"/>
              <w:spacing w:after="0"/>
              <w:rPr>
                <w:sz w:val="20"/>
                <w:szCs w:val="20"/>
                <w:color w:val="auto"/>
              </w:rPr>
            </w:pPr>
            <w:r>
              <w:rPr>
                <w:rFonts w:ascii="Arial" w:cs="Arial" w:eastAsia="Arial" w:hAnsi="Arial"/>
                <w:sz w:val="16"/>
                <w:szCs w:val="16"/>
                <w:color w:val="auto"/>
                <w:w w:val="93"/>
              </w:rPr>
              <w:t>York Mellon (formerly Irving Trust Company) and Philip L. Watson (successor to Richard H. West), Trustees (filed as Exhibit 7(c), File No. 2-5865).</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4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*4(a)2</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Supplemental Indentures to ALLETE’s Mortgage and Deed of Trust:</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b w:val="1"/>
                <w:bCs w:val="1"/>
                <w:color w:val="auto"/>
              </w:rPr>
              <w:t>Number</w:t>
            </w:r>
          </w:p>
        </w:tc>
        <w:tc>
          <w:tcPr>
            <w:tcW w:w="1920" w:type="dxa"/>
            <w:vAlign w:val="bottom"/>
          </w:tcPr>
          <w:p>
            <w:pPr>
              <w:ind w:left="400"/>
              <w:spacing w:after="0"/>
              <w:rPr>
                <w:sz w:val="20"/>
                <w:szCs w:val="20"/>
                <w:color w:val="auto"/>
              </w:rPr>
            </w:pPr>
            <w:r>
              <w:rPr>
                <w:rFonts w:ascii="Arial" w:cs="Arial" w:eastAsia="Arial" w:hAnsi="Arial"/>
                <w:sz w:val="16"/>
                <w:szCs w:val="16"/>
                <w:b w:val="1"/>
                <w:bCs w:val="1"/>
                <w:color w:val="auto"/>
              </w:rPr>
              <w:t>Dated as of</w:t>
            </w:r>
          </w:p>
        </w:tc>
        <w:tc>
          <w:tcPr>
            <w:tcW w:w="4340" w:type="dxa"/>
            <w:vAlign w:val="bottom"/>
          </w:tcPr>
          <w:p>
            <w:pPr>
              <w:ind w:left="280"/>
              <w:spacing w:after="0"/>
              <w:rPr>
                <w:sz w:val="20"/>
                <w:szCs w:val="20"/>
                <w:color w:val="auto"/>
              </w:rPr>
            </w:pPr>
            <w:r>
              <w:rPr>
                <w:rFonts w:ascii="Arial" w:cs="Arial" w:eastAsia="Arial" w:hAnsi="Arial"/>
                <w:sz w:val="16"/>
                <w:szCs w:val="16"/>
                <w:b w:val="1"/>
                <w:bCs w:val="1"/>
                <w:color w:val="auto"/>
              </w:rPr>
              <w:t>Reference File</w:t>
            </w:r>
          </w:p>
        </w:tc>
        <w:tc>
          <w:tcPr>
            <w:tcW w:w="2060" w:type="dxa"/>
            <w:vAlign w:val="bottom"/>
          </w:tcPr>
          <w:p>
            <w:pPr>
              <w:ind w:left="140"/>
              <w:spacing w:after="0"/>
              <w:rPr>
                <w:sz w:val="20"/>
                <w:szCs w:val="20"/>
                <w:color w:val="auto"/>
              </w:rPr>
            </w:pPr>
            <w:r>
              <w:rPr>
                <w:rFonts w:ascii="Arial" w:cs="Arial" w:eastAsia="Arial" w:hAnsi="Arial"/>
                <w:sz w:val="16"/>
                <w:szCs w:val="16"/>
                <w:b w:val="1"/>
                <w:bCs w:val="1"/>
                <w:color w:val="auto"/>
              </w:rPr>
              <w:t>Exhibit</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First</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March 1, 1949</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2-7826</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7(b)</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Second</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1951</w:t>
            </w:r>
          </w:p>
        </w:tc>
        <w:tc>
          <w:tcPr>
            <w:tcW w:w="4340" w:type="dxa"/>
            <w:vAlign w:val="bottom"/>
          </w:tcPr>
          <w:p>
            <w:pPr>
              <w:ind w:left="280"/>
              <w:spacing w:after="0"/>
              <w:rPr>
                <w:sz w:val="20"/>
                <w:szCs w:val="20"/>
                <w:color w:val="auto"/>
              </w:rPr>
            </w:pPr>
            <w:r>
              <w:rPr>
                <w:rFonts w:ascii="Arial" w:cs="Arial" w:eastAsia="Arial" w:hAnsi="Arial"/>
                <w:sz w:val="16"/>
                <w:szCs w:val="16"/>
                <w:color w:val="auto"/>
              </w:rPr>
              <w:t>2-9036</w:t>
            </w:r>
          </w:p>
        </w:tc>
        <w:tc>
          <w:tcPr>
            <w:tcW w:w="2060" w:type="dxa"/>
            <w:vAlign w:val="bottom"/>
          </w:tcPr>
          <w:p>
            <w:pPr>
              <w:ind w:left="140"/>
              <w:spacing w:after="0"/>
              <w:rPr>
                <w:sz w:val="20"/>
                <w:szCs w:val="20"/>
                <w:color w:val="auto"/>
              </w:rPr>
            </w:pPr>
            <w:r>
              <w:rPr>
                <w:rFonts w:ascii="Arial" w:cs="Arial" w:eastAsia="Arial" w:hAnsi="Arial"/>
                <w:sz w:val="16"/>
                <w:szCs w:val="16"/>
                <w:color w:val="auto"/>
              </w:rPr>
              <w:t>7(c)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March 1, 1957</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2-13075</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Fourth</w:t>
            </w:r>
          </w:p>
        </w:tc>
        <w:tc>
          <w:tcPr>
            <w:tcW w:w="1920" w:type="dxa"/>
            <w:vAlign w:val="bottom"/>
          </w:tcPr>
          <w:p>
            <w:pPr>
              <w:ind w:left="400"/>
              <w:spacing w:after="0"/>
              <w:rPr>
                <w:sz w:val="20"/>
                <w:szCs w:val="20"/>
                <w:color w:val="auto"/>
              </w:rPr>
            </w:pPr>
            <w:r>
              <w:rPr>
                <w:rFonts w:ascii="Arial" w:cs="Arial" w:eastAsia="Arial" w:hAnsi="Arial"/>
                <w:sz w:val="16"/>
                <w:szCs w:val="16"/>
                <w:color w:val="auto"/>
              </w:rPr>
              <w:t>January 1, 1968</w:t>
            </w:r>
          </w:p>
        </w:tc>
        <w:tc>
          <w:tcPr>
            <w:tcW w:w="4340" w:type="dxa"/>
            <w:vAlign w:val="bottom"/>
          </w:tcPr>
          <w:p>
            <w:pPr>
              <w:ind w:left="280"/>
              <w:spacing w:after="0"/>
              <w:rPr>
                <w:sz w:val="20"/>
                <w:szCs w:val="20"/>
                <w:color w:val="auto"/>
              </w:rPr>
            </w:pPr>
            <w:r>
              <w:rPr>
                <w:rFonts w:ascii="Arial" w:cs="Arial" w:eastAsia="Arial" w:hAnsi="Arial"/>
                <w:sz w:val="16"/>
                <w:szCs w:val="16"/>
                <w:color w:val="auto"/>
              </w:rPr>
              <w:t>2-27794</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Fifth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April 1, 1971</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2-39537</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Sixth</w:t>
            </w:r>
          </w:p>
        </w:tc>
        <w:tc>
          <w:tcPr>
            <w:tcW w:w="1920" w:type="dxa"/>
            <w:vAlign w:val="bottom"/>
          </w:tcPr>
          <w:p>
            <w:pPr>
              <w:ind w:left="400"/>
              <w:spacing w:after="0"/>
              <w:rPr>
                <w:sz w:val="20"/>
                <w:szCs w:val="20"/>
                <w:color w:val="auto"/>
              </w:rPr>
            </w:pPr>
            <w:r>
              <w:rPr>
                <w:rFonts w:ascii="Arial" w:cs="Arial" w:eastAsia="Arial" w:hAnsi="Arial"/>
                <w:sz w:val="16"/>
                <w:szCs w:val="16"/>
                <w:color w:val="auto"/>
              </w:rPr>
              <w:t>August 1, 1975</w:t>
            </w:r>
          </w:p>
        </w:tc>
        <w:tc>
          <w:tcPr>
            <w:tcW w:w="4340" w:type="dxa"/>
            <w:vAlign w:val="bottom"/>
          </w:tcPr>
          <w:p>
            <w:pPr>
              <w:ind w:left="280"/>
              <w:spacing w:after="0"/>
              <w:rPr>
                <w:sz w:val="20"/>
                <w:szCs w:val="20"/>
                <w:color w:val="auto"/>
              </w:rPr>
            </w:pPr>
            <w:r>
              <w:rPr>
                <w:rFonts w:ascii="Arial" w:cs="Arial" w:eastAsia="Arial" w:hAnsi="Arial"/>
                <w:sz w:val="16"/>
                <w:szCs w:val="16"/>
                <w:color w:val="auto"/>
              </w:rPr>
              <w:t>2-54116</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Seventh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September 1, 1976</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2-57014</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Eighth</w:t>
            </w:r>
          </w:p>
        </w:tc>
        <w:tc>
          <w:tcPr>
            <w:tcW w:w="1920" w:type="dxa"/>
            <w:vAlign w:val="bottom"/>
          </w:tcPr>
          <w:p>
            <w:pPr>
              <w:ind w:left="400"/>
              <w:spacing w:after="0"/>
              <w:rPr>
                <w:sz w:val="20"/>
                <w:szCs w:val="20"/>
                <w:color w:val="auto"/>
              </w:rPr>
            </w:pPr>
            <w:r>
              <w:rPr>
                <w:rFonts w:ascii="Arial" w:cs="Arial" w:eastAsia="Arial" w:hAnsi="Arial"/>
                <w:sz w:val="16"/>
                <w:szCs w:val="16"/>
                <w:color w:val="auto"/>
              </w:rPr>
              <w:t>September 1, 1977</w:t>
            </w:r>
          </w:p>
        </w:tc>
        <w:tc>
          <w:tcPr>
            <w:tcW w:w="4340" w:type="dxa"/>
            <w:vAlign w:val="bottom"/>
          </w:tcPr>
          <w:p>
            <w:pPr>
              <w:ind w:left="280"/>
              <w:spacing w:after="0"/>
              <w:rPr>
                <w:sz w:val="20"/>
                <w:szCs w:val="20"/>
                <w:color w:val="auto"/>
              </w:rPr>
            </w:pPr>
            <w:r>
              <w:rPr>
                <w:rFonts w:ascii="Arial" w:cs="Arial" w:eastAsia="Arial" w:hAnsi="Arial"/>
                <w:sz w:val="16"/>
                <w:szCs w:val="16"/>
                <w:color w:val="auto"/>
              </w:rPr>
              <w:t>2-59690</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Ninth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April 1, 1978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2-60866</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Tenth</w:t>
            </w:r>
          </w:p>
        </w:tc>
        <w:tc>
          <w:tcPr>
            <w:tcW w:w="1920" w:type="dxa"/>
            <w:vAlign w:val="bottom"/>
          </w:tcPr>
          <w:p>
            <w:pPr>
              <w:ind w:left="400"/>
              <w:spacing w:after="0"/>
              <w:rPr>
                <w:sz w:val="20"/>
                <w:szCs w:val="20"/>
                <w:color w:val="auto"/>
              </w:rPr>
            </w:pPr>
            <w:r>
              <w:rPr>
                <w:rFonts w:ascii="Arial" w:cs="Arial" w:eastAsia="Arial" w:hAnsi="Arial"/>
                <w:sz w:val="16"/>
                <w:szCs w:val="16"/>
                <w:color w:val="auto"/>
              </w:rPr>
              <w:t>August 1, 1978</w:t>
            </w:r>
          </w:p>
        </w:tc>
        <w:tc>
          <w:tcPr>
            <w:tcW w:w="4340" w:type="dxa"/>
            <w:vAlign w:val="bottom"/>
          </w:tcPr>
          <w:p>
            <w:pPr>
              <w:ind w:left="280"/>
              <w:spacing w:after="0"/>
              <w:rPr>
                <w:sz w:val="20"/>
                <w:szCs w:val="20"/>
                <w:color w:val="auto"/>
              </w:rPr>
            </w:pPr>
            <w:r>
              <w:rPr>
                <w:rFonts w:ascii="Arial" w:cs="Arial" w:eastAsia="Arial" w:hAnsi="Arial"/>
                <w:sz w:val="16"/>
                <w:szCs w:val="16"/>
                <w:color w:val="auto"/>
              </w:rPr>
              <w:t>2-62852</w:t>
            </w:r>
          </w:p>
        </w:tc>
        <w:tc>
          <w:tcPr>
            <w:tcW w:w="2060" w:type="dxa"/>
            <w:vAlign w:val="bottom"/>
          </w:tcPr>
          <w:p>
            <w:pPr>
              <w:ind w:left="140"/>
              <w:spacing w:after="0"/>
              <w:rPr>
                <w:sz w:val="20"/>
                <w:szCs w:val="20"/>
                <w:color w:val="auto"/>
              </w:rPr>
            </w:pPr>
            <w:r>
              <w:rPr>
                <w:rFonts w:ascii="Arial" w:cs="Arial" w:eastAsia="Arial" w:hAnsi="Arial"/>
                <w:sz w:val="16"/>
                <w:szCs w:val="16"/>
                <w:color w:val="auto"/>
              </w:rPr>
              <w:t>2(d)2</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Eleventh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December 1, 1982</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2-56649</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Twelfth</w:t>
            </w:r>
          </w:p>
        </w:tc>
        <w:tc>
          <w:tcPr>
            <w:tcW w:w="1920" w:type="dxa"/>
            <w:vAlign w:val="bottom"/>
          </w:tcPr>
          <w:p>
            <w:pPr>
              <w:ind w:left="400"/>
              <w:spacing w:after="0"/>
              <w:rPr>
                <w:sz w:val="20"/>
                <w:szCs w:val="20"/>
                <w:color w:val="auto"/>
              </w:rPr>
            </w:pPr>
            <w:r>
              <w:rPr>
                <w:rFonts w:ascii="Arial" w:cs="Arial" w:eastAsia="Arial" w:hAnsi="Arial"/>
                <w:sz w:val="16"/>
                <w:szCs w:val="16"/>
                <w:color w:val="auto"/>
              </w:rPr>
              <w:t>April 1, 1987</w:t>
            </w:r>
          </w:p>
        </w:tc>
        <w:tc>
          <w:tcPr>
            <w:tcW w:w="4340" w:type="dxa"/>
            <w:vAlign w:val="bottom"/>
          </w:tcPr>
          <w:p>
            <w:pPr>
              <w:ind w:left="280"/>
              <w:spacing w:after="0"/>
              <w:rPr>
                <w:sz w:val="20"/>
                <w:szCs w:val="20"/>
                <w:color w:val="auto"/>
              </w:rPr>
            </w:pPr>
            <w:r>
              <w:rPr>
                <w:rFonts w:ascii="Arial" w:cs="Arial" w:eastAsia="Arial" w:hAnsi="Arial"/>
                <w:sz w:val="16"/>
                <w:szCs w:val="16"/>
                <w:color w:val="auto"/>
              </w:rPr>
              <w:t>33-30224</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March 1, 1992</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33-47438</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4(b)</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Fourteenth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June 1, 1992</w:t>
            </w:r>
          </w:p>
        </w:tc>
        <w:tc>
          <w:tcPr>
            <w:tcW w:w="4340" w:type="dxa"/>
            <w:vAlign w:val="bottom"/>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Pr>
          <w:p>
            <w:pPr>
              <w:ind w:left="140"/>
              <w:spacing w:after="0"/>
              <w:rPr>
                <w:sz w:val="20"/>
                <w:szCs w:val="20"/>
                <w:color w:val="auto"/>
              </w:rPr>
            </w:pPr>
            <w:r>
              <w:rPr>
                <w:rFonts w:ascii="Arial" w:cs="Arial" w:eastAsia="Arial" w:hAnsi="Arial"/>
                <w:sz w:val="16"/>
                <w:szCs w:val="16"/>
                <w:color w:val="auto"/>
              </w:rPr>
              <w:t>4(b)</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Fifteenth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1992</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Sixteenth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1992</w:t>
            </w:r>
          </w:p>
        </w:tc>
        <w:tc>
          <w:tcPr>
            <w:tcW w:w="4340" w:type="dxa"/>
            <w:vAlign w:val="bottom"/>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Pr>
          <w:p>
            <w:pPr>
              <w:ind w:left="140"/>
              <w:spacing w:after="0"/>
              <w:rPr>
                <w:sz w:val="20"/>
                <w:szCs w:val="20"/>
                <w:color w:val="auto"/>
              </w:rPr>
            </w:pPr>
            <w:r>
              <w:rPr>
                <w:rFonts w:ascii="Arial" w:cs="Arial" w:eastAsia="Arial" w:hAnsi="Arial"/>
                <w:sz w:val="16"/>
                <w:szCs w:val="16"/>
                <w:color w:val="auto"/>
              </w:rPr>
              <w:t>4(d)</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Seventeenth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February 1, 1993</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33-50143</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4(b)</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Eighteenth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1993</w:t>
            </w:r>
          </w:p>
        </w:tc>
        <w:tc>
          <w:tcPr>
            <w:tcW w:w="4340" w:type="dxa"/>
            <w:vAlign w:val="bottom"/>
          </w:tcPr>
          <w:p>
            <w:pPr>
              <w:ind w:left="280"/>
              <w:spacing w:after="0"/>
              <w:rPr>
                <w:sz w:val="20"/>
                <w:szCs w:val="20"/>
                <w:color w:val="auto"/>
              </w:rPr>
            </w:pPr>
            <w:r>
              <w:rPr>
                <w:rFonts w:ascii="Arial" w:cs="Arial" w:eastAsia="Arial" w:hAnsi="Arial"/>
                <w:sz w:val="16"/>
                <w:szCs w:val="16"/>
                <w:color w:val="auto"/>
              </w:rPr>
              <w:t>33-50143</w:t>
            </w:r>
          </w:p>
        </w:tc>
        <w:tc>
          <w:tcPr>
            <w:tcW w:w="2060" w:type="dxa"/>
            <w:vAlign w:val="bottom"/>
          </w:tcPr>
          <w:p>
            <w:pPr>
              <w:ind w:left="140"/>
              <w:spacing w:after="0"/>
              <w:rPr>
                <w:sz w:val="20"/>
                <w:szCs w:val="20"/>
                <w:color w:val="auto"/>
              </w:rPr>
            </w:pPr>
            <w:r>
              <w:rPr>
                <w:rFonts w:ascii="Arial" w:cs="Arial" w:eastAsia="Arial" w:hAnsi="Arial"/>
                <w:sz w:val="16"/>
                <w:szCs w:val="16"/>
                <w:color w:val="auto"/>
              </w:rPr>
              <w:t>4(c)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Nineteenth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February 1, 1997</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(1996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Twentieth</w:t>
            </w:r>
          </w:p>
        </w:tc>
        <w:tc>
          <w:tcPr>
            <w:tcW w:w="1920" w:type="dxa"/>
            <w:vAlign w:val="bottom"/>
          </w:tcPr>
          <w:p>
            <w:pPr>
              <w:ind w:left="400"/>
              <w:spacing w:after="0"/>
              <w:rPr>
                <w:sz w:val="20"/>
                <w:szCs w:val="20"/>
                <w:color w:val="auto"/>
              </w:rPr>
            </w:pPr>
            <w:r>
              <w:rPr>
                <w:rFonts w:ascii="Arial" w:cs="Arial" w:eastAsia="Arial" w:hAnsi="Arial"/>
                <w:sz w:val="16"/>
                <w:szCs w:val="16"/>
                <w:color w:val="auto"/>
              </w:rPr>
              <w:t>November 1, 1997</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(1997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Twenty-first</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October 1, 2000</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333-54330</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4(c)3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Twenty-second</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2003</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(June 30, 2003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Twenty-third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August 1, 2004</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(Sept. 30, 2004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Twenty-fourth</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2005</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(March 31, 2005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Twenty-fifth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December 1, 2005</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(March 31, 2006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Twenty-sixth</w:t>
            </w:r>
          </w:p>
        </w:tc>
        <w:tc>
          <w:tcPr>
            <w:tcW w:w="1920" w:type="dxa"/>
            <w:vAlign w:val="bottom"/>
          </w:tcPr>
          <w:p>
            <w:pPr>
              <w:ind w:left="400"/>
              <w:spacing w:after="0"/>
              <w:rPr>
                <w:sz w:val="20"/>
                <w:szCs w:val="20"/>
                <w:color w:val="auto"/>
              </w:rPr>
            </w:pPr>
            <w:r>
              <w:rPr>
                <w:rFonts w:ascii="Arial" w:cs="Arial" w:eastAsia="Arial" w:hAnsi="Arial"/>
                <w:sz w:val="16"/>
                <w:szCs w:val="16"/>
                <w:color w:val="auto"/>
              </w:rPr>
              <w:t>October 1, 2006</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(2006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Twenty-seventh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February 1, 2008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(2007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Twenty-eighth</w:t>
            </w:r>
          </w:p>
        </w:tc>
        <w:tc>
          <w:tcPr>
            <w:tcW w:w="1920" w:type="dxa"/>
            <w:vAlign w:val="bottom"/>
          </w:tcPr>
          <w:p>
            <w:pPr>
              <w:ind w:left="400"/>
              <w:spacing w:after="0"/>
              <w:rPr>
                <w:sz w:val="20"/>
                <w:szCs w:val="20"/>
                <w:color w:val="auto"/>
              </w:rPr>
            </w:pPr>
            <w:r>
              <w:rPr>
                <w:rFonts w:ascii="Arial" w:cs="Arial" w:eastAsia="Arial" w:hAnsi="Arial"/>
                <w:sz w:val="16"/>
                <w:szCs w:val="16"/>
                <w:color w:val="auto"/>
              </w:rPr>
              <w:t>May 1, 2008</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(June 30, 2008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Twenty-ninth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November 1, 2008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(2008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Thirtieth</w:t>
            </w:r>
          </w:p>
        </w:tc>
        <w:tc>
          <w:tcPr>
            <w:tcW w:w="1920" w:type="dxa"/>
            <w:vAlign w:val="bottom"/>
          </w:tcPr>
          <w:p>
            <w:pPr>
              <w:ind w:left="400"/>
              <w:spacing w:after="0"/>
              <w:rPr>
                <w:sz w:val="20"/>
                <w:szCs w:val="20"/>
                <w:color w:val="auto"/>
              </w:rPr>
            </w:pPr>
            <w:r>
              <w:rPr>
                <w:rFonts w:ascii="Arial" w:cs="Arial" w:eastAsia="Arial" w:hAnsi="Arial"/>
                <w:sz w:val="16"/>
                <w:szCs w:val="16"/>
                <w:color w:val="auto"/>
              </w:rPr>
              <w:t>January 1, 2009</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(2008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4(a)4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Thirty-first</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February 1, 2010</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(March 31, 2010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Thirty-second</w:t>
            </w:r>
          </w:p>
        </w:tc>
        <w:tc>
          <w:tcPr>
            <w:tcW w:w="1920" w:type="dxa"/>
            <w:vAlign w:val="bottom"/>
          </w:tcPr>
          <w:p>
            <w:pPr>
              <w:ind w:left="400"/>
              <w:spacing w:after="0"/>
              <w:rPr>
                <w:sz w:val="20"/>
                <w:szCs w:val="20"/>
                <w:color w:val="auto"/>
              </w:rPr>
            </w:pPr>
            <w:r>
              <w:rPr>
                <w:rFonts w:ascii="Arial" w:cs="Arial" w:eastAsia="Arial" w:hAnsi="Arial"/>
                <w:sz w:val="16"/>
                <w:szCs w:val="16"/>
                <w:color w:val="auto"/>
              </w:rPr>
              <w:t>August 1, 2010</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(Sept. 30, 2010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bl>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53"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Thirty-third</w:t>
            </w:r>
          </w:p>
        </w:tc>
        <w:tc>
          <w:tcPr>
            <w:tcW w:w="1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July 1, 2012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1-3548</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2, 2012 Form 8-K)</w:t>
            </w:r>
          </w:p>
        </w:tc>
        <w:tc>
          <w:tcPr>
            <w:tcW w:w="2940" w:type="dxa"/>
            <w:vAlign w:val="bottom"/>
            <w:tcBorders>
              <w:bottom w:val="single" w:sz="8" w:color="CCEEFF"/>
            </w:tcBorders>
            <w:shd w:val="clear" w:color="auto" w:fill="CCEEFF"/>
          </w:tcPr>
          <w:p>
            <w:pPr>
              <w:jc w:val="right"/>
              <w:ind w:right="1759"/>
              <w:spacing w:after="0"/>
              <w:rPr>
                <w:sz w:val="20"/>
                <w:szCs w:val="20"/>
                <w:color w:val="auto"/>
              </w:rPr>
            </w:pPr>
            <w:r>
              <w:rPr>
                <w:rFonts w:ascii="Arial" w:cs="Arial" w:eastAsia="Arial" w:hAnsi="Arial"/>
                <w:sz w:val="16"/>
                <w:szCs w:val="16"/>
                <w:color w:val="auto"/>
              </w:rPr>
              <w:t>4</w:t>
            </w:r>
          </w:p>
        </w:tc>
      </w:tr>
      <w:tr>
        <w:trPr>
          <w:trHeight w:val="224"/>
        </w:trPr>
        <w:tc>
          <w:tcPr>
            <w:tcW w:w="3000" w:type="dxa"/>
            <w:vAlign w:val="bottom"/>
          </w:tcPr>
          <w:p>
            <w:pPr>
              <w:ind w:left="1660"/>
              <w:spacing w:after="0"/>
              <w:rPr>
                <w:sz w:val="20"/>
                <w:szCs w:val="20"/>
                <w:color w:val="auto"/>
              </w:rPr>
            </w:pPr>
            <w:r>
              <w:rPr>
                <w:rFonts w:ascii="Arial" w:cs="Arial" w:eastAsia="Arial" w:hAnsi="Arial"/>
                <w:sz w:val="16"/>
                <w:szCs w:val="16"/>
                <w:color w:val="auto"/>
              </w:rPr>
              <w:t>Thirty-fourth</w:t>
            </w:r>
          </w:p>
        </w:tc>
        <w:tc>
          <w:tcPr>
            <w:tcW w:w="1820" w:type="dxa"/>
            <w:vAlign w:val="bottom"/>
          </w:tcPr>
          <w:p>
            <w:pPr>
              <w:ind w:left="480"/>
              <w:spacing w:after="0"/>
              <w:rPr>
                <w:sz w:val="20"/>
                <w:szCs w:val="20"/>
                <w:color w:val="auto"/>
              </w:rPr>
            </w:pPr>
            <w:r>
              <w:rPr>
                <w:rFonts w:ascii="Arial" w:cs="Arial" w:eastAsia="Arial" w:hAnsi="Arial"/>
                <w:sz w:val="16"/>
                <w:szCs w:val="16"/>
                <w:color w:val="auto"/>
              </w:rPr>
              <w:t>April 1, 2013</w:t>
            </w:r>
          </w:p>
        </w:tc>
        <w:tc>
          <w:tcPr>
            <w:tcW w:w="940" w:type="dxa"/>
            <w:vAlign w:val="bottom"/>
          </w:tcPr>
          <w:p>
            <w:pPr>
              <w:jc w:val="right"/>
              <w:spacing w:after="0"/>
              <w:rPr>
                <w:sz w:val="20"/>
                <w:szCs w:val="20"/>
                <w:color w:val="auto"/>
              </w:rPr>
            </w:pPr>
            <w:r>
              <w:rPr>
                <w:rFonts w:ascii="Arial" w:cs="Arial" w:eastAsia="Arial" w:hAnsi="Arial"/>
                <w:sz w:val="16"/>
                <w:szCs w:val="16"/>
                <w:color w:val="auto"/>
              </w:rPr>
              <w:t>1-3548</w:t>
            </w:r>
          </w:p>
        </w:tc>
        <w:tc>
          <w:tcPr>
            <w:tcW w:w="2700" w:type="dxa"/>
            <w:vAlign w:val="bottom"/>
          </w:tcPr>
          <w:p>
            <w:pPr>
              <w:ind w:left="20"/>
              <w:spacing w:after="0"/>
              <w:rPr>
                <w:sz w:val="20"/>
                <w:szCs w:val="20"/>
                <w:color w:val="auto"/>
              </w:rPr>
            </w:pPr>
            <w:r>
              <w:rPr>
                <w:rFonts w:ascii="Arial" w:cs="Arial" w:eastAsia="Arial" w:hAnsi="Arial"/>
                <w:sz w:val="16"/>
                <w:szCs w:val="16"/>
                <w:color w:val="auto"/>
              </w:rPr>
              <w:t>(April 2, 2013 Form 8-K)</w:t>
            </w:r>
          </w:p>
        </w:tc>
        <w:tc>
          <w:tcPr>
            <w:tcW w:w="2940" w:type="dxa"/>
            <w:vAlign w:val="bottom"/>
          </w:tcPr>
          <w:p>
            <w:pPr>
              <w:jc w:val="right"/>
              <w:ind w:right="1759"/>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44" w:lineRule="exact"/>
        <w:rPr>
          <w:sz w:val="20"/>
          <w:szCs w:val="20"/>
          <w:color w:val="auto"/>
        </w:rPr>
      </w:pPr>
    </w:p>
    <w:p>
      <w:pPr>
        <w:jc w:val="both"/>
        <w:ind w:left="1340" w:right="40" w:hanging="1620"/>
        <w:spacing w:after="0" w:line="278" w:lineRule="auto"/>
        <w:tabs>
          <w:tab w:leader="none" w:pos="1320" w:val="left"/>
        </w:tabs>
        <w:rPr>
          <w:sz w:val="20"/>
          <w:szCs w:val="20"/>
          <w:color w:val="auto"/>
        </w:rPr>
      </w:pPr>
      <w:r>
        <w:rPr>
          <w:rFonts w:ascii="Arial" w:cs="Arial" w:eastAsia="Arial" w:hAnsi="Arial"/>
          <w:sz w:val="16"/>
          <w:szCs w:val="16"/>
          <w:color w:val="auto"/>
        </w:rPr>
        <w:t>*4(b)1</w:t>
      </w:r>
      <w:r>
        <w:rPr>
          <w:sz w:val="20"/>
          <w:szCs w:val="20"/>
          <w:color w:val="auto"/>
        </w:rPr>
        <w:tab/>
      </w:r>
      <w:r>
        <w:rPr>
          <w:rFonts w:ascii="Arial" w:cs="Arial" w:eastAsia="Arial" w:hAnsi="Arial"/>
          <w:sz w:val="16"/>
          <w:szCs w:val="16"/>
          <w:color w:val="auto"/>
        </w:rPr>
        <w:t>— Indenture of Trust, dated as of August 1, 2004, between the City of Cohasset, Minnesota and U.S. Bank National Association, as Trustee relating to $111 Million Collateralized Pollution Control Refunding Revenue Bonds (filed as Exhibit 4(b) to the September 30, 2004, Form 10-Q, File No. 1-3548).</w:t>
      </w:r>
    </w:p>
    <w:p>
      <w:pPr>
        <w:spacing w:after="0" w:line="22"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*4(b)2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Loan Agreement, dated as of August 1, 2004, between the City of Cohasset, Minnesota and ALLETE relating to $111 Million Collateralized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Pollution Control Refunding Revenue Bonds (filed as Exhibit 4(c) to the September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2947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49" w:lineRule="exact"/>
        <w:rPr>
          <w:sz w:val="20"/>
          <w:szCs w:val="20"/>
          <w:color w:val="auto"/>
        </w:rPr>
      </w:pPr>
    </w:p>
    <w:p>
      <w:pPr>
        <w:jc w:val="both"/>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*4(c)1</w:t>
      </w:r>
      <w:r>
        <w:rPr>
          <w:sz w:val="20"/>
          <w:szCs w:val="20"/>
          <w:color w:val="auto"/>
        </w:rPr>
        <w:tab/>
      </w:r>
      <w:r>
        <w:rPr>
          <w:rFonts w:ascii="Arial" w:cs="Arial" w:eastAsia="Arial" w:hAnsi="Arial"/>
          <w:sz w:val="15"/>
          <w:szCs w:val="15"/>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1"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*4(c)2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Supplemental Indentures to Superior Water, Light and Power Company’s Mortgage and Deed of Trust: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b w:val="1"/>
                <w:bCs w:val="1"/>
                <w:color w:val="auto"/>
              </w:rPr>
              <w:t>Number</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Dated as of</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Reference File</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b w:val="1"/>
                <w:bCs w:val="1"/>
                <w:color w:val="auto"/>
              </w:rPr>
              <w:t>Exhibit</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First</w:t>
            </w:r>
          </w:p>
        </w:tc>
        <w:tc>
          <w:tcPr>
            <w:tcW w:w="2120" w:type="dxa"/>
            <w:vAlign w:val="bottom"/>
          </w:tcPr>
          <w:p>
            <w:pPr>
              <w:ind w:left="620"/>
              <w:spacing w:after="0"/>
              <w:rPr>
                <w:sz w:val="20"/>
                <w:szCs w:val="20"/>
                <w:color w:val="auto"/>
              </w:rPr>
            </w:pPr>
            <w:r>
              <w:rPr>
                <w:rFonts w:ascii="Arial" w:cs="Arial" w:eastAsia="Arial" w:hAnsi="Arial"/>
                <w:sz w:val="16"/>
                <w:szCs w:val="16"/>
                <w:color w:val="auto"/>
              </w:rPr>
              <w:t>March 1, 1951</w:t>
            </w:r>
          </w:p>
        </w:tc>
        <w:tc>
          <w:tcPr>
            <w:tcW w:w="3260" w:type="dxa"/>
            <w:vAlign w:val="bottom"/>
          </w:tcPr>
          <w:p>
            <w:pPr>
              <w:ind w:left="300"/>
              <w:spacing w:after="0"/>
              <w:rPr>
                <w:sz w:val="20"/>
                <w:szCs w:val="20"/>
                <w:color w:val="auto"/>
              </w:rPr>
            </w:pPr>
            <w:r>
              <w:rPr>
                <w:rFonts w:ascii="Arial" w:cs="Arial" w:eastAsia="Arial" w:hAnsi="Arial"/>
                <w:sz w:val="16"/>
                <w:szCs w:val="16"/>
                <w:color w:val="auto"/>
              </w:rPr>
              <w:t>2-59690</w:t>
            </w:r>
          </w:p>
        </w:tc>
        <w:tc>
          <w:tcPr>
            <w:tcW w:w="3160" w:type="dxa"/>
            <w:vAlign w:val="bottom"/>
          </w:tcPr>
          <w:p>
            <w:pPr>
              <w:ind w:left="1240"/>
              <w:spacing w:after="0"/>
              <w:rPr>
                <w:sz w:val="20"/>
                <w:szCs w:val="20"/>
                <w:color w:val="auto"/>
              </w:rPr>
            </w:pPr>
            <w:r>
              <w:rPr>
                <w:rFonts w:ascii="Arial" w:cs="Arial" w:eastAsia="Arial" w:hAnsi="Arial"/>
                <w:sz w:val="16"/>
                <w:szCs w:val="16"/>
                <w:color w:val="auto"/>
              </w:rPr>
              <w:t>2(d)(1)</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Second</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March 1, 1962</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2-27794</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2(d)1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Third</w:t>
            </w:r>
          </w:p>
        </w:tc>
        <w:tc>
          <w:tcPr>
            <w:tcW w:w="2120" w:type="dxa"/>
            <w:vAlign w:val="bottom"/>
          </w:tcPr>
          <w:p>
            <w:pPr>
              <w:ind w:left="620"/>
              <w:spacing w:after="0"/>
              <w:rPr>
                <w:sz w:val="20"/>
                <w:szCs w:val="20"/>
                <w:color w:val="auto"/>
              </w:rPr>
            </w:pPr>
            <w:r>
              <w:rPr>
                <w:rFonts w:ascii="Arial" w:cs="Arial" w:eastAsia="Arial" w:hAnsi="Arial"/>
                <w:sz w:val="16"/>
                <w:szCs w:val="16"/>
                <w:color w:val="auto"/>
              </w:rPr>
              <w:t>July 1, 1976</w:t>
            </w:r>
          </w:p>
        </w:tc>
        <w:tc>
          <w:tcPr>
            <w:tcW w:w="3260" w:type="dxa"/>
            <w:vAlign w:val="bottom"/>
          </w:tcPr>
          <w:p>
            <w:pPr>
              <w:ind w:left="300"/>
              <w:spacing w:after="0"/>
              <w:rPr>
                <w:sz w:val="20"/>
                <w:szCs w:val="20"/>
                <w:color w:val="auto"/>
              </w:rPr>
            </w:pPr>
            <w:r>
              <w:rPr>
                <w:rFonts w:ascii="Arial" w:cs="Arial" w:eastAsia="Arial" w:hAnsi="Arial"/>
                <w:sz w:val="16"/>
                <w:szCs w:val="16"/>
                <w:color w:val="auto"/>
              </w:rPr>
              <w:t>2-57478</w:t>
            </w:r>
          </w:p>
        </w:tc>
        <w:tc>
          <w:tcPr>
            <w:tcW w:w="3160" w:type="dxa"/>
            <w:vAlign w:val="bottom"/>
          </w:tcPr>
          <w:p>
            <w:pPr>
              <w:ind w:left="1240"/>
              <w:spacing w:after="0"/>
              <w:rPr>
                <w:sz w:val="20"/>
                <w:szCs w:val="20"/>
                <w:color w:val="auto"/>
              </w:rPr>
            </w:pPr>
            <w:r>
              <w:rPr>
                <w:rFonts w:ascii="Arial" w:cs="Arial" w:eastAsia="Arial" w:hAnsi="Arial"/>
                <w:sz w:val="16"/>
                <w:szCs w:val="16"/>
                <w:color w:val="auto"/>
              </w:rPr>
              <w:t>2(e)1</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Fourth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March 1, 1985</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2-78641</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4(b)</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Fifth</w:t>
            </w:r>
          </w:p>
        </w:tc>
        <w:tc>
          <w:tcPr>
            <w:tcW w:w="2120" w:type="dxa"/>
            <w:vAlign w:val="bottom"/>
          </w:tcPr>
          <w:p>
            <w:pPr>
              <w:ind w:left="620"/>
              <w:spacing w:after="0"/>
              <w:rPr>
                <w:sz w:val="20"/>
                <w:szCs w:val="20"/>
                <w:color w:val="auto"/>
              </w:rPr>
            </w:pPr>
            <w:r>
              <w:rPr>
                <w:rFonts w:ascii="Arial" w:cs="Arial" w:eastAsia="Arial" w:hAnsi="Arial"/>
                <w:sz w:val="16"/>
                <w:szCs w:val="16"/>
                <w:color w:val="auto"/>
              </w:rPr>
              <w:t>December 1, 1992</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(1992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4(b)1</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Sixth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March 24, 1994</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4(b)1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Seventh</w:t>
            </w:r>
          </w:p>
        </w:tc>
        <w:tc>
          <w:tcPr>
            <w:tcW w:w="2120" w:type="dxa"/>
            <w:vAlign w:val="bottom"/>
          </w:tcPr>
          <w:p>
            <w:pPr>
              <w:ind w:left="620"/>
              <w:spacing w:after="0"/>
              <w:rPr>
                <w:sz w:val="20"/>
                <w:szCs w:val="20"/>
                <w:color w:val="auto"/>
              </w:rPr>
            </w:pPr>
            <w:r>
              <w:rPr>
                <w:rFonts w:ascii="Arial" w:cs="Arial" w:eastAsia="Arial" w:hAnsi="Arial"/>
                <w:sz w:val="16"/>
                <w:szCs w:val="16"/>
                <w:color w:val="auto"/>
              </w:rPr>
              <w:t>November 1, 1994</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4(b)2</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Eighth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January 1, 1997</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4(b)3</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Ninth</w:t>
            </w:r>
          </w:p>
        </w:tc>
        <w:tc>
          <w:tcPr>
            <w:tcW w:w="2120" w:type="dxa"/>
            <w:vAlign w:val="bottom"/>
          </w:tcPr>
          <w:p>
            <w:pPr>
              <w:ind w:left="620"/>
              <w:spacing w:after="0"/>
              <w:rPr>
                <w:sz w:val="20"/>
                <w:szCs w:val="20"/>
                <w:color w:val="auto"/>
              </w:rPr>
            </w:pPr>
            <w:r>
              <w:rPr>
                <w:rFonts w:ascii="Arial" w:cs="Arial" w:eastAsia="Arial" w:hAnsi="Arial"/>
                <w:sz w:val="16"/>
                <w:szCs w:val="16"/>
                <w:color w:val="auto"/>
              </w:rPr>
              <w:t>October 1, 2007</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(2007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4(c)3</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Tenth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October 1, 2007</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(2007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4(c)4</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Eleventh</w:t>
            </w:r>
          </w:p>
        </w:tc>
        <w:tc>
          <w:tcPr>
            <w:tcW w:w="2120" w:type="dxa"/>
            <w:vAlign w:val="bottom"/>
          </w:tcPr>
          <w:p>
            <w:pPr>
              <w:ind w:left="620"/>
              <w:spacing w:after="0"/>
              <w:rPr>
                <w:sz w:val="20"/>
                <w:szCs w:val="20"/>
                <w:color w:val="auto"/>
              </w:rPr>
            </w:pPr>
            <w:r>
              <w:rPr>
                <w:rFonts w:ascii="Arial" w:cs="Arial" w:eastAsia="Arial" w:hAnsi="Arial"/>
                <w:sz w:val="16"/>
                <w:szCs w:val="16"/>
                <w:color w:val="auto"/>
              </w:rPr>
              <w:t>December 1, 2008</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(2008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4(c)3</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4(c)3</w:t>
            </w:r>
          </w:p>
        </w:tc>
        <w:tc>
          <w:tcPr>
            <w:tcW w:w="105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8"/>
              </w:rPr>
              <w:t>—  Twelfth Supplemental Indenture to Superior Water, Light and Power Company’s Mortgage and Deed of Trust, dated as of December 2, 2013,</w:t>
            </w:r>
          </w:p>
        </w:tc>
      </w:tr>
      <w:tr>
        <w:trPr>
          <w:trHeight w:val="219"/>
        </w:trPr>
        <w:tc>
          <w:tcPr>
            <w:tcW w:w="860" w:type="dxa"/>
            <w:vAlign w:val="bottom"/>
            <w:tcBorders>
              <w:bottom w:val="single" w:sz="8" w:color="CCEEFF"/>
            </w:tcBorders>
            <w:shd w:val="clear" w:color="auto" w:fill="CCEEFF"/>
          </w:tcPr>
          <w:p>
            <w:pPr>
              <w:spacing w:after="0"/>
              <w:rPr>
                <w:sz w:val="19"/>
                <w:szCs w:val="19"/>
                <w:color w:val="auto"/>
              </w:rPr>
            </w:pPr>
          </w:p>
        </w:tc>
        <w:tc>
          <w:tcPr>
            <w:tcW w:w="105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between Superior Water, Light and Power Company and U.S. Bank National Association, as Trustee.</w:t>
            </w:r>
          </w:p>
        </w:tc>
      </w:tr>
      <w:tr>
        <w:trPr>
          <w:trHeight w:val="220"/>
        </w:trPr>
        <w:tc>
          <w:tcPr>
            <w:tcW w:w="860" w:type="dxa"/>
            <w:vAlign w:val="bottom"/>
          </w:tcPr>
          <w:p>
            <w:pPr>
              <w:ind w:left="40"/>
              <w:spacing w:after="0"/>
              <w:rPr>
                <w:sz w:val="20"/>
                <w:szCs w:val="20"/>
                <w:color w:val="auto"/>
              </w:rPr>
            </w:pPr>
            <w:r>
              <w:rPr>
                <w:rFonts w:ascii="Arial" w:cs="Arial" w:eastAsia="Arial" w:hAnsi="Arial"/>
                <w:sz w:val="16"/>
                <w:szCs w:val="16"/>
                <w:color w:val="auto"/>
              </w:rPr>
              <w:t>*4(d)</w:t>
            </w:r>
          </w:p>
        </w:tc>
        <w:tc>
          <w:tcPr>
            <w:tcW w:w="10540" w:type="dxa"/>
            <w:vAlign w:val="bottom"/>
          </w:tcPr>
          <w:p>
            <w:pPr>
              <w:ind w:left="480"/>
              <w:spacing w:after="0"/>
              <w:rPr>
                <w:sz w:val="20"/>
                <w:szCs w:val="20"/>
                <w:color w:val="auto"/>
              </w:rPr>
            </w:pPr>
            <w:r>
              <w:rPr>
                <w:rFonts w:ascii="Arial" w:cs="Arial" w:eastAsia="Arial" w:hAnsi="Arial"/>
                <w:sz w:val="16"/>
                <w:szCs w:val="16"/>
                <w:color w:val="auto"/>
                <w:w w:val="96"/>
              </w:rPr>
              <w:t>—  Note Purchase Agreement, dated as of June 8, 2007, between ALLETE and Thrivent Financial for Lutherans and The Northwestern Mutual Life</w:t>
            </w:r>
          </w:p>
        </w:tc>
      </w:tr>
      <w:tr>
        <w:trPr>
          <w:trHeight w:val="206"/>
        </w:trPr>
        <w:tc>
          <w:tcPr>
            <w:tcW w:w="860" w:type="dxa"/>
            <w:vAlign w:val="bottom"/>
          </w:tcPr>
          <w:p>
            <w:pPr>
              <w:spacing w:after="0"/>
              <w:rPr>
                <w:sz w:val="17"/>
                <w:szCs w:val="17"/>
                <w:color w:val="auto"/>
              </w:rPr>
            </w:pPr>
          </w:p>
        </w:tc>
        <w:tc>
          <w:tcPr>
            <w:tcW w:w="10540" w:type="dxa"/>
            <w:vAlign w:val="bottom"/>
          </w:tcPr>
          <w:p>
            <w:pPr>
              <w:ind w:left="800"/>
              <w:spacing w:after="0"/>
              <w:rPr>
                <w:sz w:val="20"/>
                <w:szCs w:val="20"/>
                <w:color w:val="auto"/>
              </w:rPr>
            </w:pPr>
            <w:r>
              <w:rPr>
                <w:rFonts w:ascii="Arial" w:cs="Arial" w:eastAsia="Arial" w:hAnsi="Arial"/>
                <w:sz w:val="16"/>
                <w:szCs w:val="16"/>
                <w:color w:val="auto"/>
              </w:rPr>
              <w:t>Insurance Company (filed as Exhibit 10(a) to the June 30, 2007, Form 10-Q, File No. 1-3548).</w:t>
            </w:r>
          </w:p>
        </w:tc>
      </w:tr>
      <w:tr>
        <w:trPr>
          <w:trHeight w:val="33"/>
        </w:trPr>
        <w:tc>
          <w:tcPr>
            <w:tcW w:w="860" w:type="dxa"/>
            <w:vAlign w:val="bottom"/>
          </w:tcPr>
          <w:p>
            <w:pPr>
              <w:spacing w:after="0"/>
              <w:rPr>
                <w:sz w:val="2"/>
                <w:szCs w:val="2"/>
                <w:color w:val="auto"/>
              </w:rPr>
            </w:pPr>
          </w:p>
        </w:tc>
        <w:tc>
          <w:tcPr>
            <w:tcW w:w="10540" w:type="dxa"/>
            <w:vAlign w:val="bottom"/>
          </w:tcPr>
          <w:p>
            <w:pPr>
              <w:spacing w:after="0"/>
              <w:rPr>
                <w:sz w:val="2"/>
                <w:szCs w:val="2"/>
                <w:color w:val="auto"/>
              </w:rPr>
            </w:pPr>
          </w:p>
        </w:tc>
      </w:tr>
      <w:tr>
        <w:trPr>
          <w:trHeight w:val="220"/>
        </w:trPr>
        <w:tc>
          <w:tcPr>
            <w:tcW w:w="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*4(e)</w:t>
            </w:r>
          </w:p>
        </w:tc>
        <w:tc>
          <w:tcPr>
            <w:tcW w:w="105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6"/>
              </w:rPr>
              <w:t>—  Term Loan Agreement, dated as of August 25, 2011, between ALLETE, Inc. and JPMorgan Chase Bank, N.A., as Administrative Agent (filed as</w:t>
            </w:r>
          </w:p>
        </w:tc>
      </w:tr>
      <w:tr>
        <w:trPr>
          <w:trHeight w:val="219"/>
        </w:trPr>
        <w:tc>
          <w:tcPr>
            <w:tcW w:w="860" w:type="dxa"/>
            <w:vAlign w:val="bottom"/>
            <w:tcBorders>
              <w:bottom w:val="single" w:sz="8" w:color="CCEEFF"/>
            </w:tcBorders>
            <w:shd w:val="clear" w:color="auto" w:fill="CCEEFF"/>
          </w:tcPr>
          <w:p>
            <w:pPr>
              <w:spacing w:after="0"/>
              <w:rPr>
                <w:sz w:val="19"/>
                <w:szCs w:val="19"/>
                <w:color w:val="auto"/>
              </w:rPr>
            </w:pPr>
          </w:p>
        </w:tc>
        <w:tc>
          <w:tcPr>
            <w:tcW w:w="105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Exhibit 4 to the August 31, 2011, Form 8-K, File No. 1-3548).</w:t>
            </w:r>
          </w:p>
        </w:tc>
      </w:tr>
      <w:tr>
        <w:trPr>
          <w:trHeight w:val="220"/>
        </w:trPr>
        <w:tc>
          <w:tcPr>
            <w:tcW w:w="860" w:type="dxa"/>
            <w:vAlign w:val="bottom"/>
          </w:tcPr>
          <w:p>
            <w:pPr>
              <w:ind w:left="40"/>
              <w:spacing w:after="0"/>
              <w:rPr>
                <w:sz w:val="20"/>
                <w:szCs w:val="20"/>
                <w:color w:val="auto"/>
              </w:rPr>
            </w:pPr>
            <w:r>
              <w:rPr>
                <w:rFonts w:ascii="Arial" w:cs="Arial" w:eastAsia="Arial" w:hAnsi="Arial"/>
                <w:sz w:val="16"/>
                <w:szCs w:val="16"/>
                <w:color w:val="auto"/>
              </w:rPr>
              <w:t>*4(f)</w:t>
            </w:r>
          </w:p>
        </w:tc>
        <w:tc>
          <w:tcPr>
            <w:tcW w:w="10540" w:type="dxa"/>
            <w:vAlign w:val="bottom"/>
          </w:tcPr>
          <w:p>
            <w:pPr>
              <w:ind w:left="480"/>
              <w:spacing w:after="0"/>
              <w:rPr>
                <w:sz w:val="20"/>
                <w:szCs w:val="20"/>
                <w:color w:val="auto"/>
              </w:rPr>
            </w:pPr>
            <w:r>
              <w:rPr>
                <w:rFonts w:ascii="Arial" w:cs="Arial" w:eastAsia="Arial" w:hAnsi="Arial"/>
                <w:sz w:val="16"/>
                <w:szCs w:val="16"/>
                <w:color w:val="auto"/>
                <w:w w:val="93"/>
              </w:rPr>
              <w:t>—  First Amendment dated as of August 26, 2013, to Term Loan Agreement dated as of August 25, 2011, between ALLETE, Inc. and JPMorgan Chase</w:t>
            </w:r>
          </w:p>
        </w:tc>
      </w:tr>
      <w:tr>
        <w:trPr>
          <w:trHeight w:val="203"/>
        </w:trPr>
        <w:tc>
          <w:tcPr>
            <w:tcW w:w="860" w:type="dxa"/>
            <w:vAlign w:val="bottom"/>
          </w:tcPr>
          <w:p>
            <w:pPr>
              <w:spacing w:after="0"/>
              <w:rPr>
                <w:sz w:val="17"/>
                <w:szCs w:val="17"/>
                <w:color w:val="auto"/>
              </w:rPr>
            </w:pPr>
          </w:p>
        </w:tc>
        <w:tc>
          <w:tcPr>
            <w:tcW w:w="10540" w:type="dxa"/>
            <w:vAlign w:val="bottom"/>
          </w:tcPr>
          <w:p>
            <w:pPr>
              <w:ind w:left="800"/>
              <w:spacing w:after="0"/>
              <w:rPr>
                <w:sz w:val="20"/>
                <w:szCs w:val="20"/>
                <w:color w:val="auto"/>
              </w:rPr>
            </w:pPr>
            <w:r>
              <w:rPr>
                <w:rFonts w:ascii="Arial" w:cs="Arial" w:eastAsia="Arial" w:hAnsi="Arial"/>
                <w:sz w:val="16"/>
                <w:szCs w:val="16"/>
                <w:color w:val="auto"/>
              </w:rPr>
              <w:t>Bank, N.A., as Administrative Agent (filed as Exhibit 4 to the September 30, 2013,</w:t>
            </w:r>
          </w:p>
        </w:tc>
      </w:tr>
      <w:tr>
        <w:trPr>
          <w:trHeight w:val="206"/>
        </w:trPr>
        <w:tc>
          <w:tcPr>
            <w:tcW w:w="860" w:type="dxa"/>
            <w:vAlign w:val="bottom"/>
          </w:tcPr>
          <w:p>
            <w:pPr>
              <w:spacing w:after="0"/>
              <w:rPr>
                <w:sz w:val="17"/>
                <w:szCs w:val="17"/>
                <w:color w:val="auto"/>
              </w:rPr>
            </w:pPr>
          </w:p>
        </w:tc>
        <w:tc>
          <w:tcPr>
            <w:tcW w:w="10540" w:type="dxa"/>
            <w:vAlign w:val="bottom"/>
          </w:tcPr>
          <w:p>
            <w:pPr>
              <w:ind w:left="800"/>
              <w:spacing w:after="0"/>
              <w:rPr>
                <w:sz w:val="20"/>
                <w:szCs w:val="20"/>
                <w:color w:val="auto"/>
              </w:rPr>
            </w:pPr>
            <w:r>
              <w:rPr>
                <w:rFonts w:ascii="Arial" w:cs="Arial" w:eastAsia="Arial" w:hAnsi="Arial"/>
                <w:sz w:val="16"/>
                <w:szCs w:val="16"/>
                <w:color w:val="auto"/>
              </w:rPr>
              <w:t>Form 10-Q, File No. 1-3548).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30"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*10(a)</w:t>
      </w:r>
      <w:r>
        <w:rPr>
          <w:sz w:val="20"/>
          <w:szCs w:val="20"/>
          <w:color w:val="auto"/>
        </w:rPr>
        <w:tab/>
      </w:r>
      <w:r>
        <w:rPr>
          <w:rFonts w:ascii="Arial" w:cs="Arial" w:eastAsia="Arial" w:hAnsi="Arial"/>
          <w:sz w:val="16"/>
          <w:szCs w:val="16"/>
          <w:color w:val="auto"/>
        </w:rPr>
        <w:t>— Power Purchase and Sale Agreement, dated as of May 29, 1998, between Minnesota Power, Inc. (now ALLETE) and Square Butte Electric Cooperative (filed as Exhibit 10 to the June 30, 1998, Form 10-Q, File No. 1-3548).</w:t>
      </w:r>
    </w:p>
    <w:p>
      <w:pPr>
        <w:spacing w:after="0" w:line="10" w:lineRule="exact"/>
        <w:rPr>
          <w:sz w:val="20"/>
          <w:szCs w:val="20"/>
          <w:color w:val="auto"/>
        </w:rPr>
      </w:pPr>
    </w:p>
    <w:p>
      <w:pPr>
        <w:jc w:val="both"/>
        <w:ind w:left="1340" w:right="40" w:hanging="1620"/>
        <w:spacing w:after="0" w:line="278" w:lineRule="auto"/>
        <w:tabs>
          <w:tab w:leader="none" w:pos="1320" w:val="left"/>
        </w:tabs>
        <w:rPr>
          <w:sz w:val="20"/>
          <w:szCs w:val="20"/>
          <w:color w:val="auto"/>
        </w:rPr>
      </w:pPr>
      <w:r>
        <w:rPr>
          <w:rFonts w:ascii="Arial" w:cs="Arial" w:eastAsia="Arial" w:hAnsi="Arial"/>
          <w:sz w:val="16"/>
          <w:szCs w:val="16"/>
          <w:color w:val="auto"/>
        </w:rPr>
        <w:t>*10(b)</w:t>
      </w:r>
      <w:r>
        <w:rPr>
          <w:sz w:val="20"/>
          <w:szCs w:val="20"/>
          <w:color w:val="auto"/>
        </w:rPr>
        <w:tab/>
      </w:r>
      <w:r>
        <w:rPr>
          <w:rFonts w:ascii="Arial" w:cs="Arial" w:eastAsia="Arial" w:hAnsi="Arial"/>
          <w:sz w:val="16"/>
          <w:szCs w:val="16"/>
          <w:color w:val="auto"/>
        </w:rPr>
        <w:t>— Credit Agreement dated as of November 4, 2013 among ALLETE, as Borrower, the lenders party thereto, JPMorgan Chase Bank, N.A., as Administrative Agent, and JPMorgan Securities LLC, as Sole Lead Arranger and Sole Book Runner (filed as Exhibit 10 to the November 4, 2013, Form 8-K,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2947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205"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*10(c)1</w:t>
      </w:r>
      <w:r>
        <w:rPr>
          <w:sz w:val="20"/>
          <w:szCs w:val="20"/>
          <w:color w:val="auto"/>
        </w:rPr>
        <w:tab/>
      </w:r>
      <w:r>
        <w:rPr>
          <w:rFonts w:ascii="Arial" w:cs="Arial" w:eastAsia="Arial" w:hAnsi="Arial"/>
          <w:sz w:val="16"/>
          <w:szCs w:val="16"/>
          <w:color w:val="auto"/>
        </w:rPr>
        <w:t>— Financing Agreement between Collier County Industrial Development Authority and ALLETE dated as of July 1, 2006 (filed as Exhibit 10(b)1 to the June 30, 2006, Form 10-Q, File No. 1-3548).</w:t>
      </w:r>
    </w:p>
    <w:p>
      <w:pPr>
        <w:spacing w:after="0" w:line="10" w:lineRule="exact"/>
        <w:rPr>
          <w:sz w:val="20"/>
          <w:szCs w:val="20"/>
          <w:color w:val="auto"/>
        </w:rPr>
      </w:pPr>
    </w:p>
    <w:p>
      <w:pPr>
        <w:jc w:val="both"/>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*10(c)2</w:t>
      </w:r>
      <w:r>
        <w:rPr>
          <w:sz w:val="20"/>
          <w:szCs w:val="20"/>
          <w:color w:val="auto"/>
        </w:rPr>
        <w:tab/>
      </w:r>
      <w:r>
        <w:rPr>
          <w:rFonts w:ascii="Arial" w:cs="Arial" w:eastAsia="Arial" w:hAnsi="Arial"/>
          <w:sz w:val="15"/>
          <w:szCs w:val="15"/>
          <w:color w:val="auto"/>
        </w:rPr>
        <w:t>— Amended and Restated Letter of Credit Agreement, dated as of June 3, 2011, among ALLETE, the participating banks and Wells Fargo Bank, National Association, as Administrative Agent and Issuing Bank (filed as Exhibit 10(b) to the June 30, 2011,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2947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jc w:val="both"/>
        <w:ind w:left="1340" w:right="40" w:hanging="1620"/>
        <w:spacing w:after="0" w:line="278" w:lineRule="auto"/>
        <w:tabs>
          <w:tab w:leader="none" w:pos="1320" w:val="left"/>
        </w:tabs>
        <w:rPr>
          <w:sz w:val="20"/>
          <w:szCs w:val="20"/>
          <w:color w:val="auto"/>
        </w:rPr>
      </w:pPr>
      <w:r>
        <w:rPr>
          <w:rFonts w:ascii="Arial" w:cs="Arial" w:eastAsia="Arial" w:hAnsi="Arial"/>
          <w:sz w:val="16"/>
          <w:szCs w:val="16"/>
          <w:color w:val="auto"/>
        </w:rPr>
        <w:t>*10(c)3</w:t>
      </w:r>
      <w:r>
        <w:rPr>
          <w:sz w:val="20"/>
          <w:szCs w:val="20"/>
          <w:color w:val="auto"/>
        </w:rPr>
        <w:tab/>
      </w:r>
      <w:r>
        <w:rPr>
          <w:rFonts w:ascii="Arial" w:cs="Arial" w:eastAsia="Arial" w:hAnsi="Arial"/>
          <w:sz w:val="16"/>
          <w:szCs w:val="16"/>
          <w:color w:val="auto"/>
        </w:rPr>
        <w:t>— First Amendment to Amended and Restated Letter of Credit Agreement, dated as of June 1, 2013, between ALLETE and Wells Fargo Bank, National Association, as Issuing Bank, Administrative Agent and sole Participating Bank (filed as Exhibit 10(b) to the June 30, 2013, Form 10-Q, File No. 1-3548).</w:t>
      </w:r>
    </w:p>
    <w:p>
      <w:pPr>
        <w:spacing w:after="0" w:line="22"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*10(d)</w:t>
      </w:r>
      <w:r>
        <w:rPr>
          <w:sz w:val="20"/>
          <w:szCs w:val="20"/>
          <w:color w:val="auto"/>
        </w:rPr>
        <w:tab/>
      </w:r>
      <w:r>
        <w:rPr>
          <w:rFonts w:ascii="Arial" w:cs="Arial" w:eastAsia="Arial" w:hAnsi="Arial"/>
          <w:sz w:val="16"/>
          <w:szCs w:val="16"/>
          <w:color w:val="auto"/>
        </w:rPr>
        <w:t>— Agreement dated December 16, 2005, among ALLETE, Wisconsin Public Service Corporation and WPS Investments, LLC (filed as Exhibit 10(g) to the 2009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+*10(e)1</w:t>
      </w:r>
      <w:r>
        <w:rPr>
          <w:sz w:val="20"/>
          <w:szCs w:val="20"/>
          <w:color w:val="auto"/>
        </w:rPr>
        <w:tab/>
      </w:r>
      <w:r>
        <w:rPr>
          <w:rFonts w:ascii="Arial" w:cs="Arial" w:eastAsia="Arial" w:hAnsi="Arial"/>
          <w:sz w:val="16"/>
          <w:szCs w:val="16"/>
          <w:color w:val="auto"/>
        </w:rPr>
        <w:t>— ALLETE Executive Annual Incentive Plan, as amended and restated, effective January 1, 2011 (filed as Exhibit 10(h)1 to the 2010 Form 10-K, File No. 1-3548).</w:t>
      </w:r>
    </w:p>
    <w:p>
      <w:pPr>
        <w:spacing w:after="0" w:line="10" w:lineRule="exact"/>
        <w:rPr>
          <w:sz w:val="20"/>
          <w:szCs w:val="20"/>
          <w:color w:val="auto"/>
        </w:rPr>
      </w:pPr>
    </w:p>
    <w:p>
      <w:pPr>
        <w:ind w:left="1340" w:right="2540" w:hanging="1620"/>
        <w:spacing w:after="0" w:line="293" w:lineRule="auto"/>
        <w:tabs>
          <w:tab w:leader="none" w:pos="1320" w:val="left"/>
        </w:tabs>
        <w:rPr>
          <w:sz w:val="20"/>
          <w:szCs w:val="20"/>
          <w:color w:val="auto"/>
        </w:rPr>
      </w:pPr>
      <w:r>
        <w:rPr>
          <w:rFonts w:ascii="Arial" w:cs="Arial" w:eastAsia="Arial" w:hAnsi="Arial"/>
          <w:sz w:val="16"/>
          <w:szCs w:val="16"/>
          <w:color w:val="auto"/>
        </w:rPr>
        <w:t>+*10(e)2</w:t>
      </w:r>
      <w:r>
        <w:rPr>
          <w:sz w:val="20"/>
          <w:szCs w:val="20"/>
          <w:color w:val="auto"/>
        </w:rPr>
        <w:tab/>
      </w:r>
      <w:r>
        <w:rPr>
          <w:rFonts w:ascii="Arial" w:cs="Arial" w:eastAsia="Arial" w:hAnsi="Arial"/>
          <w:sz w:val="16"/>
          <w:szCs w:val="16"/>
          <w:color w:val="auto"/>
        </w:rPr>
        <w:t>— ALLETE Executive Annual Incentive Plan Form of Awards Effective 2010 (filed as Exhibit 10(h)3 to the 2009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right="2540" w:hanging="1620"/>
        <w:spacing w:after="0" w:line="293" w:lineRule="auto"/>
        <w:tabs>
          <w:tab w:leader="none" w:pos="1320" w:val="left"/>
        </w:tabs>
        <w:rPr>
          <w:sz w:val="20"/>
          <w:szCs w:val="20"/>
          <w:color w:val="auto"/>
        </w:rPr>
      </w:pPr>
      <w:r>
        <w:rPr>
          <w:rFonts w:ascii="Arial" w:cs="Arial" w:eastAsia="Arial" w:hAnsi="Arial"/>
          <w:sz w:val="16"/>
          <w:szCs w:val="16"/>
          <w:color w:val="auto"/>
        </w:rPr>
        <w:t>+*10(e)3</w:t>
      </w:r>
      <w:r>
        <w:rPr>
          <w:sz w:val="20"/>
          <w:szCs w:val="20"/>
          <w:color w:val="auto"/>
        </w:rPr>
        <w:tab/>
      </w:r>
      <w:r>
        <w:rPr>
          <w:rFonts w:ascii="Arial" w:cs="Arial" w:eastAsia="Arial" w:hAnsi="Arial"/>
          <w:sz w:val="16"/>
          <w:szCs w:val="16"/>
          <w:color w:val="auto"/>
        </w:rPr>
        <w:t>— ALLETE Executive Annual Incentive Plan Form of Awards Effective 2011 (filed as Exhibit 10(h)4 to the 2010 Form 10-K, File No. 1-3548).</w:t>
      </w:r>
    </w:p>
    <w:p>
      <w:pPr>
        <w:spacing w:after="0" w:line="10" w:lineRule="exact"/>
        <w:rPr>
          <w:sz w:val="20"/>
          <w:szCs w:val="20"/>
          <w:color w:val="auto"/>
        </w:rPr>
      </w:pPr>
    </w:p>
    <w:p>
      <w:pPr>
        <w:ind w:left="1340" w:right="2540" w:hanging="1620"/>
        <w:spacing w:after="0" w:line="293" w:lineRule="auto"/>
        <w:tabs>
          <w:tab w:leader="none" w:pos="1320" w:val="left"/>
        </w:tabs>
        <w:rPr>
          <w:sz w:val="20"/>
          <w:szCs w:val="20"/>
          <w:color w:val="auto"/>
        </w:rPr>
      </w:pPr>
      <w:r>
        <w:rPr>
          <w:rFonts w:ascii="Arial" w:cs="Arial" w:eastAsia="Arial" w:hAnsi="Arial"/>
          <w:sz w:val="16"/>
          <w:szCs w:val="16"/>
          <w:color w:val="auto"/>
        </w:rPr>
        <w:t>+*10(e)4</w:t>
      </w:r>
      <w:r>
        <w:rPr>
          <w:sz w:val="20"/>
          <w:szCs w:val="20"/>
          <w:color w:val="auto"/>
        </w:rPr>
        <w:tab/>
      </w:r>
      <w:r>
        <w:rPr>
          <w:rFonts w:ascii="Arial" w:cs="Arial" w:eastAsia="Arial" w:hAnsi="Arial"/>
          <w:sz w:val="16"/>
          <w:szCs w:val="16"/>
          <w:color w:val="auto"/>
        </w:rPr>
        <w:t>— ALLETE Executive Annual Incentive Plan Form of Awards Effective 2012 (filed as Exhibit 10(h)4 to the 2011 Form 10-K, File No. 1-3548).</w:t>
      </w:r>
    </w:p>
    <w:p>
      <w:pPr>
        <w:sectPr>
          <w:pgSz w:w="11900" w:h="16838" w:orient="portrait"/>
          <w:cols w:equalWidth="0" w:num="1">
            <w:col w:w="11400"/>
          </w:cols>
          <w:pgMar w:left="240" w:top="553" w:right="25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2013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53" w:right="2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2947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79" w:lineRule="exact"/>
        <w:rPr>
          <w:sz w:val="20"/>
          <w:szCs w:val="20"/>
          <w:color w:val="auto"/>
        </w:rPr>
      </w:pPr>
    </w:p>
    <w:p>
      <w:pPr>
        <w:ind w:left="1340" w:right="2520" w:hanging="1620"/>
        <w:spacing w:after="0" w:line="293" w:lineRule="auto"/>
        <w:tabs>
          <w:tab w:leader="none" w:pos="1320" w:val="left"/>
        </w:tabs>
        <w:rPr>
          <w:sz w:val="20"/>
          <w:szCs w:val="20"/>
          <w:color w:val="auto"/>
        </w:rPr>
      </w:pPr>
      <w:r>
        <w:rPr>
          <w:rFonts w:ascii="Arial" w:cs="Arial" w:eastAsia="Arial" w:hAnsi="Arial"/>
          <w:sz w:val="16"/>
          <w:szCs w:val="16"/>
          <w:color w:val="auto"/>
        </w:rPr>
        <w:t>+*10(e)5</w:t>
      </w:r>
      <w:r>
        <w:rPr>
          <w:sz w:val="20"/>
          <w:szCs w:val="20"/>
          <w:color w:val="auto"/>
        </w:rPr>
        <w:tab/>
      </w:r>
      <w:r>
        <w:rPr>
          <w:rFonts w:ascii="Arial" w:cs="Arial" w:eastAsia="Arial" w:hAnsi="Arial"/>
          <w:sz w:val="16"/>
          <w:szCs w:val="16"/>
          <w:color w:val="auto"/>
        </w:rPr>
        <w:t>— ALLETE Executive Annual Incentive Plan Form of Awards Effective 2013 (filed as Exhibit 10(f)5 to the 2012 Form 10-K, File No. 1-3548).</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+10(e)6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Awards Effective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+*10(f)1</w:t>
      </w:r>
      <w:r>
        <w:rPr>
          <w:sz w:val="20"/>
          <w:szCs w:val="20"/>
          <w:color w:val="auto"/>
        </w:rPr>
        <w:tab/>
      </w:r>
      <w:r>
        <w:rPr>
          <w:rFonts w:ascii="Arial" w:cs="Arial" w:eastAsia="Arial" w:hAnsi="Arial"/>
          <w:sz w:val="16"/>
          <w:szCs w:val="16"/>
          <w:color w:val="auto"/>
        </w:rPr>
        <w:t>— ALLETE and Affiliated Companies Supplemental Executive Retirement Plan (SERP I), as amended and restated, effective January 1, 2009 (filed as Exhibit 10(i)4 to the 2008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+*10(f)2</w:t>
      </w:r>
      <w:r>
        <w:rPr>
          <w:sz w:val="20"/>
          <w:szCs w:val="20"/>
          <w:color w:val="auto"/>
        </w:rPr>
        <w:tab/>
      </w:r>
      <w:r>
        <w:rPr>
          <w:rFonts w:ascii="Arial" w:cs="Arial" w:eastAsia="Arial" w:hAnsi="Arial"/>
          <w:sz w:val="16"/>
          <w:szCs w:val="16"/>
          <w:color w:val="auto"/>
        </w:rPr>
        <w:t>— Amendment to the ALLETE and Affiliated Companies Supplemental Executive Retirement Plan (SERP I), effective January 1, 2011 (filed as Exhibit 10(i)2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+*10(f)3</w:t>
      </w:r>
      <w:r>
        <w:rPr>
          <w:sz w:val="20"/>
          <w:szCs w:val="20"/>
          <w:color w:val="auto"/>
        </w:rPr>
        <w:tab/>
      </w:r>
      <w:r>
        <w:rPr>
          <w:rFonts w:ascii="Arial" w:cs="Arial" w:eastAsia="Arial" w:hAnsi="Arial"/>
          <w:sz w:val="16"/>
          <w:szCs w:val="16"/>
          <w:color w:val="auto"/>
        </w:rPr>
        <w:t>— ALLETE and Affiliated Companies Supplemental Executive Retirement Plan II (SERP II), as amended and restated, effective January 1, 2011 (filed as Exhibit 10(i)3 to the 2010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+*10(g)1</w:t>
      </w:r>
      <w:r>
        <w:rPr>
          <w:sz w:val="20"/>
          <w:szCs w:val="20"/>
          <w:color w:val="auto"/>
        </w:rPr>
        <w:tab/>
      </w:r>
      <w:r>
        <w:rPr>
          <w:rFonts w:ascii="Arial" w:cs="Arial" w:eastAsia="Arial" w:hAnsi="Arial"/>
          <w:sz w:val="16"/>
          <w:szCs w:val="16"/>
          <w:color w:val="auto"/>
        </w:rPr>
        <w:t>— Minnesota Power and Affiliated Companies Executive Investment Plan I, as amended and restated, effective November 1, 1988 (filed as Exhibit 10(c) to the 1988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+*10(g)2</w:t>
      </w:r>
      <w:r>
        <w:rPr>
          <w:sz w:val="20"/>
          <w:szCs w:val="20"/>
          <w:color w:val="auto"/>
        </w:rPr>
        <w:tab/>
      </w:r>
      <w:r>
        <w:rPr>
          <w:rFonts w:ascii="Arial" w:cs="Arial" w:eastAsia="Arial" w:hAnsi="Arial"/>
          <w:sz w:val="16"/>
          <w:szCs w:val="16"/>
          <w:color w:val="auto"/>
        </w:rPr>
        <w:t>— Amendments through December 2003 to the Minnesota Power and Affiliated Companies Executive Investment Plan I (filed as Exhibit 10(v)2 to the 2003 Form 10-K, File No. 1-3548).</w:t>
      </w:r>
    </w:p>
    <w:p>
      <w:pPr>
        <w:spacing w:after="0" w:line="10" w:lineRule="exact"/>
        <w:rPr>
          <w:sz w:val="20"/>
          <w:szCs w:val="20"/>
          <w:color w:val="auto"/>
        </w:rPr>
      </w:pPr>
    </w:p>
    <w:p>
      <w:pPr>
        <w:ind w:left="1340" w:right="2500" w:hanging="1620"/>
        <w:spacing w:after="0" w:line="293" w:lineRule="auto"/>
        <w:tabs>
          <w:tab w:leader="none" w:pos="1320" w:val="left"/>
        </w:tabs>
        <w:rPr>
          <w:sz w:val="20"/>
          <w:szCs w:val="20"/>
          <w:color w:val="auto"/>
        </w:rPr>
      </w:pPr>
      <w:r>
        <w:rPr>
          <w:rFonts w:ascii="Arial" w:cs="Arial" w:eastAsia="Arial" w:hAnsi="Arial"/>
          <w:sz w:val="16"/>
          <w:szCs w:val="16"/>
          <w:color w:val="auto"/>
        </w:rPr>
        <w:t>+*10(g)3</w:t>
      </w:r>
      <w:r>
        <w:rPr>
          <w:sz w:val="20"/>
          <w:szCs w:val="20"/>
          <w:color w:val="auto"/>
        </w:rPr>
        <w:tab/>
      </w:r>
      <w:r>
        <w:rPr>
          <w:rFonts w:ascii="Arial" w:cs="Arial" w:eastAsia="Arial" w:hAnsi="Arial"/>
          <w:sz w:val="16"/>
          <w:szCs w:val="16"/>
          <w:color w:val="auto"/>
        </w:rPr>
        <w:t>— July 2004 Amendment to the Minnesota Power and Affiliated Companies Executive Investment Plan I (filed as Exhibit 10(b) to the June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right="2300" w:hanging="1620"/>
        <w:spacing w:after="0" w:line="293" w:lineRule="auto"/>
        <w:tabs>
          <w:tab w:leader="none" w:pos="1320" w:val="left"/>
        </w:tabs>
        <w:rPr>
          <w:sz w:val="20"/>
          <w:szCs w:val="20"/>
          <w:color w:val="auto"/>
        </w:rPr>
      </w:pPr>
      <w:r>
        <w:rPr>
          <w:rFonts w:ascii="Arial" w:cs="Arial" w:eastAsia="Arial" w:hAnsi="Arial"/>
          <w:sz w:val="16"/>
          <w:szCs w:val="16"/>
          <w:color w:val="auto"/>
        </w:rPr>
        <w:t>+*10(g)4</w:t>
      </w:r>
      <w:r>
        <w:rPr>
          <w:sz w:val="20"/>
          <w:szCs w:val="20"/>
          <w:color w:val="auto"/>
        </w:rPr>
        <w:tab/>
      </w:r>
      <w:r>
        <w:rPr>
          <w:rFonts w:ascii="Arial" w:cs="Arial" w:eastAsia="Arial" w:hAnsi="Arial"/>
          <w:sz w:val="16"/>
          <w:szCs w:val="16"/>
          <w:color w:val="auto"/>
        </w:rPr>
        <w:t>— August 2006 Amendment to the Minnesota Power and Affiliated Companies Executive Investment Plan I (filed as Exhibit 10(b) to the September 30, 2006, Form 10-Q,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+*10(h)1</w:t>
      </w:r>
      <w:r>
        <w:rPr>
          <w:sz w:val="20"/>
          <w:szCs w:val="20"/>
          <w:color w:val="auto"/>
        </w:rPr>
        <w:tab/>
      </w:r>
      <w:r>
        <w:rPr>
          <w:rFonts w:ascii="Arial" w:cs="Arial" w:eastAsia="Arial" w:hAnsi="Arial"/>
          <w:sz w:val="16"/>
          <w:szCs w:val="16"/>
          <w:color w:val="auto"/>
        </w:rPr>
        <w:t>— Minnesota Power and Affiliated Companies Executive Investment Plan II, as amended and restated, effective November 1, 1988 (filed as Exhibit 10(d) to the 1988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+*10(h)2</w:t>
      </w:r>
      <w:r>
        <w:rPr>
          <w:sz w:val="20"/>
          <w:szCs w:val="20"/>
          <w:color w:val="auto"/>
        </w:rPr>
        <w:tab/>
      </w:r>
      <w:r>
        <w:rPr>
          <w:rFonts w:ascii="Arial" w:cs="Arial" w:eastAsia="Arial" w:hAnsi="Arial"/>
          <w:sz w:val="16"/>
          <w:szCs w:val="16"/>
          <w:color w:val="auto"/>
        </w:rPr>
        <w:t>— Amendments through December 2003 to the Minnesota Power and Affiliated Companies Executive Investment Plan II (filed as Exhibit 10(w)2 to the 2003 Form 10-K, File No. 1-3548).</w:t>
      </w:r>
    </w:p>
    <w:p>
      <w:pPr>
        <w:spacing w:after="0" w:line="10" w:lineRule="exact"/>
        <w:rPr>
          <w:sz w:val="20"/>
          <w:szCs w:val="20"/>
          <w:color w:val="auto"/>
        </w:rPr>
      </w:pPr>
    </w:p>
    <w:p>
      <w:pPr>
        <w:ind w:left="1340" w:right="2440" w:hanging="1620"/>
        <w:spacing w:after="0" w:line="293" w:lineRule="auto"/>
        <w:tabs>
          <w:tab w:leader="none" w:pos="1320" w:val="left"/>
        </w:tabs>
        <w:rPr>
          <w:sz w:val="20"/>
          <w:szCs w:val="20"/>
          <w:color w:val="auto"/>
        </w:rPr>
      </w:pPr>
      <w:r>
        <w:rPr>
          <w:rFonts w:ascii="Arial" w:cs="Arial" w:eastAsia="Arial" w:hAnsi="Arial"/>
          <w:sz w:val="16"/>
          <w:szCs w:val="16"/>
          <w:color w:val="auto"/>
        </w:rPr>
        <w:t>+*10(h)3</w:t>
      </w:r>
      <w:r>
        <w:rPr>
          <w:sz w:val="20"/>
          <w:szCs w:val="20"/>
          <w:color w:val="auto"/>
        </w:rPr>
        <w:tab/>
      </w:r>
      <w:r>
        <w:rPr>
          <w:rFonts w:ascii="Arial" w:cs="Arial" w:eastAsia="Arial" w:hAnsi="Arial"/>
          <w:sz w:val="16"/>
          <w:szCs w:val="16"/>
          <w:color w:val="auto"/>
        </w:rPr>
        <w:t>— July 2004 Amendment to the Minnesota Power and Affiliated Companies Executive Investment Plan II (filed as Exhibit 10(c) to the June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right="2240" w:hanging="1620"/>
        <w:spacing w:after="0" w:line="293" w:lineRule="auto"/>
        <w:tabs>
          <w:tab w:leader="none" w:pos="1320" w:val="left"/>
        </w:tabs>
        <w:rPr>
          <w:sz w:val="20"/>
          <w:szCs w:val="20"/>
          <w:color w:val="auto"/>
        </w:rPr>
      </w:pPr>
      <w:r>
        <w:rPr>
          <w:rFonts w:ascii="Arial" w:cs="Arial" w:eastAsia="Arial" w:hAnsi="Arial"/>
          <w:sz w:val="16"/>
          <w:szCs w:val="16"/>
          <w:color w:val="auto"/>
        </w:rPr>
        <w:t>+*10(h)4</w:t>
      </w:r>
      <w:r>
        <w:rPr>
          <w:sz w:val="20"/>
          <w:szCs w:val="20"/>
          <w:color w:val="auto"/>
        </w:rPr>
        <w:tab/>
      </w:r>
      <w:r>
        <w:rPr>
          <w:rFonts w:ascii="Arial" w:cs="Arial" w:eastAsia="Arial" w:hAnsi="Arial"/>
          <w:sz w:val="16"/>
          <w:szCs w:val="16"/>
          <w:color w:val="auto"/>
        </w:rPr>
        <w:t>— August 2006 Amendment to the Minnesota Power and Affiliated Companies Executive Investment Plan II (filed as Exhibit 10(c) to the September 30, 2006, Form 10-Q, File No. 1-3548).</w:t>
      </w:r>
    </w:p>
    <w:p>
      <w:pPr>
        <w:spacing w:after="0" w:line="10" w:lineRule="exact"/>
        <w:rPr>
          <w:sz w:val="20"/>
          <w:szCs w:val="20"/>
          <w:color w:val="auto"/>
        </w:rPr>
      </w:pPr>
    </w:p>
    <w:p>
      <w:pPr>
        <w:ind w:left="1340" w:right="2180" w:hanging="1620"/>
        <w:spacing w:after="0" w:line="293" w:lineRule="auto"/>
        <w:tabs>
          <w:tab w:leader="none" w:pos="1320" w:val="left"/>
        </w:tabs>
        <w:rPr>
          <w:sz w:val="20"/>
          <w:szCs w:val="20"/>
          <w:color w:val="auto"/>
        </w:rPr>
      </w:pPr>
      <w:r>
        <w:rPr>
          <w:rFonts w:ascii="Arial" w:cs="Arial" w:eastAsia="Arial" w:hAnsi="Arial"/>
          <w:sz w:val="16"/>
          <w:szCs w:val="16"/>
          <w:color w:val="auto"/>
        </w:rPr>
        <w:t>+*10(i)</w:t>
      </w:r>
      <w:r>
        <w:rPr>
          <w:sz w:val="20"/>
          <w:szCs w:val="20"/>
          <w:color w:val="auto"/>
        </w:rPr>
        <w:tab/>
      </w:r>
      <w:r>
        <w:rPr>
          <w:rFonts w:ascii="Arial" w:cs="Arial" w:eastAsia="Arial" w:hAnsi="Arial"/>
          <w:sz w:val="16"/>
          <w:szCs w:val="16"/>
          <w:color w:val="auto"/>
        </w:rPr>
        <w:t>— ALLETE Deferred Compensation Trust Agreement, as amended and restated, effective December 15, 2012 (filed as Exhibit 10(j) to the 2012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w:t>
      </w:r>
      <w:r>
        <w:rPr>
          <w:sz w:val="20"/>
          <w:szCs w:val="20"/>
          <w:color w:val="auto"/>
        </w:rPr>
        <w:tab/>
      </w:r>
      <w:r>
        <w:rPr>
          <w:rFonts w:ascii="Arial" w:cs="Arial" w:eastAsia="Arial" w:hAnsi="Arial"/>
          <w:sz w:val="16"/>
          <w:szCs w:val="16"/>
          <w:color w:val="auto"/>
        </w:rPr>
        <w:t>— ALLETE Executive Long-Term Incentive Compensation Plan as amended and restated effective January 1, 2006 (filed as Exhibit 10 to the May 16, 2005, Form 8-K,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+*10(j)2</w:t>
      </w:r>
      <w:r>
        <w:rPr>
          <w:sz w:val="20"/>
          <w:szCs w:val="20"/>
          <w:color w:val="auto"/>
        </w:rPr>
        <w:tab/>
      </w:r>
      <w:r>
        <w:rPr>
          <w:rFonts w:ascii="Arial" w:cs="Arial" w:eastAsia="Arial" w:hAnsi="Arial"/>
          <w:sz w:val="16"/>
          <w:szCs w:val="16"/>
          <w:color w:val="auto"/>
        </w:rPr>
        <w:t>— Amendment to the ALLETE Executive Long-Term Incentive Compensation Plan, effective January 1, 2011 (filed as Exhibit 10(m)2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+*10(j)3</w:t>
      </w:r>
      <w:r>
        <w:rPr>
          <w:sz w:val="20"/>
          <w:szCs w:val="20"/>
          <w:color w:val="auto"/>
        </w:rPr>
        <w:tab/>
      </w:r>
      <w:r>
        <w:rPr>
          <w:rFonts w:ascii="Arial" w:cs="Arial" w:eastAsia="Arial" w:hAnsi="Arial"/>
          <w:sz w:val="16"/>
          <w:szCs w:val="16"/>
          <w:color w:val="auto"/>
        </w:rPr>
        <w:t>— Form of ALLETE Executive Long-Term Incentive Compensation Plan Performance Share Grant Effective 2008 (filed as Exhibit 10(m)10 to the 2007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+*10(j)4</w:t>
      </w:r>
      <w:r>
        <w:rPr>
          <w:sz w:val="20"/>
          <w:szCs w:val="20"/>
          <w:color w:val="auto"/>
        </w:rPr>
        <w:tab/>
      </w:r>
      <w:r>
        <w:rPr>
          <w:rFonts w:ascii="Arial" w:cs="Arial" w:eastAsia="Arial" w:hAnsi="Arial"/>
          <w:sz w:val="16"/>
          <w:szCs w:val="16"/>
          <w:color w:val="auto"/>
        </w:rPr>
        <w:t>— Form of ALLETE Executive Long-Term Incentive Compensation Plan Performance Share Grant Effective 2009 (filed as Exhibit 10(m)11 to the 2008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+*10(j)5</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2009 (filed as Exhibit 10(m)12 to the 2008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+*10(j)6</w:t>
      </w:r>
      <w:r>
        <w:rPr>
          <w:sz w:val="20"/>
          <w:szCs w:val="20"/>
          <w:color w:val="auto"/>
        </w:rPr>
        <w:tab/>
      </w:r>
      <w:r>
        <w:rPr>
          <w:rFonts w:ascii="Arial" w:cs="Arial" w:eastAsia="Arial" w:hAnsi="Arial"/>
          <w:sz w:val="16"/>
          <w:szCs w:val="16"/>
          <w:color w:val="auto"/>
        </w:rPr>
        <w:t>— Form of ALLETE Executive Long-Term Incentive Compensation Plan Performance Share Grant Effective 2010 (filed as Exhibit 10(m)8 to the 2009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+*10(j)7</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2010 (filed as Exhibit 10(m)9 to the 2009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+*10(j)8</w:t>
      </w:r>
      <w:r>
        <w:rPr>
          <w:sz w:val="20"/>
          <w:szCs w:val="20"/>
          <w:color w:val="auto"/>
        </w:rPr>
        <w:tab/>
      </w:r>
      <w:r>
        <w:rPr>
          <w:rFonts w:ascii="Arial" w:cs="Arial" w:eastAsia="Arial" w:hAnsi="Arial"/>
          <w:sz w:val="16"/>
          <w:szCs w:val="16"/>
          <w:color w:val="auto"/>
        </w:rPr>
        <w:t>— Form of ALLETE Executive Long-Term Incentive Compensation Plan Performance Share Grant Effective 2011 (filed as Exhibit 10(m)11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+*10(j)9</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2011 (filed as Exhibit 10(m)12 to the 2010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+*10(j)10</w:t>
      </w:r>
      <w:r>
        <w:rPr>
          <w:sz w:val="20"/>
          <w:szCs w:val="20"/>
          <w:color w:val="auto"/>
        </w:rPr>
        <w:tab/>
      </w:r>
      <w:r>
        <w:rPr>
          <w:rFonts w:ascii="Arial" w:cs="Arial" w:eastAsia="Arial" w:hAnsi="Arial"/>
          <w:sz w:val="16"/>
          <w:szCs w:val="16"/>
          <w:color w:val="auto"/>
        </w:rPr>
        <w:t>— Form of ALLETE Executive Long-Term Incentive Compensation Plan Performance Share Grant Effective 2012 (filed as Exhibit 10(m)12 to the 2011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+*10(j)11</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2012 (filed as Exhibit 10(m)13 to the 2011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+*10(j)12</w:t>
      </w:r>
      <w:r>
        <w:rPr>
          <w:sz w:val="20"/>
          <w:szCs w:val="20"/>
          <w:color w:val="auto"/>
        </w:rPr>
        <w:tab/>
      </w:r>
      <w:r>
        <w:rPr>
          <w:rFonts w:ascii="Arial" w:cs="Arial" w:eastAsia="Arial" w:hAnsi="Arial"/>
          <w:sz w:val="16"/>
          <w:szCs w:val="16"/>
          <w:color w:val="auto"/>
        </w:rPr>
        <w:t>— Form of ALLETE Executive Long-Term Incentive Compensation Plan Performance Share Grant Effective 2013 (filed as Exhibit 10(k)14 to the 2012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+*10(j)13</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2013 (filed as Exhibit 10(k)15 to the 2012 Form 10-K, File No. 1-3548).</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+10(j)14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Form of ALLETE Executive Long-Term Incentive Compensation Plan Performance Share Grant Effective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+10(j)15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Form of ALLETE Executive Long-Term Incentive Compensation Plan Restricted Stock Unit Grant Effective 2014.</w:t>
      </w:r>
    </w:p>
    <w:p>
      <w:pPr>
        <w:spacing w:after="0" w:line="73" w:lineRule="exact"/>
        <w:rPr>
          <w:sz w:val="20"/>
          <w:szCs w:val="20"/>
          <w:color w:val="auto"/>
        </w:rPr>
      </w:pPr>
    </w:p>
    <w:p>
      <w:pPr>
        <w:ind w:left="1340" w:right="1940" w:hanging="1620"/>
        <w:spacing w:after="0" w:line="293" w:lineRule="auto"/>
        <w:tabs>
          <w:tab w:leader="none" w:pos="1320" w:val="left"/>
        </w:tabs>
        <w:rPr>
          <w:sz w:val="20"/>
          <w:szCs w:val="20"/>
          <w:color w:val="auto"/>
        </w:rPr>
      </w:pPr>
      <w:r>
        <w:rPr>
          <w:rFonts w:ascii="Arial" w:cs="Arial" w:eastAsia="Arial" w:hAnsi="Arial"/>
          <w:sz w:val="16"/>
          <w:szCs w:val="16"/>
          <w:color w:val="auto"/>
        </w:rPr>
        <w:t>+*10(k)1</w:t>
      </w:r>
      <w:r>
        <w:rPr>
          <w:sz w:val="20"/>
          <w:szCs w:val="20"/>
          <w:color w:val="auto"/>
        </w:rPr>
        <w:tab/>
      </w:r>
      <w:r>
        <w:rPr>
          <w:rFonts w:ascii="Arial" w:cs="Arial" w:eastAsia="Arial" w:hAnsi="Arial"/>
          <w:sz w:val="16"/>
          <w:szCs w:val="16"/>
          <w:color w:val="auto"/>
        </w:rPr>
        <w:t>— Minnesota Power (now ALLETE) Non-Employee Director Stock Plan, effective May 9, 1995 (filed as Exhibit 10 to the March 31, 1995,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+*10(k)2</w:t>
      </w:r>
      <w:r>
        <w:rPr>
          <w:sz w:val="20"/>
          <w:szCs w:val="20"/>
          <w:color w:val="auto"/>
        </w:rPr>
        <w:tab/>
      </w:r>
      <w:r>
        <w:rPr>
          <w:rFonts w:ascii="Arial" w:cs="Arial" w:eastAsia="Arial" w:hAnsi="Arial"/>
          <w:sz w:val="16"/>
          <w:szCs w:val="16"/>
          <w:color w:val="auto"/>
        </w:rPr>
        <w:t>— Amendments through December 2003 to the Minnesota Power (now ALLETE) Non-Employee Director Stock Plan (filed as Exhibit 10(z)2 to the 2003 Form 10-K, File No. 1-3548).</w:t>
      </w:r>
    </w:p>
    <w:p>
      <w:pPr>
        <w:sectPr>
          <w:pgSz w:w="11900" w:h="16838" w:orient="portrait"/>
          <w:cols w:equalWidth="0" w:num="1">
            <w:col w:w="11360"/>
          </w:cols>
          <w:pgMar w:left="240" w:top="553" w:right="299" w:bottom="1139" w:gutter="0" w:footer="0" w:header="0"/>
        </w:sect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ALLETE 2013 Form 10-K</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553" w:right="299" w:bottom="1139"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ind w:left="40"/>
              <w:spacing w:after="0"/>
              <w:rPr>
                <w:sz w:val="20"/>
                <w:szCs w:val="20"/>
                <w:color w:val="auto"/>
              </w:rPr>
            </w:pPr>
            <w:r>
              <w:rPr>
                <w:rFonts w:ascii="Arial" w:cs="Arial" w:eastAsia="Arial" w:hAnsi="Arial"/>
                <w:sz w:val="16"/>
                <w:szCs w:val="16"/>
                <w:color w:val="auto"/>
              </w:rPr>
              <w:t>+*10(k)3</w:t>
            </w:r>
          </w:p>
        </w:tc>
        <w:tc>
          <w:tcPr>
            <w:tcW w:w="10380" w:type="dxa"/>
            <w:vAlign w:val="bottom"/>
          </w:tcPr>
          <w:p>
            <w:pPr>
              <w:ind w:left="320"/>
              <w:spacing w:after="0"/>
              <w:rPr>
                <w:sz w:val="20"/>
                <w:szCs w:val="20"/>
                <w:color w:val="auto"/>
              </w:rPr>
            </w:pPr>
            <w:r>
              <w:rPr>
                <w:rFonts w:ascii="Arial" w:cs="Arial" w:eastAsia="Arial" w:hAnsi="Arial"/>
                <w:sz w:val="16"/>
                <w:szCs w:val="16"/>
                <w:color w:val="auto"/>
                <w:w w:val="98"/>
              </w:rPr>
              <w:t>—  July 2004 Amendment to the ALLETE Non-Employee Director Stock Plan (filed as Exhibit 10(e) to the June 30, 2004, Form 10-Q, File No. 1-</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+*10(k)4</w:t>
            </w:r>
          </w:p>
        </w:tc>
        <w:tc>
          <w:tcPr>
            <w:tcW w:w="10380" w:type="dxa"/>
            <w:vAlign w:val="bottom"/>
            <w:tcBorders>
              <w:bottom w:val="single" w:sz="8" w:color="CCEEFF"/>
            </w:tcBorders>
            <w:shd w:val="clear" w:color="auto" w:fill="CCEEFF"/>
          </w:tcPr>
          <w:p>
            <w:pPr>
              <w:ind w:left="320"/>
              <w:spacing w:after="0" w:line="184" w:lineRule="exact"/>
              <w:rPr>
                <w:sz w:val="20"/>
                <w:szCs w:val="20"/>
                <w:color w:val="auto"/>
              </w:rPr>
            </w:pPr>
            <w:r>
              <w:rPr>
                <w:rFonts w:ascii="Arial" w:cs="Arial" w:eastAsia="Arial" w:hAnsi="Arial"/>
                <w:sz w:val="16"/>
                <w:szCs w:val="16"/>
                <w:color w:val="auto"/>
                <w:w w:val="97"/>
              </w:rPr>
              <w:t>—  January 2007 Amendment to the ALLETE Non-Employee Director Stock Plan (filed as Exhibit 10(n)4 to the 2006 Form 10</w:t>
            </w:r>
            <w:r>
              <w:rPr>
                <w:rFonts w:ascii="MS PGothic" w:cs="MS PGothic" w:eastAsia="MS PGothic" w:hAnsi="MS PGothic"/>
                <w:sz w:val="16"/>
                <w:szCs w:val="16"/>
                <w:color w:val="auto"/>
                <w:w w:val="97"/>
              </w:rPr>
              <w:t>‑</w:t>
            </w:r>
            <w:r>
              <w:rPr>
                <w:rFonts w:ascii="Arial" w:cs="Arial" w:eastAsia="Arial" w:hAnsi="Arial"/>
                <w:sz w:val="16"/>
                <w:szCs w:val="16"/>
                <w:color w:val="auto"/>
                <w:w w:val="97"/>
              </w:rPr>
              <w:t>K,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+*10(k)5</w:t>
            </w:r>
          </w:p>
        </w:tc>
        <w:tc>
          <w:tcPr>
            <w:tcW w:w="10380" w:type="dxa"/>
            <w:vAlign w:val="bottom"/>
          </w:tcPr>
          <w:p>
            <w:pPr>
              <w:ind w:left="320"/>
              <w:spacing w:after="0"/>
              <w:rPr>
                <w:sz w:val="20"/>
                <w:szCs w:val="20"/>
                <w:color w:val="auto"/>
              </w:rPr>
            </w:pPr>
            <w:r>
              <w:rPr>
                <w:rFonts w:ascii="Arial" w:cs="Arial" w:eastAsia="Arial" w:hAnsi="Arial"/>
                <w:sz w:val="16"/>
                <w:szCs w:val="16"/>
                <w:color w:val="auto"/>
                <w:w w:val="98"/>
              </w:rPr>
              <w:t>—  May 2009 Amendment to the ALLETE Non-Employee Director Stock Plan (filed as Exhibit 10(b) to the June 30, 2009, Form 10-Q, File No. 1-</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+*10(k)6</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  May 2010 Amendment to the ALLETE Non-Employee Director Stock Plan (filed as Exhibit 10(a) to the June 30, 2010, Form 10-Q, File No. 1-</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+*10(k)7</w:t>
            </w:r>
          </w:p>
        </w:tc>
        <w:tc>
          <w:tcPr>
            <w:tcW w:w="10380" w:type="dxa"/>
            <w:vAlign w:val="bottom"/>
          </w:tcPr>
          <w:p>
            <w:pPr>
              <w:ind w:left="320"/>
              <w:spacing w:after="0"/>
              <w:rPr>
                <w:sz w:val="20"/>
                <w:szCs w:val="20"/>
                <w:color w:val="auto"/>
              </w:rPr>
            </w:pPr>
            <w:r>
              <w:rPr>
                <w:rFonts w:ascii="Arial" w:cs="Arial" w:eastAsia="Arial" w:hAnsi="Arial"/>
                <w:sz w:val="16"/>
                <w:szCs w:val="16"/>
                <w:color w:val="auto"/>
                <w:w w:val="95"/>
              </w:rPr>
              <w:t>—  October 2010 Amendment to the ALLETE Non-Employee Director Stock Plan (filed as Exhibit 10 to the September 30, 2010, Form 10-Q, File No.</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+*10(k)8</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  Amended and Restated ALLETE Non-Employee Director Stock Plan, effective May 15, 2013 (filed as Exhibit 10(a) to the June 30, 2013, Form 10-</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Q,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+*10(l)1</w:t>
            </w:r>
          </w:p>
        </w:tc>
        <w:tc>
          <w:tcPr>
            <w:tcW w:w="10380" w:type="dxa"/>
            <w:vAlign w:val="bottom"/>
          </w:tcPr>
          <w:p>
            <w:pPr>
              <w:ind w:left="320"/>
              <w:spacing w:after="0"/>
              <w:rPr>
                <w:sz w:val="20"/>
                <w:szCs w:val="20"/>
                <w:color w:val="auto"/>
              </w:rPr>
            </w:pPr>
            <w:r>
              <w:rPr>
                <w:rFonts w:ascii="Arial" w:cs="Arial" w:eastAsia="Arial" w:hAnsi="Arial"/>
                <w:sz w:val="16"/>
                <w:szCs w:val="16"/>
                <w:color w:val="auto"/>
                <w:w w:val="95"/>
              </w:rPr>
              <w:t>—  ALLETE Non-Management Director Compensation Summary Effective May 1, 2010 (filed as Exhibit 10(b) to the March 31, 2010, Form 10-Q, File</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+*10(l)2</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  ALLETE Non-Management Director Compensation Summary effective January 19, 2011 (filed as Exhibit 10(n)9 to the 2010 Form 10-K, File No. 1-</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+*10(l)3</w:t>
            </w:r>
          </w:p>
        </w:tc>
        <w:tc>
          <w:tcPr>
            <w:tcW w:w="10380" w:type="dxa"/>
            <w:vAlign w:val="bottom"/>
          </w:tcPr>
          <w:p>
            <w:pPr>
              <w:ind w:left="320"/>
              <w:spacing w:after="0"/>
              <w:rPr>
                <w:sz w:val="20"/>
                <w:szCs w:val="20"/>
                <w:color w:val="auto"/>
              </w:rPr>
            </w:pPr>
            <w:r>
              <w:rPr>
                <w:rFonts w:ascii="Arial" w:cs="Arial" w:eastAsia="Arial" w:hAnsi="Arial"/>
                <w:sz w:val="16"/>
                <w:szCs w:val="16"/>
                <w:color w:val="auto"/>
                <w:w w:val="95"/>
              </w:rPr>
              <w:t>—  ALLETE Non-Management Director Compensation Summary effective January 19, 2012 (filed as Exhibit 10(n)10 to the 2011 Form 10-K, File No.</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+10(l)4</w:t>
            </w:r>
          </w:p>
        </w:tc>
        <w:tc>
          <w:tcPr>
            <w:tcW w:w="10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ALLETE Non-Management Director Compensation Summary effective January 1, 2014.</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+*10(m)1</w:t>
            </w:r>
          </w:p>
        </w:tc>
        <w:tc>
          <w:tcPr>
            <w:tcW w:w="10380" w:type="dxa"/>
            <w:vAlign w:val="bottom"/>
          </w:tcPr>
          <w:p>
            <w:pPr>
              <w:ind w:left="320"/>
              <w:spacing w:after="0"/>
              <w:rPr>
                <w:sz w:val="20"/>
                <w:szCs w:val="20"/>
                <w:color w:val="auto"/>
              </w:rPr>
            </w:pPr>
            <w:r>
              <w:rPr>
                <w:rFonts w:ascii="Arial" w:cs="Arial" w:eastAsia="Arial" w:hAnsi="Arial"/>
                <w:sz w:val="16"/>
                <w:szCs w:val="16"/>
                <w:color w:val="auto"/>
              </w:rPr>
              <w:t>—  Minnesota Power (now ALLETE) Non-Employee Director Compensation Deferral Plan Amended and Restated, effective</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January 1, 1990 (filed as Exhibit 10(ac) to the 2002 Form 10-K,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+*10(m)2</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  October 2003 Amendment to the Minnesota Power (now ALLETE) Non-Employee Director Compensation Deferral Plan (filed as Exhibit 10(aa)2 to</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the 2003 Form 10-K,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+*10(m)3</w:t>
            </w:r>
          </w:p>
        </w:tc>
        <w:tc>
          <w:tcPr>
            <w:tcW w:w="10380" w:type="dxa"/>
            <w:vAlign w:val="bottom"/>
          </w:tcPr>
          <w:p>
            <w:pPr>
              <w:ind w:left="320"/>
              <w:spacing w:after="0"/>
              <w:rPr>
                <w:sz w:val="20"/>
                <w:szCs w:val="20"/>
                <w:color w:val="auto"/>
              </w:rPr>
            </w:pPr>
            <w:r>
              <w:rPr>
                <w:rFonts w:ascii="Arial" w:cs="Arial" w:eastAsia="Arial" w:hAnsi="Arial"/>
                <w:sz w:val="16"/>
                <w:szCs w:val="16"/>
                <w:color w:val="auto"/>
                <w:w w:val="94"/>
              </w:rPr>
              <w:t>—  January 2005 Amendment to the ALLETE Non-Employee Director Compensation Deferral Plan (filed as Exhibit 10(c) to the March 31, 2005, Form</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10-Q,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+*10(m)4</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  October 2006 Amendment to the ALLETE Non-Employee Director Compensation Deferral Plan (filed as Exhibit 10(d) to the September 30, 2006,</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Form 10-Q,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+*10(m)5</w:t>
            </w:r>
          </w:p>
        </w:tc>
        <w:tc>
          <w:tcPr>
            <w:tcW w:w="10380" w:type="dxa"/>
            <w:vAlign w:val="bottom"/>
          </w:tcPr>
          <w:p>
            <w:pPr>
              <w:ind w:left="320"/>
              <w:spacing w:after="0"/>
              <w:rPr>
                <w:sz w:val="20"/>
                <w:szCs w:val="20"/>
                <w:color w:val="auto"/>
              </w:rPr>
            </w:pPr>
            <w:r>
              <w:rPr>
                <w:rFonts w:ascii="Arial" w:cs="Arial" w:eastAsia="Arial" w:hAnsi="Arial"/>
                <w:sz w:val="16"/>
                <w:szCs w:val="16"/>
                <w:color w:val="auto"/>
                <w:w w:val="97"/>
              </w:rPr>
              <w:t>—  July 2012 Amendment to the ALLETE Non-Employee Director Compensation Deferral Plan (filed as Exhibit 10(n)5 to the 2012 Form 10-K, File</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+*10(n)1</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  ALLETE Non-Employee Director Compensation Deferral Plan II, effective May 1, 2009 (filed as Exhibit 10(a) to the June 30, 2009, Form 10-Q,</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+*10(n)2</w:t>
            </w:r>
          </w:p>
        </w:tc>
        <w:tc>
          <w:tcPr>
            <w:tcW w:w="10380" w:type="dxa"/>
            <w:vAlign w:val="bottom"/>
          </w:tcPr>
          <w:p>
            <w:pPr>
              <w:ind w:left="320"/>
              <w:spacing w:after="0"/>
              <w:rPr>
                <w:sz w:val="20"/>
                <w:szCs w:val="20"/>
                <w:color w:val="auto"/>
              </w:rPr>
            </w:pPr>
            <w:r>
              <w:rPr>
                <w:rFonts w:ascii="Arial" w:cs="Arial" w:eastAsia="Arial" w:hAnsi="Arial"/>
                <w:sz w:val="16"/>
                <w:szCs w:val="16"/>
                <w:color w:val="auto"/>
                <w:w w:val="96"/>
              </w:rPr>
              <w:t>—  ALLETE Non-Employee Director Compensation Deferral Plan II, as amended and restated, effective July 24, 2012 (filed as Exhibit 10(o)2 to the</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2012 Form 10-K,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+*10(o)1</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  ALLETE Non-Employee Director Compensation Trust Agreement, effective October 11, 2004 (filed as Exhibit 10(a) to the September 30, 2004,</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Form 10-Q,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+*10(o)2</w:t>
            </w:r>
          </w:p>
        </w:tc>
        <w:tc>
          <w:tcPr>
            <w:tcW w:w="10380" w:type="dxa"/>
            <w:vAlign w:val="bottom"/>
          </w:tcPr>
          <w:p>
            <w:pPr>
              <w:ind w:left="320"/>
              <w:spacing w:after="0"/>
              <w:rPr>
                <w:sz w:val="20"/>
                <w:szCs w:val="20"/>
                <w:color w:val="auto"/>
              </w:rPr>
            </w:pPr>
            <w:r>
              <w:rPr>
                <w:rFonts w:ascii="Arial" w:cs="Arial" w:eastAsia="Arial" w:hAnsi="Arial"/>
                <w:sz w:val="16"/>
                <w:szCs w:val="16"/>
                <w:color w:val="auto"/>
                <w:w w:val="93"/>
              </w:rPr>
              <w:t>—  ALLETE Non-Employee Director Compensation Trust Agreement, as amended and restated, effective December 15, 2012 (filed as Exhibit 10(p)2 to</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the 2012 Form 10-K,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+*10(p)</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  July 2013 ALLETE and Affiliated Companies Compensation Recovery Policy (filed as Exhibit 10(c) to the June 30, 2013, Form 10-Q, File No. 1-</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+*10(q)</w:t>
            </w:r>
          </w:p>
        </w:tc>
        <w:tc>
          <w:tcPr>
            <w:tcW w:w="10380" w:type="dxa"/>
            <w:vAlign w:val="bottom"/>
          </w:tcPr>
          <w:p>
            <w:pPr>
              <w:ind w:left="320"/>
              <w:spacing w:after="0"/>
              <w:rPr>
                <w:sz w:val="20"/>
                <w:szCs w:val="20"/>
                <w:color w:val="auto"/>
              </w:rPr>
            </w:pPr>
            <w:r>
              <w:rPr>
                <w:rFonts w:ascii="Arial" w:cs="Arial" w:eastAsia="Arial" w:hAnsi="Arial"/>
                <w:sz w:val="16"/>
                <w:szCs w:val="16"/>
                <w:color w:val="auto"/>
                <w:w w:val="93"/>
              </w:rPr>
              <w:t>—  ALLETE and Affiliated Companies Change in Control Severance Plan, as amended and restated, effective January 19, 2011 (filed as Exhibit 10(q) to</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the 2010 Form 10-K,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12</w:t>
            </w:r>
          </w:p>
        </w:tc>
        <w:tc>
          <w:tcPr>
            <w:tcW w:w="10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Computation of Ratios of Earnings to Fixed Charges.</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21</w:t>
            </w:r>
          </w:p>
        </w:tc>
        <w:tc>
          <w:tcPr>
            <w:tcW w:w="10380" w:type="dxa"/>
            <w:vAlign w:val="bottom"/>
          </w:tcPr>
          <w:p>
            <w:pPr>
              <w:ind w:left="320"/>
              <w:spacing w:after="0"/>
              <w:rPr>
                <w:sz w:val="20"/>
                <w:szCs w:val="20"/>
                <w:color w:val="auto"/>
              </w:rPr>
            </w:pPr>
            <w:r>
              <w:rPr>
                <w:rFonts w:ascii="Arial" w:cs="Arial" w:eastAsia="Arial" w:hAnsi="Arial"/>
                <w:sz w:val="16"/>
                <w:szCs w:val="16"/>
                <w:color w:val="auto"/>
              </w:rPr>
              <w:t>—  Subsidiaries of the Registrant.</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23</w:t>
            </w:r>
          </w:p>
        </w:tc>
        <w:tc>
          <w:tcPr>
            <w:tcW w:w="10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Consent of Independent Registered Public Accounting Firm.</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31(a)</w:t>
            </w:r>
          </w:p>
        </w:tc>
        <w:tc>
          <w:tcPr>
            <w:tcW w:w="10380" w:type="dxa"/>
            <w:vAlign w:val="bottom"/>
          </w:tcPr>
          <w:p>
            <w:pPr>
              <w:ind w:left="320"/>
              <w:spacing w:after="0"/>
              <w:rPr>
                <w:sz w:val="20"/>
                <w:szCs w:val="20"/>
                <w:color w:val="auto"/>
              </w:rPr>
            </w:pPr>
            <w:r>
              <w:rPr>
                <w:rFonts w:ascii="Arial" w:cs="Arial" w:eastAsia="Arial" w:hAnsi="Arial"/>
                <w:sz w:val="16"/>
                <w:szCs w:val="16"/>
                <w:color w:val="auto"/>
              </w:rPr>
              <w:t>—  Rule 13a-14(a)/15d-14(a) Certification by the Chief Executive Officer Pursuant to Section 302 of the Sarbanes-Oxley Act of 2002.</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4"/>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31(b)</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Rule 13a-14(a)/15d-14(a) Certification by the Chief Financial Officer Pursuant to Section 302 of the Sarbanes-Oxley Act of 2002.</w:t>
            </w:r>
          </w:p>
        </w:tc>
      </w:tr>
      <w:tr>
        <w:trPr>
          <w:trHeight w:val="33"/>
        </w:trPr>
        <w:tc>
          <w:tcPr>
            <w:tcW w:w="1020" w:type="dxa"/>
            <w:vAlign w:val="bottom"/>
            <w:shd w:val="clear" w:color="auto" w:fill="CCEEFF"/>
          </w:tcPr>
          <w:p>
            <w:pPr>
              <w:spacing w:after="0"/>
              <w:rPr>
                <w:sz w:val="2"/>
                <w:szCs w:val="2"/>
                <w:color w:val="auto"/>
              </w:rPr>
            </w:pPr>
          </w:p>
        </w:tc>
        <w:tc>
          <w:tcPr>
            <w:tcW w:w="103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ind w:left="1660" w:right="40" w:hanging="1625"/>
        <w:spacing w:after="0" w:line="293" w:lineRule="auto"/>
        <w:tabs>
          <w:tab w:leader="none" w:pos="13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Section 1350 Certification of Annual Report by the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243" w:lineRule="exact"/>
        <w:rPr>
          <w:sz w:val="20"/>
          <w:szCs w:val="20"/>
          <w:color w:val="auto"/>
        </w:rPr>
      </w:pPr>
    </w:p>
    <w:p>
      <w:pPr>
        <w:ind w:left="1660" w:right="40" w:hanging="1625"/>
        <w:spacing w:after="0" w:line="308" w:lineRule="auto"/>
        <w:tabs>
          <w:tab w:leader="none" w:pos="1349"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 ALLETE News Release dated February 14, 2014, announcing earnings for the year ended December 31, 2013. </w:t>
      </w:r>
      <w:r>
        <w:rPr>
          <w:rFonts w:ascii="Arial" w:cs="Arial" w:eastAsia="Arial" w:hAnsi="Arial"/>
          <w:sz w:val="15"/>
          <w:szCs w:val="15"/>
          <w:b w:val="1"/>
          <w:bCs w:val="1"/>
          <w:color w:val="auto"/>
        </w:rPr>
        <w:t>(This exhibit has been furnished</w:t>
      </w:r>
      <w:r>
        <w:rPr>
          <w:rFonts w:ascii="Arial" w:cs="Arial" w:eastAsia="Arial" w:hAnsi="Arial"/>
          <w:sz w:val="15"/>
          <w:szCs w:val="15"/>
          <w:color w:val="auto"/>
        </w:rPr>
        <w:t xml:space="preserve"> </w:t>
      </w:r>
      <w:r>
        <w:rPr>
          <w:rFonts w:ascii="Arial" w:cs="Arial" w:eastAsia="Arial" w:hAnsi="Arial"/>
          <w:sz w:val="15"/>
          <w:szCs w:val="15"/>
          <w:b w:val="1"/>
          <w:bCs w:val="1"/>
          <w:color w:val="auto"/>
        </w:rPr>
        <w:t>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53"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101.INS</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Instance</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101.SCH</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Schema</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101.CAL</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Calculation</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101.DEF</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Definition</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101.LAB</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Label</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101.PRE</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Presentation</w:t>
            </w:r>
          </w:p>
        </w:tc>
      </w:tr>
    </w:tbl>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or its subsidiaries are obligors under various long-term debt instruments, including but not limited to, (1) $38,995,000 original principal amount, of City of Cohasset, Minnesota, Variable Rate Demand Revenue Refunding Bonds (ALLETE, formerly Minnesota Power &amp; Light Company, Project) Series 1997A, Series 1997B and Series 1997C ($24,630,000 remaining principal balance), (2) $6,370,000 of City of Superior, Wisconsin, Collateralized Utility Revenue Refunding Bonds Series 2007A and $6,130,000 of City of Superior, Wisconsin, Collateralized Utility Revenue Bonds Series 2007B; and (3) other long-term debt instruments that, pursuant to Regulation S-K, Item 601(b)(4)(iii), are not filed as exhibits because the total amount of debt authorized under each of these omitted instruments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29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45" w:lineRule="exact"/>
        <w:rPr>
          <w:sz w:val="20"/>
          <w:szCs w:val="20"/>
          <w:color w:val="auto"/>
        </w:rPr>
      </w:pPr>
    </w:p>
    <w:p>
      <w:pPr>
        <w:ind w:left="620" w:hanging="585"/>
        <w:spacing w:after="0"/>
        <w:tabs>
          <w:tab w:leader="none" w:pos="6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63" w:lineRule="exact"/>
        <w:rPr>
          <w:sz w:val="20"/>
          <w:szCs w:val="20"/>
          <w:color w:val="auto"/>
        </w:rPr>
      </w:pPr>
    </w:p>
    <w:p>
      <w:pPr>
        <w:ind w:left="620" w:hanging="585"/>
        <w:spacing w:after="0"/>
        <w:tabs>
          <w:tab w:leader="none" w:pos="6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53"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20" w:val="left"/>
          <w:tab w:leader="none" w:pos="5240" w:val="left"/>
          <w:tab w:leader="none" w:pos="7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Chairman, President,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4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Title</w:t>
            </w:r>
          </w:p>
        </w:tc>
        <w:tc>
          <w:tcPr>
            <w:tcW w:w="220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Alan R. Hodnik</w:t>
            </w:r>
          </w:p>
        </w:tc>
        <w:tc>
          <w:tcPr>
            <w:tcW w:w="5440" w:type="dxa"/>
            <w:vAlign w:val="bottom"/>
          </w:tcPr>
          <w:p>
            <w:pPr>
              <w:jc w:val="center"/>
              <w:ind w:left="70"/>
              <w:spacing w:after="0"/>
              <w:rPr>
                <w:sz w:val="20"/>
                <w:szCs w:val="20"/>
                <w:color w:val="auto"/>
              </w:rPr>
            </w:pPr>
            <w:r>
              <w:rPr>
                <w:rFonts w:ascii="Arial" w:cs="Arial" w:eastAsia="Arial" w:hAnsi="Arial"/>
                <w:sz w:val="18"/>
                <w:szCs w:val="18"/>
                <w:color w:val="auto"/>
                <w:w w:val="92"/>
              </w:rPr>
              <w:t>Chairman, President, Chief Executive Officer and Director</w:t>
            </w:r>
          </w:p>
        </w:tc>
        <w:tc>
          <w:tcPr>
            <w:tcW w:w="2200" w:type="dxa"/>
            <w:vAlign w:val="bottom"/>
          </w:tcPr>
          <w:p>
            <w:pPr>
              <w:jc w:val="center"/>
              <w:ind w:left="70"/>
              <w:spacing w:after="0"/>
              <w:rPr>
                <w:sz w:val="20"/>
                <w:szCs w:val="20"/>
                <w:color w:val="auto"/>
              </w:rPr>
            </w:pPr>
            <w:r>
              <w:rPr>
                <w:rFonts w:ascii="Arial" w:cs="Arial" w:eastAsia="Arial" w:hAnsi="Arial"/>
                <w:sz w:val="18"/>
                <w:szCs w:val="18"/>
                <w:color w:val="auto"/>
                <w:w w:val="89"/>
              </w:rPr>
              <w:t>February 14, 2014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440" w:type="dxa"/>
            <w:vAlign w:val="bottom"/>
            <w:vMerge w:val="restart"/>
          </w:tcPr>
          <w:p>
            <w:pPr>
              <w:jc w:val="center"/>
              <w:ind w:left="70"/>
              <w:spacing w:after="0"/>
              <w:rPr>
                <w:sz w:val="20"/>
                <w:szCs w:val="20"/>
                <w:color w:val="auto"/>
              </w:rPr>
            </w:pPr>
            <w:r>
              <w:rPr>
                <w:rFonts w:ascii="Arial" w:cs="Arial" w:eastAsia="Arial" w:hAnsi="Arial"/>
                <w:sz w:val="18"/>
                <w:szCs w:val="18"/>
                <w:color w:val="auto"/>
                <w:w w:val="93"/>
              </w:rPr>
              <w:t>(Principal Executive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Alan R. Hodnik</w:t>
            </w:r>
          </w:p>
        </w:tc>
        <w:tc>
          <w:tcPr>
            <w:tcW w:w="544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c>
          <w:tcPr>
            <w:tcW w:w="5440" w:type="dxa"/>
            <w:vAlign w:val="bottom"/>
          </w:tcPr>
          <w:p>
            <w:pPr>
              <w:jc w:val="center"/>
              <w:ind w:left="70"/>
              <w:spacing w:after="0"/>
              <w:rPr>
                <w:sz w:val="20"/>
                <w:szCs w:val="20"/>
                <w:color w:val="auto"/>
              </w:rPr>
            </w:pPr>
            <w:r>
              <w:rPr>
                <w:rFonts w:ascii="Arial" w:cs="Arial" w:eastAsia="Arial" w:hAnsi="Arial"/>
                <w:sz w:val="18"/>
                <w:szCs w:val="18"/>
                <w:color w:val="auto"/>
                <w:w w:val="92"/>
              </w:rPr>
              <w:t>Senior Vice President and Chief Financial Officer</w:t>
            </w:r>
          </w:p>
        </w:tc>
        <w:tc>
          <w:tcPr>
            <w:tcW w:w="2200" w:type="dxa"/>
            <w:vAlign w:val="bottom"/>
          </w:tcPr>
          <w:p>
            <w:pPr>
              <w:jc w:val="center"/>
              <w:ind w:left="70"/>
              <w:spacing w:after="0"/>
              <w:rPr>
                <w:sz w:val="20"/>
                <w:szCs w:val="20"/>
                <w:color w:val="auto"/>
              </w:rPr>
            </w:pPr>
            <w:r>
              <w:rPr>
                <w:rFonts w:ascii="Arial" w:cs="Arial" w:eastAsia="Arial" w:hAnsi="Arial"/>
                <w:sz w:val="18"/>
                <w:szCs w:val="18"/>
                <w:color w:val="auto"/>
                <w:w w:val="89"/>
              </w:rPr>
              <w:t>February 14, 2014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440" w:type="dxa"/>
            <w:vAlign w:val="bottom"/>
            <w:vMerge w:val="restart"/>
          </w:tcPr>
          <w:p>
            <w:pPr>
              <w:jc w:val="center"/>
              <w:ind w:left="70"/>
              <w:spacing w:after="0"/>
              <w:rPr>
                <w:sz w:val="20"/>
                <w:szCs w:val="20"/>
                <w:color w:val="auto"/>
              </w:rPr>
            </w:pPr>
            <w:r>
              <w:rPr>
                <w:rFonts w:ascii="Arial" w:cs="Arial" w:eastAsia="Arial" w:hAnsi="Arial"/>
                <w:sz w:val="18"/>
                <w:szCs w:val="18"/>
                <w:color w:val="auto"/>
                <w:w w:val="94"/>
              </w:rPr>
              <w:t>(Principal Financial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c>
          <w:tcPr>
            <w:tcW w:w="544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Steven Q. DeVinck</w:t>
            </w:r>
          </w:p>
        </w:tc>
        <w:tc>
          <w:tcPr>
            <w:tcW w:w="5440" w:type="dxa"/>
            <w:vAlign w:val="bottom"/>
          </w:tcPr>
          <w:p>
            <w:pPr>
              <w:jc w:val="center"/>
              <w:ind w:left="70"/>
              <w:spacing w:after="0"/>
              <w:rPr>
                <w:sz w:val="20"/>
                <w:szCs w:val="20"/>
                <w:color w:val="auto"/>
              </w:rPr>
            </w:pPr>
            <w:r>
              <w:rPr>
                <w:rFonts w:ascii="Arial" w:cs="Arial" w:eastAsia="Arial" w:hAnsi="Arial"/>
                <w:sz w:val="18"/>
                <w:szCs w:val="18"/>
                <w:color w:val="auto"/>
                <w:w w:val="90"/>
              </w:rPr>
              <w:t>Controller and Vice President – Business Support</w:t>
            </w:r>
          </w:p>
        </w:tc>
        <w:tc>
          <w:tcPr>
            <w:tcW w:w="2200" w:type="dxa"/>
            <w:vAlign w:val="bottom"/>
          </w:tcPr>
          <w:p>
            <w:pPr>
              <w:jc w:val="center"/>
              <w:ind w:left="70"/>
              <w:spacing w:after="0"/>
              <w:rPr>
                <w:sz w:val="20"/>
                <w:szCs w:val="20"/>
                <w:color w:val="auto"/>
              </w:rPr>
            </w:pPr>
            <w:r>
              <w:rPr>
                <w:rFonts w:ascii="Arial" w:cs="Arial" w:eastAsia="Arial" w:hAnsi="Arial"/>
                <w:sz w:val="18"/>
                <w:szCs w:val="18"/>
                <w:color w:val="auto"/>
                <w:w w:val="89"/>
              </w:rPr>
              <w:t>February 14, 2014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440" w:type="dxa"/>
            <w:vAlign w:val="bottom"/>
            <w:vMerge w:val="restart"/>
          </w:tcPr>
          <w:p>
            <w:pPr>
              <w:jc w:val="center"/>
              <w:ind w:left="70"/>
              <w:spacing w:after="0"/>
              <w:rPr>
                <w:sz w:val="20"/>
                <w:szCs w:val="20"/>
                <w:color w:val="auto"/>
              </w:rPr>
            </w:pPr>
            <w:r>
              <w:rPr>
                <w:rFonts w:ascii="Arial" w:cs="Arial" w:eastAsia="Arial" w:hAnsi="Arial"/>
                <w:sz w:val="18"/>
                <w:szCs w:val="18"/>
                <w:color w:val="auto"/>
                <w:w w:val="94"/>
              </w:rPr>
              <w:t>(Principal Accounting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Steven Q. DeVinck</w:t>
            </w:r>
          </w:p>
        </w:tc>
        <w:tc>
          <w:tcPr>
            <w:tcW w:w="544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780" w:type="dxa"/>
            <w:vAlign w:val="bottom"/>
          </w:tcPr>
          <w:p>
            <w:pPr>
              <w:spacing w:after="0"/>
              <w:rPr>
                <w:sz w:val="24"/>
                <w:szCs w:val="24"/>
                <w:color w:val="auto"/>
              </w:rPr>
            </w:pPr>
          </w:p>
        </w:tc>
        <w:tc>
          <w:tcPr>
            <w:tcW w:w="5440" w:type="dxa"/>
            <w:vAlign w:val="bottom"/>
          </w:tcPr>
          <w:p>
            <w:pPr>
              <w:jc w:val="center"/>
              <w:ind w:right="1490"/>
              <w:spacing w:after="0"/>
              <w:rPr>
                <w:sz w:val="20"/>
                <w:szCs w:val="20"/>
                <w:color w:val="auto"/>
              </w:rPr>
            </w:pPr>
            <w:r>
              <w:rPr>
                <w:rFonts w:ascii="Arial" w:cs="Arial" w:eastAsia="Arial" w:hAnsi="Arial"/>
                <w:sz w:val="18"/>
                <w:szCs w:val="18"/>
                <w:color w:val="auto"/>
                <w:w w:val="95"/>
              </w:rPr>
              <w:t>ALLETE 2013 Form 10-K</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5440" w:type="dxa"/>
            <w:vAlign w:val="bottom"/>
          </w:tcPr>
          <w:p>
            <w:pPr>
              <w:jc w:val="right"/>
              <w:ind w:right="3330"/>
              <w:spacing w:after="0"/>
              <w:rPr>
                <w:sz w:val="20"/>
                <w:szCs w:val="20"/>
                <w:color w:val="auto"/>
              </w:rPr>
            </w:pPr>
            <w:r>
              <w:rPr>
                <w:rFonts w:ascii="Arial" w:cs="Arial" w:eastAsia="Arial" w:hAnsi="Arial"/>
                <w:sz w:val="18"/>
                <w:szCs w:val="18"/>
                <w:color w:val="auto"/>
              </w:rPr>
              <w:t>63</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52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Signatures (Continued)</w:t>
            </w:r>
          </w:p>
        </w:tc>
        <w:tc>
          <w:tcPr>
            <w:tcW w:w="3120" w:type="dxa"/>
            <w:vAlign w:val="bottom"/>
          </w:tcPr>
          <w:p>
            <w:pPr>
              <w:spacing w:after="0"/>
              <w:rPr>
                <w:sz w:val="20"/>
                <w:szCs w:val="20"/>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52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Title</w:t>
            </w:r>
          </w:p>
        </w:tc>
        <w:tc>
          <w:tcPr>
            <w:tcW w:w="312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0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Kathryn W. Dindo</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Kathryn W. Dindo</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Sidney W. Emery, Jr.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Sidney W. Emery, Jr.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George G. Goldfarb</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780" w:type="dxa"/>
            <w:vAlign w:val="bottom"/>
          </w:tcPr>
          <w:p>
            <w:pPr>
              <w:jc w:val="center"/>
              <w:spacing w:after="0"/>
              <w:rPr>
                <w:sz w:val="20"/>
                <w:szCs w:val="20"/>
                <w:color w:val="auto"/>
              </w:rPr>
            </w:pPr>
            <w:r>
              <w:rPr>
                <w:rFonts w:ascii="Arial" w:cs="Arial" w:eastAsia="Arial" w:hAnsi="Arial"/>
                <w:sz w:val="18"/>
                <w:szCs w:val="18"/>
                <w:color w:val="auto"/>
                <w:w w:val="87"/>
              </w:rPr>
              <w:t>/s/ James S. Haines, Jr.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5"/>
              </w:rPr>
              <w:t>James S. Haines, Jr.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James J. Hoolihan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James J. Hoolihan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Heidi E. Jimmerson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Heidi E. Jimmerson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Madeleine W. Ludlow</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Madeleine W. Ludlow</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Douglas C. Neve</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9"/>
              </w:rPr>
              <w:t>Douglas C. Neve</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Leonard C. Rodman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Leonard C. Rodman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Bruce W. Stender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2014</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Bruce W. Stender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688"/>
        </w:trPr>
        <w:tc>
          <w:tcPr>
            <w:tcW w:w="3780" w:type="dxa"/>
            <w:vAlign w:val="bottom"/>
          </w:tcPr>
          <w:p>
            <w:pPr>
              <w:spacing w:after="0"/>
              <w:rPr>
                <w:sz w:val="24"/>
                <w:szCs w:val="24"/>
                <w:color w:val="auto"/>
              </w:rPr>
            </w:pPr>
          </w:p>
        </w:tc>
        <w:tc>
          <w:tcPr>
            <w:tcW w:w="4520" w:type="dxa"/>
            <w:vAlign w:val="bottom"/>
          </w:tcPr>
          <w:p>
            <w:pPr>
              <w:jc w:val="center"/>
              <w:ind w:right="570"/>
              <w:spacing w:after="0"/>
              <w:rPr>
                <w:sz w:val="20"/>
                <w:szCs w:val="20"/>
                <w:color w:val="auto"/>
              </w:rPr>
            </w:pPr>
            <w:r>
              <w:rPr>
                <w:rFonts w:ascii="Arial" w:cs="Arial" w:eastAsia="Arial" w:hAnsi="Arial"/>
                <w:sz w:val="18"/>
                <w:szCs w:val="18"/>
                <w:color w:val="auto"/>
                <w:w w:val="95"/>
              </w:rPr>
              <w:t>ALLETE 2013 Form 10-K</w:t>
            </w:r>
          </w:p>
        </w:tc>
        <w:tc>
          <w:tcPr>
            <w:tcW w:w="31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4520" w:type="dxa"/>
            <w:vAlign w:val="bottom"/>
          </w:tcPr>
          <w:p>
            <w:pPr>
              <w:jc w:val="center"/>
              <w:ind w:right="570"/>
              <w:spacing w:after="0"/>
              <w:rPr>
                <w:sz w:val="20"/>
                <w:szCs w:val="20"/>
                <w:color w:val="auto"/>
              </w:rPr>
            </w:pPr>
            <w:r>
              <w:rPr>
                <w:rFonts w:ascii="Arial" w:cs="Arial" w:eastAsia="Arial" w:hAnsi="Arial"/>
                <w:sz w:val="18"/>
                <w:szCs w:val="18"/>
                <w:color w:val="auto"/>
                <w:w w:val="89"/>
              </w:rPr>
              <w:t>64</w:t>
            </w:r>
          </w:p>
        </w:tc>
        <w:tc>
          <w:tcPr>
            <w:tcW w:w="312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64" w:name="page65"/>
    <w:bookmarkEnd w:id="6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financial statements listed in the index appearing under Item 15(a)(1) present fairly, in all material respects, the financial position of ALLETE, Inc. and its subsidiaries (the Company) at December 31, 2013 and 2012, and the results of their operations and their cash flows for each of the three years in the period ended December 31, 2013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(1992) </w:t>
      </w:r>
      <w:r>
        <w:rPr>
          <w:rFonts w:ascii="Arial" w:cs="Arial" w:eastAsia="Arial" w:hAnsi="Arial"/>
          <w:sz w:val="16"/>
          <w:szCs w:val="16"/>
          <w:color w:val="auto"/>
        </w:rPr>
        <w:t>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Consolidated Balance Sheet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8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$97.3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$1.0)</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96.3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59.3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35.1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28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307.0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273.2</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2,576.5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2,347.6</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263.8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340.3</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114.6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146.3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143.5</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68.6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$3,476.8</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$3,253.4</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8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$99.9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$90.5</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15.7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27.2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52.6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62.6</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1,083.0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933.6</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479.1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81.0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133.4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127.2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123.3</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2,133.9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8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Common Stock Without Par Value, 80.0 Shares Authorized, 41.4 and 39.4</w:t>
            </w:r>
          </w:p>
        </w:tc>
        <w:tc>
          <w:tcPr>
            <w:tcW w:w="28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Shares Outstanding</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885.2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784.7</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2880" w:type="dxa"/>
            <w:vAlign w:val="bottom"/>
          </w:tcPr>
          <w:p>
            <w:pPr>
              <w:jc w:val="right"/>
              <w:ind w:right="310"/>
              <w:spacing w:after="0"/>
              <w:rPr>
                <w:sz w:val="20"/>
                <w:szCs w:val="20"/>
                <w:color w:val="auto"/>
              </w:rPr>
            </w:pPr>
            <w:r>
              <w:rPr>
                <w:rFonts w:ascii="Arial" w:cs="Arial" w:eastAsia="Arial" w:hAnsi="Arial"/>
                <w:sz w:val="18"/>
                <w:szCs w:val="18"/>
                <w:color w:val="auto"/>
              </w:rPr>
              <w:t>(14.3)</w:t>
            </w: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489.1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459.6</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1,342.9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1,201.0</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$3,476.8</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$3,253.4</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7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$1,018.4</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$961.2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$928.2</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7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and Purchased Power</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334.8</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308.7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306.6</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Operating and Maintenance</w:t>
            </w: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412.9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397.1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381.2</w:t>
            </w:r>
          </w:p>
        </w:tc>
      </w:tr>
      <w:tr>
        <w:trPr>
          <w:trHeight w:val="27"/>
        </w:trPr>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116.6</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864.3</w:t>
            </w: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806.0</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778.2</w:t>
            </w:r>
          </w:p>
        </w:tc>
      </w:tr>
      <w:tr>
        <w:trPr>
          <w:trHeight w:val="27"/>
        </w:trPr>
        <w:tc>
          <w:tcPr>
            <w:tcW w:w="6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154.1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155.2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7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7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(50.3)</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(45.5)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Equity Earnings in ATC</w:t>
            </w: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20.3</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19.4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9.3</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7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(20.7)</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6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133.4</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135.1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28.7</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38.0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6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104.7</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97.1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$104.7</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$97.1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7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39.7</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37.6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39.8</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37.6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6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$2.64</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$2.59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$2.63</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$2.58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6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$1.90</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614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ALLETE 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4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$104.7</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$97.1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5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Taxes of $–, $0.8 and $(0.1)</w:t>
            </w: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1.2</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Derivatives</w:t>
            </w:r>
          </w:p>
        </w:tc>
        <w:tc>
          <w:tcPr>
            <w:tcW w:w="2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Taxes of $–, $(0.1) and $(0.2)</w:t>
            </w: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(0.2)</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Taxes of $3.3, $3.9, and $(3.6)</w:t>
            </w: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4.8</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5.9</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4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4.9</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5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$109.6</w:t>
            </w:r>
          </w:p>
        </w:tc>
        <w:tc>
          <w:tcPr>
            <w:tcW w:w="14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$104.0</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$87.9</w:t>
            </w: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25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$109.6</w:t>
            </w:r>
          </w:p>
        </w:tc>
        <w:tc>
          <w:tcPr>
            <w:tcW w:w="14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$104.0</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Cash Flows</w:t>
            </w:r>
          </w:p>
        </w:tc>
        <w:tc>
          <w:tcPr>
            <w:tcW w:w="2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4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$104.7</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$97.1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$93.6</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 – Equity</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(4.6)</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Real Estate Foreclosure</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Loss (Gain) on Sale of Assets</w:t>
            </w: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(0.4)</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0.2</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Investments</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(2.2)</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Loss on Impairment of Assets</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116.6</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1.0</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28.6</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37.5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2.4</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ESOP Compensation Expense</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8.4</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Expense</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21.0</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27.5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(8.6)</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(0.7)</w:t>
            </w: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Prepayments and Other</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21.8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29"/>
        </w:trPr>
        <w:tc>
          <w:tcPr>
            <w:tcW w:w="6500" w:type="dxa"/>
            <w:vAlign w:val="bottom"/>
          </w:tcPr>
          <w:p>
            <w:pPr>
              <w:ind w:left="280"/>
              <w:spacing w:after="0"/>
              <w:rPr>
                <w:sz w:val="20"/>
                <w:szCs w:val="20"/>
                <w:color w:val="auto"/>
              </w:rPr>
            </w:pPr>
            <w:r>
              <w:rPr>
                <w:rFonts w:ascii="Arial" w:cs="Arial" w:eastAsia="Arial" w:hAnsi="Arial"/>
                <w:sz w:val="18"/>
                <w:szCs w:val="18"/>
                <w:color w:val="auto"/>
              </w:rPr>
              <w:t>Cash Contributions to Defined Benefit Pension and Other</w:t>
            </w:r>
          </w:p>
        </w:tc>
        <w:tc>
          <w:tcPr>
            <w:tcW w:w="2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500" w:type="dxa"/>
            <w:vAlign w:val="bottom"/>
          </w:tcPr>
          <w:p>
            <w:pPr>
              <w:ind w:left="440"/>
              <w:spacing w:after="0"/>
              <w:rPr>
                <w:sz w:val="20"/>
                <w:szCs w:val="20"/>
                <w:color w:val="auto"/>
              </w:rPr>
            </w:pPr>
            <w:r>
              <w:rPr>
                <w:rFonts w:ascii="Arial" w:cs="Arial" w:eastAsia="Arial" w:hAnsi="Arial"/>
                <w:sz w:val="18"/>
                <w:szCs w:val="18"/>
                <w:color w:val="auto"/>
              </w:rPr>
              <w:t>Postretirement Plans</w:t>
            </w: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(10.8)</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(8.8)</w:t>
            </w: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(18.3)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(7.1)</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0.8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6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from Operating Activities</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239.4</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239.6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r>
      <w:tr>
        <w:trPr>
          <w:trHeight w:val="237"/>
        </w:trPr>
        <w:tc>
          <w:tcPr>
            <w:tcW w:w="6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16.1</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(4.7)</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(1.8)</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(12.3)</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(9.6)</w:t>
            </w: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(328.5)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(405.8)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to Restricted Cash</w:t>
            </w: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(5.4)</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6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for Investing Activities</w:t>
            </w:r>
          </w:p>
        </w:tc>
        <w:tc>
          <w:tcPr>
            <w:tcW w:w="24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(336.6)</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(420.1)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r>
      <w:tr>
        <w:trPr>
          <w:trHeight w:val="27"/>
        </w:trPr>
        <w:tc>
          <w:tcPr>
            <w:tcW w:w="6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98.2</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77.0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169.8</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180.6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in Notes Payable</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Reductions of Long-Term Debt</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(77.7)</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(25.9)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Common Stock</w:t>
            </w:r>
          </w:p>
        </w:tc>
        <w:tc>
          <w:tcPr>
            <w:tcW w:w="2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(75.2)</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(69.1)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37"/>
        </w:trPr>
        <w:tc>
          <w:tcPr>
            <w:tcW w:w="6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from Financing Activities</w:t>
            </w:r>
          </w:p>
        </w:tc>
        <w:tc>
          <w:tcPr>
            <w:tcW w:w="24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113.7</w:t>
            </w:r>
          </w:p>
        </w:tc>
        <w:tc>
          <w:tcPr>
            <w:tcW w:w="14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160.2</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w:t>
            </w:r>
          </w:p>
        </w:tc>
      </w:tr>
      <w:tr>
        <w:trPr>
          <w:trHeight w:val="27"/>
        </w:trPr>
        <w:tc>
          <w:tcPr>
            <w:tcW w:w="6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Cash and Cash Equivalents</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80.8</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101.1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6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$97.3</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$80.8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24"/>
        </w:trPr>
        <w:tc>
          <w:tcPr>
            <w:tcW w:w="8900" w:type="dxa"/>
            <w:vAlign w:val="bottom"/>
            <w:tcBorders>
              <w:top w:val="single" w:sz="8" w:color="auto"/>
            </w:tcBorders>
            <w:gridSpan w:val="2"/>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ALLETE Consolidated Statement of Shareholders’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Accumulated</w:t>
            </w: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c>
          <w:tcPr>
            <w:tcW w:w="1500" w:type="dxa"/>
            <w:vAlign w:val="bottom"/>
          </w:tcPr>
          <w:p>
            <w:pPr>
              <w:spacing w:after="0"/>
              <w:rPr>
                <w:sz w:val="17"/>
                <w:szCs w:val="17"/>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Other</w:t>
            </w:r>
          </w:p>
        </w:tc>
        <w:tc>
          <w:tcPr>
            <w:tcW w:w="1460" w:type="dxa"/>
            <w:vAlign w:val="bottom"/>
          </w:tcPr>
          <w:p>
            <w:pPr>
              <w:jc w:val="center"/>
              <w:ind w:right="299"/>
              <w:spacing w:after="0"/>
              <w:rPr>
                <w:sz w:val="20"/>
                <w:szCs w:val="20"/>
                <w:color w:val="auto"/>
              </w:rPr>
            </w:pPr>
            <w:r>
              <w:rPr>
                <w:rFonts w:ascii="Arial" w:cs="Arial" w:eastAsia="Arial" w:hAnsi="Arial"/>
                <w:sz w:val="16"/>
                <w:szCs w:val="16"/>
                <w:b w:val="1"/>
                <w:bCs w:val="1"/>
                <w:color w:val="auto"/>
                <w:w w:val="92"/>
              </w:rPr>
              <w:t>Unearned</w:t>
            </w:r>
          </w:p>
        </w:tc>
        <w:tc>
          <w:tcPr>
            <w:tcW w:w="126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Shareholders’</w:t>
            </w: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Retained</w:t>
            </w: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Comprehensive</w:t>
            </w:r>
          </w:p>
        </w:tc>
        <w:tc>
          <w:tcPr>
            <w:tcW w:w="146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ESOP</w:t>
            </w: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Common</w:t>
            </w:r>
          </w:p>
        </w:tc>
      </w:tr>
      <w:tr>
        <w:trPr>
          <w:trHeight w:val="210"/>
        </w:trPr>
        <w:tc>
          <w:tcPr>
            <w:tcW w:w="39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Earnings</w:t>
            </w:r>
          </w:p>
        </w:tc>
        <w:tc>
          <w:tcPr>
            <w:tcW w:w="156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Income (Loss)</w:t>
            </w:r>
          </w:p>
        </w:tc>
        <w:tc>
          <w:tcPr>
            <w:tcW w:w="1460" w:type="dxa"/>
            <w:vAlign w:val="bottom"/>
          </w:tcPr>
          <w:p>
            <w:pPr>
              <w:jc w:val="center"/>
              <w:ind w:right="279"/>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Stock</w:t>
            </w:r>
          </w:p>
        </w:tc>
      </w:tr>
      <w:tr>
        <w:trPr>
          <w:trHeight w:val="33"/>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Millions</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2010</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$976.0</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$399.9</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$(23.2)</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$636.1</w:t>
            </w:r>
          </w:p>
        </w:tc>
      </w:tr>
      <w:tr>
        <w:trPr>
          <w:trHeight w:val="21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93.6</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93.6</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Loss on Securities – Net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(0.3)</w:t>
            </w: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Unrealized Loss on Derivatives – Net</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500" w:type="dxa"/>
            <w:vAlign w:val="bottom"/>
          </w:tcPr>
          <w:p>
            <w:pPr>
              <w:spacing w:after="0"/>
              <w:rPr>
                <w:sz w:val="20"/>
                <w:szCs w:val="20"/>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(0.3)</w:t>
            </w: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9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Defined Benefit Pension and Other Postretirement</w:t>
            </w: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Plans – Net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(5.1)</w:t>
            </w: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17"/>
        </w:trPr>
        <w:tc>
          <w:tcPr>
            <w:tcW w:w="3920" w:type="dxa"/>
            <w:vAlign w:val="bottom"/>
          </w:tcPr>
          <w:p>
            <w:pPr>
              <w:ind w:left="500"/>
              <w:spacing w:after="0"/>
              <w:rPr>
                <w:sz w:val="20"/>
                <w:szCs w:val="20"/>
                <w:color w:val="auto"/>
              </w:rPr>
            </w:pPr>
            <w:r>
              <w:rPr>
                <w:rFonts w:ascii="Arial" w:cs="Arial" w:eastAsia="Arial" w:hAnsi="Arial"/>
                <w:sz w:val="16"/>
                <w:szCs w:val="16"/>
                <w:color w:val="auto"/>
              </w:rPr>
              <w:t>Total Comprehensive Income</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87.9</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 in Subsidiaries</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17"/>
        </w:trPr>
        <w:tc>
          <w:tcPr>
            <w:tcW w:w="3920" w:type="dxa"/>
            <w:vAlign w:val="bottom"/>
          </w:tcPr>
          <w:p>
            <w:pPr>
              <w:ind w:left="180"/>
              <w:spacing w:after="0"/>
              <w:rPr>
                <w:sz w:val="20"/>
                <w:szCs w:val="20"/>
                <w:color w:val="auto"/>
              </w:rPr>
            </w:pPr>
            <w:r>
              <w:rPr>
                <w:rFonts w:ascii="Arial" w:cs="Arial" w:eastAsia="Arial" w:hAnsi="Arial"/>
                <w:sz w:val="16"/>
                <w:szCs w:val="16"/>
                <w:color w:val="auto"/>
                <w:w w:val="98"/>
              </w:rPr>
              <w:t>Total Comprehensive Income Attributable to ALLETE</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88.1</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Issued –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69.5</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500" w:type="dxa"/>
            <w:vAlign w:val="bottom"/>
          </w:tcPr>
          <w:p>
            <w:pPr>
              <w:jc w:val="right"/>
              <w:spacing w:after="0"/>
              <w:rPr>
                <w:sz w:val="20"/>
                <w:szCs w:val="20"/>
                <w:color w:val="auto"/>
              </w:rPr>
            </w:pPr>
            <w:r>
              <w:rPr>
                <w:rFonts w:ascii="Arial" w:cs="Arial" w:eastAsia="Arial" w:hAnsi="Arial"/>
                <w:sz w:val="16"/>
                <w:szCs w:val="16"/>
                <w:color w:val="auto"/>
              </w:rPr>
              <w:t>(62.1)</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ESOP Shares Earned</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w:t>
            </w:r>
          </w:p>
        </w:tc>
        <w:tc>
          <w:tcPr>
            <w:tcW w:w="1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7.8</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1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as of December 31, 2011</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1,079.3</w:t>
            </w:r>
          </w:p>
        </w:tc>
        <w:tc>
          <w:tcPr>
            <w:tcW w:w="15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431.6</w:t>
            </w:r>
          </w:p>
        </w:tc>
        <w:tc>
          <w:tcPr>
            <w:tcW w:w="15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(28.9)</w:t>
            </w:r>
          </w:p>
        </w:tc>
        <w:tc>
          <w:tcPr>
            <w:tcW w:w="1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(29.0)</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705.6</w:t>
            </w:r>
          </w:p>
        </w:tc>
      </w:tr>
      <w:tr>
        <w:trPr>
          <w:trHeight w:val="33"/>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97.1</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97.1</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5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Unrealized Gain on Securities –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500" w:type="dxa"/>
            <w:vAlign w:val="bottom"/>
          </w:tcPr>
          <w:p>
            <w:pPr>
              <w:spacing w:after="0"/>
              <w:rPr>
                <w:sz w:val="19"/>
                <w:szCs w:val="19"/>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Loss on Derivatives – Net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(0.2)</w:t>
            </w:r>
          </w:p>
        </w:tc>
        <w:tc>
          <w:tcPr>
            <w:tcW w:w="1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3920" w:type="dxa"/>
            <w:vAlign w:val="bottom"/>
          </w:tcPr>
          <w:p>
            <w:pPr>
              <w:ind w:left="380"/>
              <w:spacing w:after="0"/>
              <w:rPr>
                <w:sz w:val="20"/>
                <w:szCs w:val="20"/>
                <w:color w:val="auto"/>
              </w:rPr>
            </w:pPr>
            <w:r>
              <w:rPr>
                <w:rFonts w:ascii="Arial" w:cs="Arial" w:eastAsia="Arial" w:hAnsi="Arial"/>
                <w:sz w:val="16"/>
                <w:szCs w:val="16"/>
                <w:color w:val="auto"/>
                <w:w w:val="98"/>
              </w:rPr>
              <w:t>Defined Benefit Pension and Other Postretirement</w:t>
            </w: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920" w:type="dxa"/>
            <w:vAlign w:val="bottom"/>
          </w:tcPr>
          <w:p>
            <w:pPr>
              <w:ind w:left="380"/>
              <w:spacing w:after="0"/>
              <w:rPr>
                <w:sz w:val="20"/>
                <w:szCs w:val="20"/>
                <w:color w:val="auto"/>
              </w:rPr>
            </w:pPr>
            <w:r>
              <w:rPr>
                <w:rFonts w:ascii="Arial" w:cs="Arial" w:eastAsia="Arial" w:hAnsi="Arial"/>
                <w:sz w:val="16"/>
                <w:szCs w:val="16"/>
                <w:color w:val="auto"/>
              </w:rPr>
              <w:t>Plans –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150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5.9</w:t>
            </w: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Total Comprehensive Income Attributable to ALLETE</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104.0</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Common Stock Issued –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79.1</w:t>
            </w: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79.1</w:t>
            </w: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ESOP Shares Earned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7.7</w:t>
            </w:r>
          </w:p>
        </w:tc>
        <w:tc>
          <w:tcPr>
            <w:tcW w:w="1260" w:type="dxa"/>
            <w:vAlign w:val="bottom"/>
          </w:tcPr>
          <w:p>
            <w:pPr>
              <w:spacing w:after="0"/>
              <w:rPr>
                <w:sz w:val="19"/>
                <w:szCs w:val="19"/>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2012</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1,201.0</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459.6</w:t>
            </w:r>
          </w:p>
        </w:tc>
        <w:tc>
          <w:tcPr>
            <w:tcW w:w="1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(22.0)</w:t>
            </w: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(21.3)</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784.7</w:t>
            </w:r>
          </w:p>
        </w:tc>
      </w:tr>
      <w:tr>
        <w:trPr>
          <w:trHeight w:val="21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104.7</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104.7</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Gain on Derivatives –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0"/>
        </w:trPr>
        <w:tc>
          <w:tcPr>
            <w:tcW w:w="3920" w:type="dxa"/>
            <w:vAlign w:val="bottom"/>
          </w:tcPr>
          <w:p>
            <w:pPr>
              <w:ind w:left="380"/>
              <w:spacing w:after="0"/>
              <w:rPr>
                <w:sz w:val="20"/>
                <w:szCs w:val="20"/>
                <w:color w:val="auto"/>
              </w:rPr>
            </w:pPr>
            <w:r>
              <w:rPr>
                <w:rFonts w:ascii="Arial" w:cs="Arial" w:eastAsia="Arial" w:hAnsi="Arial"/>
                <w:sz w:val="16"/>
                <w:szCs w:val="16"/>
                <w:color w:val="auto"/>
                <w:w w:val="98"/>
              </w:rPr>
              <w:t>Defined Benefit Pension and Other Postretirement</w:t>
            </w: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920" w:type="dxa"/>
            <w:vAlign w:val="bottom"/>
          </w:tcPr>
          <w:p>
            <w:pPr>
              <w:ind w:left="380"/>
              <w:spacing w:after="0"/>
              <w:rPr>
                <w:sz w:val="20"/>
                <w:szCs w:val="20"/>
                <w:color w:val="auto"/>
              </w:rPr>
            </w:pPr>
            <w:r>
              <w:rPr>
                <w:rFonts w:ascii="Arial" w:cs="Arial" w:eastAsia="Arial" w:hAnsi="Arial"/>
                <w:sz w:val="16"/>
                <w:szCs w:val="16"/>
                <w:color w:val="auto"/>
              </w:rPr>
              <w:t>Plans –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150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4.8</w:t>
            </w: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Total Comprehensive Income Attributable to ALLETE</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109.6</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Common Stock Issued –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100.5</w:t>
            </w: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100.5</w:t>
            </w: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ESOP Shares Earned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7.0</w:t>
            </w:r>
          </w:p>
        </w:tc>
        <w:tc>
          <w:tcPr>
            <w:tcW w:w="1260" w:type="dxa"/>
            <w:vAlign w:val="bottom"/>
          </w:tcPr>
          <w:p>
            <w:pPr>
              <w:spacing w:after="0"/>
              <w:rPr>
                <w:sz w:val="19"/>
                <w:szCs w:val="19"/>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$1,342.9</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$489.1</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$(14.3)</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$885.2</w:t>
            </w:r>
          </w:p>
        </w:tc>
      </w:tr>
      <w:tr>
        <w:trPr>
          <w:trHeight w:val="20"/>
        </w:trPr>
        <w:tc>
          <w:tcPr>
            <w:tcW w:w="39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364"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Our consolidated financial statements include the accounts of ALLETE and all of our majority-owned subsidiary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material intercompany balances and transactions have been eliminated in consolidation.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Our Regulated Operations and Investments and Other segments were determined in accordance with the guidance on segment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Segmentation is based on the manner in which we operate, assess, and allocate resources to the business.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143,000 retail customers. In 2013, Minnesota Power’s non-affiliated municipal customers consisted of 16 municipalities in Minnesota and 1 Wisconsin utility which terminated its contract effective December 31, 2013. SWL&amp;P is also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5,000 acres of land in Minnesota, and earnings on cash and investments.</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BNI Coal, a wholly-owned subsidiary, mines and sells lignite coal to two North Dakota mine-mouth generating units, one of which is Square Butte. In 2013, Square Butte supplied 50 percent (227.5 MW) of its output to Minnesota Power under a long-term contract. (See Note 12. Commitments, Guarantees and Contingencies.) Coal sales are recognized when delivered at the cost of production plus a specified profit per ton of coal delivered.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sell the portfolio when opportunities arise and reinvest the proceeds in our growth initiatives. ALLETE does not intend to acquire additional Florida real estate.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 profit recognition is recorded on sales upon closing, provided that cash collections are at least 20 percent of the contract price and the other requirements under the guidance for sales of real estate are met. In certain cases, where there are obligations to perform significant development activities after the date of sale, we recognize profit on a percentage-of-completion basis. From time to time, certain contracts with customers allow us to receive participation revenue from land sales to third parties if various formula-based criteria are achieved.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cases, we pay fees or construct improvements to mitigate offsite traffic impacts. In return, we receive traffic impact fee credits as a result of some of these expenditures. We recognize revenue from the sale of traffic impact fee credits when payment is received.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Land inventories are accounted for in accordance with the accounting standards for property, plant and equipment, and are included in Other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the accounting standards for real estate. The cost of real estate sold includes the actual costs incurred and the estimate of future completion costs allocated to the real estate sold based upon the relative sales value method. Whenever events or circumstances indicate that the carrying value of the real estate may not be recoverable, impairments are recorded and the related assets are adjusted to their estimated fair value. (See Note 8. Investments.)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a wholly-owned subsidiary of ALLETE, operates independently of Minnesota Power to develop or acquire capital projects aimed at creating energy solutions via wind, solar, biomass, midstream gas and oil infrastructure, among other energy-related projects. ALLETE Clean Energy intends to market to electric utilities, cooperatives, municipalities, independent power marketers and large end-users across North America through long-term contracts or other sale arrangements, and will be subject to applicable state and federal regulatory jurisdiction.</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In August 2011, ALLETE purchased the remaining shares of the ALLETE Properties non-controlling interest at</w:t>
      </w:r>
      <w:r>
        <w:rPr>
          <w:rFonts w:ascii="Arial" w:cs="Arial" w:eastAsia="Arial" w:hAnsi="Arial"/>
          <w:sz w:val="18"/>
          <w:szCs w:val="18"/>
          <w:b w:val="1"/>
          <w:bCs w:val="1"/>
          <w:color w:val="auto"/>
        </w:rPr>
        <w:t xml:space="preserve"> </w:t>
      </w:r>
      <w:r>
        <w:rPr>
          <w:rFonts w:ascii="Arial" w:cs="Arial" w:eastAsia="Arial" w:hAnsi="Arial"/>
          <w:sz w:val="18"/>
          <w:szCs w:val="18"/>
          <w:color w:val="auto"/>
        </w:rPr>
        <w:t>book value for $8.8 million by issuing 0.2 million shares of ALLETE common stock. This was accounted for as an equity transaction, and no gain or loss was recognized in net income or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 consider all investments purchased with original maturities of three months or less to be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Cash Flows</w:t>
            </w: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7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1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$47.5</w:t>
            </w:r>
          </w:p>
        </w:tc>
        <w:tc>
          <w:tcPr>
            <w:tcW w:w="11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 xml:space="preserve">Cash Paid (Received) During the Period for Income Taxes </w:t>
            </w:r>
            <w:r>
              <w:rPr>
                <w:rFonts w:ascii="Arial" w:cs="Arial" w:eastAsia="Arial" w:hAnsi="Arial"/>
                <w:sz w:val="18"/>
                <w:szCs w:val="18"/>
                <w:i w:val="1"/>
                <w:iCs w:val="1"/>
                <w:color w:val="auto"/>
              </w:rPr>
              <w:t>(a)</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7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Increase in Accounts Payable for Capital Additions to Property, Plant and Equipment</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$8.3</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$20.2</w:t>
            </w: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Capitalized Asset Retirement Costs</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$(0.7)</w:t>
            </w:r>
          </w:p>
        </w:tc>
        <w:tc>
          <w:tcPr>
            <w:tcW w:w="11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$4.6</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1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74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Due to bonus depreciation provisions in 2010 and 2012 federal legislation, NOLs were generated which resulted in little or no estimated tax payments, and in 2011, refunds were received from NOL carrybacks against prior years’ taxable income.</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balance sheet net of an allowance for doubtful accounts. The allowance is based on our</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of the receivable portfolio under current conditions, overall portfolio quality, review of specific problems and such other factors that, in our judgment, deserve recognition in estimating losses.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4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1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4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Billed</w:t>
            </w:r>
          </w:p>
        </w:tc>
        <w:tc>
          <w:tcPr>
            <w:tcW w:w="4140" w:type="dxa"/>
            <w:vAlign w:val="bottom"/>
          </w:tcPr>
          <w:p>
            <w:pPr>
              <w:jc w:val="right"/>
              <w:ind w:right="510"/>
              <w:spacing w:after="0"/>
              <w:rPr>
                <w:sz w:val="20"/>
                <w:szCs w:val="20"/>
                <w:color w:val="auto"/>
              </w:rPr>
            </w:pPr>
            <w:r>
              <w:rPr>
                <w:rFonts w:ascii="Arial" w:cs="Arial" w:eastAsia="Arial" w:hAnsi="Arial"/>
                <w:sz w:val="18"/>
                <w:szCs w:val="18"/>
                <w:color w:val="auto"/>
              </w:rPr>
              <w:t>$78.7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7"/>
        </w:trPr>
        <w:tc>
          <w:tcPr>
            <w:tcW w:w="61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41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18.7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Less: Allowance for Doubtful Accounts</w:t>
            </w:r>
          </w:p>
        </w:tc>
        <w:tc>
          <w:tcPr>
            <w:tcW w:w="414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1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Trade Accounts Receivable</w:t>
            </w:r>
          </w:p>
        </w:tc>
        <w:tc>
          <w:tcPr>
            <w:tcW w:w="41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96.3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Taxes Receivable</w:t>
            </w:r>
          </w:p>
        </w:tc>
        <w:tc>
          <w:tcPr>
            <w:tcW w:w="41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1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 Net</w:t>
            </w:r>
          </w:p>
        </w:tc>
        <w:tc>
          <w:tcPr>
            <w:tcW w:w="41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$96.3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r>
      <w:tr>
        <w:trPr>
          <w:trHeight w:val="20"/>
        </w:trPr>
        <w:tc>
          <w:tcPr>
            <w:tcW w:w="618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Financial instruments that subject us to concentrations of credit risk consist primarily of accounts receivable. Minnesota</w:t>
      </w:r>
      <w:r>
        <w:rPr>
          <w:rFonts w:ascii="Arial" w:cs="Arial" w:eastAsia="Arial" w:hAnsi="Arial"/>
          <w:sz w:val="17"/>
          <w:szCs w:val="17"/>
          <w:b w:val="1"/>
          <w:bCs w:val="1"/>
          <w:color w:val="auto"/>
        </w:rPr>
        <w:t xml:space="preserve"> </w:t>
      </w:r>
      <w:r>
        <w:rPr>
          <w:rFonts w:ascii="Arial" w:cs="Arial" w:eastAsia="Arial" w:hAnsi="Arial"/>
          <w:sz w:val="17"/>
          <w:szCs w:val="17"/>
          <w:color w:val="auto"/>
        </w:rPr>
        <w:t>Power sells electricity to 9 Large Power Customers. Receivables from these customers totaled $14.2 million at December 31, 2013 ($13.7 million at December 31, 2012). Minnesota Power does not obtain collateral to support utility receivables, but monitors the credit standing of major customers. In addition, Minnesota Power’s taconite-producing Large Power Customers are on a weekly billing cycle, which allows us to closely manage collection of amounts due. One of these customers accounted for 12.0 percent of consolidated revenue in 2013 (12.3 percent in 2012; 12.6 percent in 2011).</w:t>
      </w:r>
    </w:p>
    <w:p>
      <w:pPr>
        <w:spacing w:after="0" w:line="16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Long-Term Finance Receivables. </w:t>
      </w:r>
      <w:r>
        <w:rPr>
          <w:rFonts w:ascii="Arial" w:cs="Arial" w:eastAsia="Arial" w:hAnsi="Arial"/>
          <w:sz w:val="16"/>
          <w:szCs w:val="16"/>
          <w:color w:val="auto"/>
        </w:rPr>
        <w:t>Long-term finance receivables relating to our real estate operations are collateralized by property sold, accrue interest at</w:t>
      </w:r>
      <w:r>
        <w:rPr>
          <w:rFonts w:ascii="Arial" w:cs="Arial" w:eastAsia="Arial" w:hAnsi="Arial"/>
          <w:sz w:val="16"/>
          <w:szCs w:val="16"/>
          <w:b w:val="1"/>
          <w:bCs w:val="1"/>
          <w:color w:val="auto"/>
        </w:rPr>
        <w:t xml:space="preserve"> </w:t>
      </w:r>
      <w:r>
        <w:rPr>
          <w:rFonts w:ascii="Arial" w:cs="Arial" w:eastAsia="Arial" w:hAnsi="Arial"/>
          <w:sz w:val="16"/>
          <w:szCs w:val="16"/>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 (See Note 8. Investments.)</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securities are recorded at fair value with unrealized gains and losses included in accumulated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net of tax. Unrealized losses that are other than temporary are recognized in earnings. We use the specific identification method as the basis for determining the cost of securities sold. Our policy is to review available-for-sale securities for other than temporary impairment on a quarterly basis by assessing such factors as the share price trends and the impact of overall market conditions. (See Note 8.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8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8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5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8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8"/>
                <w:szCs w:val="18"/>
                <w:i w:val="1"/>
                <w:iCs w:val="1"/>
                <w:color w:val="auto"/>
              </w:rPr>
              <w:t>(a)</w:t>
            </w:r>
          </w:p>
        </w:tc>
        <w:tc>
          <w:tcPr>
            <w:tcW w:w="4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$13.1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820" w:type="dxa"/>
            <w:vAlign w:val="bottom"/>
          </w:tcPr>
          <w:p>
            <w:pPr>
              <w:jc w:val="right"/>
              <w:ind w:right="510"/>
              <w:spacing w:after="0"/>
              <w:rPr>
                <w:sz w:val="20"/>
                <w:szCs w:val="20"/>
                <w:color w:val="auto"/>
              </w:rPr>
            </w:pPr>
            <w:r>
              <w:rPr>
                <w:rFonts w:ascii="Arial" w:cs="Arial" w:eastAsia="Arial" w:hAnsi="Arial"/>
                <w:sz w:val="18"/>
                <w:szCs w:val="18"/>
                <w:color w:val="auto"/>
              </w:rPr>
              <w:t>46.2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55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$59.3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0"/>
        </w:trPr>
        <w:tc>
          <w:tcPr>
            <w:tcW w:w="550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Fuel inventory was lower in 2013 primarily due to higher than expected thermal generation and the timing of coal shipments.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are recorded at original cost and are reported on the balance sheet net of accumulated</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Expenditures for additions, significant replacements, improvements and major plant overhauls are capitalized; maintenance and repair costs are expensed as incurred. Gains or losses on non-rate base property, plant and equipment are recognized when they are retired or otherwise disposed. When regulated utility property, plant and equipment are retired or otherwise disposed, no gain or loss is recognized in accordance with the accounting standards for Regulated Operations.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3. Property, Plant and Equipment.)</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long-standing ratemaking practices approved by applicable state and federal regulatory commissions have allowed for the recovery of the remaining book value of retired plant assets. In January 2013, we announced the retirement of Taconite Harbor Unit 3 and conversion of Laskin Energy Center to natural gas in 2015, which were included in our 2013 Integrated Resource Plan approved by the MPUC in an order dated November 12, 2013. Accordingly, we do not expect any impairment charge as a result of the retirement of Taconite Harbor Unit 3 or conversion of the Laskin Energy Center.</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Land inventory is accounted for as held for use and is recorded at cost. We review our long-lived assets, which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real estate assets of ALLETE Properties, for indicators of impairment in accordance with the accounting standards for property, plant and equipment on a quarterly basis.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accounting standards for property, plant and equipment, if indicators of impairment exist, we test our real estate assets for recoverability by comparing the carrying amount of the asset to the undiscounted future net cash flows expected to be generated by the asset. Cash flows are assessed at the lowest level of identifiable cash flows, which may be by each land parcel, combining various parcels, or other combinations thereof. Our consideration of possible impairment for our real estate assets requires us to make estimates of future net cash flows on an undiscounted basis.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develop and maintain the operations, including community development district assessments, property taxes and normal operation and maintenance costs. These estimates and expectations are specific to each land parcel or various bulk sales, may vary among each land parcel or bulk sale, and may change in the future. If the excess of undiscounted future net cash flows over the carrying amount of a property is small, there is a greater risk of future impairment in the event of such future changes and any resulting impairment charges could be material.</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recent years, market conditions for real estate in Florida have required us to review our land inventories for impairment. Our undiscounted future net cash flow analysis was estimated using management’s current intent for disposition of each property, which is an estimated selling period of five to ten years based on a December 2013 asset management and disposition plan (Plan) which will be reviewed annually for adjustment or modification. Future selling prices have been estimated through management’s best estimate of future sales prices in collaboration and consultation with outside advisors, and based on the best use of the properties over the expected period of sale. The undiscounted future net cash flow analysis assumes two scenarios: retail land sales followed by project bulk sales over a five-year period and retail land sales over a ten-year period. Our analysis assumes the most likely case of retail land sales followed by project bulk sales over a five-year period; however, under both scenarios, except as noted below, the undiscounted future net cash flows exceeded carrying values. If our major development projects are sold in one bulk sale or if the properties are sold differently than anticipated in the Plan, the actual results could be materially different from our undiscounted future net cash flow analysis.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the impairment analysis are particularly dependent on the estimated future sales prices, method of disposition, and holding period for each property. The estimated holding period, as set forth in the Plan, is based on management’s current intent for the use and disposition of each property, and is subject to change in future periods if the intentions of the Company were to change.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that projected undiscounted future net cash flows are not adequate to recover the carrying value of an asset, impairment is indicated and may require a write down to the asset’s fair value. Fair value is determined based on best available evidence including comparable sales, current appraised values, property tax assessed values, and discounted cash flow analysis. If fair value of the asset is less than its carrying value, its carrying value is reduced and an impairment charge is recorded in the current period. In 2013, impairment analyses of estimated undiscounted future net cash flows were conducted and indicated that the cash flows were adequate to recover the carrying value of our land inventory. As a result, there was no impairment recorded for the year ended December 31, 2013 (none for the year ended December 31, 2012, $1.7 million for the year ended December 31, 2011).</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Non-Current Assets. </w:t>
      </w:r>
      <w:r>
        <w:rPr>
          <w:rFonts w:ascii="Arial" w:cs="Arial" w:eastAsia="Arial" w:hAnsi="Arial"/>
          <w:sz w:val="18"/>
          <w:szCs w:val="18"/>
          <w:color w:val="auto"/>
        </w:rPr>
        <w:t>As of December 31, 2013, included in other non-current assets on the Consolidated Balance Sheet was restricted cash of $5.4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related to cash held in escrow pending closing of the acquisition of wind energy facilities by ALLETE Clean Energy, which occurred on January 30, 2014. (See Note 7. Acquisitions.)</w:t>
      </w:r>
    </w:p>
    <w:p>
      <w:pPr>
        <w:spacing w:after="0" w:line="1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color w:val="auto"/>
        </w:rPr>
        <w:t>ALLETE is exposed to certain risks relating to its business operations that can be managed through the use of derivative instruments. ALLETE</w:t>
      </w:r>
      <w:r>
        <w:rPr>
          <w:rFonts w:ascii="Arial" w:cs="Arial" w:eastAsia="Arial" w:hAnsi="Arial"/>
          <w:sz w:val="16"/>
          <w:szCs w:val="16"/>
          <w:b w:val="1"/>
          <w:bCs w:val="1"/>
          <w:color w:val="auto"/>
        </w:rPr>
        <w:t xml:space="preserve"> </w:t>
      </w:r>
      <w:r>
        <w:rPr>
          <w:rFonts w:ascii="Arial" w:cs="Arial" w:eastAsia="Arial" w:hAnsi="Arial"/>
          <w:sz w:val="16"/>
          <w:szCs w:val="16"/>
          <w:color w:val="auto"/>
        </w:rPr>
        <w:t>may enter into derivative instruments to manage those risks including interest rate risk related to certain variable-rate borrowings. (See Note 9. Derivatives.)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18. Employee Stock and Incentive Plans.)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94"/>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8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12.1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8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$35.1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561"/>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8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$26.0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26.6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8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$52.6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561"/>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8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$81.8</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Pr>
          <w:p>
            <w:pPr>
              <w:jc w:val="right"/>
              <w:ind w:right="450"/>
              <w:spacing w:after="0"/>
              <w:rPr>
                <w:sz w:val="20"/>
                <w:szCs w:val="20"/>
                <w:color w:val="auto"/>
              </w:rPr>
            </w:pPr>
            <w:r>
              <w:rPr>
                <w:rFonts w:ascii="Arial" w:cs="Arial" w:eastAsia="Arial" w:hAnsi="Arial"/>
                <w:sz w:val="18"/>
                <w:szCs w:val="18"/>
                <w:color w:val="auto"/>
              </w:rPr>
              <w:t>45.4</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8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$127.2</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r>
      <w:tr>
        <w:trPr>
          <w:trHeight w:val="20"/>
        </w:trPr>
        <w:tc>
          <w:tcPr>
            <w:tcW w:w="80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on a quarterly basis. Accruals for environmental matters are recorded when it is probable that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 (See Note 12. Commitments, Guarantees and Contingencies.)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Regulated utility rates are under the jurisdiction of Minnesota, Wisconsin and federal regulatory authorities. Customers are billed on a</w:t>
      </w:r>
      <w:r>
        <w:rPr>
          <w:rFonts w:ascii="Arial" w:cs="Arial" w:eastAsia="Arial" w:hAnsi="Arial"/>
          <w:sz w:val="17"/>
          <w:szCs w:val="17"/>
          <w:b w:val="1"/>
          <w:bCs w:val="1"/>
          <w:color w:val="auto"/>
        </w:rPr>
        <w:t xml:space="preserve"> </w:t>
      </w:r>
      <w:r>
        <w:rPr>
          <w:rFonts w:ascii="Arial" w:cs="Arial" w:eastAsia="Arial" w:hAnsi="Arial"/>
          <w:sz w:val="17"/>
          <w:szCs w:val="17"/>
          <w:color w:val="auto"/>
        </w:rPr>
        <w:t>cycle basis. Revenue is accrued for service provided but not yet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transmission, renewable energy and environmental expenditures. Fuel and purchased power expense is deferred to match the period in which the revenue for fuel and purchased power expense is collected from customers pursuant to the fuel adjustment clause. BNI Coal recognizes revenue when coal is delivered.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revenue from our cost recovery riders (renewable resources, transmission and environmental improvement) in accordance with the accounting standards for alternative revenue programs. These standards allow for recognizing revenue under an alternative revenue program if the program is established by an order from the utility’s regulatory commission, the order allows automatic adjustment of future rates, the amount of the revenue recognized is objectively determinable and probable of recovery, and the revenue will be collected within 24 months following the end of the annual period in which it is recognized. Revenue recognized using the alternative revenue program guidance is included in operating revenue on our Consolidated Statement of Income and regulatory assets on our Consolidated Balance Sheet until it is subsequently collected from customers.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Minnesota Power participates in MISO. MISO transactions are accounted for on a net hourly basis in each of the day-ahead and real-time markets. Minnesota Power records net sales in Operating Revenue and net purchases in Fuel and Purchased Power Expense on our Consolidated Statement of Income. The revenues and charges from MISO related to serving retail and municipal electric customers are recorded on a net basis as Fuel and Purchased Power Expense.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straight-line method which approximates the effective interest method.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and combined and separate state income tax returns. We account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using the liability method in accordance with the accounting standards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the accounting standards for uncertainty in income taxes, we are required to recognize in our financial statements the largest tax benefit of a tax position that is “more-likely-than-not” to be sustained on audit, based solely on the technical merits of the position as of the reporting date. The term “more-likely-than-not” means more than 50 percent likely. (See Note 15. Income Tax Expense.)</w:t>
      </w:r>
    </w:p>
    <w:p>
      <w:pPr>
        <w:spacing w:after="0" w:line="169"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a net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Amounts Reclassified Out of Accumulated Other Comprehensive Income. </w:t>
      </w:r>
      <w:r>
        <w:rPr>
          <w:rFonts w:ascii="Arial" w:cs="Arial" w:eastAsia="Arial" w:hAnsi="Arial"/>
          <w:sz w:val="17"/>
          <w:szCs w:val="17"/>
          <w:color w:val="auto"/>
        </w:rPr>
        <w:t>In February 2013, the FASB issued an accounting standard update on disclosure of</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reclassified out of accumulated other comprehensive income. This update requires entities to provide information about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guidance, which was adopted beginning with the quarter ended March 31, 2013, and required additional disclosures, did not have an impact on our consolidated financial position, results of operations, or cash flows. (See Note 16. Reclassifications Out of Accumulated Other Comprehensive Income (Loss).)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Presentation of an Unrecognized Tax Benefit When a Net Operating Loss Carryforward, a Similar Tax Loss, or a Tax Credit Carryforward Exists. </w:t>
      </w:r>
      <w:r>
        <w:rPr>
          <w:rFonts w:ascii="Arial" w:cs="Arial" w:eastAsia="Arial" w:hAnsi="Arial"/>
          <w:sz w:val="17"/>
          <w:szCs w:val="17"/>
          <w:color w:val="auto"/>
        </w:rPr>
        <w:t>In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2013, the FASB issued an accounting standard update on the financial statement presentation of unrecognized tax benefits when an NOL carryforward, a similar tax loss, or a tax credit carryforward exists. An unrecognized tax benefit, or a portion of an unrecognized tax benefit, should be presented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to settle any additional income taxes that would result from the disallowance of a tax position or the tax law does not require the entity to use, and the entity does not intend to use, the deferred tax asset for such purpose, the unrecognized tax benefit should be presented in the financial statements as a liability and should not be combined with deferred tax assets. This guidance will be effective beginning with the quarter ending March 31, 2014, and is not expected to have a material impact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5,000 acres of land in Minnesota, and earnings on cash and investments. For a description of our reportable business segments, see Item 1. Business.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Investments</w:t>
            </w:r>
          </w:p>
        </w:tc>
      </w:tr>
      <w:tr>
        <w:trPr>
          <w:trHeight w:val="234"/>
        </w:trPr>
        <w:tc>
          <w:tcPr>
            <w:tcW w:w="5060" w:type="dxa"/>
            <w:vAlign w:val="bottom"/>
          </w:tcPr>
          <w:p>
            <w:pPr>
              <w:spacing w:after="0"/>
              <w:rPr>
                <w:sz w:val="20"/>
                <w:szCs w:val="20"/>
                <w:color w:val="auto"/>
              </w:rPr>
            </w:pPr>
          </w:p>
        </w:tc>
        <w:tc>
          <w:tcPr>
            <w:tcW w:w="3540" w:type="dxa"/>
            <w:vAlign w:val="bottom"/>
          </w:tcPr>
          <w:p>
            <w:pPr>
              <w:jc w:val="right"/>
              <w:ind w:right="270"/>
              <w:spacing w:after="0"/>
              <w:rPr>
                <w:sz w:val="20"/>
                <w:szCs w:val="20"/>
                <w:color w:val="auto"/>
              </w:rPr>
            </w:pPr>
            <w:r>
              <w:rPr>
                <w:rFonts w:ascii="Arial" w:cs="Arial" w:eastAsia="Arial" w:hAnsi="Arial"/>
                <w:sz w:val="18"/>
                <w:szCs w:val="18"/>
                <w:b w:val="1"/>
                <w:bCs w:val="1"/>
                <w:color w:val="auto"/>
              </w:rPr>
              <w:t>Consolidated</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and Other</w:t>
            </w:r>
          </w:p>
        </w:tc>
      </w:tr>
      <w:tr>
        <w:trPr>
          <w:trHeight w:val="27"/>
        </w:trPr>
        <w:tc>
          <w:tcPr>
            <w:tcW w:w="50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3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$1,018.4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$925.5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$92.9</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334.8</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334.8</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412.9</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322.4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90.5</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116.6</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110.2</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5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3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154.1</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158.1</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(50.3)</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20.3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5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Income Taxes</w:t>
            </w:r>
          </w:p>
        </w:tc>
        <w:tc>
          <w:tcPr>
            <w:tcW w:w="3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133.4</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141.0</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28.7</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5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3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$104.7</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$104.9</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0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$3,476.8</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$3,160.8</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Capital Additions</w:t>
            </w:r>
          </w:p>
        </w:tc>
        <w:tc>
          <w:tcPr>
            <w:tcW w:w="3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$339.5</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$326.3</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50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Investments</w:t>
            </w:r>
          </w:p>
        </w:tc>
      </w:tr>
      <w:tr>
        <w:trPr>
          <w:trHeight w:val="234"/>
        </w:trPr>
        <w:tc>
          <w:tcPr>
            <w:tcW w:w="5060" w:type="dxa"/>
            <w:vAlign w:val="bottom"/>
          </w:tcPr>
          <w:p>
            <w:pPr>
              <w:spacing w:after="0"/>
              <w:rPr>
                <w:sz w:val="20"/>
                <w:szCs w:val="20"/>
                <w:color w:val="auto"/>
              </w:rPr>
            </w:pPr>
          </w:p>
        </w:tc>
        <w:tc>
          <w:tcPr>
            <w:tcW w:w="3540" w:type="dxa"/>
            <w:vAlign w:val="bottom"/>
          </w:tcPr>
          <w:p>
            <w:pPr>
              <w:jc w:val="right"/>
              <w:ind w:right="270"/>
              <w:spacing w:after="0"/>
              <w:rPr>
                <w:sz w:val="20"/>
                <w:szCs w:val="20"/>
                <w:color w:val="auto"/>
              </w:rPr>
            </w:pPr>
            <w:r>
              <w:rPr>
                <w:rFonts w:ascii="Arial" w:cs="Arial" w:eastAsia="Arial" w:hAnsi="Arial"/>
                <w:sz w:val="18"/>
                <w:szCs w:val="18"/>
                <w:b w:val="1"/>
                <w:bCs w:val="1"/>
                <w:color w:val="auto"/>
              </w:rPr>
              <w:t>Consolidated</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and Other</w:t>
            </w:r>
          </w:p>
        </w:tc>
      </w:tr>
      <w:tr>
        <w:trPr>
          <w:trHeight w:val="27"/>
        </w:trPr>
        <w:tc>
          <w:tcPr>
            <w:tcW w:w="50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3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$961.2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$874.4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308.7</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308.7</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397.1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310.0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87.1</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100.2</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93.9</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5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3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155.2</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161.8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(45.5)</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19.4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19.4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5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Income Taxes</w:t>
            </w:r>
          </w:p>
        </w:tc>
        <w:tc>
          <w:tcPr>
            <w:tcW w:w="3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135.1</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146.5</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38.0</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5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3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$97.1</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$96.1</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0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$3,253.4</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$2,962.4</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Capital Additions</w:t>
            </w:r>
          </w:p>
        </w:tc>
        <w:tc>
          <w:tcPr>
            <w:tcW w:w="3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$432.2</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$418.2</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50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6"/>
        </w:trPr>
        <w:tc>
          <w:tcPr>
            <w:tcW w:w="6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Investments</w:t>
            </w:r>
          </w:p>
        </w:tc>
      </w:tr>
      <w:tr>
        <w:trPr>
          <w:trHeight w:val="234"/>
        </w:trPr>
        <w:tc>
          <w:tcPr>
            <w:tcW w:w="6140" w:type="dxa"/>
            <w:vAlign w:val="bottom"/>
          </w:tcPr>
          <w:p>
            <w:pPr>
              <w:spacing w:after="0"/>
              <w:rPr>
                <w:sz w:val="20"/>
                <w:szCs w:val="20"/>
                <w:color w:val="auto"/>
              </w:rPr>
            </w:pPr>
          </w:p>
        </w:tc>
        <w:tc>
          <w:tcPr>
            <w:tcW w:w="2460" w:type="dxa"/>
            <w:vAlign w:val="bottom"/>
          </w:tcPr>
          <w:p>
            <w:pPr>
              <w:jc w:val="right"/>
              <w:ind w:right="270"/>
              <w:spacing w:after="0"/>
              <w:rPr>
                <w:sz w:val="20"/>
                <w:szCs w:val="20"/>
                <w:color w:val="auto"/>
              </w:rPr>
            </w:pPr>
            <w:r>
              <w:rPr>
                <w:rFonts w:ascii="Arial" w:cs="Arial" w:eastAsia="Arial" w:hAnsi="Arial"/>
                <w:sz w:val="18"/>
                <w:szCs w:val="18"/>
                <w:b w:val="1"/>
                <w:bCs w:val="1"/>
                <w:color w:val="auto"/>
              </w:rPr>
              <w:t>Consolidated</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and Other</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2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$928.2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$851.9</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$76.3</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306.6</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306.6</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381.2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301.5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90.4</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85.4</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150.0</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158.4</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18.4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18.4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129.2</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143.6</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35.6</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93.6</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100.4</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$93.8</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$100.4</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$2,876.0</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$2,579.8</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$246.8</w:t>
            </w: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$228.0</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642"/>
        </w:trPr>
        <w:tc>
          <w:tcPr>
            <w:tcW w:w="6140" w:type="dxa"/>
            <w:vAlign w:val="bottom"/>
          </w:tcPr>
          <w:p>
            <w:pPr>
              <w:spacing w:after="0"/>
              <w:rPr>
                <w:sz w:val="20"/>
                <w:szCs w:val="20"/>
                <w:color w:val="auto"/>
              </w:rPr>
            </w:pPr>
            <w:r>
              <w:rPr>
                <w:rFonts w:ascii="Arial" w:cs="Arial" w:eastAsia="Arial" w:hAnsi="Arial"/>
                <w:sz w:val="18"/>
                <w:szCs w:val="18"/>
                <w:b w:val="1"/>
                <w:bCs w:val="1"/>
                <w:color w:val="auto"/>
              </w:rPr>
              <w:t>NOTE 3. PROPERTY, PLANT AND EQUIPMENT</w:t>
            </w:r>
          </w:p>
        </w:tc>
        <w:tc>
          <w:tcPr>
            <w:tcW w:w="2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9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460" w:type="dxa"/>
            <w:vAlign w:val="bottom"/>
          </w:tcPr>
          <w:p>
            <w:pPr>
              <w:spacing w:after="0"/>
              <w:rPr>
                <w:sz w:val="23"/>
                <w:szCs w:val="23"/>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w:t>
            </w:r>
          </w:p>
        </w:tc>
        <w:tc>
          <w:tcPr>
            <w:tcW w:w="2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$3,380.0</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2460" w:type="dxa"/>
            <w:vAlign w:val="bottom"/>
          </w:tcPr>
          <w:p>
            <w:pPr>
              <w:spacing w:after="0"/>
              <w:rPr>
                <w:sz w:val="21"/>
                <w:szCs w:val="21"/>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303.9</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151.8</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(1,181.7)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Regulated Utility Plant - Net</w:t>
            </w:r>
          </w:p>
        </w:tc>
        <w:tc>
          <w:tcPr>
            <w:tcW w:w="2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2,502.2</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2,281.9</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Non-Rate Base Energy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131.3</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2460" w:type="dxa"/>
            <w:vAlign w:val="bottom"/>
          </w:tcPr>
          <w:p>
            <w:pPr>
              <w:spacing w:after="0"/>
              <w:rPr>
                <w:sz w:val="21"/>
                <w:szCs w:val="21"/>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Non-Rate Base Energy Operations Plant - Net</w:t>
            </w:r>
          </w:p>
        </w:tc>
        <w:tc>
          <w:tcPr>
            <w:tcW w:w="2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74.3</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Plant - Net</w:t>
            </w:r>
          </w:p>
        </w:tc>
        <w:tc>
          <w:tcPr>
            <w:tcW w:w="2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 Net</w:t>
            </w:r>
          </w:p>
        </w:tc>
        <w:tc>
          <w:tcPr>
            <w:tcW w:w="2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$2,576.5</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$2,347.6</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Useful Lives of Property, Plant and Equipment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Generation</w:t>
            </w:r>
          </w:p>
        </w:tc>
        <w:tc>
          <w:tcPr>
            <w:tcW w:w="2380" w:type="dxa"/>
            <w:vAlign w:val="bottom"/>
            <w:tcBorders>
              <w:top w:val="single" w:sz="8" w:color="auto"/>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5 to 35 years</w:t>
            </w:r>
          </w:p>
        </w:tc>
        <w:tc>
          <w:tcPr>
            <w:tcW w:w="4380" w:type="dxa"/>
            <w:vAlign w:val="bottom"/>
            <w:tcBorders>
              <w:top w:val="single" w:sz="8" w:color="auto"/>
              <w:bottom w:val="single" w:sz="8" w:color="CCEEFF"/>
            </w:tcBorders>
            <w:shd w:val="clear" w:color="auto" w:fill="CCEEFF"/>
          </w:tcPr>
          <w:p>
            <w:pPr>
              <w:ind w:left="2820"/>
              <w:spacing w:after="0"/>
              <w:rPr>
                <w:sz w:val="20"/>
                <w:szCs w:val="20"/>
                <w:color w:val="auto"/>
              </w:rPr>
            </w:pPr>
            <w:r>
              <w:rPr>
                <w:rFonts w:ascii="Arial" w:cs="Arial" w:eastAsia="Arial" w:hAnsi="Arial"/>
                <w:sz w:val="18"/>
                <w:szCs w:val="18"/>
                <w:color w:val="auto"/>
              </w:rPr>
              <w:t>Distribution</w:t>
            </w:r>
          </w:p>
        </w:tc>
        <w:tc>
          <w:tcPr>
            <w:tcW w:w="294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14 to 65 years</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Transmission</w:t>
            </w:r>
          </w:p>
        </w:tc>
        <w:tc>
          <w:tcPr>
            <w:tcW w:w="2380" w:type="dxa"/>
            <w:vAlign w:val="bottom"/>
          </w:tcPr>
          <w:p>
            <w:pPr>
              <w:ind w:left="660"/>
              <w:spacing w:after="0"/>
              <w:rPr>
                <w:sz w:val="20"/>
                <w:szCs w:val="20"/>
                <w:color w:val="auto"/>
              </w:rPr>
            </w:pPr>
            <w:r>
              <w:rPr>
                <w:rFonts w:ascii="Arial" w:cs="Arial" w:eastAsia="Arial" w:hAnsi="Arial"/>
                <w:sz w:val="18"/>
                <w:szCs w:val="18"/>
                <w:color w:val="auto"/>
              </w:rPr>
              <w:t>42 to 61 years</w:t>
            </w:r>
          </w:p>
        </w:tc>
        <w:tc>
          <w:tcPr>
            <w:tcW w:w="4380" w:type="dxa"/>
            <w:vAlign w:val="bottom"/>
          </w:tcPr>
          <w:p>
            <w:pPr>
              <w:ind w:left="2820"/>
              <w:spacing w:after="0"/>
              <w:rPr>
                <w:sz w:val="20"/>
                <w:szCs w:val="20"/>
                <w:color w:val="auto"/>
              </w:rPr>
            </w:pPr>
            <w:r>
              <w:rPr>
                <w:rFonts w:ascii="Arial" w:cs="Arial" w:eastAsia="Arial" w:hAnsi="Arial"/>
                <w:sz w:val="18"/>
                <w:szCs w:val="18"/>
                <w:color w:val="auto"/>
              </w:rPr>
              <w:t>Other Plant</w:t>
            </w:r>
          </w:p>
        </w:tc>
        <w:tc>
          <w:tcPr>
            <w:tcW w:w="2940" w:type="dxa"/>
            <w:vAlign w:val="bottom"/>
          </w:tcPr>
          <w:p>
            <w:pPr>
              <w:ind w:left="700"/>
              <w:spacing w:after="0"/>
              <w:rPr>
                <w:sz w:val="20"/>
                <w:szCs w:val="20"/>
                <w:color w:val="auto"/>
              </w:rPr>
            </w:pPr>
            <w:r>
              <w:rPr>
                <w:rFonts w:ascii="Arial" w:cs="Arial" w:eastAsia="Arial" w:hAnsi="Arial"/>
                <w:sz w:val="18"/>
                <w:szCs w:val="18"/>
                <w:color w:val="auto"/>
              </w:rPr>
              <w:t>5 to 25 years</w:t>
            </w:r>
          </w:p>
        </w:tc>
      </w:tr>
      <w:tr>
        <w:trPr>
          <w:trHeight w:val="27"/>
        </w:trPr>
        <w:tc>
          <w:tcPr>
            <w:tcW w:w="16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654"/>
        </w:trPr>
        <w:tc>
          <w:tcPr>
            <w:tcW w:w="1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80" w:type="dxa"/>
            <w:vAlign w:val="bottom"/>
          </w:tcPr>
          <w:p>
            <w:pPr>
              <w:jc w:val="center"/>
              <w:ind w:right="950"/>
              <w:spacing w:after="0"/>
              <w:rPr>
                <w:sz w:val="20"/>
                <w:szCs w:val="20"/>
                <w:color w:val="auto"/>
              </w:rPr>
            </w:pPr>
            <w:r>
              <w:rPr>
                <w:rFonts w:ascii="Arial" w:cs="Arial" w:eastAsia="Arial" w:hAnsi="Arial"/>
                <w:sz w:val="18"/>
                <w:szCs w:val="18"/>
                <w:color w:val="auto"/>
                <w:w w:val="95"/>
              </w:rPr>
              <w:t>ALLETE 2013 Form 10-K</w:t>
            </w:r>
          </w:p>
        </w:tc>
        <w:tc>
          <w:tcPr>
            <w:tcW w:w="2940" w:type="dxa"/>
            <w:vAlign w:val="bottom"/>
          </w:tcPr>
          <w:p>
            <w:pPr>
              <w:spacing w:after="0"/>
              <w:rPr>
                <w:sz w:val="24"/>
                <w:szCs w:val="24"/>
                <w:color w:val="auto"/>
              </w:rPr>
            </w:pPr>
          </w:p>
        </w:tc>
      </w:tr>
      <w:tr>
        <w:trPr>
          <w:trHeight w:val="230"/>
        </w:trPr>
        <w:tc>
          <w:tcPr>
            <w:tcW w:w="1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380" w:type="dxa"/>
            <w:vAlign w:val="bottom"/>
          </w:tcPr>
          <w:p>
            <w:pPr>
              <w:jc w:val="right"/>
              <w:ind w:right="2530"/>
              <w:spacing w:after="0"/>
              <w:rPr>
                <w:sz w:val="20"/>
                <w:szCs w:val="20"/>
                <w:color w:val="auto"/>
              </w:rPr>
            </w:pPr>
            <w:r>
              <w:rPr>
                <w:rFonts w:ascii="Arial" w:cs="Arial" w:eastAsia="Arial" w:hAnsi="Arial"/>
                <w:sz w:val="18"/>
                <w:szCs w:val="18"/>
                <w:color w:val="auto"/>
              </w:rPr>
              <w:t>78</w:t>
            </w:r>
          </w:p>
        </w:tc>
        <w:tc>
          <w:tcPr>
            <w:tcW w:w="294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3. PROPERTY, PLANT AND EQUIPMENT (Continued)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or development and/or normal operation of the asset. Asset retirement obligations (ARO) relate primarily to the decommissioning of our coal-fired and wind generating facilities and land reclamation at BNI Coal, and are included in other non-current liabilities on our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Conditional asset retirement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commissions have allowed provisions for future plant removal costs in depreciation rates. These plant removal cost recoveries are classified either as AROs or as a regulatory liability for non-ARO obligations. To the extent annual accruals for plant removal costs differ from accruals under approved depreciation rates, a regulatory asset has been established in accordance with the guidance for AROs. (See Note 5. Regulatory Matters.)</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4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2011</w:t>
            </w:r>
          </w:p>
        </w:tc>
        <w:tc>
          <w:tcPr>
            <w:tcW w:w="4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46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78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in estimated cash flows</w:t>
            </w:r>
          </w:p>
        </w:tc>
        <w:tc>
          <w:tcPr>
            <w:tcW w:w="4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Obligation as of December 31, 2012</w:t>
            </w:r>
          </w:p>
        </w:tc>
        <w:tc>
          <w:tcPr>
            <w:tcW w:w="4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678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4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Revisions in estimated cash flows</w:t>
            </w:r>
          </w:p>
        </w:tc>
        <w:tc>
          <w:tcPr>
            <w:tcW w:w="46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8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2013</w:t>
            </w:r>
          </w:p>
        </w:tc>
        <w:tc>
          <w:tcPr>
            <w:tcW w:w="4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0"/>
        </w:trPr>
        <w:tc>
          <w:tcPr>
            <w:tcW w:w="6780" w:type="dxa"/>
            <w:vAlign w:val="bottom"/>
            <w:shd w:val="clear" w:color="auto" w:fill="000000"/>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JOINTLY-OWNED FACILITIES AND PROJECTS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80 percent of the 585 MW Boswell Unit 4. While we operate the plant, certain decisions about the operations of Boswell Unit 4 are subject to the oversight of a committee on which we and WPPI Energy, the owner of the remaining 20 percent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participant in the CapX2020 initiative to ensure reliable electric transmission and distribution in the region surrounding our rate-regulated operations in Minnesota, along with other electric cooperatives, municipals, and investor-owned utilities. We are currently participating in three CapX2020 projects with varying ownership percentages.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our investments in jointly-owned facilities and projects and the related ownership percentages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920" w:type="dxa"/>
            <w:vAlign w:val="bottom"/>
          </w:tcPr>
          <w:p>
            <w:pPr>
              <w:jc w:val="right"/>
              <w:ind w:right="530"/>
              <w:spacing w:after="0"/>
              <w:rPr>
                <w:sz w:val="20"/>
                <w:szCs w:val="20"/>
                <w:color w:val="auto"/>
              </w:rPr>
            </w:pPr>
            <w:r>
              <w:rPr>
                <w:rFonts w:ascii="Arial" w:cs="Arial" w:eastAsia="Arial" w:hAnsi="Arial"/>
                <w:sz w:val="18"/>
                <w:szCs w:val="18"/>
                <w:b w:val="1"/>
                <w:bCs w:val="1"/>
                <w:color w:val="auto"/>
              </w:rPr>
              <w:t>Plant in</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Accumulated</w:t>
            </w:r>
          </w:p>
        </w:tc>
        <w:tc>
          <w:tcPr>
            <w:tcW w:w="198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Construction Work in</w:t>
            </w: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rPr>
              <w:t>%</w:t>
            </w:r>
          </w:p>
        </w:tc>
      </w:tr>
      <w:tr>
        <w:trPr>
          <w:trHeight w:val="234"/>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Regulated Utility Plant</w:t>
            </w:r>
          </w:p>
        </w:tc>
        <w:tc>
          <w:tcPr>
            <w:tcW w:w="2920" w:type="dxa"/>
            <w:vAlign w:val="bottom"/>
          </w:tcPr>
          <w:p>
            <w:pPr>
              <w:jc w:val="right"/>
              <w:ind w:right="550"/>
              <w:spacing w:after="0"/>
              <w:rPr>
                <w:sz w:val="20"/>
                <w:szCs w:val="20"/>
                <w:color w:val="auto"/>
              </w:rPr>
            </w:pPr>
            <w:r>
              <w:rPr>
                <w:rFonts w:ascii="Arial" w:cs="Arial" w:eastAsia="Arial" w:hAnsi="Arial"/>
                <w:sz w:val="18"/>
                <w:szCs w:val="18"/>
                <w:b w:val="1"/>
                <w:bCs w:val="1"/>
                <w:color w:val="auto"/>
              </w:rPr>
              <w:t>Service</w:t>
            </w: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rPr>
              <w:t>Depreciation</w:t>
            </w: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Progress</w:t>
            </w:r>
          </w:p>
        </w:tc>
        <w:tc>
          <w:tcPr>
            <w:tcW w:w="1440" w:type="dxa"/>
            <w:vAlign w:val="bottom"/>
          </w:tcPr>
          <w:p>
            <w:pPr>
              <w:ind w:left="220"/>
              <w:spacing w:after="0"/>
              <w:rPr>
                <w:sz w:val="20"/>
                <w:szCs w:val="20"/>
                <w:color w:val="auto"/>
              </w:rPr>
            </w:pPr>
            <w:r>
              <w:rPr>
                <w:rFonts w:ascii="Arial" w:cs="Arial" w:eastAsia="Arial" w:hAnsi="Arial"/>
                <w:sz w:val="18"/>
                <w:szCs w:val="18"/>
                <w:b w:val="1"/>
                <w:bCs w:val="1"/>
                <w:color w:val="auto"/>
              </w:rPr>
              <w:t>Ownership</w:t>
            </w:r>
          </w:p>
        </w:tc>
      </w:tr>
      <w:tr>
        <w:trPr>
          <w:trHeight w:val="27"/>
        </w:trPr>
        <w:tc>
          <w:tcPr>
            <w:tcW w:w="3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Boswell Unit 4</w:t>
            </w:r>
          </w:p>
        </w:tc>
        <w:tc>
          <w:tcPr>
            <w:tcW w:w="2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$416.1</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$71.5</w:t>
            </w:r>
          </w:p>
        </w:tc>
        <w:tc>
          <w:tcPr>
            <w:tcW w:w="14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80</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CapX2020 Projects</w:t>
            </w:r>
          </w:p>
        </w:tc>
        <w:tc>
          <w:tcPr>
            <w:tcW w:w="2920" w:type="dxa"/>
            <w:vAlign w:val="bottom"/>
          </w:tcPr>
          <w:p>
            <w:pPr>
              <w:jc w:val="right"/>
              <w:ind w:right="130"/>
              <w:spacing w:after="0"/>
              <w:rPr>
                <w:sz w:val="20"/>
                <w:szCs w:val="20"/>
                <w:color w:val="auto"/>
              </w:rPr>
            </w:pPr>
            <w:r>
              <w:rPr>
                <w:rFonts w:ascii="Arial" w:cs="Arial" w:eastAsia="Arial" w:hAnsi="Arial"/>
                <w:sz w:val="18"/>
                <w:szCs w:val="18"/>
                <w:color w:val="auto"/>
              </w:rPr>
              <w:t>22.8</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57.7</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9"/>
              </w:rPr>
              <w:t>9.3 - 14.7</w:t>
            </w:r>
          </w:p>
        </w:tc>
      </w:tr>
      <w:tr>
        <w:trPr>
          <w:trHeight w:val="27"/>
        </w:trPr>
        <w:tc>
          <w:tcPr>
            <w:tcW w:w="3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$438.9</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$129.2</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350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5.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2010 Minnesota Rate Case. </w:t>
      </w:r>
      <w:r>
        <w:rPr>
          <w:rFonts w:ascii="Arial" w:cs="Arial" w:eastAsia="Arial" w:hAnsi="Arial"/>
          <w:sz w:val="16"/>
          <w:szCs w:val="16"/>
          <w:color w:val="auto"/>
        </w:rPr>
        <w:t>Minnesota Power’s current retail rates are based on a 2011 MPUC retail rate order, effective June 1, 2011, that allowed for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10.38 percent return on common equity and a 54.29 percent equity ratio.</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In 2013, Minnesota Power’s non-affiliated municipal customers consisted of 16 municipalities in Minnesota and 1</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utility which terminated its contract effective December 31, 2013. The 17 MW of average monthly demand provided to this wholesale customer is expected to be used to supply power for prospective additional retail and municipal load. SWL&amp;P, a wholly-owned subsidiary of ALLETE, is also a Wisconsin utility and a customer of Minnesota Power. Minnesota Power’s formula-based rate contract with the Nashwauk Public Utilities Commission is effective through June 30, 2024, and the restated formula-based rate contracts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contract, no termination notice may be given prior to July 1, 2021. Under the restated contracts, no termination notices may be given prior to June 30, 2016.</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allowed for a 10.9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Transmission Cost Recovery Rider. </w:t>
      </w:r>
      <w:r>
        <w:rPr>
          <w:rFonts w:ascii="Arial" w:cs="Arial" w:eastAsia="Arial" w:hAnsi="Arial"/>
          <w:sz w:val="16"/>
          <w:szCs w:val="16"/>
          <w:color w:val="auto"/>
        </w:rPr>
        <w:t>Minnesota Power has an approved cost recovery rider in place for certain transmission investments and expenditures. On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12, 2013, the MPUC approved Minnesota Power’s updated billing factor which allows Minnesota Power to charge retail customers on a current basis for the costs of constructing certain transmission facilities plus a return on the capital invested. We anticipate filing a petition in the first quarter of 2014 to include additional transmission investments and expenditures in customer billing rates. (See Note 1. Operations and Significant Accounting Policies.)</w:t>
      </w:r>
    </w:p>
    <w:p>
      <w:pPr>
        <w:spacing w:after="0" w:line="15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Renewable Cost Recovery Rider. </w:t>
      </w:r>
      <w:r>
        <w:rPr>
          <w:rFonts w:ascii="Arial" w:cs="Arial" w:eastAsia="Arial" w:hAnsi="Arial"/>
          <w:sz w:val="16"/>
          <w:szCs w:val="16"/>
          <w:color w:val="auto"/>
        </w:rPr>
        <w:t>The Bison Wind Energy Center in North Dakota currently consists of 292 MW of nameplate capacity and was completed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phases through 2012. Customer billing rates for our Bison Wind Energy Center were approved by the MPUC in an order dated December 3, 2013.</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25, 2013, the NDPSC approved the site permit for construction of Bison 4, a 205 MW wind project in North Dakota, which is an addition to our Bison Wind Energy Center. As a result, construction has commenced and is expected to be completed by the end of 2014. The total project investment for Bison 4 is estimated to be approximately $345 million, of which $55.6 million was spent through December 31, 2013. On January 17, 2014, the MPUC approved Minnesota Power’s petition seeking cost recovery for investments and expenditures related to Bison 4. We anticipate including Bison 4 as part of our renewable resources rider factor filing along with the Company’s other renewable projects in the first quarter of 2014, which upon approval, authorizes updated rates to be included on customer bills. (See Note 1. Operations and Significant Accounting Policies.)</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Rapids Energy Center. </w:t>
      </w:r>
      <w:r>
        <w:rPr>
          <w:rFonts w:ascii="Arial" w:cs="Arial" w:eastAsia="Arial" w:hAnsi="Arial"/>
          <w:sz w:val="16"/>
          <w:szCs w:val="16"/>
          <w:color w:val="auto"/>
        </w:rPr>
        <w:t>In December 2012, Minnesota Power filed with the MPUC for approval to transfer the assets of Rapids Energy Center from non-rate</w:t>
      </w:r>
      <w:r>
        <w:rPr>
          <w:rFonts w:ascii="Arial" w:cs="Arial" w:eastAsia="Arial" w:hAnsi="Arial"/>
          <w:sz w:val="16"/>
          <w:szCs w:val="16"/>
          <w:b w:val="1"/>
          <w:bCs w:val="1"/>
          <w:color w:val="auto"/>
        </w:rPr>
        <w:t xml:space="preserve"> </w:t>
      </w:r>
      <w:r>
        <w:rPr>
          <w:rFonts w:ascii="Arial" w:cs="Arial" w:eastAsia="Arial" w:hAnsi="Arial"/>
          <w:sz w:val="16"/>
          <w:szCs w:val="16"/>
          <w:color w:val="auto"/>
        </w:rPr>
        <w:t>base generation to Minnesota Power’s Regulated Operations. Rapids Energy Center is a generation facility that is located at the UPM, Blandin Paper Mill. On October 9, 2013, the MPUC issued an order denying, without prejudice, the transfer of assets from non-rate base generation to Minnesota Power’s Regulated Operations. This decision had no impact on the Company’s consolidated financial position, results of operations, or cash flows.</w:t>
      </w:r>
    </w:p>
    <w:p>
      <w:pPr>
        <w:spacing w:after="0" w:line="15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b w:val="1"/>
          <w:b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5. REGULATORY MATTERS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Integrated Resource Plan</w:t>
      </w:r>
      <w:r>
        <w:rPr>
          <w:rFonts w:ascii="Arial" w:cs="Arial" w:eastAsia="Arial" w:hAnsi="Arial"/>
          <w:sz w:val="18"/>
          <w:szCs w:val="18"/>
          <w:color w:val="auto"/>
        </w:rPr>
        <w:t>. In an order dated November 12, 2013, the MPUC approved Minnesota Power’s 2013 Integrated Resource Plan which details our</w:t>
      </w:r>
      <w:r>
        <w:rPr>
          <w:rFonts w:ascii="Arial" w:cs="Arial" w:eastAsia="Arial" w:hAnsi="Arial"/>
          <w:sz w:val="18"/>
          <w:szCs w:val="18"/>
          <w:b w:val="1"/>
          <w:b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 Significant elements of the “EnergyForward” plan include major wind investments in North Dakota, installation of emissions control technology at our Boswell Unit 4, planning for the proposed GNTL, conversion of Laskin from coal to cleaner-burning natural gas in 2015 and retiring Taconite Harbor Unit 3 in 2015.</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$310 million. On November 5, 2013, the MPUC issued an order approving the Boswell Unit 4 mercury emissions reduction plan and cost recovery, establishing an environmental improvement rider. On November 25, 2013, environmental intervenors filed a petition for reconsideration with the MPUC which was subsequently denied in an order dated January 17, 2014. On December 20, 2013, Minnesota Power filed a petition with the MPUC to establish customer billing rates for the approved environmental improvement rider based on actual and estimated investments and expenditures, which is expected to be approved in the second quarter of 2014. (See Note 1. Operations and Significant Accounting Policies.)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Great Northern Transmission Line (GNTL)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and Manitoba Hydro have proposed construction of the GNTL, an approximately 240-mile</w:t>
      </w:r>
      <w:r>
        <w:rPr>
          <w:rFonts w:ascii="Arial" w:cs="Arial" w:eastAsia="Arial" w:hAnsi="Arial"/>
          <w:sz w:val="18"/>
          <w:szCs w:val="18"/>
          <w:b w:val="1"/>
          <w:bCs w:val="1"/>
          <w:color w:val="auto"/>
        </w:rPr>
        <w:t xml:space="preserve"> </w:t>
      </w:r>
      <w:r>
        <w:rPr>
          <w:rFonts w:ascii="Arial" w:cs="Arial" w:eastAsia="Arial" w:hAnsi="Arial"/>
          <w:sz w:val="18"/>
          <w:szCs w:val="18"/>
          <w:color w:val="auto"/>
        </w:rPr>
        <w:t>500 kV transmission line between Manitoba and Minnesota’s Iron Range. The GNTL is subject to various federal and state regulatory approvals. On October 21, 2013, a Certificate of Need application was filed with the MPUC with respect to the GNTL. In an order dated January 8, 2014, the MPUC determined that the Certificate of Need application was complete and referred the docket to an administrative law judge for a contested case proceeding.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(See Note 12. Commitments, Guarantees and Contingencies.)</w:t>
      </w:r>
    </w:p>
    <w:p>
      <w:pPr>
        <w:spacing w:after="0" w:line="18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The Patient Protection and Affordable Care Act of 2010 (PPACA). </w:t>
      </w:r>
      <w:r>
        <w:rPr>
          <w:rFonts w:ascii="Arial" w:cs="Arial" w:eastAsia="Arial" w:hAnsi="Arial"/>
          <w:sz w:val="16"/>
          <w:szCs w:val="16"/>
          <w:color w:val="auto"/>
        </w:rPr>
        <w:t>In March 2010, the PPACA was signed into law. One of the provisions changed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the PPACA. In May 2011, the MPUC approved our request for deferral until the next rate case and as a result we recorded an income tax benefit of $2.9 million and a related regulatory asset of $5.0 million in the second quarter of 2011.</w:t>
      </w:r>
    </w:p>
    <w:p>
      <w:pPr>
        <w:spacing w:after="0" w:line="15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Regulatory Assets and Liabilities. </w:t>
      </w:r>
      <w:r>
        <w:rPr>
          <w:rFonts w:ascii="Arial" w:cs="Arial" w:eastAsia="Arial" w:hAnsi="Arial"/>
          <w:sz w:val="16"/>
          <w:szCs w:val="16"/>
          <w:color w:val="auto"/>
        </w:rPr>
        <w:t>Our regulated utility operations are subject to the accounting guidance for Regulated Operations. We capitalize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which are probable of recovery in future utility rates as regulatory assets. Regulatory liabilities represent amounts expected to be refunded or credited to customers in rates. No regulatory assets or liabilities are currently earning a return. The recovery, refund or credit to rates for these regulatory assets and liabilities will occur over the periods either specified by the applicable commission or over the corresponding period related to the asset or liability.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NOTE 5. REGULATORY MATTERS (Continued)</w:t>
            </w:r>
          </w:p>
        </w:tc>
        <w:tc>
          <w:tcPr>
            <w:tcW w:w="3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70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b w:val="1"/>
                <w:bCs w:val="1"/>
                <w:i w:val="1"/>
                <w:iCs w:val="1"/>
                <w:color w:val="auto"/>
              </w:rPr>
              <w:t>(a)</w:t>
            </w:r>
          </w:p>
        </w:tc>
        <w:tc>
          <w:tcPr>
            <w:tcW w:w="3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Deferred Fuel</w:t>
            </w:r>
          </w:p>
        </w:tc>
        <w:tc>
          <w:tcPr>
            <w:tcW w:w="3360" w:type="dxa"/>
            <w:vAlign w:val="bottom"/>
          </w:tcPr>
          <w:p>
            <w:pPr>
              <w:jc w:val="right"/>
              <w:ind w:right="330"/>
              <w:spacing w:after="0"/>
              <w:rPr>
                <w:sz w:val="20"/>
                <w:szCs w:val="20"/>
                <w:color w:val="auto"/>
              </w:rPr>
            </w:pPr>
            <w:r>
              <w:rPr>
                <w:rFonts w:ascii="Arial" w:cs="Arial" w:eastAsia="Arial" w:hAnsi="Arial"/>
                <w:sz w:val="18"/>
                <w:szCs w:val="18"/>
                <w:color w:val="auto"/>
              </w:rPr>
              <w:t>$23.0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70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Current Regulatory Assets</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23.0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37"/>
        </w:trPr>
        <w:tc>
          <w:tcPr>
            <w:tcW w:w="7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Future Benefit Obligations Under</w:t>
            </w:r>
          </w:p>
        </w:tc>
        <w:tc>
          <w:tcPr>
            <w:tcW w:w="3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Plans </w:t>
            </w:r>
            <w:r>
              <w:rPr>
                <w:rFonts w:ascii="Arial" w:cs="Arial" w:eastAsia="Arial" w:hAnsi="Arial"/>
                <w:sz w:val="18"/>
                <w:szCs w:val="18"/>
                <w:i w:val="1"/>
                <w:iCs w:val="1"/>
                <w:color w:val="auto"/>
              </w:rPr>
              <w:t>(b)</w:t>
            </w:r>
          </w:p>
        </w:tc>
        <w:tc>
          <w:tcPr>
            <w:tcW w:w="3360" w:type="dxa"/>
            <w:vAlign w:val="bottom"/>
          </w:tcPr>
          <w:p>
            <w:pPr>
              <w:jc w:val="right"/>
              <w:ind w:right="330"/>
              <w:spacing w:after="0"/>
              <w:rPr>
                <w:sz w:val="20"/>
                <w:szCs w:val="20"/>
                <w:color w:val="auto"/>
              </w:rPr>
            </w:pPr>
            <w:r>
              <w:rPr>
                <w:rFonts w:ascii="Arial" w:cs="Arial" w:eastAsia="Arial" w:hAnsi="Arial"/>
                <w:sz w:val="18"/>
                <w:szCs w:val="18"/>
                <w:color w:val="auto"/>
              </w:rPr>
              <w:t>164.1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260.7</w:t>
            </w:r>
          </w:p>
        </w:tc>
      </w:tr>
      <w:tr>
        <w:trPr>
          <w:trHeight w:val="27"/>
        </w:trPr>
        <w:tc>
          <w:tcPr>
            <w:tcW w:w="7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Asset Retirement Obligation</w:t>
            </w:r>
          </w:p>
        </w:tc>
        <w:tc>
          <w:tcPr>
            <w:tcW w:w="336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7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(c)</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360" w:type="dxa"/>
            <w:vAlign w:val="bottom"/>
          </w:tcPr>
          <w:p>
            <w:pPr>
              <w:jc w:val="right"/>
              <w:ind w:right="330"/>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Other</w:t>
            </w:r>
          </w:p>
        </w:tc>
        <w:tc>
          <w:tcPr>
            <w:tcW w:w="336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70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Regulatory Assets</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263.8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r>
      <w:tr>
        <w:trPr>
          <w:trHeight w:val="291"/>
        </w:trPr>
        <w:tc>
          <w:tcPr>
            <w:tcW w:w="702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5"/>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$286.8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$362.8</w:t>
            </w:r>
          </w:p>
        </w:tc>
      </w:tr>
      <w:tr>
        <w:trPr>
          <w:trHeight w:val="291"/>
        </w:trPr>
        <w:tc>
          <w:tcPr>
            <w:tcW w:w="702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3360" w:type="dxa"/>
            <w:vAlign w:val="bottom"/>
          </w:tcPr>
          <w:p>
            <w:pPr>
              <w:jc w:val="right"/>
              <w:ind w:right="330"/>
              <w:spacing w:after="0"/>
              <w:rPr>
                <w:sz w:val="20"/>
                <w:szCs w:val="20"/>
                <w:color w:val="auto"/>
              </w:rPr>
            </w:pPr>
            <w:r>
              <w:rPr>
                <w:rFonts w:ascii="Arial" w:cs="Arial" w:eastAsia="Arial" w:hAnsi="Arial"/>
                <w:sz w:val="18"/>
                <w:szCs w:val="18"/>
                <w:color w:val="auto"/>
              </w:rPr>
              <w:t>$17.0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7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3360" w:type="dxa"/>
            <w:vAlign w:val="bottom"/>
          </w:tcPr>
          <w:p>
            <w:pPr>
              <w:jc w:val="right"/>
              <w:ind w:right="330"/>
              <w:spacing w:after="0"/>
              <w:rPr>
                <w:sz w:val="20"/>
                <w:szCs w:val="20"/>
                <w:color w:val="auto"/>
              </w:rPr>
            </w:pPr>
            <w:r>
              <w:rPr>
                <w:rFonts w:ascii="Arial" w:cs="Arial" w:eastAsia="Arial" w:hAnsi="Arial"/>
                <w:sz w:val="18"/>
                <w:szCs w:val="18"/>
                <w:color w:val="auto"/>
              </w:rPr>
              <w:t>19.7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7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Plans </w:t>
            </w:r>
            <w:r>
              <w:rPr>
                <w:rFonts w:ascii="Arial" w:cs="Arial" w:eastAsia="Arial" w:hAnsi="Arial"/>
                <w:sz w:val="18"/>
                <w:szCs w:val="18"/>
                <w:i w:val="1"/>
                <w:iCs w:val="1"/>
                <w:color w:val="auto"/>
              </w:rPr>
              <w:t>(b)</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Other</w:t>
            </w:r>
          </w:p>
        </w:tc>
        <w:tc>
          <w:tcPr>
            <w:tcW w:w="3360" w:type="dxa"/>
            <w:vAlign w:val="bottom"/>
          </w:tcPr>
          <w:p>
            <w:pPr>
              <w:jc w:val="right"/>
              <w:ind w:right="330"/>
              <w:spacing w:after="0"/>
              <w:rPr>
                <w:sz w:val="20"/>
                <w:szCs w:val="20"/>
                <w:color w:val="auto"/>
              </w:rPr>
            </w:pPr>
            <w:r>
              <w:rPr>
                <w:rFonts w:ascii="Arial" w:cs="Arial" w:eastAsia="Arial" w:hAnsi="Arial"/>
                <w:sz w:val="18"/>
                <w:szCs w:val="18"/>
                <w:color w:val="auto"/>
              </w:rPr>
              <w:t>8.3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70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Regulatory Liabilities</w:t>
            </w:r>
          </w:p>
        </w:tc>
        <w:tc>
          <w:tcPr>
            <w:tcW w:w="3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$81.0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0"/>
        </w:trPr>
        <w:tc>
          <w:tcPr>
            <w:tcW w:w="702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our Consolidated Balance Sheet (See Note 17. Pension and Other Postretirement Benefit Plans).</w:t>
      </w:r>
    </w:p>
    <w:p>
      <w:pPr>
        <w:spacing w:after="0" w:line="1"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 is primarily due to capital expenditures related to our Bison Wind Energy Center and is recognized in accordance with the accounting standards for alternative revenue programs.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ATC</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Our wholly-owned subsidiary, Rainy River Energy, owns approximately 8 percent of ATC, a Wisconsin-based utility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December 31, 2013, our equity investment in ATC was $114.6 million ($107.3 million at December 31, 2012). On January 30, 2014, we invested an additional $1.2 million in ATC. In total, we expect to invest approximately $5.8 million throughout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ALLETE’s Investment in ATC</w:t>
            </w:r>
          </w:p>
        </w:tc>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Beginning Balance</w:t>
            </w:r>
          </w:p>
        </w:tc>
        <w:tc>
          <w:tcPr>
            <w:tcW w:w="4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$107.3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30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1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300" w:type="dxa"/>
            <w:vAlign w:val="bottom"/>
          </w:tcPr>
          <w:p>
            <w:pPr>
              <w:jc w:val="right"/>
              <w:ind w:right="310"/>
              <w:spacing w:after="0"/>
              <w:rPr>
                <w:sz w:val="20"/>
                <w:szCs w:val="20"/>
                <w:color w:val="auto"/>
              </w:rPr>
            </w:pPr>
            <w:r>
              <w:rPr>
                <w:rFonts w:ascii="Arial" w:cs="Arial" w:eastAsia="Arial" w:hAnsi="Arial"/>
                <w:sz w:val="18"/>
                <w:szCs w:val="18"/>
                <w:color w:val="auto"/>
              </w:rPr>
              <w:t>(16.1)</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6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Ending Balance</w:t>
            </w:r>
          </w:p>
        </w:tc>
        <w:tc>
          <w:tcPr>
            <w:tcW w:w="4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$114.6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0"/>
        </w:trPr>
        <w:tc>
          <w:tcPr>
            <w:tcW w:w="61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6. INVESTMENT IN ATC (Continued)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ATC Summarized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5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$80.7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520" w:type="dxa"/>
            <w:vAlign w:val="bottom"/>
          </w:tcPr>
          <w:p>
            <w:pPr>
              <w:spacing w:after="0"/>
              <w:rPr>
                <w:sz w:val="21"/>
                <w:szCs w:val="21"/>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3,509.5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3,274.7</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$3,590.2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$3,337.8</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w:t>
            </w:r>
          </w:p>
        </w:tc>
        <w:tc>
          <w:tcPr>
            <w:tcW w:w="3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$381.4</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$251.5</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1,550.0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520" w:type="dxa"/>
            <w:vAlign w:val="bottom"/>
          </w:tcPr>
          <w:p>
            <w:pPr>
              <w:spacing w:after="0"/>
              <w:rPr>
                <w:sz w:val="21"/>
                <w:szCs w:val="21"/>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126.2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95.8</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w:t>
            </w:r>
          </w:p>
        </w:tc>
        <w:tc>
          <w:tcPr>
            <w:tcW w:w="3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1,532.6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1,440.5</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Members’ Equity</w:t>
            </w:r>
          </w:p>
        </w:tc>
        <w:tc>
          <w:tcPr>
            <w:tcW w:w="3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$3,590.2</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$3,337.8</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88"/>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5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$626.3</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$603.2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520" w:type="dxa"/>
            <w:vAlign w:val="bottom"/>
          </w:tcPr>
          <w:p>
            <w:pPr>
              <w:jc w:val="right"/>
              <w:ind w:right="290"/>
              <w:spacing w:after="0"/>
              <w:rPr>
                <w:sz w:val="20"/>
                <w:szCs w:val="20"/>
                <w:color w:val="auto"/>
              </w:rPr>
            </w:pPr>
            <w:r>
              <w:rPr>
                <w:rFonts w:ascii="Arial" w:cs="Arial" w:eastAsia="Arial" w:hAnsi="Arial"/>
                <w:sz w:val="18"/>
                <w:szCs w:val="18"/>
                <w:color w:val="auto"/>
              </w:rPr>
              <w:t>295.1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281.0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261.6</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83.6</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84.8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$247.6</w:t>
            </w: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$237.4</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$223.9</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 in Net Income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$20.3</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$19.4</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0"/>
        </w:trPr>
        <w:tc>
          <w:tcPr>
            <w:tcW w:w="544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30, 2014, ALLETE Clean Energy acquired wind energy facilities located in Lake Benton, Minnesota (Lake Benton), Storm Lake, Iowa (Storm Lake) and Condon, Oregon (Condon) from The AES Corporation (AES) for approximately $27.0 million, subject to a working capital adjustment. The acquisition was financed with cash from operations. The necessary FERC approvals were received in December 2013. ALLETE Clean Energy also has an option to acquire a fourth wind facility from AES in Armenia Mountain, Pennsylvania (Armenia Mountain), in June 2015. In November 2013, we made a deposit of $5.4 million for cash held in escrow for the acquisition of the three wind facilities, which is classified as restricted cash and included in Other Non-Current Assets on our Consolidated Balance Sheet.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Lake Benton, Storm Lake and Condon facilities have 104 MW, 77 MW and 50 MW of generating capability, respectively. Lake Benton and Storm Lake began commercial operations in 1999,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from AES in June 2015. Armenia Mountain began operations in 2009.</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will be allocated based on the estimated fair values of assets acquired and the liabilities assumed at the date of acquisition. The acquisition will be accounted for as a business combination. We are currently in the process of accounting for the acquisition, therefore, certain disclosures, including the allocation of the purchase price, will be included in the Form 10-Q for the period ending March 31, 2014.</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December 31, 2013, our long-term investment portfolio included the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4"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NOTE 8. INVESTMENTS (Continued)</w:t>
            </w:r>
          </w:p>
        </w:tc>
        <w:tc>
          <w:tcPr>
            <w:tcW w:w="4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2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$89.9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140" w:type="dxa"/>
            <w:vAlign w:val="bottom"/>
          </w:tcPr>
          <w:p>
            <w:pPr>
              <w:jc w:val="right"/>
              <w:ind w:right="330"/>
              <w:spacing w:after="0"/>
              <w:rPr>
                <w:sz w:val="20"/>
                <w:szCs w:val="20"/>
                <w:color w:val="auto"/>
              </w:rPr>
            </w:pPr>
            <w:r>
              <w:rPr>
                <w:rFonts w:ascii="Arial" w:cs="Arial" w:eastAsia="Arial" w:hAnsi="Arial"/>
                <w:sz w:val="18"/>
                <w:szCs w:val="18"/>
                <w:color w:val="auto"/>
              </w:rPr>
              <w:t>17.7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62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62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$146.3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0"/>
        </w:trPr>
        <w:tc>
          <w:tcPr>
            <w:tcW w:w="624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As of December 31, 2013, the aggregate amount of available-for-sale corporate debt securities maturing in one year or less was $0.6 million, in one year to less than three years was $4.7 million, in three years to less than five years was $2.0 million, and in five or more years was $2.5 million.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31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1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9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$86.5</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31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3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85.4</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6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3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18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69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3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0"/>
        </w:trPr>
        <w:tc>
          <w:tcPr>
            <w:tcW w:w="690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In 2013, impairment analyses of estimated undiscounted future net cash flows was conducted and indicated that the cash flows were adequate to recover the carrying basis of our land inventory. Consequently, there was no impairment recorded for the year ended December 31, 2013 (none for the year ended December 31, 2012).</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Long-Term Finance Receivables</w:t>
      </w:r>
      <w:r>
        <w:rPr>
          <w:rFonts w:ascii="Arial" w:cs="Arial" w:eastAsia="Arial" w:hAnsi="Arial"/>
          <w:sz w:val="16"/>
          <w:szCs w:val="16"/>
          <w:color w:val="auto"/>
        </w:rPr>
        <w:t>. As of December 31, 2013, long-term finance receivables were $1.4 million net of allowance ($1.4 million net of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2012). Long-term finance receivables are collateralized by property sold, accrue interest at market-based rates and are net of an allowance for doubtful accounts. As of December 31, 2013, we had allowance for doubtful accounts of $0.6 million ($0.6 million as of December 31, 2012).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purchaser defaults on a sales contract, the legal remedy is usually limited to terminating the contract and retaining the purchaser’s deposit. The property is then available for resale. Contract purchasers may incur significant costs during due diligence, planning, designing and marketing the property before the contract closes, therefore they may have substantially more at risk than the deposit.</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Available-for-Sale Investments. </w:t>
      </w:r>
      <w:r>
        <w:rPr>
          <w:rFonts w:ascii="Arial" w:cs="Arial" w:eastAsia="Arial" w:hAnsi="Arial"/>
          <w:sz w:val="18"/>
          <w:szCs w:val="18"/>
          <w:color w:val="auto"/>
        </w:rPr>
        <w:t>We account for our available-for-sale portfolio in accordance with the guidance for certain investments in debt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Our available-for-sale securities portfolio consisted of securities established to fund certain employee benefits.</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80" w:type="dxa"/>
            <w:vAlign w:val="bottom"/>
          </w:tcPr>
          <w:p>
            <w:pPr>
              <w:spacing w:after="0"/>
              <w:rPr>
                <w:sz w:val="20"/>
                <w:szCs w:val="20"/>
                <w:color w:val="auto"/>
              </w:rPr>
            </w:pPr>
          </w:p>
        </w:tc>
        <w:tc>
          <w:tcPr>
            <w:tcW w:w="3100" w:type="dxa"/>
            <w:vAlign w:val="bottom"/>
            <w:gridSpan w:val="2"/>
          </w:tcPr>
          <w:p>
            <w:pPr>
              <w:ind w:left="920"/>
              <w:spacing w:after="0"/>
              <w:rPr>
                <w:sz w:val="20"/>
                <w:szCs w:val="20"/>
                <w:color w:val="auto"/>
              </w:rPr>
            </w:pPr>
            <w:r>
              <w:rPr>
                <w:rFonts w:ascii="Arial" w:cs="Arial" w:eastAsia="Arial" w:hAnsi="Arial"/>
                <w:sz w:val="18"/>
                <w:szCs w:val="18"/>
                <w:b w:val="1"/>
                <w:bCs w:val="1"/>
                <w:color w:val="auto"/>
              </w:rPr>
              <w:t>Gross Unrealized</w:t>
            </w:r>
          </w:p>
        </w:tc>
        <w:tc>
          <w:tcPr>
            <w:tcW w:w="1680" w:type="dxa"/>
            <w:vAlign w:val="bottom"/>
          </w:tcPr>
          <w:p>
            <w:pPr>
              <w:spacing w:after="0"/>
              <w:rPr>
                <w:sz w:val="20"/>
                <w:szCs w:val="20"/>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8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Cost</w:t>
            </w:r>
          </w:p>
        </w:tc>
        <w:tc>
          <w:tcPr>
            <w:tcW w:w="1580" w:type="dxa"/>
            <w:vAlign w:val="bottom"/>
          </w:tcPr>
          <w:p>
            <w:pPr>
              <w:ind w:left="600"/>
              <w:spacing w:after="0"/>
              <w:rPr>
                <w:sz w:val="20"/>
                <w:szCs w:val="20"/>
                <w:color w:val="auto"/>
              </w:rPr>
            </w:pPr>
            <w:r>
              <w:rPr>
                <w:rFonts w:ascii="Arial" w:cs="Arial" w:eastAsia="Arial" w:hAnsi="Arial"/>
                <w:sz w:val="18"/>
                <w:szCs w:val="18"/>
                <w:b w:val="1"/>
                <w:bCs w:val="1"/>
                <w:color w:val="auto"/>
              </w:rPr>
              <w:t>Gain</w:t>
            </w:r>
          </w:p>
        </w:tc>
        <w:tc>
          <w:tcPr>
            <w:tcW w:w="1520" w:type="dxa"/>
            <w:vAlign w:val="bottom"/>
          </w:tcPr>
          <w:p>
            <w:pPr>
              <w:ind w:left="580"/>
              <w:spacing w:after="0"/>
              <w:rPr>
                <w:sz w:val="20"/>
                <w:szCs w:val="20"/>
                <w:color w:val="auto"/>
              </w:rPr>
            </w:pPr>
            <w:r>
              <w:rPr>
                <w:rFonts w:ascii="Arial" w:cs="Arial" w:eastAsia="Arial" w:hAnsi="Arial"/>
                <w:sz w:val="18"/>
                <w:szCs w:val="18"/>
                <w:b w:val="1"/>
                <w:bCs w:val="1"/>
                <w:color w:val="auto"/>
              </w:rPr>
              <w:t>(Loss)</w:t>
            </w: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5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3080" w:type="dxa"/>
            <w:vAlign w:val="bottom"/>
            <w:tcBorders>
              <w:bottom w:val="single" w:sz="8" w:color="CCEEFF"/>
            </w:tcBorders>
            <w:shd w:val="clear" w:color="auto" w:fill="CCEEFF"/>
          </w:tcPr>
          <w:p>
            <w:pPr>
              <w:jc w:val="center"/>
              <w:ind w:left="1390"/>
              <w:spacing w:after="0"/>
              <w:rPr>
                <w:sz w:val="20"/>
                <w:szCs w:val="20"/>
                <w:color w:val="auto"/>
              </w:rPr>
            </w:pPr>
            <w:r>
              <w:rPr>
                <w:rFonts w:ascii="Arial" w:cs="Arial" w:eastAsia="Arial" w:hAnsi="Arial"/>
                <w:sz w:val="18"/>
                <w:szCs w:val="18"/>
                <w:color w:val="auto"/>
                <w:w w:val="88"/>
              </w:rPr>
              <w:t>$18.3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$(0.6)</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$17.7</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2012</w:t>
            </w:r>
          </w:p>
        </w:tc>
        <w:tc>
          <w:tcPr>
            <w:tcW w:w="3080" w:type="dxa"/>
            <w:vAlign w:val="bottom"/>
          </w:tcPr>
          <w:p>
            <w:pPr>
              <w:jc w:val="center"/>
              <w:ind w:left="1390"/>
              <w:spacing w:after="0"/>
              <w:rPr>
                <w:sz w:val="20"/>
                <w:szCs w:val="20"/>
                <w:color w:val="auto"/>
              </w:rPr>
            </w:pPr>
            <w:r>
              <w:rPr>
                <w:rFonts w:ascii="Arial" w:cs="Arial" w:eastAsia="Arial" w:hAnsi="Arial"/>
                <w:sz w:val="18"/>
                <w:szCs w:val="18"/>
                <w:color w:val="auto"/>
                <w:w w:val="88"/>
              </w:rPr>
              <w:t>$27.4</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1520" w:type="dxa"/>
            <w:vAlign w:val="bottom"/>
          </w:tcPr>
          <w:p>
            <w:pPr>
              <w:ind w:left="600"/>
              <w:spacing w:after="0"/>
              <w:rPr>
                <w:sz w:val="20"/>
                <w:szCs w:val="20"/>
                <w:color w:val="auto"/>
              </w:rPr>
            </w:pPr>
            <w:r>
              <w:rPr>
                <w:rFonts w:ascii="Arial" w:cs="Arial" w:eastAsia="Arial" w:hAnsi="Arial"/>
                <w:sz w:val="18"/>
                <w:szCs w:val="18"/>
                <w:color w:val="auto"/>
              </w:rPr>
              <w:t>$(1.1)</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$26.8</w:t>
            </w:r>
          </w:p>
        </w:tc>
      </w:tr>
      <w:tr>
        <w:trPr>
          <w:trHeight w:val="27"/>
        </w:trPr>
        <w:tc>
          <w:tcPr>
            <w:tcW w:w="3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3080" w:type="dxa"/>
            <w:vAlign w:val="bottom"/>
            <w:tcBorders>
              <w:bottom w:val="single" w:sz="8" w:color="CCEEFF"/>
            </w:tcBorders>
            <w:shd w:val="clear" w:color="auto" w:fill="CCEEFF"/>
          </w:tcPr>
          <w:p>
            <w:pPr>
              <w:jc w:val="center"/>
              <w:ind w:left="1390"/>
              <w:spacing w:after="0"/>
              <w:rPr>
                <w:sz w:val="20"/>
                <w:szCs w:val="20"/>
                <w:color w:val="auto"/>
              </w:rPr>
            </w:pPr>
            <w:r>
              <w:rPr>
                <w:rFonts w:ascii="Arial" w:cs="Arial" w:eastAsia="Arial" w:hAnsi="Arial"/>
                <w:sz w:val="18"/>
                <w:szCs w:val="18"/>
                <w:color w:val="auto"/>
                <w:w w:val="88"/>
              </w:rPr>
              <w:t>$27.3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$(2.7)</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$24.7</w:t>
            </w:r>
          </w:p>
        </w:tc>
      </w:tr>
      <w:tr>
        <w:trPr>
          <w:trHeight w:val="20"/>
        </w:trPr>
        <w:tc>
          <w:tcPr>
            <w:tcW w:w="356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4"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NOTE 8. INVESTMENTS (Continued)</w:t>
            </w:r>
          </w:p>
        </w:tc>
        <w:tc>
          <w:tcPr>
            <w:tcW w:w="2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60"/>
        </w:trPr>
        <w:tc>
          <w:tcPr>
            <w:tcW w:w="4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Net Unrealized</w:t>
            </w:r>
          </w:p>
        </w:tc>
      </w:tr>
      <w:tr>
        <w:trPr>
          <w:trHeight w:val="234"/>
        </w:trPr>
        <w:tc>
          <w:tcPr>
            <w:tcW w:w="4140" w:type="dxa"/>
            <w:vAlign w:val="bottom"/>
          </w:tcPr>
          <w:p>
            <w:pPr>
              <w:spacing w:after="0"/>
              <w:rPr>
                <w:sz w:val="20"/>
                <w:szCs w:val="20"/>
                <w:color w:val="auto"/>
              </w:rPr>
            </w:pPr>
          </w:p>
        </w:tc>
        <w:tc>
          <w:tcPr>
            <w:tcW w:w="2240" w:type="dxa"/>
            <w:vAlign w:val="bottom"/>
          </w:tcPr>
          <w:p>
            <w:pPr>
              <w:jc w:val="center"/>
              <w:ind w:left="610"/>
              <w:spacing w:after="0"/>
              <w:rPr>
                <w:sz w:val="20"/>
                <w:szCs w:val="20"/>
                <w:color w:val="auto"/>
              </w:rPr>
            </w:pPr>
            <w:r>
              <w:rPr>
                <w:rFonts w:ascii="Arial" w:cs="Arial" w:eastAsia="Arial" w:hAnsi="Arial"/>
                <w:sz w:val="18"/>
                <w:szCs w:val="18"/>
                <w:b w:val="1"/>
                <w:bCs w:val="1"/>
                <w:color w:val="auto"/>
                <w:w w:val="89"/>
              </w:rPr>
              <w:t>Net</w:t>
            </w:r>
          </w:p>
        </w:tc>
        <w:tc>
          <w:tcPr>
            <w:tcW w:w="2580" w:type="dxa"/>
            <w:vAlign w:val="bottom"/>
            <w:gridSpan w:val="2"/>
          </w:tcPr>
          <w:p>
            <w:pPr>
              <w:ind w:left="700"/>
              <w:spacing w:after="0"/>
              <w:rPr>
                <w:sz w:val="20"/>
                <w:szCs w:val="20"/>
                <w:color w:val="auto"/>
              </w:rPr>
            </w:pPr>
            <w:r>
              <w:rPr>
                <w:rFonts w:ascii="Arial" w:cs="Arial" w:eastAsia="Arial" w:hAnsi="Arial"/>
                <w:sz w:val="18"/>
                <w:szCs w:val="18"/>
                <w:b w:val="1"/>
                <w:bCs w:val="1"/>
                <w:color w:val="auto"/>
              </w:rPr>
              <w:t>Gross Realized</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Gain (Loss) in Other</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40" w:type="dxa"/>
            <w:vAlign w:val="bottom"/>
          </w:tcPr>
          <w:p>
            <w:pPr>
              <w:jc w:val="center"/>
              <w:ind w:left="610"/>
              <w:spacing w:after="0"/>
              <w:rPr>
                <w:sz w:val="20"/>
                <w:szCs w:val="20"/>
                <w:color w:val="auto"/>
              </w:rPr>
            </w:pPr>
            <w:r>
              <w:rPr>
                <w:rFonts w:ascii="Arial" w:cs="Arial" w:eastAsia="Arial" w:hAnsi="Arial"/>
                <w:sz w:val="18"/>
                <w:szCs w:val="18"/>
                <w:b w:val="1"/>
                <w:bCs w:val="1"/>
                <w:color w:val="auto"/>
                <w:w w:val="86"/>
              </w:rPr>
              <w:t>Proceeds</w:t>
            </w: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Gain</w:t>
            </w:r>
          </w:p>
        </w:tc>
        <w:tc>
          <w:tcPr>
            <w:tcW w:w="132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(Loss)</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Comprehensive Income</w:t>
            </w:r>
          </w:p>
        </w:tc>
      </w:tr>
      <w:tr>
        <w:trPr>
          <w:trHeight w:val="27"/>
        </w:trPr>
        <w:tc>
          <w:tcPr>
            <w:tcW w:w="4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24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88"/>
              </w:rPr>
              <w:t>$16.1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13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2012</w:t>
            </w:r>
          </w:p>
        </w:tc>
        <w:tc>
          <w:tcPr>
            <w:tcW w:w="2240" w:type="dxa"/>
            <w:vAlign w:val="bottom"/>
          </w:tcPr>
          <w:p>
            <w:pPr>
              <w:jc w:val="center"/>
              <w:ind w:left="630"/>
              <w:spacing w:after="0"/>
              <w:rPr>
                <w:sz w:val="20"/>
                <w:szCs w:val="20"/>
                <w:color w:val="auto"/>
              </w:rPr>
            </w:pPr>
            <w:r>
              <w:rPr>
                <w:rFonts w:ascii="Arial" w:cs="Arial" w:eastAsia="Arial" w:hAnsi="Arial"/>
                <w:sz w:val="18"/>
                <w:szCs w:val="18"/>
                <w:color w:val="auto"/>
                <w:w w:val="91"/>
              </w:rPr>
              <w:t>$1.5</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$1.2</w:t>
            </w:r>
          </w:p>
        </w:tc>
      </w:tr>
      <w:tr>
        <w:trPr>
          <w:trHeight w:val="27"/>
        </w:trPr>
        <w:tc>
          <w:tcPr>
            <w:tcW w:w="4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224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1"/>
              </w:rPr>
              <w:t>$7.8</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w:t>
            </w:r>
          </w:p>
        </w:tc>
      </w:tr>
      <w:tr>
        <w:trPr>
          <w:trHeight w:val="20"/>
        </w:trPr>
        <w:tc>
          <w:tcPr>
            <w:tcW w:w="41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two variable-to-fixed interest rate swaps (Swaps), designated as cash flow hedges, in order to manage the interest rate</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risk associated with a $75.0 million Term Loan which represents approximately 7 percent of the Company’s outstanding long-term debt as of December 31, 2013. (See Note 11. Short-Term and Long-Term Debt.) The Swaps have effective dates of August 25, 2011, and August 26, 2014, and mature on August 25, 2014 and 2015, respectively. The Swaps involve the receipt of the one-month LIBOR in exchange for fixed interest payments over the life of the agreements at 0.825 percent and 0.75 percent without an exchange of the underlying notional amount. Cash flows from the Swaps are expected to be highly effective. If it is determined the Swaps cease to be effective, we will prospectively discontinue hedge accounting. When applicable, we use the shortcut method to assess hedge effectiveness. If the shortcut method is not applicable, we assess effectiveness using the “change-in-variable-cash-flows” method. Our assessments of hedge effectiveness resulted in no ineffectiveness recorded for the year ended December 31, 2013. As of December 31, 2013, the fair value of the Swaps was a $0.6 million liability ($0.7 million liability as of December 31, 2012) of which $0.3 million ($0.7 million as of December 31, 2012) was included in other non-current liabilities and $0.3 million (zero as of December 31, 2012) was included in other current liabilities on the Consolidated Balance Sheet. Changes in the fair value of the Swaps were recorded in accumulated other comprehensive income on the Consolidated Balance Sheet. Cash flows from the Swaps are presented in the same category as the hedged item on the Consolidated Statement of Cash Flows. Amounts recorded in other comprehensive income related to the Swaps will be recorded in earnings when the hedged transactions occur or when it is probable they will not occur. Gains or losses on the interest rate hedging transactions are reflected as a component of interest expense on the Consolidated Statement of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mutual fund investments held to fund employee benefits.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fixed income securities, and derivative instruments consisting of cash flow hedges.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10. FAIR VALUE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2013 and 2012. Each asset and liability is classified based on the lowest level of input that is significant to the fair value measurement. Our assessment of the significance of a particular input to the fair value measurement requires judgment, which may affect the valuation of fair value assets and liabilities and their placement within the fair value hierarchy levels. The estimated fair value of cash and cash equivalents listed on the Consolidated Balance Sheet approximates the carrying amount and therefore are excluded from the recurring fair value measures in the tables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 as of December 31, 2013</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72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 – Equity Securities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Securities – Corporate Debt Securities</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$9.8</w:t>
            </w:r>
          </w:p>
        </w:tc>
        <w:tc>
          <w:tcPr>
            <w:tcW w:w="1480" w:type="dxa"/>
            <w:vAlign w:val="bottom"/>
          </w:tcPr>
          <w:p>
            <w:pPr>
              <w:ind w:left="9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34.2</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$42.1</w:t>
            </w:r>
          </w:p>
        </w:tc>
        <w:tc>
          <w:tcPr>
            <w:tcW w:w="1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$9.8</w:t>
            </w:r>
          </w:p>
        </w:tc>
        <w:tc>
          <w:tcPr>
            <w:tcW w:w="14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$16.8</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0.6</w:t>
            </w:r>
          </w:p>
        </w:tc>
        <w:tc>
          <w:tcPr>
            <w:tcW w:w="1480" w:type="dxa"/>
            <w:vAlign w:val="bottom"/>
          </w:tcPr>
          <w:p>
            <w:pPr>
              <w:ind w:left="9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$17.4</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$42.1</w:t>
            </w:r>
          </w:p>
        </w:tc>
        <w:tc>
          <w:tcPr>
            <w:tcW w:w="1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$(7.6)</w:t>
            </w:r>
          </w:p>
        </w:tc>
        <w:tc>
          <w:tcPr>
            <w:tcW w:w="14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 as of December 31, 2012</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72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 – Equity Securities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Securities – Corporate Debt Securities</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$8.8</w:t>
            </w:r>
          </w:p>
        </w:tc>
        <w:tc>
          <w:tcPr>
            <w:tcW w:w="1480" w:type="dxa"/>
            <w:vAlign w:val="bottom"/>
          </w:tcPr>
          <w:p>
            <w:pPr>
              <w:ind w:left="9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$38.7</w:t>
            </w:r>
          </w:p>
        </w:tc>
        <w:tc>
          <w:tcPr>
            <w:tcW w:w="1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$8.8</w:t>
            </w:r>
          </w:p>
        </w:tc>
        <w:tc>
          <w:tcPr>
            <w:tcW w:w="14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$14.0</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0.7</w:t>
            </w:r>
          </w:p>
        </w:tc>
        <w:tc>
          <w:tcPr>
            <w:tcW w:w="1480" w:type="dxa"/>
            <w:vAlign w:val="bottom"/>
          </w:tcPr>
          <w:p>
            <w:pPr>
              <w:ind w:left="9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$14.7</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$38.7</w:t>
            </w:r>
          </w:p>
        </w:tc>
        <w:tc>
          <w:tcPr>
            <w:tcW w:w="1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$(5.9)</w:t>
            </w:r>
          </w:p>
        </w:tc>
        <w:tc>
          <w:tcPr>
            <w:tcW w:w="14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Level 3 during the years ended December 31, 2013 or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as of the actual date of the event or change in circumstances that caused the transfer. For the years ended December 31, 2013 and 2012, there were no transfers in or out of Levels 1, 2 or 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10. FAIR VALUE (Continued)</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items listed in the table below, the estimated fair value of all financial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approximates the carrying amount. The fair value for the items below were based on quoted market prices for the same or similar instruments (Level 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200" w:type="dxa"/>
            <w:vAlign w:val="bottom"/>
          </w:tcPr>
          <w:p>
            <w:pPr>
              <w:jc w:val="right"/>
              <w:ind w:right="410"/>
              <w:spacing w:after="0"/>
              <w:rPr>
                <w:sz w:val="20"/>
                <w:szCs w:val="20"/>
                <w:color w:val="auto"/>
              </w:rPr>
            </w:pPr>
            <w:r>
              <w:rPr>
                <w:rFonts w:ascii="Arial" w:cs="Arial" w:eastAsia="Arial" w:hAnsi="Arial"/>
                <w:sz w:val="18"/>
                <w:szCs w:val="18"/>
                <w:b w:val="1"/>
                <w:bCs w:val="1"/>
                <w:color w:val="auto"/>
              </w:rPr>
              <w:t>Carrying Amount</w:t>
            </w: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5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December 31, 2013</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$1,110.2</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$1,131.7</w:t>
            </w:r>
          </w:p>
        </w:tc>
      </w:tr>
      <w:tr>
        <w:trPr>
          <w:trHeight w:val="27"/>
        </w:trPr>
        <w:tc>
          <w:tcPr>
            <w:tcW w:w="55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2012</w:t>
            </w:r>
          </w:p>
        </w:tc>
        <w:tc>
          <w:tcPr>
            <w:tcW w:w="4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$1,018.1</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$1,143.7</w:t>
            </w:r>
          </w:p>
        </w:tc>
      </w:tr>
      <w:tr>
        <w:trPr>
          <w:trHeight w:val="20"/>
        </w:trPr>
        <w:tc>
          <w:tcPr>
            <w:tcW w:w="552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SHORT-TERM AND LONG-TERM DEBT</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Short-Term Debt. </w:t>
      </w:r>
      <w:r>
        <w:rPr>
          <w:rFonts w:ascii="Arial" w:cs="Arial" w:eastAsia="Arial" w:hAnsi="Arial"/>
          <w:sz w:val="16"/>
          <w:szCs w:val="16"/>
          <w:color w:val="auto"/>
        </w:rPr>
        <w:t>Total short-term debt outstanding as of December 31, 2013, was $27.2 million ($84.5 million as of December 31, 2012) and consisted of</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debt due within one year. Short-term debt as of December 31, 2012, included $60.0 million of long-term debt that matured in April 2013.</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2013, we had bank lines of credit aggregating $406.4 million ($406.4 million as of December 31, 2012), the majority of which expire in November 2018. We had $5.4 million outstanding in standby letters of credit under our lines of credit as of December 31, 2013 (none as of December 31, 2012).</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4, 2013, ALLETE entered into a $400.0 million credit agreement (Agreement) with JPMorgan Chase Bank, N.A. as Administrative Agent, and several other lenders that are parties thereto. The Agreement replaced our $250.0 million credit facility dated as of May 25, 2011, and our $150.0 million credit facility dated as of February 1, 2012, which were originally scheduled to expire on June 30, 2015, and January 31, 2014, respectively. The Agreement is unsecured and has a maturity date of November 2, 2018. At our request and subject to certain conditions, the Agreement may be increased by up to $150.0 million and we may make two requests, each for a one-year extension. Advances may be used for general corporate purposes, to provide liquidity in support of our commercial paper program and to issue up to $60.0 million in letters of credit.</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Total long-term debt outstanding as of December 31, 2013, was $1,083.0 million ($933.6 million as of December 31, 2012).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long-term debt maturing during 2014 is $27.2 million ($143.0 million in 2015; $22.3 million in 2016; $51.8 million in 2017; $1.7 million in 2018; and $864.2 million thereafter). Substantially all of our electric plant is subject to the lien of the mortgage collateralizing outstanding first mortgage bonds. The mortgages contain non-financial covenants customary in utility mortgages, including restrictions on our ability to incur liens, dispose of assets, and merge with other entities.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On April 2, 2013, we issued $150.0 million of the Company’s First Mortgage Bonds (Bonds) in the private placement market in three series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8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2018</w:t>
            </w:r>
          </w:p>
        </w:tc>
        <w:tc>
          <w:tcPr>
            <w:tcW w:w="3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1.83%</w:t>
            </w:r>
          </w:p>
        </w:tc>
      </w:tr>
      <w:tr>
        <w:trPr>
          <w:trHeight w:val="243"/>
        </w:trPr>
        <w:tc>
          <w:tcPr>
            <w:tcW w:w="3840" w:type="dxa"/>
            <w:vAlign w:val="bottom"/>
          </w:tcPr>
          <w:p>
            <w:pPr>
              <w:jc w:val="center"/>
              <w:spacing w:after="0"/>
              <w:rPr>
                <w:sz w:val="20"/>
                <w:szCs w:val="20"/>
                <w:color w:val="auto"/>
              </w:rPr>
            </w:pPr>
            <w:r>
              <w:rPr>
                <w:rFonts w:ascii="Arial" w:cs="Arial" w:eastAsia="Arial" w:hAnsi="Arial"/>
                <w:sz w:val="18"/>
                <w:szCs w:val="18"/>
                <w:color w:val="auto"/>
                <w:w w:val="90"/>
              </w:rPr>
              <w:t>October 15, 2028</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3.30%</w:t>
            </w:r>
          </w:p>
        </w:tc>
      </w:tr>
      <w:tr>
        <w:trPr>
          <w:trHeight w:val="27"/>
        </w:trPr>
        <w:tc>
          <w:tcPr>
            <w:tcW w:w="3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15, 2043</w:t>
            </w:r>
          </w:p>
        </w:tc>
        <w:tc>
          <w:tcPr>
            <w:tcW w:w="3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4.21%</w:t>
            </w:r>
          </w:p>
        </w:tc>
      </w:tr>
      <w:tr>
        <w:trPr>
          <w:trHeight w:val="20"/>
        </w:trPr>
        <w:tc>
          <w:tcPr>
            <w:tcW w:w="384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the option to prepay all or a portion of the 1.83 percent Bonds at our discretion at any time, subject to a make-whole provision. We have the option to prepay all or a portion of the 3.30 percent Bonds at our discretion at any time prior to April 15, 2028, subject to a make-whole provision, and at any time on or after April 15, 2028, at par, including, in each case, accrued and unpaid interest. We also have the option to prepay all or a portion of the 4.21 percent Bonds at our discretion at any time prior to April 15, 2043, subject to a make-whole provision, and at any time on or after April 15, 2043, at par, including, in each case, accrued and unpaid interest. The Bonds are subject to additional terms and conditions of our utility mortgage. Proceeds from the sale of the Bonds were used to fund utility capital investments, repay debt, and/or for general corporate purposes. The Bonds were sold in reliance on an exemption from registration under Section 4(a)(2) of the Securities Act of 1933, as amended, to certain institutional accredited investors in a private placement.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11. SHORT-TERM AND LONG-TERM DEBT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August 26, 2013, we amended our $75.0 million Term Loan with JPMorgan Chase Bank, N.A. (Term Loan). The Term Loan was amended to extend the maturity date an additional year to August 25, 2015, and to lower the interest rate to the one-month LIBOR plus 0.875 percent. There was no change to the original interest rate swap agreement which remains in effect through August 25, 2014, and effectively fixes the interest rate for the amended Term Loan at 1.70 percent through August 25, 2014. We also entered into a new interest swap agreement covering the final year of the amended Term Loan which effectively fixes the interest rate at 1.625 percent from August 26, 2014, through August 25, 2015. (See also Note 9. Derivatives.)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10, 2013, we agreed to sell $215.0 million in 2014 of ALLETE First Mortgage Bonds (Bonds) in the private placement market in four series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Issue Date (on or about)</w:t>
            </w:r>
          </w:p>
        </w:tc>
        <w:tc>
          <w:tcPr>
            <w:tcW w:w="27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Maturity Date</w:t>
            </w: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3"/>
              </w:rPr>
              <w:t>Interest Rate</w:t>
            </w:r>
          </w:p>
        </w:tc>
      </w:tr>
      <w:tr>
        <w:trPr>
          <w:trHeight w:val="27"/>
        </w:trPr>
        <w:tc>
          <w:tcPr>
            <w:tcW w:w="30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0"/>
              </w:rPr>
              <w:t>March 4, 2014</w:t>
            </w:r>
          </w:p>
        </w:tc>
        <w:tc>
          <w:tcPr>
            <w:tcW w:w="27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March 15, 2024</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3.69%</w:t>
            </w:r>
          </w:p>
        </w:tc>
      </w:tr>
      <w:tr>
        <w:trPr>
          <w:trHeight w:val="243"/>
        </w:trPr>
        <w:tc>
          <w:tcPr>
            <w:tcW w:w="3080" w:type="dxa"/>
            <w:vAlign w:val="bottom"/>
          </w:tcPr>
          <w:p>
            <w:pPr>
              <w:jc w:val="center"/>
              <w:ind w:right="110"/>
              <w:spacing w:after="0"/>
              <w:rPr>
                <w:sz w:val="20"/>
                <w:szCs w:val="20"/>
                <w:color w:val="auto"/>
              </w:rPr>
            </w:pPr>
            <w:r>
              <w:rPr>
                <w:rFonts w:ascii="Arial" w:cs="Arial" w:eastAsia="Arial" w:hAnsi="Arial"/>
                <w:sz w:val="18"/>
                <w:szCs w:val="18"/>
                <w:color w:val="auto"/>
                <w:w w:val="90"/>
              </w:rPr>
              <w:t>March 4, 2014</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1"/>
              </w:rPr>
              <w:t>March 15, 2044</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4.95%</w:t>
            </w:r>
          </w:p>
        </w:tc>
      </w:tr>
      <w:tr>
        <w:trPr>
          <w:trHeight w:val="27"/>
        </w:trPr>
        <w:tc>
          <w:tcPr>
            <w:tcW w:w="30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7"/>
              </w:rPr>
              <w:t>June 26, 2014</w:t>
            </w:r>
          </w:p>
        </w:tc>
        <w:tc>
          <w:tcPr>
            <w:tcW w:w="27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July 15, 2022</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$75 Million</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3.40%</w:t>
            </w:r>
          </w:p>
        </w:tc>
      </w:tr>
      <w:tr>
        <w:trPr>
          <w:trHeight w:val="243"/>
        </w:trPr>
        <w:tc>
          <w:tcPr>
            <w:tcW w:w="3080" w:type="dxa"/>
            <w:vAlign w:val="bottom"/>
          </w:tcPr>
          <w:p>
            <w:pPr>
              <w:jc w:val="center"/>
              <w:ind w:right="110"/>
              <w:spacing w:after="0"/>
              <w:rPr>
                <w:sz w:val="20"/>
                <w:szCs w:val="20"/>
                <w:color w:val="auto"/>
              </w:rPr>
            </w:pPr>
            <w:r>
              <w:rPr>
                <w:rFonts w:ascii="Arial" w:cs="Arial" w:eastAsia="Arial" w:hAnsi="Arial"/>
                <w:sz w:val="18"/>
                <w:szCs w:val="18"/>
                <w:color w:val="auto"/>
                <w:w w:val="87"/>
              </w:rPr>
              <w:t>June 26, 2014</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1"/>
              </w:rPr>
              <w:t>July 15, 2044</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5.05%</w:t>
            </w:r>
          </w:p>
        </w:tc>
      </w:tr>
      <w:tr>
        <w:trPr>
          <w:trHeight w:val="27"/>
        </w:trPr>
        <w:tc>
          <w:tcPr>
            <w:tcW w:w="30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the option to prepay all or a portion of the Bonds at its discretion, subject to a make-whole provision. The Bonds are subject to additional terms and conditions which are customary for these types of transactions. The Company intends to use the proceeds from the sale of the Bonds to refinance debt, fund utility capital expenditures or for general corporate purposes. The Bonds will be sold in reliance on an exemption from registration under Section 4(a)(2) of the Securities Act of 1933, as amended, to institutional accredited investors.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11. SHORT-TERM AND LONG-TERM DEBT (Continued)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3" w:lineRule="exact"/>
        <w:rPr>
          <w:sz w:val="20"/>
          <w:szCs w:val="20"/>
          <w:color w:val="auto"/>
        </w:rPr>
      </w:pPr>
    </w:p>
    <w:p>
      <w:pPr>
        <w:ind w:left="40"/>
        <w:spacing w:after="0"/>
        <w:tabs>
          <w:tab w:leader="none" w:pos="9820" w:val="left"/>
          <w:tab w:leader="none" w:pos="10940" w:val="left"/>
        </w:tabs>
        <w:rPr>
          <w:sz w:val="20"/>
          <w:szCs w:val="20"/>
          <w:color w:val="auto"/>
        </w:rPr>
      </w:pPr>
      <w:r>
        <w:rPr>
          <w:rFonts w:ascii="Arial" w:cs="Arial" w:eastAsia="Arial" w:hAnsi="Arial"/>
          <w:sz w:val="18"/>
          <w:szCs w:val="18"/>
          <w:b w:val="1"/>
          <w:bCs w:val="1"/>
          <w:color w:val="auto"/>
        </w:rPr>
        <w:t>As of December 31</w:t>
      </w:r>
      <w:r>
        <w:rPr>
          <w:sz w:val="20"/>
          <w:szCs w:val="20"/>
          <w:color w:val="auto"/>
        </w:rPr>
        <w:tab/>
      </w:r>
      <w:r>
        <w:rPr>
          <w:rFonts w:ascii="Arial" w:cs="Arial" w:eastAsia="Arial" w:hAnsi="Arial"/>
          <w:sz w:val="18"/>
          <w:szCs w:val="18"/>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Mortgage Bonds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4.86%</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2013</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2014</w:t>
            </w:r>
          </w:p>
        </w:tc>
        <w:tc>
          <w:tcPr>
            <w:tcW w:w="2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1.83%</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2018</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50.0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2016</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8.17%</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2019</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42.0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2020</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2021</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15.0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Pollution Control Series F Due 2022</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111.0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6.02%</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2023</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75.0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2025</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5.10%</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2025</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30.0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2026</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75.0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5.99%</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2027</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60.0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2028</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5.69%</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2036</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50.0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2040</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5.82%</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2040</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45.0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6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2042</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85.0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4.21%</w:t>
            </w:r>
          </w:p>
        </w:tc>
        <w:tc>
          <w:tcPr>
            <w:tcW w:w="7640" w:type="dxa"/>
            <w:vAlign w:val="bottom"/>
          </w:tcPr>
          <w:p>
            <w:pPr>
              <w:ind w:left="20"/>
              <w:spacing w:after="0"/>
              <w:rPr>
                <w:sz w:val="20"/>
                <w:szCs w:val="20"/>
                <w:color w:val="auto"/>
              </w:rPr>
            </w:pPr>
            <w:r>
              <w:rPr>
                <w:rFonts w:ascii="Arial" w:cs="Arial" w:eastAsia="Arial" w:hAnsi="Arial"/>
                <w:sz w:val="18"/>
                <w:szCs w:val="18"/>
                <w:color w:val="auto"/>
              </w:rPr>
              <w:t>Series Due 2043</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60.0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SWL&amp;P First Mortgage Bonds 7.25% Series Due 2013</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SWL&amp;P First Mortgage Bonds 4.15% Series Due 2028</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15.0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Notes 5.99% Due 2017</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Variable Demand Revenue Refunding Bonds Series 1997 A, B, and C Due 2013 – 2020</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24.6</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830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Unsecured Term Loan Variable Rate Due 2015</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75.0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830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Debt, 0.15% – 7.50% Due 2014 – 2037</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37"/>
        </w:trPr>
        <w:tc>
          <w:tcPr>
            <w:tcW w:w="8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Long-Term Debt</w:t>
            </w:r>
          </w:p>
        </w:tc>
        <w:tc>
          <w:tcPr>
            <w:tcW w:w="2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1,110.2</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1,018.1</w:t>
            </w:r>
          </w:p>
        </w:tc>
      </w:tr>
      <w:tr>
        <w:trPr>
          <w:trHeight w:val="27"/>
        </w:trPr>
        <w:tc>
          <w:tcPr>
            <w:tcW w:w="830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Due Within One Year</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r>
      <w:tr>
        <w:trPr>
          <w:trHeight w:val="237"/>
        </w:trPr>
        <w:tc>
          <w:tcPr>
            <w:tcW w:w="8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Net Long-Term Debt</w:t>
            </w:r>
          </w:p>
        </w:tc>
        <w:tc>
          <w:tcPr>
            <w:tcW w:w="2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$1,083.0</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$933.6</w:t>
            </w:r>
          </w:p>
        </w:tc>
      </w:tr>
      <w:tr>
        <w:trPr>
          <w:trHeight w:val="27"/>
        </w:trPr>
        <w:tc>
          <w:tcPr>
            <w:tcW w:w="66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covenant requires ALLETE to maintain a ratio of its Indebtedness to Total Capitalization (as the amounts are calculated in accordance with the respective long-term debt arrangements) of less than or equal to 0.65 to 1.00 measured quarterly. As of December 31, 2013, our ratio was 0.45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2013,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12.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2013, Square Butte had total debt outstanding of $403.3 million. Annual debt service for Square Butte is expected to be approximately $44 million in each of the next five years, 2014 through 2018,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cost of power purchased from Square Butte during 2013 was $71.1 million ($67.1 million in 2012; $61.2 million in 2011). This reflects Minnesota Power’s pro rata share of total Square Butte costs based on the 50 percent output entitlement. Included in this amount was Minnesota Power’s pro rata share of interest expense of $10.5 million in 2013 ($11.1 million in 2012; $11.1 million in 2011). Minnesota Power’s payments to Square Butte are approved as a purchased power expense for ratemaking purposes by both the MPUC and the FERC.</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the 2009 agreement until Minnkota Power has placed in service a new AC transmission line, which is anticipated to occur in mid-2014. This new AC transmission line will allow Minnkota Power to transmit its entitlement from Square Butte directly to its customers, which in turn will enable Minnesota Power to transmit additional wind generation on the existing DC transmission line.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over the term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Minnesota Power and Manitoba Hydro signed an additional long-term PPA. The PPA calls for Manitoba Hydro to sell 250 MW of capacity and energy to Minnesota Power for 15 years beginning in 2020. The agreement is subject to construction of additional transmission capacity between Manitoba and the U.S., along with construction of new hydroelectric generating capacity in Manitoba.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292 MW Bison Wind Energy Center, located in North Dakota, was completed in various phases through 2012. Customer billing rates for our Bison Wind Energy Center were approved by the MPUC in an order dated December 3, 2013.</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25, 2013, the NDPSC approved the site permit for Bison 4, a 205 MW wind project in North Dakota, which is an addition to our Bison Wind Energy Center. As a result, construction has commenced and is expected to be completed by the end of 2014. The total project investment for Bison 4 is estimated to be approximately $345 million, of which $55.6 million was spent through December 31, 2013. Our minimum payment obligation for 2014 is $244.4 million. On January 17, 2014, the MPUC approved Minnesota Power’s petition seeking cost recovery for investments and expenditures related to Bison 4. We anticipate including Bison 4 as part of our renewable resources rider factor filing along with the Company’s other renewable projects in the first quarter of 2014, which upon approval, authorizes updated rates to be included on customer bills.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Hydro Operations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June 2012, record rainfall and flooding occurred near Duluth, Minnesota and surrounding areas. The flooding impacted Minnesota</w:t>
      </w:r>
      <w:r>
        <w:rPr>
          <w:rFonts w:ascii="Arial" w:cs="Arial" w:eastAsia="Arial" w:hAnsi="Arial"/>
          <w:sz w:val="17"/>
          <w:szCs w:val="17"/>
          <w:b w:val="1"/>
          <w:bCs w:val="1"/>
          <w:color w:val="auto"/>
        </w:rPr>
        <w:t xml:space="preserve"> </w:t>
      </w:r>
      <w:r>
        <w:rPr>
          <w:rFonts w:ascii="Arial" w:cs="Arial" w:eastAsia="Arial" w:hAnsi="Arial"/>
          <w:sz w:val="17"/>
          <w:szCs w:val="17"/>
          <w:color w:val="auto"/>
        </w:rPr>
        <w:t>Power’s St. Louis River hydro system, particularly the Thomson Energy Center, which is currently off-line due to damage to the forebay canal and flooding at the facility. Minnesota Power continues to work in close contact with the appropriate regulatory bodies which oversee the hydro system operations, including dams and reservoirs, on restoring the Thomson facility and to rebuild the forebay embankment. The forebay rebuild cost is estimated to be approximately $25 million, of which $6.7 million is under contractual obligation for 2014. In addition to the forebay work, Minnesota Power is performing restoration and upgrade work on electrical, mechanical and flow line systems at the Thomson facility, which is estimated to cost a total of approximately $40 million (net of anticipated insurance recoveries). Any expenditures to restore and upgrade systems and rebuild the forebay canal will be capitalized. Minnesota Power is working towards returning to partial generation from the Thomson Energy Center by the first half of 2014 and to full generation by the end of 2014. In addition to the work at the Thomson facility, additional work on the Thomson Dam and other facilities in the St. Louis River hydro system are necessary to meet high flow events like that experienced in June 2012, which is estimated to cost approximately $15 million through 2015. A request seeking cost recovery of capital expenditures related to the restoration and repair of the Thomson facility and other related St. Louis River hydro system projects through a renewable resources rider is expected to be filed with the MPUC in 2014.</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Coal, Rail and Shipping Contracts. </w:t>
      </w:r>
      <w:r>
        <w:rPr>
          <w:rFonts w:ascii="Arial" w:cs="Arial" w:eastAsia="Arial" w:hAnsi="Arial"/>
          <w:sz w:val="17"/>
          <w:szCs w:val="17"/>
          <w:color w:val="auto"/>
        </w:rPr>
        <w:t>We have coal supply agreements providing for the purchase of a significant portion of our coal requirements with</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dates through 2015. We also have coal transportation agreements in place for the delivery of a significant portion of our coal requirements with expiration dates through 2015. Currently, Minnesota Power is in discussions regarding the extension of our coal supply and transportation contracts beyond 2015. Our minimum annual payment obligation under these supply and transportation agreements is $35.3 million for 2014 and $2.2 million for 2015.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2021. The aggregate amount of minimum lease payments for all operating leases is $12.1 million in 2014, $11.5 million in 2015, $9.5 million in 2016, $8.7 million in 2017, $7.4 million in 2018 and $29.2 million thereafter. Total rent and lease expense was $13.8 million in 2013 ($11.5 million in 2012; $9.4 million in 2011).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6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continue to make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(individually or in combination with others), and our investment in ATC.</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Minnesota Power has an approved cost recovery rider in place for certain transmission investments and expenditures.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12, 2013, the MPUC approved Minnesota Power’s updated billing factor which allows Minnesota Power to charge retail customers on a current basis for the costs of constructing certain transmission facilities plus a return on the capital invested. We anticipate filing a petition in the first quarter of 2014 to include additional transmission investments and expenditures in customer billing rates.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in August 2012. The entire 238-mile, 345 kV line from Fargo to Monticello is expected to be in service by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$80.5 million was spent through December 31, 2013, of which $69.6 million related to the Fargo, North Dakota to Monticello, Minnesota projects and $10.9 million related to the Bemidji, Minnesota to Minnesota Power’s Boswell Energy Center project ($48.2 million as of December 31, 2012 of which $37.3 million related to the Fargo, North Dakota to Monticello, Minnesota projects and $10.9 million related to the Bemidji, Minnesota to Minnesota Power’s Boswell Energy Center project). As future CapX2020 projects are identified, Minnesota Power may elect to participate on a project-by-project basis.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240-mile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GNTL is subject to various federal and state regulatory approvals. Before a large energy facility can be sited or constructed in Minnesota, the MPUC requires a Certificate of Need, which was filed on October 21, 2013. In an order dated January 8, 2014, the MPUC determined the Certificate of Need application was complete and referred the docket to an administrative law judge for a contested case proceeding.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Minnesota Power’s portion of capital expenditures for the GNTL is estimated to be approximately $300 million depending on the final route of the line, reflecting approximately 51 percent of the total line cost.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New Source Review (NSR)</w:t>
      </w:r>
      <w:r>
        <w:rPr>
          <w:rFonts w:ascii="Arial" w:cs="Arial" w:eastAsia="Arial" w:hAnsi="Arial"/>
          <w:sz w:val="17"/>
          <w:szCs w:val="17"/>
          <w:color w:val="auto"/>
        </w:rPr>
        <w:t>. 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The NOV asserts that seven projects undertaken at these coal-fired plants between the years 1981 and 2000 should have been reviewed under the NSR requirements and that Boswell Unit 4’s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Resolution of the NOVs could result in civil penalties, which we do not believe will be material to our results of operations, retirements or refueling of generating units, and the installation of additional pollution control equipment, some of which is already planned or which has been completed to comply with other regulatory requirements. We are engaged in discussions with the EPA regarding resolution of these matters, but we are unable to estimate the expenditures, or range of expenditures, that may be required upon resolution. Any costs of retirements, refueling, or installing additional pollution control equipment would likely be eligible for recovery in rates over time subject to regulatory approval in a rate proceeding.</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Cross-State Air Pollution Rule (CSAPR)</w:t>
      </w:r>
      <w:r>
        <w:rPr>
          <w:rFonts w:ascii="Arial" w:cs="Arial" w:eastAsia="Arial" w:hAnsi="Arial"/>
          <w:sz w:val="18"/>
          <w:szCs w:val="18"/>
          <w:color w:val="auto"/>
        </w:rPr>
        <w:t>. In July 2011, the EPA issued the CSAPR, which replaced the EPA’s 2005 CAIR. However, in August 2012, a three-judge panel of the District of Columbia Circuit Court of Appeals vacated the CSAPR, ordering that the CAIR remain in effect while a CSAPR replacement rule is promulgated. On March 29, 2013, the EPA petitioned the Supreme Court to review the District of Columbia Circuit Court of Appeals ruling. The Supreme Court decided to grant review on June 24, 2013, and is likely to issue its decision by mid-2014. If reinstated after Supreme Court review, the CSAPR would require states in the CSAPR region, including Minnesota, to significantly improve air quality by reducing power plant emissions that contribute to ozone and/or fine particle pollution in other states. The CSAPR would not directly require the installation of controls. Instead, the rule would require facilities to have sufficient emission allowances to cover their emissions on an annual basis. These allowances would be allocated to facilities from each state’s annual budget and could be bought and sold.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 It remains uncertain if emission restrictions similar to those contained in the CSAPR will become effective for Minnesota utilities as a result of the August 2012 District of Columbia Circuit Court of Appeals decision.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2013. We are unable to predict any additional compliance costs we might incur if the CSAPR is reinstated or if a CSAPR replacement rule is promulgated.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Regional Haze</w:t>
      </w:r>
      <w:r>
        <w:rPr>
          <w:rFonts w:ascii="Arial" w:cs="Arial" w:eastAsia="Arial" w:hAnsi="Arial"/>
          <w:sz w:val="18"/>
          <w:szCs w:val="18"/>
          <w:color w:val="auto"/>
        </w:rPr>
        <w:t>. The federal Regional Haze Rule requires states to submit SIPs to the EPA to address regional haze visibility impairment in 156 federally-protected parks and wilderness areas. Under the first phase of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legal challenges at both the State and Federal levels, there is currently no applicable compliance deadline for the Regional Haze Rule. If additional regional haze related controls are ultimately required, Minnesota Power will have up to five years from the final rule promulgation date to bring Taconite Harbor Unit 3 into compliance. As part of our 2013 Integrated Resource Plan, which was approved by the MPUC in an order dated November 12, 2013, we plan to retire Taconite Harbor Unit 3 in 2015. We believe that the Taconite Harbor Unit 3 retirement will be accomplished before any compliance deadline takes effect.</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environmental upgrade to April 1, 2016. Compliance at Boswell Unit 4 to address the final MATS rule is expected to result in capital expenditures of approximately $310 million through 2016. Our minimum payment obligation for the environmental upgrade is $61.1 million for 2014 and $25.7 million for 2015. Our “EnergyForward” plan, which was approved as part of our 2013 Integrated Resource Plan by the MPUC in an order dated November 12, 2013, also includes the conversion of Laskin Units 1 and 2 to natural gas in 2015, to position the Company for MATS compliance. On January 9, 2014, the MPCA approved Minnesota Power’s application to extend the deadline for Taconite Harbor Unit 3 to comply with MATS by approximately six weeks (until May 31, 2015), in order to align the Unit 3 retirement with MISO’s resource planning year.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In January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costs for complying with the final rule are not expected to be material at this time.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Minnesota Mercury Emissions Reduction Act</w:t>
      </w:r>
      <w:r>
        <w:rPr>
          <w:rFonts w:ascii="Arial" w:cs="Arial" w:eastAsia="Arial" w:hAnsi="Arial"/>
          <w:sz w:val="17"/>
          <w:szCs w:val="17"/>
          <w:color w:val="auto"/>
        </w:rPr>
        <w:t>. In order to comply with the 2006 Minnesota Mercury Emissions Reduction Act, Minnesota Power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implementing a mercury emissions reduction project for Boswell Unit 4 by December 31, 2018. In August 2012, Minnesota Power filed its mercury emissions reduction plan for Boswell Unit 4 with the MPUC and the MPCA. The plan proposes that Minnesota Power install pollution controls to address both the Minnesota mercury emissions reduction requirements and the MATS rule, which also regulates mercury emissions. Minnesota Power’s request of an additional year extending the date of compliance for the Boswell Unit 4 environmental upgrade to April 1, 2016, was approved by the MPCA. Costs to implement the Boswell Unit 4 mercury emissions reduction plan are included in the estimated capital expenditures required for compliance with the MATS rule discussed above (see </w:t>
      </w:r>
      <w:r>
        <w:rPr>
          <w:rFonts w:ascii="Arial" w:cs="Arial" w:eastAsia="Arial" w:hAnsi="Arial"/>
          <w:sz w:val="17"/>
          <w:szCs w:val="17"/>
          <w:i w:val="1"/>
          <w:iCs w:val="1"/>
          <w:color w:val="auto"/>
        </w:rPr>
        <w:t>Mercury and Air Toxics Standards (MATS) Rule</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to more stringently control emissions that result in ground level ozone. In January 2010, the EPA proposed to revise</w:t>
      </w:r>
      <w:r>
        <w:rPr>
          <w:rFonts w:ascii="Arial" w:cs="Arial" w:eastAsia="Arial" w:hAnsi="Arial"/>
          <w:sz w:val="17"/>
          <w:szCs w:val="17"/>
          <w:i w:val="1"/>
          <w:iCs w:val="1"/>
          <w:color w:val="auto"/>
        </w:rPr>
        <w:t xml:space="preserve"> </w:t>
      </w:r>
      <w:r>
        <w:rPr>
          <w:rFonts w:ascii="Arial" w:cs="Arial" w:eastAsia="Arial" w:hAnsi="Arial"/>
          <w:sz w:val="17"/>
          <w:szCs w:val="17"/>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2014 or later. Consequently, the costs for complying with the final ozone NAAQS cannot be estimated at this time.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has established a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the annual PM</w:t>
      </w:r>
      <w:r>
        <w:rPr>
          <w:rFonts w:ascii="Arial" w:cs="Arial" w:eastAsia="Arial" w:hAnsi="Arial"/>
          <w:sz w:val="11"/>
          <w:szCs w:val="11"/>
          <w:color w:val="auto"/>
        </w:rPr>
        <w:t>2.5</w:t>
      </w:r>
      <w:r>
        <w:rPr>
          <w:rFonts w:ascii="Arial" w:cs="Arial" w:eastAsia="Arial" w:hAnsi="Arial"/>
          <w:sz w:val="17"/>
          <w:szCs w:val="17"/>
          <w:color w:val="auto"/>
        </w:rPr>
        <w:t xml:space="preserve"> standard and the 24-hour coarse particulate matter standard have remained unchanged. The United States Court of Appeals for the District of Columbia Circuit remanded the annual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standard values. The EPA proposed new PM</w:t>
      </w:r>
      <w:r>
        <w:rPr>
          <w:rFonts w:ascii="Arial" w:cs="Arial" w:eastAsia="Arial" w:hAnsi="Arial"/>
          <w:sz w:val="11"/>
          <w:szCs w:val="11"/>
          <w:color w:val="auto"/>
        </w:rPr>
        <w:t>2.5</w:t>
      </w:r>
      <w:r>
        <w:rPr>
          <w:rFonts w:ascii="Arial" w:cs="Arial" w:eastAsia="Arial" w:hAnsi="Arial"/>
          <w:sz w:val="17"/>
          <w:szCs w:val="17"/>
          <w:color w:val="auto"/>
        </w:rPr>
        <w:t xml:space="preserve"> standards in June 2012.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designations and permitting requirements. New projects and permits must comply with the new more stringent standard, and compliance with the NAAQS at the facility level is generally demonstrated by modeling.</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final rule, states will be responsible for additional PM</w:t>
      </w:r>
      <w:r>
        <w:rPr>
          <w:rFonts w:ascii="Arial" w:cs="Arial" w:eastAsia="Arial" w:hAnsi="Arial"/>
          <w:sz w:val="11"/>
          <w:szCs w:val="11"/>
          <w:color w:val="auto"/>
        </w:rPr>
        <w:t>2.5</w:t>
      </w:r>
      <w:r>
        <w:rPr>
          <w:rFonts w:ascii="Arial" w:cs="Arial" w:eastAsia="Arial" w:hAnsi="Arial"/>
          <w:sz w:val="17"/>
          <w:szCs w:val="17"/>
          <w:color w:val="auto"/>
        </w:rPr>
        <w:t xml:space="preserve"> monitoring, which will likely be accomplished by relocating or repurposing existing monitors. The EPA asked states to submit attainment designations by December 2013, based on already available monitoring data. The EPA believes that most U.S. counties currently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 Minnesota is anticipating that it will retain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 be</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may require the EPA to evaluate modeling data to determine attainment. The EPA notified states that their infrastructure SIPs for maintaining attainment of the standard were required to be submitted to the EPA for approval by June 2013. However, the State of Minnesota has delayed completing the documents pending receipt of EPA guidance to states for preparing the SIP submittal. Guidance was expected in 2013 and has been delayed.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2011, the MPCA initiated modeling activities that included approximately 65 sources within Minnesota that emit greater than 100 tons of SO</w:t>
      </w:r>
      <w:r>
        <w:rPr>
          <w:rFonts w:ascii="Arial" w:cs="Arial" w:eastAsia="Arial" w:hAnsi="Arial"/>
          <w:sz w:val="12"/>
          <w:szCs w:val="12"/>
          <w:color w:val="auto"/>
        </w:rPr>
        <w:t>2</w:t>
      </w:r>
      <w:r>
        <w:rPr>
          <w:rFonts w:ascii="Arial" w:cs="Arial" w:eastAsia="Arial" w:hAnsi="Arial"/>
          <w:sz w:val="18"/>
          <w:szCs w:val="18"/>
          <w:color w:val="auto"/>
        </w:rPr>
        <w:t xml:space="preserve"> per year. However, in April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President Obama’s Climate Action Plan</w:t>
      </w:r>
      <w:r>
        <w:rPr>
          <w:rFonts w:ascii="Arial" w:cs="Arial" w:eastAsia="Arial" w:hAnsi="Arial"/>
          <w:sz w:val="18"/>
          <w:szCs w:val="18"/>
          <w:color w:val="auto"/>
        </w:rPr>
        <w:t>. On June 25, 2013, President Obama announced a Climate Action Plan (CAP) that calls for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as further described below.</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would have applied only to new or re-powered units. Based on the volume of comments received, the EPA announced its intent to re-propose the rule.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20, 2013, the EPA retracted its March 2012 proposal and announced the release of a revised NSPS for new or re-powered utility CO</w:t>
      </w:r>
      <w:r>
        <w:rPr>
          <w:rFonts w:ascii="Arial" w:cs="Arial" w:eastAsia="Arial" w:hAnsi="Arial"/>
          <w:sz w:val="11"/>
          <w:szCs w:val="11"/>
          <w:color w:val="auto"/>
        </w:rPr>
        <w:t>2</w:t>
      </w:r>
      <w:r>
        <w:rPr>
          <w:rFonts w:ascii="Arial" w:cs="Arial" w:eastAsia="Arial" w:hAnsi="Arial"/>
          <w:sz w:val="17"/>
          <w:szCs w:val="17"/>
          <w:color w:val="auto"/>
        </w:rPr>
        <w:t xml:space="preserve"> emissions. The EPA also reaffirmed its plans to propose NSPS or regulatory guidelines for existing fossil fuel-fired electric generating units by June 1, 2014, and to finalize such rules by June 1, 2015. The EPA is soliciting feedback as to the approaches the EPA should consider for regulation of CO</w:t>
      </w:r>
      <w:r>
        <w:rPr>
          <w:rFonts w:ascii="Arial" w:cs="Arial" w:eastAsia="Arial" w:hAnsi="Arial"/>
          <w:sz w:val="11"/>
          <w:szCs w:val="11"/>
          <w:color w:val="auto"/>
        </w:rPr>
        <w:t>2</w:t>
      </w:r>
      <w:r>
        <w:rPr>
          <w:rFonts w:ascii="Arial" w:cs="Arial" w:eastAsia="Arial" w:hAnsi="Arial"/>
          <w:sz w:val="17"/>
          <w:szCs w:val="17"/>
          <w:color w:val="auto"/>
        </w:rPr>
        <w:t xml:space="preserve"> under the NSPS provisions of the Clean Air Act. Under the CAP, an approach was described where the EPA will issue regulatory guidelines and objectives to the states, which in turn will submit SIPs for EPA approval that demonstrate how the state will meet or surpass achievement of the EPA targeted objectives. The CAP directs the EPA to require states to submit such SIPs by June 30, 2016.</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has already initiated several measures consistent with those called for under the CAP. Minnesota Power has also announced its “EnergyForward” strategic plan that provides for significant emission reductions and diversifying our electricity generation mix to include more renewable and natural gas energy.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6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Legal challenges have been filed with respect to the EPA’s regulation of GHG emissions, including the Tailoring Rule. In June 2012, the United States Court of Appeals for the District of Columbia Circuit upheld most of the EPA’s proposed regulations, including the Tailoring Rule criteria, finding that the Clean Air Act compels the EPA to regulate in the manner the EPA proposed. On October 15, 2013, the U.S. Supreme Court announced that it would grant review of the Circuit Court’s decision, with such review limited to the question of whether EPA’s regulation of GHGs under the PSD provisions of the Clean Air Act and the Tailoring Rule was permissible. The Supreme Court’s decision, which is expected in 2014, is not expected to affect EPA’s authority to regulate CO</w:t>
      </w:r>
      <w:r>
        <w:rPr>
          <w:rFonts w:ascii="Arial" w:cs="Arial" w:eastAsia="Arial" w:hAnsi="Arial"/>
          <w:sz w:val="11"/>
          <w:szCs w:val="11"/>
          <w:color w:val="auto"/>
        </w:rPr>
        <w:t>2</w:t>
      </w:r>
      <w:r>
        <w:rPr>
          <w:rFonts w:ascii="Arial" w:cs="Arial" w:eastAsia="Arial" w:hAnsi="Arial"/>
          <w:sz w:val="16"/>
          <w:szCs w:val="16"/>
          <w:color w:val="auto"/>
        </w:rPr>
        <w:t xml:space="preserve"> from fossil fuel-fired electric generating units under the NSPS provisions of the Clean Air Act, but may affect the timing of such regulations.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expects to issue a final rule on April 17, 2014. We are unable to predict the compliance costs we might incur under the final rule; however, the costs could be material. We would seek recovery of any additional costs through cost recovery riders or in a general rate case.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On April 19, 2013, the EPA announced proposed revisions to the federal effluent guidelines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Instead of proposing a single rule, the EPA proposed eight “options,” of which four are “preferred”.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on June 7, 2013, and public comments were due by September 20, 2013. It is expected that the EPA will issue a final rule in 2014. Compliance with the final rule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generates coal ash at all five of its coal-fired electric generating facilities. Two facilities store ash in</w:t>
      </w:r>
      <w:r>
        <w:rPr>
          <w:rFonts w:ascii="Arial" w:cs="Arial" w:eastAsia="Arial" w:hAnsi="Arial"/>
          <w:sz w:val="18"/>
          <w:szCs w:val="18"/>
          <w:i w:val="1"/>
          <w:iCs w:val="1"/>
          <w:color w:val="auto"/>
        </w:rPr>
        <w:t xml:space="preserve"> </w:t>
      </w:r>
      <w:r>
        <w:rPr>
          <w:rFonts w:ascii="Arial" w:cs="Arial" w:eastAsia="Arial" w:hAnsi="Arial"/>
          <w:sz w:val="18"/>
          <w:szCs w:val="18"/>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The EPA has committed to publish the final rule by the end of 2014. We are unable to predict the compliance costs we might incur; however, the costs could be material. We would seek recovery of any additional costs through cost recovery riders or in a general rate case.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December 31, 2013, BNI Coal had surety bonds outstanding of $29.7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bonding reclamation obligation, which is currently estimated at $32.3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December 31, 2013,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$10.2 million primarily related to development and maintenance obligations for various projects. The estimated cost of the remaining development work is approximately $7.4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December 31, 2013, we owned 73 percent of the assessable land in the Town Center District (73 percent at December 31, 2012) and 93 percent of the assessable land in the Palm Coast Park District (93 percent at December 31, 2012).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In response to a Motion for Summary Judgment by Minnesota Power, the Court dismissed all of plaintiffs’ claims in an order dated August 21, 2013. On October 29, 2013, the plaintiffs’ appealed the decision to the Minnesota Court of Appeals. The Company has responded to the appeal. As of December 31, 2013, a potential loss is not currently probable or reasonably estimable.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Notice of Potential Clean Air Act Citizen Lawsuit. </w:t>
      </w:r>
      <w:r>
        <w:rPr>
          <w:rFonts w:ascii="Arial" w:cs="Arial" w:eastAsia="Arial" w:hAnsi="Arial"/>
          <w:sz w:val="18"/>
          <w:szCs w:val="18"/>
          <w:color w:val="auto"/>
        </w:rPr>
        <w:t>In July 2013, the Sierra Club submitted to Minnesota Power a notice of intent to file a citizen suit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 Air Act.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December 31, 2013, because a potential loss is not currently probable or reasonably estimable.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are involved in litigation arising in the normal course of business. Also in the normal course of business, we are involved in tax,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NOTE 13. COMMON STOCK AND EARNINGS PER SHARE</w:t>
            </w:r>
          </w:p>
        </w:tc>
        <w:tc>
          <w:tcPr>
            <w:tcW w:w="3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94"/>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Summary of Common Stock</w:t>
            </w:r>
          </w:p>
        </w:tc>
        <w:tc>
          <w:tcPr>
            <w:tcW w:w="326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Equity</w:t>
            </w:r>
          </w:p>
        </w:tc>
      </w:tr>
      <w:tr>
        <w:trPr>
          <w:trHeight w:val="270"/>
        </w:trPr>
        <w:tc>
          <w:tcPr>
            <w:tcW w:w="6920" w:type="dxa"/>
            <w:vAlign w:val="bottom"/>
          </w:tcPr>
          <w:p>
            <w:pPr>
              <w:spacing w:after="0"/>
              <w:rPr>
                <w:sz w:val="23"/>
                <w:szCs w:val="23"/>
                <w:color w:val="auto"/>
              </w:rPr>
            </w:pPr>
          </w:p>
        </w:tc>
        <w:tc>
          <w:tcPr>
            <w:tcW w:w="3260" w:type="dxa"/>
            <w:vAlign w:val="bottom"/>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69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35,817</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$636.1</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437</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Purchase of Non-Controlling Interest</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222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Pension</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508</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7"/>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2011</w:t>
            </w:r>
          </w:p>
        </w:tc>
        <w:tc>
          <w:tcPr>
            <w:tcW w:w="3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37,513</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$705.6</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Purchase Program</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Invest Direct</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474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Options and Stock Awards</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1,275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
        </w:trPr>
        <w:tc>
          <w:tcPr>
            <w:tcW w:w="69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39,377</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$784.7</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301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1,312</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r>
      <w:tr>
        <w:trPr>
          <w:trHeight w:val="237"/>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2013</w:t>
            </w:r>
          </w:p>
        </w:tc>
        <w:tc>
          <w:tcPr>
            <w:tcW w:w="3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41,401</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$885.2</w:t>
            </w:r>
          </w:p>
        </w:tc>
      </w:tr>
      <w:tr>
        <w:trPr>
          <w:trHeight w:val="27"/>
        </w:trPr>
        <w:tc>
          <w:tcPr>
            <w:tcW w:w="69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Equity Issuance Program. </w:t>
      </w:r>
      <w:r>
        <w:rPr>
          <w:rFonts w:ascii="Arial" w:cs="Arial" w:eastAsia="Arial" w:hAnsi="Arial"/>
          <w:sz w:val="16"/>
          <w:szCs w:val="16"/>
          <w:color w:val="auto"/>
        </w:rPr>
        <w:t>We entered into a distribution agreement with Lampert Capital Markets, Inc. (successor to KCCI, Ltd.), in February 2008,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most recently in February 2014, with respect to the issuance and sale of up to an aggregate of 9.6 million shares of our common stock, without par value, of which 3.1 million shares remain available for issuance. For the year ended December 31, 2013, 1.3 million shares of common stock were issued under this agreement resulting in net proceeds of $63.4 million (1.3 million shares for net proceeds of $53.1 million for the year ended December 31, 2012). The shares sold in 2011, 2012 and through August 1, 2013, were offered and sold pursuant to Registration Statement No. 333-170289. On August 2, 2013, we filed Registration Statement No. 333-190335, pursuant to which the remaining shares will continue to be offered for sale, from time to time.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The difference between basic and diluted earnings per share, if any, arises from outstanding stock options, non-vested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and performance share awards granted under our Executive Long-Term Incentive Compensation Plans. In 2013, in accordance with accounting standards for earnings per share, no options to purchase shares of common stock were excluded from the computation of diluted earnings per share because the option exercise prices were greater than the average market prices. In 2012 and 2011, 0.2 million shares and 0.3 million shares were excluded because the option exercise prices were greater than the average market prices; therefore, their effect would have been anti-dilutive.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Purchase of Non-Controlling Interest. </w:t>
      </w:r>
      <w:r>
        <w:rPr>
          <w:rFonts w:ascii="Arial" w:cs="Arial" w:eastAsia="Arial" w:hAnsi="Arial"/>
          <w:sz w:val="18"/>
          <w:szCs w:val="18"/>
          <w:color w:val="auto"/>
        </w:rPr>
        <w:t>In 2011, the remaining shares of the ALLETE Properties non-controlling interest were purchased at book value for</w:t>
      </w:r>
      <w:r>
        <w:rPr>
          <w:rFonts w:ascii="Arial" w:cs="Arial" w:eastAsia="Arial" w:hAnsi="Arial"/>
          <w:sz w:val="18"/>
          <w:szCs w:val="18"/>
          <w:b w:val="1"/>
          <w:bCs w:val="1"/>
          <w:color w:val="auto"/>
        </w:rPr>
        <w:t xml:space="preserve"> </w:t>
      </w:r>
      <w:r>
        <w:rPr>
          <w:rFonts w:ascii="Arial" w:cs="Arial" w:eastAsia="Arial" w:hAnsi="Arial"/>
          <w:sz w:val="18"/>
          <w:szCs w:val="18"/>
          <w:color w:val="auto"/>
        </w:rPr>
        <w:t>$8.8 million by issuing 0.2 million unregistered shares of ALLETE common stock. This was accounted for as an equity transaction, and no gain or loss was recognized in net income or comprehensive income.</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On January 10, 2014, we contributed approximately 0.4 million shares of ALLETE common stock to our pension plan, which had</w:t>
      </w:r>
      <w:r>
        <w:rPr>
          <w:rFonts w:ascii="Arial" w:cs="Arial" w:eastAsia="Arial" w:hAnsi="Arial"/>
          <w:sz w:val="18"/>
          <w:szCs w:val="18"/>
          <w:b w:val="1"/>
          <w:bCs w:val="1"/>
          <w:color w:val="auto"/>
        </w:rPr>
        <w:t xml:space="preserve"> </w:t>
      </w:r>
      <w:r>
        <w:rPr>
          <w:rFonts w:ascii="Arial" w:cs="Arial" w:eastAsia="Arial" w:hAnsi="Arial"/>
          <w:sz w:val="18"/>
          <w:szCs w:val="18"/>
          <w:color w:val="auto"/>
        </w:rPr>
        <w:t>an aggregate value of $19.5 million when contributed. There were no contributions of ALLETE common stock to our pension plan in 2013 or 2012. In 2011, ALLETE contributed approximately 0.5 million shares of ALLETE common stock to its pension plan, which had an aggregate value of $20.0 million when contributed. These shares of ALLETE common stock were contributed in reliance upon an exemption available pursuant to Section 4(a)(2)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4"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13. COMMON STOCK AND EARNINGS PER SHARE (Continued)</w:t>
            </w: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920" w:type="dxa"/>
            <w:vAlign w:val="bottom"/>
          </w:tcPr>
          <w:p>
            <w:pPr>
              <w:spacing w:after="0"/>
              <w:rPr>
                <w:sz w:val="23"/>
                <w:szCs w:val="23"/>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Dilutive</w:t>
            </w:r>
          </w:p>
        </w:tc>
        <w:tc>
          <w:tcPr>
            <w:tcW w:w="1060" w:type="dxa"/>
            <w:vAlign w:val="bottom"/>
          </w:tcPr>
          <w:p>
            <w:pPr>
              <w:spacing w:after="0"/>
              <w:rPr>
                <w:sz w:val="23"/>
                <w:szCs w:val="23"/>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jc w:val="right"/>
              <w:ind w:right="230"/>
              <w:spacing w:after="0"/>
              <w:rPr>
                <w:sz w:val="20"/>
                <w:szCs w:val="20"/>
                <w:color w:val="auto"/>
              </w:rPr>
            </w:pPr>
            <w:r>
              <w:rPr>
                <w:rFonts w:ascii="Arial" w:cs="Arial" w:eastAsia="Arial" w:hAnsi="Arial"/>
                <w:sz w:val="18"/>
                <w:szCs w:val="18"/>
                <w:b w:val="1"/>
                <w:bCs w:val="1"/>
                <w:color w:val="auto"/>
              </w:rPr>
              <w:t>Basic</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Securities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Diluted</w:t>
            </w:r>
          </w:p>
        </w:tc>
      </w:tr>
      <w:tr>
        <w:trPr>
          <w:trHeight w:val="27"/>
        </w:trPr>
        <w:tc>
          <w:tcPr>
            <w:tcW w:w="69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19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$104.7</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39.7</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$2.64</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9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$97.1</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37.6</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$2.59</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19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$93.8</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$93.8</w:t>
            </w:r>
          </w:p>
        </w:tc>
      </w:tr>
      <w:tr>
        <w:trPr>
          <w:trHeight w:val="27"/>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35.3</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$2.66</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69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42"/>
        </w:trPr>
        <w:tc>
          <w:tcPr>
            <w:tcW w:w="6980" w:type="dxa"/>
            <w:vAlign w:val="bottom"/>
          </w:tcPr>
          <w:p>
            <w:pPr>
              <w:spacing w:after="0"/>
              <w:rPr>
                <w:sz w:val="20"/>
                <w:szCs w:val="20"/>
                <w:color w:val="auto"/>
              </w:rPr>
            </w:pPr>
            <w:r>
              <w:rPr>
                <w:rFonts w:ascii="Arial" w:cs="Arial" w:eastAsia="Arial" w:hAnsi="Arial"/>
                <w:sz w:val="18"/>
                <w:szCs w:val="18"/>
                <w:b w:val="1"/>
                <w:bCs w:val="1"/>
                <w:color w:val="auto"/>
              </w:rPr>
              <w:t>NOTE 14. OTHER INCOME (EXPENSE)</w:t>
            </w: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9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9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 Equity</w:t>
            </w:r>
          </w:p>
        </w:tc>
        <w:tc>
          <w:tcPr>
            <w:tcW w:w="1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w:t>
            </w:r>
          </w:p>
        </w:tc>
        <w:tc>
          <w:tcPr>
            <w:tcW w:w="1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1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$9.3</w:t>
            </w:r>
          </w:p>
        </w:tc>
        <w:tc>
          <w:tcPr>
            <w:tcW w:w="1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$6.0</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69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6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NOTE 15. INCOME TAX EXPENSE</w:t>
            </w: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9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6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4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56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34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0.1</w:t>
            </w:r>
          </w:p>
        </w:tc>
        <w:tc>
          <w:tcPr>
            <w:tcW w:w="1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0.5</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6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3480" w:type="dxa"/>
            <w:vAlign w:val="bottom"/>
          </w:tcPr>
          <w:p>
            <w:pPr>
              <w:jc w:val="right"/>
              <w:ind w:right="450"/>
              <w:spacing w:after="0"/>
              <w:rPr>
                <w:sz w:val="20"/>
                <w:szCs w:val="20"/>
                <w:color w:val="auto"/>
              </w:rPr>
            </w:pPr>
            <w:r>
              <w:rPr>
                <w:rFonts w:ascii="Arial" w:cs="Arial" w:eastAsia="Arial" w:hAnsi="Arial"/>
                <w:sz w:val="18"/>
                <w:szCs w:val="18"/>
                <w:color w:val="auto"/>
              </w:rPr>
              <w:t>22.9</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37.0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5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6.5</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480" w:type="dxa"/>
            <w:vAlign w:val="bottom"/>
          </w:tcPr>
          <w:p>
            <w:pPr>
              <w:jc w:val="right"/>
              <w:ind w:right="390"/>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6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28.6</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37.5</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4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$28.7</w:t>
            </w:r>
          </w:p>
        </w:tc>
        <w:tc>
          <w:tcPr>
            <w:tcW w:w="1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$38.0</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2"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2013, 2012 and 2011, the federal and state current tax expense (benefit) was due to NOLs which resulted primarily from the bonus depreciation provision of the Tax Relief, Unemployment Insurance Reauthorization, and Job Creation Act of 2010, and the American Taxpayer Relief Act of 2012. The federal and state NOLs will be carried forward to offset future taxable income.</w:t>
      </w:r>
    </w:p>
    <w:p>
      <w:pPr>
        <w:spacing w:after="0" w:line="1" w:lineRule="exact"/>
        <w:rPr>
          <w:rFonts w:ascii="Arial" w:cs="Arial" w:eastAsia="Arial" w:hAnsi="Arial"/>
          <w:sz w:val="16"/>
          <w:szCs w:val="16"/>
          <w:i w:val="1"/>
          <w:iCs w:val="1"/>
          <w:color w:val="auto"/>
        </w:rPr>
      </w:pPr>
    </w:p>
    <w:p>
      <w:pPr>
        <w:jc w:val="both"/>
        <w:ind w:left="340" w:hanging="332"/>
        <w:spacing w:after="0" w:line="270" w:lineRule="auto"/>
        <w:tabs>
          <w:tab w:leader="none" w:pos="340" w:val="left"/>
        </w:tabs>
        <w:numPr>
          <w:ilvl w:val="0"/>
          <w:numId w:val="32"/>
        </w:numPr>
        <w:rPr>
          <w:rFonts w:ascii="Arial" w:cs="Arial" w:eastAsia="Arial" w:hAnsi="Arial"/>
          <w:sz w:val="15"/>
          <w:szCs w:val="15"/>
          <w:i w:val="1"/>
          <w:iCs w:val="1"/>
          <w:color w:val="auto"/>
        </w:rPr>
      </w:pPr>
      <w:r>
        <w:rPr>
          <w:rFonts w:ascii="Arial" w:cs="Arial" w:eastAsia="Arial" w:hAnsi="Arial"/>
          <w:sz w:val="15"/>
          <w:szCs w:val="15"/>
          <w:i w:val="1"/>
          <w:iCs w:val="1"/>
          <w:color w:val="auto"/>
        </w:rPr>
        <w:t>For the year ended December 31, 2013, federal deferred tax expense is lower than the prior year primarily due to higher renewable tax credits. For the years ended December 31, 2013, 2012, and 2011, state deferred tax expense includes state renewable tax credits earned, net of valuation allowance, which will be carried forward to offset future state income taxes. The year ended December 31, 2011, included an income tax benefit for the reversal of a $6.2 million deferred tax liability related to a revenue receivable that Minnesota Power agreed to forgo as part of a stipulation and settlement agreement in its 2010 rate case and a benefit of $2.9 million related to the MPUC approval of our request to defer the retail portion of the tax charge taken in 2010 as a result of the PPACA.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5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2011</w:t>
            </w:r>
          </w:p>
        </w:tc>
      </w:tr>
      <w:tr>
        <w:trPr>
          <w:trHeight w:val="27"/>
        </w:trPr>
        <w:tc>
          <w:tcPr>
            <w:tcW w:w="6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5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$133.4</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$135.1</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$129.2</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25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$46.7</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$47.3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$45.2</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5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4.3</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Deferred Accounting for Retail Portion of the PPACA</w:t>
            </w:r>
          </w:p>
        </w:tc>
        <w:tc>
          <w:tcPr>
            <w:tcW w:w="25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6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2010 Rate Case Stipulation Agreement - Deferred Tax Reversal</w:t>
            </w:r>
          </w:p>
        </w:tc>
        <w:tc>
          <w:tcPr>
            <w:tcW w:w="25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254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Production Tax Credits</w:t>
            </w:r>
          </w:p>
        </w:tc>
        <w:tc>
          <w:tcPr>
            <w:tcW w:w="25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(19.2)</w:t>
            </w:r>
          </w:p>
        </w:tc>
        <w:tc>
          <w:tcPr>
            <w:tcW w:w="14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(7.6)</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Other</w:t>
            </w:r>
          </w:p>
        </w:tc>
        <w:tc>
          <w:tcPr>
            <w:tcW w:w="2540" w:type="dxa"/>
            <w:vAlign w:val="bottom"/>
          </w:tcPr>
          <w:p>
            <w:pPr>
              <w:jc w:val="right"/>
              <w:ind w:right="390"/>
              <w:spacing w:after="0"/>
              <w:rPr>
                <w:sz w:val="20"/>
                <w:szCs w:val="20"/>
                <w:color w:val="auto"/>
              </w:rPr>
            </w:pPr>
            <w:r>
              <w:rPr>
                <w:rFonts w:ascii="Arial" w:cs="Arial" w:eastAsia="Arial" w:hAnsi="Arial"/>
                <w:sz w:val="18"/>
                <w:szCs w:val="18"/>
                <w:color w:val="auto"/>
              </w:rPr>
              <w:t>(0.9)</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(0.7)</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6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5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$28.7</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$38.0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$35.6</w:t>
            </w:r>
          </w:p>
        </w:tc>
      </w:tr>
      <w:tr>
        <w:trPr>
          <w:trHeight w:val="20"/>
        </w:trPr>
        <w:tc>
          <w:tcPr>
            <w:tcW w:w="638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on income was 21.5 percent for 2013 (28.1 percent for 2012; 27.6 percent for 2011). The 2013 and 2012 effective rates were primarily impacted by renewable tax credits and by the deduction for AFUDC-Equity (included in Regulatory Differences for Utility Plant, above). The 2011 effective tax rate was primarily impacted by the deduction for AFUDC-Equity, the reversal of a deferred tax liability related to a revenue receivable that Minnesota Power agreed to forgo as part of a stipulation and settlement agreement in its 2010 rate case, renewable tax credits, and the MPUC’s approval of our request to defer the retail portion of the tax charge taken in 2010 as a result of the PPACA.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64"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NOTE 15. INCOME TAX EXPENSE (Continued)</w:t>
            </w:r>
          </w:p>
        </w:tc>
        <w:tc>
          <w:tcPr>
            <w:tcW w:w="37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Deferred Tax Assets and Liabilities</w:t>
            </w:r>
          </w:p>
        </w:tc>
        <w:tc>
          <w:tcPr>
            <w:tcW w:w="37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Employee Benefits and Compensation</w:t>
            </w:r>
          </w:p>
        </w:tc>
        <w:tc>
          <w:tcPr>
            <w:tcW w:w="3760" w:type="dxa"/>
            <w:vAlign w:val="bottom"/>
          </w:tcPr>
          <w:p>
            <w:pPr>
              <w:jc w:val="right"/>
              <w:ind w:right="370"/>
              <w:spacing w:after="0"/>
              <w:rPr>
                <w:sz w:val="20"/>
                <w:szCs w:val="20"/>
                <w:color w:val="auto"/>
              </w:rPr>
            </w:pPr>
            <w:r>
              <w:rPr>
                <w:rFonts w:ascii="Arial" w:cs="Arial" w:eastAsia="Arial" w:hAnsi="Arial"/>
                <w:sz w:val="18"/>
                <w:szCs w:val="18"/>
                <w:color w:val="auto"/>
              </w:rPr>
              <w:t>$66.3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$120.2</w:t>
            </w:r>
          </w:p>
        </w:tc>
      </w:tr>
      <w:tr>
        <w:trPr>
          <w:trHeight w:val="27"/>
        </w:trPr>
        <w:tc>
          <w:tcPr>
            <w:tcW w:w="6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Related</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82.2</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NOL Carryforwards</w:t>
            </w:r>
          </w:p>
        </w:tc>
        <w:tc>
          <w:tcPr>
            <w:tcW w:w="3760" w:type="dxa"/>
            <w:vAlign w:val="bottom"/>
          </w:tcPr>
          <w:p>
            <w:pPr>
              <w:jc w:val="right"/>
              <w:ind w:right="370"/>
              <w:spacing w:after="0"/>
              <w:rPr>
                <w:sz w:val="20"/>
                <w:szCs w:val="20"/>
                <w:color w:val="auto"/>
              </w:rPr>
            </w:pPr>
            <w:r>
              <w:rPr>
                <w:rFonts w:ascii="Arial" w:cs="Arial" w:eastAsia="Arial" w:hAnsi="Arial"/>
                <w:sz w:val="18"/>
                <w:szCs w:val="18"/>
                <w:color w:val="auto"/>
              </w:rPr>
              <w:t>112.8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90.8</w:t>
            </w:r>
          </w:p>
        </w:tc>
      </w:tr>
      <w:tr>
        <w:trPr>
          <w:trHeight w:val="27"/>
        </w:trPr>
        <w:tc>
          <w:tcPr>
            <w:tcW w:w="6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55.1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Other</w:t>
            </w:r>
          </w:p>
        </w:tc>
        <w:tc>
          <w:tcPr>
            <w:tcW w:w="3760" w:type="dxa"/>
            <w:vAlign w:val="bottom"/>
          </w:tcPr>
          <w:p>
            <w:pPr>
              <w:jc w:val="right"/>
              <w:ind w:right="370"/>
              <w:spacing w:after="0"/>
              <w:rPr>
                <w:sz w:val="20"/>
                <w:szCs w:val="20"/>
                <w:color w:val="auto"/>
              </w:rPr>
            </w:pPr>
            <w:r>
              <w:rPr>
                <w:rFonts w:ascii="Arial" w:cs="Arial" w:eastAsia="Arial" w:hAnsi="Arial"/>
                <w:sz w:val="18"/>
                <w:szCs w:val="18"/>
                <w:color w:val="auto"/>
              </w:rPr>
              <w:t>16.9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6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Deferred Tax Assets</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333.3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3760" w:type="dxa"/>
            <w:vAlign w:val="bottom"/>
          </w:tcPr>
          <w:p>
            <w:pPr>
              <w:jc w:val="right"/>
              <w:ind w:right="310"/>
              <w:spacing w:after="0"/>
              <w:rPr>
                <w:sz w:val="20"/>
                <w:szCs w:val="20"/>
                <w:color w:val="auto"/>
              </w:rPr>
            </w:pPr>
            <w:r>
              <w:rPr>
                <w:rFonts w:ascii="Arial" w:cs="Arial" w:eastAsia="Arial" w:hAnsi="Arial"/>
                <w:sz w:val="18"/>
                <w:szCs w:val="18"/>
                <w:color w:val="auto"/>
              </w:rPr>
              <w:t>(8.0)</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$325.3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$321.3</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Tax Liabilities</w:t>
            </w:r>
          </w:p>
        </w:tc>
        <w:tc>
          <w:tcPr>
            <w:tcW w:w="37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Related</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$656.2</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$577.1</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Regulatory Asset for Benefit Obligations</w:t>
            </w:r>
          </w:p>
        </w:tc>
        <w:tc>
          <w:tcPr>
            <w:tcW w:w="3760" w:type="dxa"/>
            <w:vAlign w:val="bottom"/>
          </w:tcPr>
          <w:p>
            <w:pPr>
              <w:jc w:val="right"/>
              <w:ind w:right="370"/>
              <w:spacing w:after="0"/>
              <w:rPr>
                <w:sz w:val="20"/>
                <w:szCs w:val="20"/>
                <w:color w:val="auto"/>
              </w:rPr>
            </w:pPr>
            <w:r>
              <w:rPr>
                <w:rFonts w:ascii="Arial" w:cs="Arial" w:eastAsia="Arial" w:hAnsi="Arial"/>
                <w:sz w:val="18"/>
                <w:szCs w:val="18"/>
                <w:color w:val="auto"/>
              </w:rPr>
              <w:t>58.7</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104.3</w:t>
            </w:r>
          </w:p>
        </w:tc>
      </w:tr>
      <w:tr>
        <w:trPr>
          <w:trHeight w:val="27"/>
        </w:trPr>
        <w:tc>
          <w:tcPr>
            <w:tcW w:w="6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Investment Tax Credits</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Partnership Basis Differences</w:t>
            </w:r>
          </w:p>
        </w:tc>
        <w:tc>
          <w:tcPr>
            <w:tcW w:w="3760" w:type="dxa"/>
            <w:vAlign w:val="bottom"/>
          </w:tcPr>
          <w:p>
            <w:pPr>
              <w:jc w:val="right"/>
              <w:ind w:right="370"/>
              <w:spacing w:after="0"/>
              <w:rPr>
                <w:sz w:val="20"/>
                <w:szCs w:val="20"/>
                <w:color w:val="auto"/>
              </w:rPr>
            </w:pPr>
            <w:r>
              <w:rPr>
                <w:rFonts w:ascii="Arial" w:cs="Arial" w:eastAsia="Arial" w:hAnsi="Arial"/>
                <w:sz w:val="18"/>
                <w:szCs w:val="18"/>
                <w:color w:val="auto"/>
              </w:rPr>
              <w:t>36.7</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6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Deferred Tax Liabilities</w:t>
            </w:r>
          </w:p>
        </w:tc>
        <w:tc>
          <w:tcPr>
            <w:tcW w:w="3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$785.4</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$752.0</w:t>
            </w:r>
          </w:p>
        </w:tc>
      </w:tr>
      <w:tr>
        <w:trPr>
          <w:trHeight w:val="27"/>
        </w:trPr>
        <w:tc>
          <w:tcPr>
            <w:tcW w:w="6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Taxes</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$460.1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$430.7</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Recorded as:</w:t>
            </w:r>
          </w:p>
        </w:tc>
        <w:tc>
          <w:tcPr>
            <w:tcW w:w="37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Net Current Deferred Tax Assets </w:t>
            </w:r>
            <w:r>
              <w:rPr>
                <w:rFonts w:ascii="Arial" w:cs="Arial" w:eastAsia="Arial" w:hAnsi="Arial"/>
                <w:sz w:val="18"/>
                <w:szCs w:val="18"/>
                <w:i w:val="1"/>
                <w:iCs w:val="1"/>
                <w:color w:val="auto"/>
              </w:rPr>
              <w:t>(a)</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 xml:space="preserve">Net Current Deferred Tax Liabilities </w:t>
            </w:r>
            <w:r>
              <w:rPr>
                <w:rFonts w:ascii="Arial" w:cs="Arial" w:eastAsia="Arial" w:hAnsi="Arial"/>
                <w:sz w:val="18"/>
                <w:szCs w:val="18"/>
                <w:i w:val="1"/>
                <w:iCs w:val="1"/>
                <w:color w:val="auto"/>
              </w:rPr>
              <w:t>(b)</w:t>
            </w:r>
          </w:p>
        </w:tc>
        <w:tc>
          <w:tcPr>
            <w:tcW w:w="3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66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Long-Term Deferred Tax Liabilities</w:t>
            </w:r>
          </w:p>
        </w:tc>
        <w:tc>
          <w:tcPr>
            <w:tcW w:w="3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479.1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423.8</w:t>
            </w:r>
          </w:p>
        </w:tc>
      </w:tr>
      <w:tr>
        <w:trPr>
          <w:trHeight w:val="237"/>
        </w:trPr>
        <w:tc>
          <w:tcPr>
            <w:tcW w:w="66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Deferred Income Taxes</w:t>
            </w:r>
          </w:p>
        </w:tc>
        <w:tc>
          <w:tcPr>
            <w:tcW w:w="3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$460.1</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 2013, Current Deferred Tax Assets reflect the expectation of using federal NOL carryforward deductions in 2014.</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Current Assets and Other Current Liabilities.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NOL and Tax Credit Carryforwards</w:t>
            </w:r>
          </w:p>
        </w:tc>
        <w:tc>
          <w:tcPr>
            <w:tcW w:w="4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2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20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8"/>
                <w:szCs w:val="18"/>
                <w:i w:val="1"/>
                <w:iCs w:val="1"/>
                <w:color w:val="auto"/>
              </w:rPr>
              <w:t>(a)</w:t>
            </w:r>
          </w:p>
        </w:tc>
        <w:tc>
          <w:tcPr>
            <w:tcW w:w="42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$279.8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Federal Tax Credit Carryforwards</w:t>
            </w:r>
          </w:p>
        </w:tc>
        <w:tc>
          <w:tcPr>
            <w:tcW w:w="4220" w:type="dxa"/>
            <w:vAlign w:val="bottom"/>
          </w:tcPr>
          <w:p>
            <w:pPr>
              <w:jc w:val="right"/>
              <w:ind w:right="290"/>
              <w:spacing w:after="0"/>
              <w:rPr>
                <w:sz w:val="20"/>
                <w:szCs w:val="20"/>
                <w:color w:val="auto"/>
              </w:rPr>
            </w:pPr>
            <w:r>
              <w:rPr>
                <w:rFonts w:ascii="Arial" w:cs="Arial" w:eastAsia="Arial" w:hAnsi="Arial"/>
                <w:sz w:val="18"/>
                <w:szCs w:val="18"/>
                <w:color w:val="auto"/>
              </w:rPr>
              <w:t>$35.5</w:t>
            </w: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6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8"/>
                <w:szCs w:val="18"/>
                <w:i w:val="1"/>
                <w:iCs w:val="1"/>
                <w:color w:val="auto"/>
              </w:rPr>
              <w:t>(a)</w:t>
            </w:r>
          </w:p>
        </w:tc>
        <w:tc>
          <w:tcPr>
            <w:tcW w:w="42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$156.3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8"/>
                <w:szCs w:val="18"/>
                <w:i w:val="1"/>
                <w:iCs w:val="1"/>
                <w:color w:val="auto"/>
              </w:rPr>
              <w:t>(b)</w:t>
            </w:r>
          </w:p>
        </w:tc>
        <w:tc>
          <w:tcPr>
            <w:tcW w:w="4220" w:type="dxa"/>
            <w:vAlign w:val="bottom"/>
          </w:tcPr>
          <w:p>
            <w:pPr>
              <w:jc w:val="right"/>
              <w:ind w:right="290"/>
              <w:spacing w:after="0"/>
              <w:rPr>
                <w:sz w:val="20"/>
                <w:szCs w:val="20"/>
                <w:color w:val="auto"/>
              </w:rPr>
            </w:pPr>
            <w:r>
              <w:rPr>
                <w:rFonts w:ascii="Arial" w:cs="Arial" w:eastAsia="Arial" w:hAnsi="Arial"/>
                <w:sz w:val="18"/>
                <w:szCs w:val="18"/>
                <w:color w:val="auto"/>
              </w:rPr>
              <w:t>$11.9</w:t>
            </w: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Net of $7.7 million valuation allowance.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2013, we generated federal and various state NOLs and tax credit carryforwards primarily due to the bonus depreciation provision of the American Taxpayer Relief Act of 2012. The 2013 federal NOL will be utilized by carrying it forward to offset future years’ income. The federal NOL and tax credit carryforward periods expire between 2019 and 2032; included in the federal NOL carryforward are charitable contribution carryforwards which expire between 2014 and 2016. We expect to fully utilize the federal NOL, charitable contributions, and federal tax credit carryforwards; therefore no Federal valuation allowance has been recognized as of December 31, 2013.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state NOLs and tax credits will be carried forward to future tax years. We have established a valuation allowance against certain state NOL and tax credits that we do not expect to utilize before their expiration. The state NOL and tax credit carryforward periods expire between 2024 and 2032; included in the state NOL carryforwards are charitable contribution carryforwards which expire between 2014 and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64"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NOTE 15. INCOME TAX EXPENSE (Continued)</w:t>
            </w:r>
          </w:p>
        </w:tc>
        <w:tc>
          <w:tcPr>
            <w:tcW w:w="2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94"/>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Gross Unrecognized Income Tax Benefits</w:t>
            </w:r>
          </w:p>
        </w:tc>
        <w:tc>
          <w:tcPr>
            <w:tcW w:w="27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58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7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$2.7</w:t>
            </w:r>
          </w:p>
        </w:tc>
        <w:tc>
          <w:tcPr>
            <w:tcW w:w="1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$11.4</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$12.3</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the Current Year</w:t>
            </w:r>
          </w:p>
        </w:tc>
        <w:tc>
          <w:tcPr>
            <w:tcW w:w="276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7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1.3</w:t>
            </w:r>
          </w:p>
        </w:tc>
        <w:tc>
          <w:tcPr>
            <w:tcW w:w="1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7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(8.7)</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(0.9)</w:t>
            </w:r>
          </w:p>
        </w:tc>
      </w:tr>
      <w:tr>
        <w:trPr>
          <w:trHeight w:val="27"/>
        </w:trPr>
        <w:tc>
          <w:tcPr>
            <w:tcW w:w="58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Settlements</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(2.9)</w:t>
            </w:r>
          </w:p>
        </w:tc>
        <w:tc>
          <w:tcPr>
            <w:tcW w:w="1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w:t>
            </w:r>
          </w:p>
        </w:tc>
        <w:tc>
          <w:tcPr>
            <w:tcW w:w="27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$1.2</w:t>
            </w:r>
          </w:p>
        </w:tc>
        <w:tc>
          <w:tcPr>
            <w:tcW w:w="15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$2.7</w:t>
            </w:r>
          </w:p>
        </w:tc>
        <w:tc>
          <w:tcPr>
            <w:tcW w:w="12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$11.4</w:t>
            </w:r>
          </w:p>
        </w:tc>
      </w:tr>
      <w:tr>
        <w:trPr>
          <w:trHeight w:val="27"/>
        </w:trPr>
        <w:tc>
          <w:tcPr>
            <w:tcW w:w="58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gross unrecognized tax benefits as of December 31, 2013, includes $0.2 million of net unrecognized tax benefits which, if recognized, would affect the annual effective income tax rate. The decrease in the unrecognized tax benefit balance of $2.9 million in 2013 was due to the removal of our uncertain tax positions for positions effectively settled with the IRS for tax years 2005 through 2009. The decrease in the unrecognized tax benefit balance of $8.7 million in 2012 was due to the removal of our uncertain tax position for our tax accounting method change for deductible repairs. During 2012, the IRS issued a directive from its Large Business and International Division to its local examination teams that led to the removal of the repairs uncertain tax position in 2012.</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2013, we had $0.5 million ($0.5 million for 2012 and $1.1 million for 2011) of accrued interest related to unrecognized tax benefits included in our Consolidated Balance Sheet. We classify interest related to unrecognized tax benefits as interest expense and tax-related penalties in operating expenses in our Consolidated Statement of Income. In 2013, we recognized no interest expense (decrease in interest expense of $0.6 million for 2012 and interest expense of $0.4 million for 2011). Increases to our interest expense during 2013 were offset by decreases related to the interest benefit associated with the NOL and tax credit carryforwards. There were no penalties recognized in 2013, 2012 or 2011.</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settled with the IRS for the audit of tax years 2005 through 2009. ALLETE is no longer subject to federal or state examination for years before 2005.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next 12 months it is reasonably possible the amount of unrecognized tax benefits could be reduced by $0.2 million due to the expiration of the statute of limitations. This amount is primarily due to temporary tax positions.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2013 the U.S. Treasury issued final regulations addressing the tax consequences associated with the acquisition, production and improvement of tangible property. The regulations are generally effective for tax years beginning January 1, 2014. As ALLETE is adopting certain utility-specific guidance for deductible repairs previously issued by the IRS, the issuance will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6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16.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year ended December 31, 2013,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w:t>
            </w: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rPr>
              <w:t>Defined Benefit</w:t>
            </w: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Gains and</w:t>
            </w:r>
          </w:p>
        </w:tc>
        <w:tc>
          <w:tcPr>
            <w:tcW w:w="10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5"/>
              </w:rPr>
              <w:t>and Losses on</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Pension, Other</w:t>
            </w: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Losses on</w:t>
            </w:r>
          </w:p>
        </w:tc>
        <w:tc>
          <w:tcPr>
            <w:tcW w:w="10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Available-for-sale</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Cash Flow</w:t>
            </w:r>
          </w:p>
        </w:tc>
        <w:tc>
          <w:tcPr>
            <w:tcW w:w="100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Items</w:t>
            </w: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Hedge</w:t>
            </w: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5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2013</w:t>
            </w:r>
          </w:p>
        </w:tc>
        <w:tc>
          <w:tcPr>
            <w:tcW w:w="20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$(21.5)</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Amounts Reclassified From Accumulated Other Comprehensive</w:t>
            </w:r>
          </w:p>
        </w:tc>
        <w:tc>
          <w:tcPr>
            <w:tcW w:w="20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2"/>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(Loss)</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50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20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1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$(16.7)</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50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year ended December 31, 2013,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w:t>
            </w:r>
          </w:p>
        </w:tc>
      </w:tr>
      <w:tr>
        <w:trPr>
          <w:trHeight w:val="270"/>
        </w:trPr>
        <w:tc>
          <w:tcPr>
            <w:tcW w:w="918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918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9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20"/>
                <w:szCs w:val="20"/>
                <w:color w:val="auto"/>
              </w:rPr>
            </w:pP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(0.9)</w:t>
            </w:r>
          </w:p>
        </w:tc>
      </w:tr>
      <w:tr>
        <w:trPr>
          <w:trHeight w:val="27"/>
        </w:trPr>
        <w:tc>
          <w:tcPr>
            <w:tcW w:w="91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4"/>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r>
      <w:tr>
        <w:trPr>
          <w:trHeight w:val="291"/>
        </w:trPr>
        <w:tc>
          <w:tcPr>
            <w:tcW w:w="918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$0.8</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(2.7)</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2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r>
      <w:tr>
        <w:trPr>
          <w:trHeight w:val="27"/>
        </w:trPr>
        <w:tc>
          <w:tcPr>
            <w:tcW w:w="9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r>
      <w:tr>
        <w:trPr>
          <w:trHeight w:val="20"/>
        </w:trPr>
        <w:tc>
          <w:tcPr>
            <w:tcW w:w="91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the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the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17. Pension and Other Postretirement Benefit Plans).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PENSION AND OTHER POSTRETIREMENT BENEFIT PLANS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noncontributory union and non-union defined benefit pension plans covering eligible employees. The plans provide defined benefits based on years of service and final average pay. We made no contributions to the plans in 2013 ($7.3 million in 2012). We also have a defined contribution pension plan covering substantially all employees. The 2013 plan year employer contributions, which are made through the employee stock ownership plan portion of the RSOP, totaled $8.4 million ($7.7 million for the 2012 plan year). On January 10, 2014, we contributed $19.5 million to the defined benefit pension plan, all of which was contributed in shares of ALLETE common stock. (See Note 13. Common Stock and Earnings Per Share and Note 18. Employee Stock and Incentive Plans).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6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non-union defined benefit pension plan was amended to suspend further crediting of service to the plan and to close the plan to new participants. In conjunction with those amendments, contributions were increased to the RSOP. In 2010, the Minnesota Power union defined benefit pension plan was amended to close the plan to new participants beginning February 1, 2011.</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postretirement health care and life insurance plans covering eligible employees. In 2010, our postretirement health plan was amended to close the plan to employees hired after January 31, 2011. The full eligibility requirement was also amended in 2010, to require employees to be at least age 55 with 10 years of participation in the plan.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In 2013, $10.8 million was contributed to the VEBAs and $2.0 million was contributed to the grantor trust. In 2012, we contributed $1.5 million to the VEBAs and no contributions were made to the grantor trust.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We do not expect to make any additional contributions to the defined benefit pension plan in 2014, beyond the $19.5 million contribution to the defined benefit pension plan made in January 2014. We do not expect to make any contributions to the defined benefit postretirement health and life plan in 2014.</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Accounting for defined benefit pension and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our Consolidated Balance Sheet, in accordance with the accounting standards for Regulated Operations. The defined benefit pension and postretirement health and life benefit expense (credits) associated with our other non-rate base operations are recognized in accumulated other comprehensive income.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6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tc>
        <w:tc>
          <w:tcPr>
            <w:tcW w:w="2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94"/>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Pension Obligation and Funded Status</w:t>
            </w:r>
          </w:p>
        </w:tc>
        <w:tc>
          <w:tcPr>
            <w:tcW w:w="2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r>
      <w:tr>
        <w:trPr>
          <w:trHeight w:val="27"/>
        </w:trPr>
        <w:tc>
          <w:tcPr>
            <w:tcW w:w="80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$577.6</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$598.7</w:t>
            </w:r>
          </w:p>
        </w:tc>
      </w:tr>
      <w:tr>
        <w:trPr>
          <w:trHeight w:val="237"/>
        </w:trPr>
        <w:tc>
          <w:tcPr>
            <w:tcW w:w="8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Benefit Obligation</w:t>
            </w:r>
          </w:p>
        </w:tc>
        <w:tc>
          <w:tcPr>
            <w:tcW w:w="2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 Beginning of Year</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$652.1</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$597.5</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160" w:type="dxa"/>
            <w:vAlign w:val="bottom"/>
          </w:tcPr>
          <w:p>
            <w:pPr>
              <w:jc w:val="right"/>
              <w:ind w:right="410"/>
              <w:spacing w:after="0"/>
              <w:rPr>
                <w:sz w:val="20"/>
                <w:szCs w:val="20"/>
                <w:color w:val="auto"/>
              </w:rPr>
            </w:pPr>
            <w:r>
              <w:rPr>
                <w:rFonts w:ascii="Arial" w:cs="Arial" w:eastAsia="Arial" w:hAnsi="Arial"/>
                <w:sz w:val="18"/>
                <w:szCs w:val="18"/>
                <w:color w:val="auto"/>
              </w:rPr>
              <w:t>9.9</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9.1</w:t>
            </w:r>
          </w:p>
        </w:tc>
      </w:tr>
      <w:tr>
        <w:trPr>
          <w:trHeight w:val="27"/>
        </w:trPr>
        <w:tc>
          <w:tcPr>
            <w:tcW w:w="8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26.0</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26.4</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2160" w:type="dxa"/>
            <w:vAlign w:val="bottom"/>
          </w:tcPr>
          <w:p>
            <w:pPr>
              <w:jc w:val="right"/>
              <w:ind w:right="350"/>
              <w:spacing w:after="0"/>
              <w:rPr>
                <w:sz w:val="20"/>
                <w:szCs w:val="20"/>
                <w:color w:val="auto"/>
              </w:rPr>
            </w:pPr>
            <w:r>
              <w:rPr>
                <w:rFonts w:ascii="Arial" w:cs="Arial" w:eastAsia="Arial" w:hAnsi="Arial"/>
                <w:sz w:val="18"/>
                <w:szCs w:val="18"/>
                <w:color w:val="auto"/>
              </w:rPr>
              <w:t>(49.2)</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38.5</w:t>
            </w:r>
          </w:p>
        </w:tc>
      </w:tr>
      <w:tr>
        <w:trPr>
          <w:trHeight w:val="27"/>
        </w:trPr>
        <w:tc>
          <w:tcPr>
            <w:tcW w:w="8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(33.5)</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160" w:type="dxa"/>
            <w:vAlign w:val="bottom"/>
          </w:tcPr>
          <w:p>
            <w:pPr>
              <w:jc w:val="right"/>
              <w:ind w:right="410"/>
              <w:spacing w:after="0"/>
              <w:rPr>
                <w:sz w:val="20"/>
                <w:szCs w:val="20"/>
                <w:color w:val="auto"/>
              </w:rPr>
            </w:pPr>
            <w:r>
              <w:rPr>
                <w:rFonts w:ascii="Arial" w:cs="Arial" w:eastAsia="Arial" w:hAnsi="Arial"/>
                <w:sz w:val="18"/>
                <w:szCs w:val="18"/>
                <w:color w:val="auto"/>
              </w:rPr>
              <w:t>17.5</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11.5</w:t>
            </w:r>
          </w:p>
        </w:tc>
      </w:tr>
      <w:tr>
        <w:trPr>
          <w:trHeight w:val="27"/>
        </w:trPr>
        <w:tc>
          <w:tcPr>
            <w:tcW w:w="80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 End of Year</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$622.8</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$652.1</w:t>
            </w:r>
          </w:p>
        </w:tc>
      </w:tr>
      <w:tr>
        <w:trPr>
          <w:trHeight w:val="237"/>
        </w:trPr>
        <w:tc>
          <w:tcPr>
            <w:tcW w:w="8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Plan Assets</w:t>
            </w:r>
          </w:p>
        </w:tc>
        <w:tc>
          <w:tcPr>
            <w:tcW w:w="2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Beginning of Year</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$460.1</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$432.4</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160" w:type="dxa"/>
            <w:vAlign w:val="bottom"/>
          </w:tcPr>
          <w:p>
            <w:pPr>
              <w:jc w:val="right"/>
              <w:ind w:right="410"/>
              <w:spacing w:after="0"/>
              <w:rPr>
                <w:sz w:val="20"/>
                <w:szCs w:val="20"/>
                <w:color w:val="auto"/>
              </w:rPr>
            </w:pPr>
            <w:r>
              <w:rPr>
                <w:rFonts w:ascii="Arial" w:cs="Arial" w:eastAsia="Arial" w:hAnsi="Arial"/>
                <w:sz w:val="18"/>
                <w:szCs w:val="18"/>
                <w:color w:val="auto"/>
              </w:rPr>
              <w:t>56.5</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38.7</w:t>
            </w:r>
          </w:p>
        </w:tc>
      </w:tr>
      <w:tr>
        <w:trPr>
          <w:trHeight w:val="27"/>
        </w:trPr>
        <w:tc>
          <w:tcPr>
            <w:tcW w:w="8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Employer Contribution </w:t>
            </w:r>
            <w:r>
              <w:rPr>
                <w:rFonts w:ascii="Arial" w:cs="Arial" w:eastAsia="Arial" w:hAnsi="Arial"/>
                <w:sz w:val="18"/>
                <w:szCs w:val="18"/>
                <w:i w:val="1"/>
                <w:iCs w:val="1"/>
                <w:color w:val="auto"/>
              </w:rPr>
              <w:t>(a)</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18.5</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19.9</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160" w:type="dxa"/>
            <w:vAlign w:val="bottom"/>
          </w:tcPr>
          <w:p>
            <w:pPr>
              <w:jc w:val="right"/>
              <w:ind w:right="350"/>
              <w:spacing w:after="0"/>
              <w:rPr>
                <w:sz w:val="20"/>
                <w:szCs w:val="20"/>
                <w:color w:val="auto"/>
              </w:rPr>
            </w:pPr>
            <w:r>
              <w:rPr>
                <w:rFonts w:ascii="Arial" w:cs="Arial" w:eastAsia="Arial" w:hAnsi="Arial"/>
                <w:sz w:val="18"/>
                <w:szCs w:val="18"/>
                <w:color w:val="auto"/>
              </w:rPr>
              <w:t>(33.5)</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(30.9)</w:t>
            </w:r>
          </w:p>
        </w:tc>
      </w:tr>
      <w:tr>
        <w:trPr>
          <w:trHeight w:val="27"/>
        </w:trPr>
        <w:tc>
          <w:tcPr>
            <w:tcW w:w="80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End of Year</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$501.6</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$460.1</w:t>
            </w:r>
          </w:p>
        </w:tc>
      </w:tr>
      <w:tr>
        <w:trPr>
          <w:trHeight w:val="237"/>
        </w:trPr>
        <w:tc>
          <w:tcPr>
            <w:tcW w:w="8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Funded Status, End of Year</w:t>
            </w:r>
          </w:p>
        </w:tc>
        <w:tc>
          <w:tcPr>
            <w:tcW w:w="2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$(121.2)</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$(192.0)</w:t>
            </w:r>
          </w:p>
        </w:tc>
      </w:tr>
      <w:tr>
        <w:trPr>
          <w:trHeight w:val="27"/>
        </w:trPr>
        <w:tc>
          <w:tcPr>
            <w:tcW w:w="80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80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2160" w:type="dxa"/>
            <w:vAlign w:val="bottom"/>
          </w:tcPr>
          <w:p>
            <w:pPr>
              <w:jc w:val="right"/>
              <w:ind w:right="350"/>
              <w:spacing w:after="0"/>
              <w:rPr>
                <w:sz w:val="20"/>
                <w:szCs w:val="20"/>
                <w:color w:val="auto"/>
              </w:rPr>
            </w:pPr>
            <w:r>
              <w:rPr>
                <w:rFonts w:ascii="Arial" w:cs="Arial" w:eastAsia="Arial" w:hAnsi="Arial"/>
                <w:sz w:val="18"/>
                <w:szCs w:val="18"/>
                <w:color w:val="auto"/>
              </w:rPr>
              <w:t>$(120.1)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participant contributions noted above.</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pension costs that are reported as a component within our Consolidated Balance Sheet, reflected in long-term regulatory assets or liabilities and accumulated other comprehensive income,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Unrecognized Pension Costs</w:t>
            </w:r>
          </w:p>
        </w:tc>
        <w:tc>
          <w:tcPr>
            <w:tcW w:w="4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3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3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$194.9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438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6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Pension Costs</w:t>
            </w:r>
          </w:p>
        </w:tc>
        <w:tc>
          <w:tcPr>
            <w:tcW w:w="43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$195.3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w:t>
            </w:r>
          </w:p>
        </w:tc>
      </w:tr>
      <w:tr>
        <w:trPr>
          <w:trHeight w:val="20"/>
        </w:trPr>
        <w:tc>
          <w:tcPr>
            <w:tcW w:w="60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Pension Expense</w:t>
            </w:r>
          </w:p>
        </w:tc>
        <w:tc>
          <w:tcPr>
            <w:tcW w:w="3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2011</w:t>
            </w:r>
          </w:p>
        </w:tc>
      </w:tr>
      <w:tr>
        <w:trPr>
          <w:trHeight w:val="27"/>
        </w:trPr>
        <w:tc>
          <w:tcPr>
            <w:tcW w:w="5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$9.9</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140" w:type="dxa"/>
            <w:vAlign w:val="bottom"/>
          </w:tcPr>
          <w:p>
            <w:pPr>
              <w:jc w:val="right"/>
              <w:ind w:right="470"/>
              <w:spacing w:after="0"/>
              <w:rPr>
                <w:sz w:val="20"/>
                <w:szCs w:val="20"/>
                <w:color w:val="auto"/>
              </w:rPr>
            </w:pPr>
            <w:r>
              <w:rPr>
                <w:rFonts w:ascii="Arial" w:cs="Arial" w:eastAsia="Arial" w:hAnsi="Arial"/>
                <w:sz w:val="18"/>
                <w:szCs w:val="18"/>
                <w:color w:val="auto"/>
              </w:rPr>
              <w:t>26.0</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26.4</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27.4</w:t>
            </w:r>
          </w:p>
        </w:tc>
      </w:tr>
      <w:tr>
        <w:trPr>
          <w:trHeight w:val="27"/>
        </w:trPr>
        <w:tc>
          <w:tcPr>
            <w:tcW w:w="5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1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(35.2)</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(35.4)</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3140" w:type="dxa"/>
            <w:vAlign w:val="bottom"/>
          </w:tcPr>
          <w:p>
            <w:pPr>
              <w:jc w:val="right"/>
              <w:ind w:right="470"/>
              <w:spacing w:after="0"/>
              <w:rPr>
                <w:sz w:val="20"/>
                <w:szCs w:val="20"/>
                <w:color w:val="auto"/>
              </w:rPr>
            </w:pPr>
            <w:r>
              <w:rPr>
                <w:rFonts w:ascii="Arial" w:cs="Arial" w:eastAsia="Arial" w:hAnsi="Arial"/>
                <w:sz w:val="18"/>
                <w:szCs w:val="18"/>
                <w:color w:val="auto"/>
              </w:rPr>
              <w:t>21.5</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17.5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12.1</w:t>
            </w:r>
          </w:p>
        </w:tc>
      </w:tr>
      <w:tr>
        <w:trPr>
          <w:trHeight w:val="27"/>
        </w:trPr>
        <w:tc>
          <w:tcPr>
            <w:tcW w:w="5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3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0.3</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Pension Expense</w:t>
            </w:r>
          </w:p>
        </w:tc>
        <w:tc>
          <w:tcPr>
            <w:tcW w:w="3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$22.5</w:t>
            </w: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$17.9</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$12.8</w:t>
            </w:r>
          </w:p>
        </w:tc>
      </w:tr>
      <w:tr>
        <w:trPr>
          <w:trHeight w:val="27"/>
        </w:trPr>
        <w:tc>
          <w:tcPr>
            <w:tcW w:w="5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64"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Other Changes in Pension Plan Assets and Benefit Obligations Recognized in</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and Regulatory Assets</w:t>
            </w: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$(70.4)</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$35.2</w:t>
            </w:r>
          </w:p>
        </w:tc>
      </w:tr>
      <w:tr>
        <w:trPr>
          <w:trHeight w:val="243"/>
        </w:trPr>
        <w:tc>
          <w:tcPr>
            <w:tcW w:w="20" w:type="dxa"/>
            <w:vAlign w:val="bottom"/>
          </w:tcPr>
          <w:p>
            <w:pPr>
              <w:spacing w:after="0"/>
              <w:rPr>
                <w:sz w:val="21"/>
                <w:szCs w:val="21"/>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(0.3)</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Loss</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(21.5)</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r>
      <w:tr>
        <w:trPr>
          <w:trHeight w:val="237"/>
        </w:trPr>
        <w:tc>
          <w:tcPr>
            <w:tcW w:w="20" w:type="dxa"/>
            <w:vAlign w:val="bottom"/>
          </w:tcPr>
          <w:p>
            <w:pPr>
              <w:spacing w:after="0"/>
              <w:rPr>
                <w:sz w:val="20"/>
                <w:szCs w:val="20"/>
                <w:color w:val="auto"/>
              </w:rPr>
            </w:pPr>
          </w:p>
        </w:tc>
        <w:tc>
          <w:tcPr>
            <w:tcW w:w="8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Recognized in Other Comprehensive Income and Regulatory Assets</w:t>
            </w:r>
          </w:p>
        </w:tc>
        <w:tc>
          <w:tcPr>
            <w:tcW w:w="18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$(92.2)</w:t>
            </w: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$17.4</w:t>
            </w:r>
          </w:p>
        </w:tc>
      </w:tr>
      <w:tr>
        <w:trPr>
          <w:trHeight w:val="27"/>
        </w:trPr>
        <w:tc>
          <w:tcPr>
            <w:tcW w:w="2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88"/>
        </w:trPr>
        <w:tc>
          <w:tcPr>
            <w:tcW w:w="20" w:type="dxa"/>
            <w:vAlign w:val="bottom"/>
          </w:tcPr>
          <w:p>
            <w:pPr>
              <w:spacing w:after="0"/>
              <w:rPr>
                <w:sz w:val="24"/>
                <w:szCs w:val="24"/>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$622.8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$652.1</w:t>
            </w:r>
          </w:p>
        </w:tc>
      </w:tr>
      <w:tr>
        <w:trPr>
          <w:trHeight w:val="243"/>
        </w:trPr>
        <w:tc>
          <w:tcPr>
            <w:tcW w:w="20" w:type="dxa"/>
            <w:vAlign w:val="bottom"/>
          </w:tcPr>
          <w:p>
            <w:pPr>
              <w:spacing w:after="0"/>
              <w:rPr>
                <w:sz w:val="21"/>
                <w:szCs w:val="21"/>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$577.6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$598.7</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$501.6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$460.1</w:t>
            </w:r>
          </w:p>
        </w:tc>
      </w:tr>
      <w:tr>
        <w:trPr>
          <w:trHeight w:val="588"/>
        </w:trPr>
        <w:tc>
          <w:tcPr>
            <w:tcW w:w="20" w:type="dxa"/>
            <w:vAlign w:val="bottom"/>
          </w:tcPr>
          <w:p>
            <w:pPr>
              <w:spacing w:after="0"/>
              <w:rPr>
                <w:sz w:val="24"/>
                <w:szCs w:val="24"/>
                <w:color w:val="auto"/>
              </w:rPr>
            </w:pPr>
          </w:p>
        </w:tc>
        <w:tc>
          <w:tcPr>
            <w:tcW w:w="84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8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18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Obligation, Beginning of Year</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$168.8</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$210.6</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8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3.9</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6.8</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9.4</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(18.8)</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w:t>
            </w: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2.7</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Plan Amendments</w:t>
            </w:r>
          </w:p>
        </w:tc>
        <w:tc>
          <w:tcPr>
            <w:tcW w:w="18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(9.9)</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(9.5)</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Settlements </w:t>
            </w:r>
            <w:r>
              <w:rPr>
                <w:rFonts w:ascii="Arial" w:cs="Arial" w:eastAsia="Arial" w:hAnsi="Arial"/>
                <w:sz w:val="18"/>
                <w:szCs w:val="18"/>
                <w:i w:val="1"/>
                <w:iCs w:val="1"/>
                <w:color w:val="auto"/>
              </w:rPr>
              <w:t>(a)</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Obligation, End of Year</w:t>
            </w:r>
          </w:p>
        </w:tc>
        <w:tc>
          <w:tcPr>
            <w:tcW w:w="18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$151.9</w:t>
            </w: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$168.8</w:t>
            </w:r>
          </w:p>
        </w:tc>
      </w:tr>
      <w:tr>
        <w:trPr>
          <w:trHeight w:val="27"/>
        </w:trPr>
        <w:tc>
          <w:tcPr>
            <w:tcW w:w="2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18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Fair Value, Beginning of Year</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$131.0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$121.0</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Actual Return on Plan Assets</w:t>
            </w:r>
          </w:p>
        </w:tc>
        <w:tc>
          <w:tcPr>
            <w:tcW w:w="18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21.4</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Employer Contribution</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11.7</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Participant Contributions</w:t>
            </w:r>
          </w:p>
        </w:tc>
        <w:tc>
          <w:tcPr>
            <w:tcW w:w="18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(9.8)</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(9.1)</w:t>
            </w:r>
          </w:p>
        </w:tc>
      </w:tr>
      <w:tr>
        <w:trPr>
          <w:trHeight w:val="27"/>
        </w:trPr>
        <w:tc>
          <w:tcPr>
            <w:tcW w:w="2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End of Year</w:t>
            </w:r>
          </w:p>
        </w:tc>
        <w:tc>
          <w:tcPr>
            <w:tcW w:w="18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$157.0</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$131.0</w:t>
            </w:r>
          </w:p>
        </w:tc>
      </w:tr>
      <w:tr>
        <w:trPr>
          <w:trHeight w:val="237"/>
        </w:trPr>
        <w:tc>
          <w:tcPr>
            <w:tcW w:w="20" w:type="dxa"/>
            <w:vAlign w:val="bottom"/>
          </w:tcPr>
          <w:p>
            <w:pPr>
              <w:spacing w:after="0"/>
              <w:rPr>
                <w:sz w:val="20"/>
                <w:szCs w:val="20"/>
                <w:color w:val="auto"/>
              </w:rPr>
            </w:pPr>
          </w:p>
        </w:tc>
        <w:tc>
          <w:tcPr>
            <w:tcW w:w="8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Funded Status, End of Year</w:t>
            </w:r>
          </w:p>
        </w:tc>
        <w:tc>
          <w:tcPr>
            <w:tcW w:w="18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$5.1</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$(37.8)</w:t>
            </w:r>
          </w:p>
        </w:tc>
      </w:tr>
      <w:tr>
        <w:trPr>
          <w:trHeight w:val="27"/>
        </w:trPr>
        <w:tc>
          <w:tcPr>
            <w:tcW w:w="2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34"/>
        </w:trPr>
        <w:tc>
          <w:tcPr>
            <w:tcW w:w="20" w:type="dxa"/>
            <w:vAlign w:val="bottom"/>
          </w:tcPr>
          <w:p>
            <w:pPr>
              <w:spacing w:after="0"/>
              <w:rPr>
                <w:sz w:val="24"/>
                <w:szCs w:val="24"/>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w w:val="98"/>
              </w:rPr>
              <w:t>Net Postretirement Health and Life Amounts Recognized in Consolidated Balance Sheet Consist of:</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Assets</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$19.4</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$(0.9)</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$(0.8)</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Liabilities</w:t>
            </w:r>
          </w:p>
        </w:tc>
        <w:tc>
          <w:tcPr>
            <w:tcW w:w="18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$(13.4)</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r>
      <w:tr>
        <w:trPr>
          <w:trHeight w:val="200"/>
        </w:trPr>
        <w:tc>
          <w:tcPr>
            <w:tcW w:w="20" w:type="dxa"/>
            <w:vAlign w:val="bottom"/>
          </w:tcPr>
          <w:p>
            <w:pPr>
              <w:spacing w:after="0"/>
              <w:rPr>
                <w:sz w:val="17"/>
                <w:szCs w:val="17"/>
                <w:color w:val="auto"/>
              </w:rPr>
            </w:pPr>
          </w:p>
        </w:tc>
        <w:tc>
          <w:tcPr>
            <w:tcW w:w="84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Result of the exit from a legacy benefit plan.</w:t>
            </w:r>
          </w:p>
        </w:tc>
        <w:tc>
          <w:tcPr>
            <w:tcW w:w="18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 to the accounting standards for retirement benefits, only assets in the VEBAs are treated as plan assets in the above table for the purpose of determining funded status. In addition to the postretirement health and life assets reported in the previous table, we had $17.8 million in irrevocable grantor trusts included in Other Investments on our Consolidated Balance Sheet at December 31, 2013 ($22.1 million at December 31, 2012).</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our Consolidated Balance Sheet, reflected in regulatory long-term assets or liabilities and accumulated other comprehensive income,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00" w:type="dxa"/>
            <w:vAlign w:val="bottom"/>
          </w:tcPr>
          <w:p>
            <w:pPr>
              <w:spacing w:after="0"/>
              <w:rPr>
                <w:sz w:val="23"/>
                <w:szCs w:val="23"/>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r>
      <w:tr>
        <w:trPr>
          <w:trHeight w:val="27"/>
        </w:trPr>
        <w:tc>
          <w:tcPr>
            <w:tcW w:w="66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w:t>
            </w:r>
          </w:p>
        </w:tc>
        <w:tc>
          <w:tcPr>
            <w:tcW w:w="2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$23.5</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2200" w:type="dxa"/>
            <w:vAlign w:val="bottom"/>
          </w:tcPr>
          <w:p>
            <w:pPr>
              <w:spacing w:after="0"/>
              <w:rPr>
                <w:sz w:val="21"/>
                <w:szCs w:val="21"/>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(13.1)</w:t>
            </w:r>
          </w:p>
        </w:tc>
      </w:tr>
      <w:tr>
        <w:trPr>
          <w:trHeight w:val="27"/>
        </w:trPr>
        <w:tc>
          <w:tcPr>
            <w:tcW w:w="66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Postretirement Health and Life Costs (Credit)</w:t>
            </w:r>
          </w:p>
        </w:tc>
        <w:tc>
          <w:tcPr>
            <w:tcW w:w="2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r>
      <w:tr>
        <w:trPr>
          <w:trHeight w:val="588"/>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Components of Net Periodic Postretirement Health and Life Expense</w:t>
            </w:r>
          </w:p>
        </w:tc>
        <w:tc>
          <w:tcPr>
            <w:tcW w:w="2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2011</w:t>
            </w:r>
          </w:p>
        </w:tc>
      </w:tr>
      <w:tr>
        <w:trPr>
          <w:trHeight w:val="27"/>
        </w:trPr>
        <w:tc>
          <w:tcPr>
            <w:tcW w:w="66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$3.9</w:t>
            </w:r>
          </w:p>
        </w:tc>
        <w:tc>
          <w:tcPr>
            <w:tcW w:w="14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6.8</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9.4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10.8</w:t>
            </w:r>
          </w:p>
        </w:tc>
      </w:tr>
      <w:tr>
        <w:trPr>
          <w:trHeight w:val="27"/>
        </w:trPr>
        <w:tc>
          <w:tcPr>
            <w:tcW w:w="6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(9.7)</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(9.9)</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(2.5)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(1.7)</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6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Loss</w:t>
            </w:r>
          </w:p>
        </w:tc>
        <w:tc>
          <w:tcPr>
            <w:tcW w:w="2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w:t>
            </w:r>
          </w:p>
        </w:tc>
        <w:tc>
          <w:tcPr>
            <w:tcW w:w="14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7.5</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22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6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Effect of Plan Settlement </w:t>
            </w:r>
            <w:r>
              <w:rPr>
                <w:rFonts w:ascii="Arial" w:cs="Arial" w:eastAsia="Arial" w:hAnsi="Arial"/>
                <w:sz w:val="18"/>
                <w:szCs w:val="18"/>
                <w:i w:val="1"/>
                <w:iCs w:val="1"/>
                <w:color w:val="auto"/>
              </w:rPr>
              <w:t>(a)</w:t>
            </w:r>
          </w:p>
        </w:tc>
        <w:tc>
          <w:tcPr>
            <w:tcW w:w="2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14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Postretirement Health and Life Expense (Credit)</w:t>
            </w:r>
          </w:p>
        </w:tc>
        <w:tc>
          <w:tcPr>
            <w:tcW w:w="22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$(1.5)</w:t>
            </w: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$9.6</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 of the exit from a legacy benefit plan.</w:t>
      </w:r>
    </w:p>
    <w:p>
      <w:pPr>
        <w:spacing w:after="0" w:line="348" w:lineRule="exact"/>
        <w:rPr>
          <w:sz w:val="20"/>
          <w:szCs w:val="20"/>
          <w:color w:val="auto"/>
        </w:rPr>
      </w:pPr>
    </w:p>
    <w:p>
      <w:pPr>
        <w:ind w:left="40" w:right="5460"/>
        <w:spacing w:after="0" w:line="317" w:lineRule="auto"/>
        <w:rPr>
          <w:sz w:val="20"/>
          <w:szCs w:val="20"/>
          <w:color w:val="auto"/>
        </w:rPr>
      </w:pPr>
      <w:r>
        <w:rPr>
          <w:rFonts w:ascii="Arial" w:cs="Arial" w:eastAsia="Arial" w:hAnsi="Arial"/>
          <w:sz w:val="16"/>
          <w:szCs w:val="16"/>
          <w:b w:val="1"/>
          <w:bCs w:val="1"/>
          <w:color w:val="auto"/>
        </w:rPr>
        <w:t>Other Changes in Postretirement Benefit Plan Assets and Benefit Obligations Recognized in Other Comprehensive Income and Regulatory Assets</w:t>
      </w: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9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w:t>
            </w:r>
          </w:p>
        </w:tc>
        <w:tc>
          <w:tcPr>
            <w:tcW w:w="29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$(30.2)</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$(47.5)</w:t>
            </w:r>
          </w:p>
        </w:tc>
      </w:tr>
      <w:tr>
        <w:trPr>
          <w:trHeight w:val="243"/>
        </w:trPr>
        <w:tc>
          <w:tcPr>
            <w:tcW w:w="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Prior Service Credit Arising During the Period</w:t>
            </w:r>
          </w:p>
        </w:tc>
        <w:tc>
          <w:tcPr>
            <w:tcW w:w="29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(5.3)</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w:t>
            </w:r>
          </w:p>
        </w:tc>
        <w:tc>
          <w:tcPr>
            <w:tcW w:w="29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Amortization of Transition Obligation</w:t>
            </w:r>
          </w:p>
        </w:tc>
        <w:tc>
          <w:tcPr>
            <w:tcW w:w="29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Loss</w:t>
            </w:r>
          </w:p>
        </w:tc>
        <w:tc>
          <w:tcPr>
            <w:tcW w:w="29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xml:space="preserve">Amount Recognized due to Plan Settlement </w:t>
            </w:r>
            <w:r>
              <w:rPr>
                <w:rFonts w:ascii="Arial" w:cs="Arial" w:eastAsia="Arial" w:hAnsi="Arial"/>
                <w:sz w:val="18"/>
                <w:szCs w:val="18"/>
                <w:i w:val="1"/>
                <w:iCs w:val="1"/>
                <w:color w:val="auto"/>
              </w:rPr>
              <w:t>(a)</w:t>
            </w:r>
          </w:p>
        </w:tc>
        <w:tc>
          <w:tcPr>
            <w:tcW w:w="294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 in Other Comprehensive Income and Regulatory Assets</w:t>
            </w:r>
          </w:p>
        </w:tc>
        <w:tc>
          <w:tcPr>
            <w:tcW w:w="29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$(29.5)</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w:t>
            </w:r>
          </w:p>
        </w:tc>
      </w:tr>
      <w:tr>
        <w:trPr>
          <w:trHeight w:val="200"/>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Result of the exit from a legacy benefit plan.</w:t>
            </w:r>
          </w:p>
        </w:tc>
        <w:tc>
          <w:tcPr>
            <w:tcW w:w="29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64"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tc>
        <w:tc>
          <w:tcPr>
            <w:tcW w:w="19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9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2"/>
        </w:trPr>
        <w:tc>
          <w:tcPr>
            <w:tcW w:w="79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7900" w:type="dxa"/>
            <w:vAlign w:val="bottom"/>
          </w:tcPr>
          <w:p>
            <w:pPr>
              <w:spacing w:after="0"/>
              <w:rPr>
                <w:sz w:val="20"/>
                <w:szCs w:val="20"/>
                <w:color w:val="auto"/>
              </w:rPr>
            </w:pPr>
          </w:p>
        </w:tc>
        <w:tc>
          <w:tcPr>
            <w:tcW w:w="1980" w:type="dxa"/>
            <w:vAlign w:val="bottom"/>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Health and Life</w:t>
            </w:r>
          </w:p>
        </w:tc>
      </w:tr>
      <w:tr>
        <w:trPr>
          <w:trHeight w:val="27"/>
        </w:trPr>
        <w:tc>
          <w:tcPr>
            <w:tcW w:w="7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$33.9</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2015</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7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2017</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$36.9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7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Years 2019 – 2023</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$200.2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7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pension and postretirement health and life costs recorded in regulatory long-term assets or liabilities and accumulated other comprehensive income expected to be recognized as a component of net pension and postretirement benefit costs for the year ending December 31, 2014,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Postretirement</w:t>
            </w:r>
          </w:p>
        </w:tc>
      </w:tr>
      <w:tr>
        <w:trPr>
          <w:trHeight w:val="234"/>
        </w:trPr>
        <w:tc>
          <w:tcPr>
            <w:tcW w:w="6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Pension</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Health and Life</w:t>
            </w:r>
          </w:p>
        </w:tc>
      </w:tr>
      <w:tr>
        <w:trPr>
          <w:trHeight w:val="27"/>
        </w:trPr>
        <w:tc>
          <w:tcPr>
            <w:tcW w:w="6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$14.2</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Prior Service Cost (Credit)</w:t>
            </w:r>
          </w:p>
        </w:tc>
        <w:tc>
          <w:tcPr>
            <w:tcW w:w="184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6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Pension and Postretirement Health and Life Cost (Credit)</w:t>
            </w:r>
          </w:p>
        </w:tc>
        <w:tc>
          <w:tcPr>
            <w:tcW w:w="18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$14.5</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588"/>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Weighted-Average Assumptions Used to Determine Benefit Obligation</w:t>
            </w:r>
          </w:p>
        </w:tc>
        <w:tc>
          <w:tcPr>
            <w:tcW w:w="18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840" w:type="dxa"/>
            <w:vAlign w:val="bottom"/>
          </w:tcPr>
          <w:p>
            <w:pPr>
              <w:spacing w:after="0"/>
              <w:rPr>
                <w:sz w:val="23"/>
                <w:szCs w:val="23"/>
                <w:color w:val="auto"/>
              </w:rPr>
            </w:pPr>
          </w:p>
        </w:tc>
        <w:tc>
          <w:tcPr>
            <w:tcW w:w="12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2013</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8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Pension</w:t>
            </w:r>
          </w:p>
        </w:tc>
        <w:tc>
          <w:tcPr>
            <w:tcW w:w="1840" w:type="dxa"/>
            <w:vAlign w:val="bottom"/>
          </w:tcPr>
          <w:p>
            <w:pPr>
              <w:spacing w:after="0"/>
              <w:rPr>
                <w:sz w:val="21"/>
                <w:szCs w:val="21"/>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0"/>
              </w:rPr>
              <w:t>4.93%</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4.10%</w:t>
            </w:r>
          </w:p>
        </w:tc>
      </w:tr>
      <w:tr>
        <w:trPr>
          <w:trHeight w:val="27"/>
        </w:trPr>
        <w:tc>
          <w:tcPr>
            <w:tcW w:w="6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Health and Life</w:t>
            </w:r>
          </w:p>
        </w:tc>
        <w:tc>
          <w:tcPr>
            <w:tcW w:w="18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4.96%</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4.13%</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840" w:type="dxa"/>
            <w:vAlign w:val="bottom"/>
          </w:tcPr>
          <w:p>
            <w:pPr>
              <w:spacing w:after="0"/>
              <w:rPr>
                <w:sz w:val="21"/>
                <w:szCs w:val="21"/>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0"/>
              </w:rPr>
              <w:t>3.7 - 4.3%</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2"/>
              </w:rPr>
              <w:t>4.3 - 4.6%</w:t>
            </w:r>
          </w:p>
        </w:tc>
      </w:tr>
      <w:tr>
        <w:trPr>
          <w:trHeight w:val="27"/>
        </w:trPr>
        <w:tc>
          <w:tcPr>
            <w:tcW w:w="6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Rates</w:t>
            </w:r>
          </w:p>
        </w:tc>
        <w:tc>
          <w:tcPr>
            <w:tcW w:w="18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Trend Rate</w:t>
            </w:r>
          </w:p>
        </w:tc>
        <w:tc>
          <w:tcPr>
            <w:tcW w:w="1840" w:type="dxa"/>
            <w:vAlign w:val="bottom"/>
          </w:tcPr>
          <w:p>
            <w:pPr>
              <w:spacing w:after="0"/>
              <w:rPr>
                <w:sz w:val="21"/>
                <w:szCs w:val="21"/>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0"/>
              </w:rPr>
              <w:t>7.25%</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9.25%</w:t>
            </w:r>
          </w:p>
        </w:tc>
      </w:tr>
      <w:tr>
        <w:trPr>
          <w:trHeight w:val="27"/>
        </w:trPr>
        <w:tc>
          <w:tcPr>
            <w:tcW w:w="6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Ultimate Trend Rate</w:t>
            </w:r>
          </w:p>
        </w:tc>
        <w:tc>
          <w:tcPr>
            <w:tcW w:w="18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2"/>
              </w:rPr>
              <w:t>5%</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2"/>
              </w:rPr>
              <w:t>5%</w:t>
            </w: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Year Ultimate Trend Rate Effective</w:t>
            </w:r>
          </w:p>
        </w:tc>
        <w:tc>
          <w:tcPr>
            <w:tcW w:w="1840" w:type="dxa"/>
            <w:vAlign w:val="bottom"/>
          </w:tcPr>
          <w:p>
            <w:pPr>
              <w:spacing w:after="0"/>
              <w:rPr>
                <w:sz w:val="21"/>
                <w:szCs w:val="21"/>
                <w:color w:val="auto"/>
              </w:rPr>
            </w:pPr>
          </w:p>
        </w:tc>
        <w:tc>
          <w:tcPr>
            <w:tcW w:w="1280" w:type="dxa"/>
            <w:vAlign w:val="bottom"/>
          </w:tcPr>
          <w:p>
            <w:pPr>
              <w:jc w:val="center"/>
              <w:ind w:left="150"/>
              <w:spacing w:after="0"/>
              <w:rPr>
                <w:sz w:val="20"/>
                <w:szCs w:val="20"/>
                <w:color w:val="auto"/>
              </w:rPr>
            </w:pPr>
            <w:r>
              <w:rPr>
                <w:rFonts w:ascii="Arial" w:cs="Arial" w:eastAsia="Arial" w:hAnsi="Arial"/>
                <w:sz w:val="18"/>
                <w:szCs w:val="18"/>
                <w:color w:val="auto"/>
                <w:w w:val="89"/>
              </w:rPr>
              <w:t>2020</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89"/>
              </w:rPr>
              <w:t>2019</w:t>
            </w:r>
          </w:p>
        </w:tc>
      </w:tr>
      <w:tr>
        <w:trPr>
          <w:trHeight w:val="27"/>
        </w:trPr>
        <w:tc>
          <w:tcPr>
            <w:tcW w:w="6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88"/>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w w:val="99"/>
              </w:rPr>
              <w:t>Weighted-Average Assumptions Used to Determine Net Periodic Benefit Costs</w:t>
            </w: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2013</w:t>
            </w:r>
          </w:p>
        </w:tc>
        <w:tc>
          <w:tcPr>
            <w:tcW w:w="12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2012</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6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84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4.10 - 4.13%</w:t>
            </w: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2"/>
              </w:rPr>
              <w:t>4.54 - 4.56%</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5.36 - 5.40%</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 xml:space="preserve">Expected Long-Term Return on Plan Assets </w:t>
            </w:r>
            <w:r>
              <w:rPr>
                <w:rFonts w:ascii="Arial" w:cs="Arial" w:eastAsia="Arial" w:hAnsi="Arial"/>
                <w:sz w:val="18"/>
                <w:szCs w:val="18"/>
                <w:i w:val="1"/>
                <w:iCs w:val="1"/>
                <w:color w:val="auto"/>
              </w:rPr>
              <w:t>(a)</w:t>
            </w:r>
          </w:p>
        </w:tc>
        <w:tc>
          <w:tcPr>
            <w:tcW w:w="1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184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0"/>
              </w:rPr>
              <w:t>8.25%</w:t>
            </w: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8.25%</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7"/>
              </w:rPr>
              <w:t>8.5%</w:t>
            </w: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Postretirement Health and Life</w:t>
            </w:r>
          </w:p>
        </w:tc>
        <w:tc>
          <w:tcPr>
            <w:tcW w:w="1840" w:type="dxa"/>
            <w:vAlign w:val="bottom"/>
          </w:tcPr>
          <w:p>
            <w:pPr>
              <w:jc w:val="center"/>
              <w:ind w:left="510"/>
              <w:spacing w:after="0"/>
              <w:rPr>
                <w:sz w:val="20"/>
                <w:szCs w:val="20"/>
                <w:color w:val="auto"/>
              </w:rPr>
            </w:pPr>
            <w:r>
              <w:rPr>
                <w:rFonts w:ascii="Arial" w:cs="Arial" w:eastAsia="Arial" w:hAnsi="Arial"/>
                <w:sz w:val="18"/>
                <w:szCs w:val="18"/>
                <w:color w:val="auto"/>
                <w:w w:val="91"/>
              </w:rPr>
              <w:t>6.6 - 8.25%</w:t>
            </w:r>
          </w:p>
        </w:tc>
        <w:tc>
          <w:tcPr>
            <w:tcW w:w="1280" w:type="dxa"/>
            <w:vAlign w:val="bottom"/>
          </w:tcPr>
          <w:p>
            <w:pPr>
              <w:jc w:val="center"/>
              <w:ind w:left="150"/>
              <w:spacing w:after="0"/>
              <w:rPr>
                <w:sz w:val="20"/>
                <w:szCs w:val="20"/>
                <w:color w:val="auto"/>
              </w:rPr>
            </w:pPr>
            <w:r>
              <w:rPr>
                <w:rFonts w:ascii="Arial" w:cs="Arial" w:eastAsia="Arial" w:hAnsi="Arial"/>
                <w:sz w:val="18"/>
                <w:szCs w:val="18"/>
                <w:color w:val="auto"/>
                <w:w w:val="91"/>
              </w:rPr>
              <w:t>6.6 - 8.25%</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2"/>
              </w:rPr>
              <w:t>6.8 - 8.5%</w:t>
            </w:r>
          </w:p>
        </w:tc>
      </w:tr>
      <w:tr>
        <w:trPr>
          <w:trHeight w:val="27"/>
        </w:trPr>
        <w:tc>
          <w:tcPr>
            <w:tcW w:w="6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84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2"/>
              </w:rPr>
              <w:t>4.3 - 4.6%</w:t>
            </w: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4.3 - 4.6%</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2"/>
              </w:rPr>
              <w:t>4.3 - 4.6%</w:t>
            </w:r>
          </w:p>
        </w:tc>
      </w:tr>
      <w:tr>
        <w:trPr>
          <w:trHeight w:val="20"/>
        </w:trPr>
        <w:tc>
          <w:tcPr>
            <w:tcW w:w="67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expected long-term rate of return used to determine net periodic benefit expense for 2014 has been reduced to 8.00 percent.</w:t>
      </w:r>
    </w:p>
    <w:p>
      <w:pPr>
        <w:spacing w:after="0" w:line="1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6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discount rate is computed using a yield curve adjusted for ALLETE’s projected cash flows to match our plan characteristics. The yield curve is determined using high-quality long-term corporate bond rates at the valuation date. We believe the adjusted discount curve used in this comparison does not materially differ in duration and cash flows from our pension obligation.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w w:val="90"/>
              </w:rPr>
              <w:t>Sensitivity of a One-Percentage-Point Change in Health Care Trend Rates</w:t>
            </w: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57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One Percent</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One Percent</w:t>
            </w:r>
          </w:p>
        </w:tc>
      </w:tr>
      <w:tr>
        <w:trPr>
          <w:trHeight w:val="234"/>
        </w:trPr>
        <w:tc>
          <w:tcPr>
            <w:tcW w:w="5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Increase</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Decrease</w:t>
            </w:r>
          </w:p>
        </w:tc>
      </w:tr>
      <w:tr>
        <w:trPr>
          <w:trHeight w:val="27"/>
        </w:trPr>
        <w:tc>
          <w:tcPr>
            <w:tcW w:w="5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Effect on Total of Postretirement Health and Life Service and Interest Cost</w:t>
            </w:r>
          </w:p>
        </w:tc>
        <w:tc>
          <w:tcPr>
            <w:tcW w:w="1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Effect on Postretirement Health and Life Obligation</w:t>
            </w:r>
          </w:p>
        </w:tc>
        <w:tc>
          <w:tcPr>
            <w:tcW w:w="1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$16.0</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$(13.4)</w:t>
            </w:r>
          </w:p>
        </w:tc>
      </w:tr>
      <w:tr>
        <w:trPr>
          <w:trHeight w:val="27"/>
        </w:trPr>
        <w:tc>
          <w:tcPr>
            <w:tcW w:w="5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88"/>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Actual Plan Asset Allocations</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2"/>
        </w:trPr>
        <w:tc>
          <w:tcPr>
            <w:tcW w:w="57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12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76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1080" w:type="dxa"/>
            <w:vAlign w:val="bottom"/>
          </w:tcPr>
          <w:p>
            <w:pPr>
              <w:spacing w:after="0"/>
              <w:rPr>
                <w:sz w:val="20"/>
                <w:szCs w:val="20"/>
                <w:color w:val="auto"/>
              </w:rPr>
            </w:pPr>
          </w:p>
        </w:tc>
        <w:tc>
          <w:tcPr>
            <w:tcW w:w="31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r>
      <w:tr>
        <w:trPr>
          <w:trHeight w:val="270"/>
        </w:trPr>
        <w:tc>
          <w:tcPr>
            <w:tcW w:w="5760" w:type="dxa"/>
            <w:vAlign w:val="bottom"/>
          </w:tcPr>
          <w:p>
            <w:pPr>
              <w:spacing w:after="0"/>
              <w:rPr>
                <w:sz w:val="23"/>
                <w:szCs w:val="23"/>
                <w:color w:val="auto"/>
              </w:rPr>
            </w:pPr>
          </w:p>
        </w:tc>
        <w:tc>
          <w:tcPr>
            <w:tcW w:w="1460" w:type="dxa"/>
            <w:vAlign w:val="bottom"/>
          </w:tcPr>
          <w:p>
            <w:pPr>
              <w:jc w:val="right"/>
              <w:ind w:right="970"/>
              <w:spacing w:after="0"/>
              <w:rPr>
                <w:sz w:val="20"/>
                <w:szCs w:val="20"/>
                <w:color w:val="auto"/>
              </w:rPr>
            </w:pPr>
            <w:r>
              <w:rPr>
                <w:rFonts w:ascii="Arial" w:cs="Arial" w:eastAsia="Arial" w:hAnsi="Arial"/>
                <w:sz w:val="18"/>
                <w:szCs w:val="18"/>
                <w:b w:val="1"/>
                <w:bCs w:val="1"/>
                <w:color w:val="auto"/>
                <w:w w:val="94"/>
              </w:rPr>
              <w:t>2013</w:t>
            </w: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5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4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52%</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63%</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60" w:type="dxa"/>
            <w:vAlign w:val="bottom"/>
          </w:tcPr>
          <w:p>
            <w:pPr>
              <w:jc w:val="right"/>
              <w:ind w:right="650"/>
              <w:spacing w:after="0"/>
              <w:rPr>
                <w:sz w:val="20"/>
                <w:szCs w:val="20"/>
                <w:color w:val="auto"/>
              </w:rPr>
            </w:pPr>
            <w:r>
              <w:rPr>
                <w:rFonts w:ascii="Arial" w:cs="Arial" w:eastAsia="Arial" w:hAnsi="Arial"/>
                <w:sz w:val="18"/>
                <w:szCs w:val="18"/>
                <w:color w:val="auto"/>
              </w:rPr>
              <w:t>34%</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29%</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35%</w:t>
            </w:r>
          </w:p>
        </w:tc>
      </w:tr>
      <w:tr>
        <w:trPr>
          <w:trHeight w:val="27"/>
        </w:trPr>
        <w:tc>
          <w:tcPr>
            <w:tcW w:w="5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w:t>
            </w:r>
          </w:p>
        </w:tc>
        <w:tc>
          <w:tcPr>
            <w:tcW w:w="14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9%</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460" w:type="dxa"/>
            <w:vAlign w:val="bottom"/>
          </w:tcPr>
          <w:p>
            <w:pPr>
              <w:jc w:val="right"/>
              <w:ind w:right="650"/>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
        </w:trPr>
        <w:tc>
          <w:tcPr>
            <w:tcW w:w="57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shares of ALLETE common stock included in pension plan equity securities at December 31, 2013 (no shares in 2012). On January 10, 2014, $19.5 million (0.4 million shares) of ALLETE common stock was contributed to the pension plan.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end of 2013, the defined benefit pension plan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continue to be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 Below are the current targeted allocations as of December 31, 2013.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Plan Asset Target Allocations</w:t>
            </w:r>
          </w:p>
        </w:tc>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2"/>
        </w:trPr>
        <w:tc>
          <w:tcPr>
            <w:tcW w:w="53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340" w:type="dxa"/>
            <w:vAlign w:val="bottom"/>
          </w:tcPr>
          <w:p>
            <w:pPr>
              <w:spacing w:after="0"/>
              <w:rPr>
                <w:sz w:val="20"/>
                <w:szCs w:val="20"/>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b w:val="1"/>
                <w:bCs w:val="1"/>
                <w:color w:val="auto"/>
              </w:rPr>
              <w:t>Pension</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r>
      <w:tr>
        <w:trPr>
          <w:trHeight w:val="27"/>
        </w:trPr>
        <w:tc>
          <w:tcPr>
            <w:tcW w:w="53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416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30%</w:t>
            </w:r>
          </w:p>
        </w:tc>
      </w:tr>
      <w:tr>
        <w:trPr>
          <w:trHeight w:val="27"/>
        </w:trPr>
        <w:tc>
          <w:tcPr>
            <w:tcW w:w="53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w:t>
            </w:r>
          </w:p>
        </w:tc>
        <w:tc>
          <w:tcPr>
            <w:tcW w:w="4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416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10%</w:t>
            </w:r>
          </w:p>
        </w:tc>
      </w:tr>
      <w:tr>
        <w:trPr>
          <w:trHeight w:val="27"/>
        </w:trPr>
        <w:tc>
          <w:tcPr>
            <w:tcW w:w="53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
        </w:trPr>
        <w:tc>
          <w:tcPr>
            <w:tcW w:w="534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64"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various U.S. equity securities, public mutual funds, and futures. These instruments are valued using the closing price from the applicable exchange or whose value is quoted and readily traded daily.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This category includes various bonds and non-public funds whose underlying investments may be level 1 or level 2 securities.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private equity funds and real estate valued through external appraisal processes. Valuation methodologies incorporate pricing models, discounted cash flow models, and similar techniques which utilize capitalization rates, discount rates, cash flows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Fair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2013</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26.7</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28.2</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61.2</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43.5</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130.1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36.4</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$46.8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$194.1</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$73.3</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and actively-managed funds (Level 2), which are combined with futures, and settle daily, to achieve the returns of the U.S. Equity Securities Large-cap, Mid-cap Growth, and Small-cap funds. Our exposure with respect to these investments includes both the futures and the underlying investments.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64"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tc>
        <w:tc>
          <w:tcPr>
            <w:tcW w:w="24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6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242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73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24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$58.9</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$24.9</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2420" w:type="dxa"/>
            <w:vAlign w:val="bottom"/>
          </w:tcPr>
          <w:p>
            <w:pPr>
              <w:jc w:val="right"/>
              <w:ind w:right="490"/>
              <w:spacing w:after="0"/>
              <w:rPr>
                <w:sz w:val="20"/>
                <w:szCs w:val="20"/>
                <w:color w:val="auto"/>
              </w:rPr>
            </w:pPr>
            <w:r>
              <w:rPr>
                <w:rFonts w:ascii="Arial" w:cs="Arial" w:eastAsia="Arial" w:hAnsi="Arial"/>
                <w:sz w:val="18"/>
                <w:szCs w:val="18"/>
                <w:color w:val="auto"/>
              </w:rPr>
              <w:t>2.3</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2.1</w:t>
            </w:r>
          </w:p>
        </w:tc>
      </w:tr>
      <w:tr>
        <w:trPr>
          <w:trHeight w:val="27"/>
        </w:trPr>
        <w:tc>
          <w:tcPr>
            <w:tcW w:w="7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24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(14.4)</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r>
      <w:tr>
        <w:trPr>
          <w:trHeight w:val="237"/>
        </w:trPr>
        <w:tc>
          <w:tcPr>
            <w:tcW w:w="7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2013</w:t>
            </w:r>
          </w:p>
        </w:tc>
        <w:tc>
          <w:tcPr>
            <w:tcW w:w="24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$46.8</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$26.5</w:t>
            </w:r>
          </w:p>
        </w:tc>
      </w:tr>
      <w:tr>
        <w:trPr>
          <w:trHeight w:val="27"/>
        </w:trPr>
        <w:tc>
          <w:tcPr>
            <w:tcW w:w="73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2012</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$36.0</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15.3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50.5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45.9</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72.5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50.8</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$58.9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24.9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$83.8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$460.1</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and actively-managed funds (Level 2), which are combined with futures, and settle daily, to achieve the returns of the U.S. Equity Securities Large-cap, Mid-cap Growth, and Small-cap funds. Our exposure with respect to these investments includes both the futures and the underlying investments.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5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560" w:type="dxa"/>
            <w:vAlign w:val="bottom"/>
          </w:tcPr>
          <w:p>
            <w:pPr>
              <w:jc w:val="right"/>
              <w:ind w:right="190"/>
              <w:spacing w:after="0"/>
              <w:rPr>
                <w:sz w:val="20"/>
                <w:szCs w:val="20"/>
                <w:color w:val="auto"/>
              </w:rPr>
            </w:pPr>
            <w:r>
              <w:rPr>
                <w:rFonts w:ascii="Arial" w:cs="Arial" w:eastAsia="Arial" w:hAnsi="Arial"/>
                <w:sz w:val="18"/>
                <w:szCs w:val="18"/>
                <w:b w:val="1"/>
                <w:bCs w:val="1"/>
                <w:color w:val="auto"/>
              </w:rPr>
              <w:t>Private Equity Funds</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3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45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$69.0</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$21.7</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560" w:type="dxa"/>
            <w:vAlign w:val="bottom"/>
          </w:tcPr>
          <w:p>
            <w:pPr>
              <w:jc w:val="right"/>
              <w:ind w:right="410"/>
              <w:spacing w:after="0"/>
              <w:rPr>
                <w:sz w:val="20"/>
                <w:szCs w:val="20"/>
                <w:color w:val="auto"/>
              </w:rPr>
            </w:pPr>
            <w:r>
              <w:rPr>
                <w:rFonts w:ascii="Arial" w:cs="Arial" w:eastAsia="Arial" w:hAnsi="Arial"/>
                <w:sz w:val="18"/>
                <w:szCs w:val="18"/>
                <w:color w:val="auto"/>
              </w:rPr>
              <w:t>(9.7)</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3.4</w:t>
            </w:r>
          </w:p>
        </w:tc>
      </w:tr>
      <w:tr>
        <w:trPr>
          <w:trHeight w:val="27"/>
        </w:trPr>
        <w:tc>
          <w:tcPr>
            <w:tcW w:w="53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45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(0.4)</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2012</w:t>
            </w:r>
          </w:p>
        </w:tc>
        <w:tc>
          <w:tcPr>
            <w:tcW w:w="45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$58.9</w:t>
            </w:r>
          </w:p>
        </w:tc>
        <w:tc>
          <w:tcPr>
            <w:tcW w:w="1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$24.9</w:t>
            </w:r>
          </w:p>
        </w:tc>
      </w:tr>
      <w:tr>
        <w:trPr>
          <w:trHeight w:val="27"/>
        </w:trPr>
        <w:tc>
          <w:tcPr>
            <w:tcW w:w="53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6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Health and Life Fair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2013</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33.4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30.8</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$13.1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classified under U.S. Equity Securities consist of mutual funds (Level 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660" w:type="dxa"/>
            <w:vAlign w:val="bottom"/>
          </w:tcPr>
          <w:p>
            <w:pPr>
              <w:spacing w:after="0"/>
              <w:rPr>
                <w:sz w:val="20"/>
                <w:szCs w:val="20"/>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660" w:type="dxa"/>
            <w:vAlign w:val="bottom"/>
          </w:tcPr>
          <w:p>
            <w:pPr>
              <w:jc w:val="right"/>
              <w:ind w:right="87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576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66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56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$13.5</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660" w:type="dxa"/>
            <w:vAlign w:val="bottom"/>
          </w:tcPr>
          <w:p>
            <w:pPr>
              <w:jc w:val="right"/>
              <w:ind w:right="790"/>
              <w:spacing w:after="0"/>
              <w:rPr>
                <w:sz w:val="20"/>
                <w:szCs w:val="20"/>
                <w:color w:val="auto"/>
              </w:rPr>
            </w:pPr>
            <w:r>
              <w:rPr>
                <w:rFonts w:ascii="Arial" w:cs="Arial" w:eastAsia="Arial" w:hAnsi="Arial"/>
                <w:sz w:val="18"/>
                <w:szCs w:val="18"/>
                <w:color w:val="auto"/>
              </w:rPr>
              <w:t>2.4</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56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(2.8)</w:t>
            </w:r>
          </w:p>
        </w:tc>
      </w:tr>
      <w:tr>
        <w:trPr>
          <w:trHeight w:val="23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2013</w:t>
            </w:r>
          </w:p>
        </w:tc>
        <w:tc>
          <w:tcPr>
            <w:tcW w:w="566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$13.1</w:t>
            </w:r>
          </w:p>
        </w:tc>
      </w:tr>
      <w:tr>
        <w:trPr>
          <w:trHeight w:val="27"/>
        </w:trPr>
        <w:tc>
          <w:tcPr>
            <w:tcW w:w="576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2012</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$18.3</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classified under U.S. Equity Securities consist of mutual funds (Level 1).</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2013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64"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660" w:type="dxa"/>
            <w:vAlign w:val="bottom"/>
          </w:tcPr>
          <w:p>
            <w:pPr>
              <w:spacing w:after="0"/>
              <w:rPr>
                <w:sz w:val="20"/>
                <w:szCs w:val="20"/>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660" w:type="dxa"/>
            <w:vAlign w:val="bottom"/>
          </w:tcPr>
          <w:p>
            <w:pPr>
              <w:jc w:val="right"/>
              <w:ind w:right="87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576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66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56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$14.0</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660" w:type="dxa"/>
            <w:vAlign w:val="bottom"/>
          </w:tcPr>
          <w:p>
            <w:pPr>
              <w:jc w:val="right"/>
              <w:ind w:right="790"/>
              <w:spacing w:after="0"/>
              <w:rPr>
                <w:sz w:val="20"/>
                <w:szCs w:val="20"/>
                <w:color w:val="auto"/>
              </w:rPr>
            </w:pPr>
            <w:r>
              <w:rPr>
                <w:rFonts w:ascii="Arial" w:cs="Arial" w:eastAsia="Arial" w:hAnsi="Arial"/>
                <w:sz w:val="18"/>
                <w:szCs w:val="18"/>
                <w:color w:val="auto"/>
              </w:rPr>
              <w:t>0.2</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56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(0.7)</w:t>
            </w:r>
          </w:p>
        </w:tc>
      </w:tr>
      <w:tr>
        <w:trPr>
          <w:trHeight w:val="23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2012</w:t>
            </w:r>
          </w:p>
        </w:tc>
        <w:tc>
          <w:tcPr>
            <w:tcW w:w="566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$13.5</w:t>
            </w:r>
          </w:p>
        </w:tc>
      </w:tr>
      <w:tr>
        <w:trPr>
          <w:trHeight w:val="27"/>
        </w:trPr>
        <w:tc>
          <w:tcPr>
            <w:tcW w:w="576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EMPLOYEE STOCK AND INCENTIVE PLANS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Employee Stock Ownership Plan. </w:t>
      </w:r>
      <w:r>
        <w:rPr>
          <w:rFonts w:ascii="Arial" w:cs="Arial" w:eastAsia="Arial" w:hAnsi="Arial"/>
          <w:sz w:val="17"/>
          <w:szCs w:val="17"/>
          <w:color w:val="auto"/>
        </w:rPr>
        <w:t>We sponsor a leveraged ESOP within the RSOP. Eligible employees may contribute to the RSOP plan as of their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hire. In 1990, the ESOP issued a $75.0 million note (term not to exceed 25 years at 10.25 percent) to use as consideration for 2.8 million shares (1.9 million shares adjusted for stock splits) of our newly issued common stock. The note was refinanced in 2006 at 6 percent. We make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the debt. As the debt is repaid, shares are released from collateral and allocated to participants based on the proportion of debt service paid in the year. As shares are released from collateral, we report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$8.4 million in 2013 ($7.7 million in 2012; $7.4 million in 2011).</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currently held and purchased by the ESOP will be treated as unearned ESOP shares and not considered outstanding for earnings per share computations. ESOP shares are included in earnings per share computations after they are allocated to participants.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7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3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w:t>
            </w:r>
          </w:p>
        </w:tc>
        <w:tc>
          <w:tcPr>
            <w:tcW w:w="3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Allocated</w:t>
            </w:r>
          </w:p>
        </w:tc>
        <w:tc>
          <w:tcPr>
            <w:tcW w:w="3780" w:type="dxa"/>
            <w:vAlign w:val="bottom"/>
          </w:tcPr>
          <w:p>
            <w:pPr>
              <w:jc w:val="right"/>
              <w:ind w:right="410"/>
              <w:spacing w:after="0"/>
              <w:rPr>
                <w:sz w:val="20"/>
                <w:szCs w:val="20"/>
                <w:color w:val="auto"/>
              </w:rPr>
            </w:pPr>
            <w:r>
              <w:rPr>
                <w:rFonts w:ascii="Arial" w:cs="Arial" w:eastAsia="Arial" w:hAnsi="Arial"/>
                <w:sz w:val="18"/>
                <w:szCs w:val="18"/>
                <w:color w:val="auto"/>
              </w:rPr>
              <w:t>2.0</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w:t>
            </w:r>
          </w:p>
        </w:tc>
        <w:tc>
          <w:tcPr>
            <w:tcW w:w="37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0.7</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7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2.5</w:t>
            </w:r>
          </w:p>
        </w:tc>
        <w:tc>
          <w:tcPr>
            <w:tcW w:w="13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2.9</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3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Unallocated Shares</w:t>
            </w:r>
          </w:p>
        </w:tc>
        <w:tc>
          <w:tcPr>
            <w:tcW w:w="37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$24.1</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$28.7</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0"/>
        </w:trPr>
        <w:tc>
          <w:tcPr>
            <w:tcW w:w="530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Stock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Executive Long-Term Incentive Compensation Plan (Executive Plan), share-based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to key employees through a broad range of methods, including non-qualified and incentive stock options, performance shares, performance units, restricted stock, stock appreciation rights and other awards. There are 0.9 million shares of common stock reserved for issuance under the Executive Plan, with 0.6 million of these shares available for issuance as of December 31,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6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18. EMPLOYEE STOCK AND INCENTIVE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the following types of share-based awards outstanding:</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These options allow for the purchase of shares of common stock at a price equal to the market value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 Stock options have not been granted under our Executive Plan since 2008.</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18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Under the performance share awards plan, the number of shares earned is contingent upon attaining specific market goals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performance period. Market goals are measured by total shareholder return relative to a group of peer companies.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units plan, shares for retirement eligible participants vest monthly over a three-year period. For non-retirement eligible participants,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19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Because the discount is not greater than 5 percent, we are not required to apply fair value accounting to these awards.</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0.7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w:t>
            </w:r>
          </w:p>
        </w:tc>
        <w:tc>
          <w:tcPr>
            <w:tcW w:w="34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$1.0</w:t>
            </w: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$0.9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64"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18. EMPLOYEE STOCK AND INCENTIVE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stock-based compensation costs at December 31, 2013, 2012, or 2011.</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2013, the total unrecognized compensation cost for the performance share awards and restricted stock units not yet recognized in our Consolidated Statements of Income was $1.7 million and $0.7 million, respectively. These amounts are expected to be recognized over a weighted-average period of 1.7 years for performance share awards and 1.7 years for restricted stock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The following table presents information regarding our outstanding stock options as of December 31,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90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 of</w:t>
            </w: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9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Options</w:t>
            </w: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Outstanding as of January 1,</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395,678</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$42.28</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460,234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$41.68</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560,887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$40.69</w:t>
            </w: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287,379</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$41.60</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49,075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$35.84</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80,798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$34.25</w:t>
            </w: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15,481</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$44.86</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19,855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w:t>
            </w:r>
          </w:p>
        </w:tc>
      </w:tr>
      <w:tr>
        <w:trPr>
          <w:trHeight w:val="237"/>
        </w:trPr>
        <w:tc>
          <w:tcPr>
            <w:tcW w:w="3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w:t>
            </w:r>
          </w:p>
        </w:tc>
        <w:tc>
          <w:tcPr>
            <w:tcW w:w="15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108,299</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$44.10</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395,678</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$42.28</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460,234</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$41.68</w:t>
            </w:r>
          </w:p>
        </w:tc>
      </w:tr>
      <w:tr>
        <w:trPr>
          <w:trHeight w:val="27"/>
        </w:trPr>
        <w:tc>
          <w:tcPr>
            <w:tcW w:w="3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December 31,</w:t>
            </w:r>
          </w:p>
        </w:tc>
        <w:tc>
          <w:tcPr>
            <w:tcW w:w="1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108,299</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$43.17</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395,678</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$41.71</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460,234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$41.59</w:t>
            </w:r>
          </w:p>
        </w:tc>
      </w:tr>
      <w:tr>
        <w:trPr>
          <w:trHeight w:val="20"/>
        </w:trPr>
        <w:tc>
          <w:tcPr>
            <w:tcW w:w="39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Stock options have not been granted since 2008. The weighted-average grant-date intrinsic value of options granted in 2008 was $6.18.</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non-qualified stock options exercised was approximately $11.4 million in 2013. The intrinsic value of a stock award is the amount by which the fair value of the underlying stock exceeds the exercise price of the award. The total intrinsic value of options exercised was $2.2 million during 2013 ($0.3 million in 2012; $0.5 million in 2011).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42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Range of Exercise Price</w:t>
            </w:r>
          </w:p>
        </w:tc>
      </w:tr>
      <w:tr>
        <w:trPr>
          <w:trHeight w:val="27"/>
        </w:trPr>
        <w:tc>
          <w:tcPr>
            <w:tcW w:w="80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1780" w:type="dxa"/>
            <w:vAlign w:val="bottom"/>
          </w:tcPr>
          <w:p>
            <w:pPr>
              <w:jc w:val="right"/>
              <w:ind w:right="210"/>
              <w:spacing w:after="0"/>
              <w:rPr>
                <w:sz w:val="20"/>
                <w:szCs w:val="20"/>
                <w:color w:val="auto"/>
              </w:rPr>
            </w:pPr>
            <w:r>
              <w:rPr>
                <w:rFonts w:ascii="Arial" w:cs="Arial" w:eastAsia="Arial" w:hAnsi="Arial"/>
                <w:sz w:val="18"/>
                <w:szCs w:val="18"/>
                <w:b w:val="1"/>
                <w:bCs w:val="1"/>
                <w:color w:val="auto"/>
              </w:rPr>
              <w:t>$37.76 to $41.35</w:t>
            </w: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auto"/>
              </w:rPr>
              <w:t>$44.15 to $48.65</w:t>
            </w:r>
          </w:p>
        </w:tc>
      </w:tr>
      <w:tr>
        <w:trPr>
          <w:trHeight w:val="27"/>
        </w:trPr>
        <w:tc>
          <w:tcPr>
            <w:tcW w:w="8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w:t>
            </w: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Number Outstanding and Exercisable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44,263</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64,036</w:t>
            </w:r>
          </w:p>
        </w:tc>
      </w:tr>
      <w:tr>
        <w:trPr>
          <w:trHeight w:val="27"/>
        </w:trPr>
        <w:tc>
          <w:tcPr>
            <w:tcW w:w="8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Remaining Contractual Life (Years)</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Weighted Average Exercise Price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$40.18</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$46.81</w:t>
            </w:r>
          </w:p>
        </w:tc>
      </w:tr>
      <w:tr>
        <w:trPr>
          <w:trHeight w:val="27"/>
        </w:trPr>
        <w:tc>
          <w:tcPr>
            <w:tcW w:w="8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 as of December 31,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tcPr>
          <w:p>
            <w:pPr>
              <w:jc w:val="right"/>
              <w:ind w:right="1130"/>
              <w:spacing w:after="0"/>
              <w:rPr>
                <w:sz w:val="20"/>
                <w:szCs w:val="20"/>
                <w:color w:val="auto"/>
              </w:rPr>
            </w:pPr>
            <w:r>
              <w:rPr>
                <w:rFonts w:ascii="Arial" w:cs="Arial" w:eastAsia="Arial" w:hAnsi="Arial"/>
                <w:sz w:val="18"/>
                <w:szCs w:val="18"/>
                <w:b w:val="1"/>
                <w:bCs w:val="1"/>
                <w:color w:val="auto"/>
                <w:w w:val="84"/>
              </w:rPr>
              <w:t>2013</w:t>
            </w:r>
          </w:p>
        </w:tc>
        <w:tc>
          <w:tcPr>
            <w:tcW w:w="1080" w:type="dxa"/>
            <w:vAlign w:val="bottom"/>
          </w:tcPr>
          <w:p>
            <w:pPr>
              <w:spacing w:after="0"/>
              <w:rPr>
                <w:sz w:val="20"/>
                <w:szCs w:val="20"/>
                <w:color w:val="auto"/>
              </w:rPr>
            </w:pPr>
          </w:p>
        </w:tc>
        <w:tc>
          <w:tcPr>
            <w:tcW w:w="1580" w:type="dxa"/>
            <w:vAlign w:val="bottom"/>
          </w:tcPr>
          <w:p>
            <w:pPr>
              <w:jc w:val="right"/>
              <w:ind w:right="1130"/>
              <w:spacing w:after="0"/>
              <w:rPr>
                <w:sz w:val="20"/>
                <w:szCs w:val="20"/>
                <w:color w:val="auto"/>
              </w:rPr>
            </w:pPr>
            <w:r>
              <w:rPr>
                <w:rFonts w:ascii="Arial" w:cs="Arial" w:eastAsia="Arial" w:hAnsi="Arial"/>
                <w:sz w:val="18"/>
                <w:szCs w:val="18"/>
                <w:b w:val="1"/>
                <w:bCs w:val="1"/>
                <w:color w:val="auto"/>
                <w:w w:val="84"/>
              </w:rPr>
              <w:t>2012</w:t>
            </w:r>
          </w:p>
        </w:tc>
        <w:tc>
          <w:tcPr>
            <w:tcW w:w="1120" w:type="dxa"/>
            <w:vAlign w:val="bottom"/>
          </w:tcPr>
          <w:p>
            <w:pPr>
              <w:spacing w:after="0"/>
              <w:rPr>
                <w:sz w:val="20"/>
                <w:szCs w:val="20"/>
                <w:color w:val="auto"/>
              </w:rPr>
            </w:pPr>
          </w:p>
        </w:tc>
        <w:tc>
          <w:tcPr>
            <w:tcW w:w="1500" w:type="dxa"/>
            <w:vAlign w:val="bottom"/>
          </w:tcPr>
          <w:p>
            <w:pPr>
              <w:jc w:val="right"/>
              <w:ind w:right="1070"/>
              <w:spacing w:after="0"/>
              <w:rPr>
                <w:sz w:val="20"/>
                <w:szCs w:val="20"/>
                <w:color w:val="auto"/>
              </w:rPr>
            </w:pPr>
            <w:r>
              <w:rPr>
                <w:rFonts w:ascii="Arial" w:cs="Arial" w:eastAsia="Arial" w:hAnsi="Arial"/>
                <w:sz w:val="18"/>
                <w:szCs w:val="18"/>
                <w:b w:val="1"/>
                <w:bCs w:val="1"/>
                <w:color w:val="auto"/>
                <w:w w:val="79"/>
              </w:rPr>
              <w:t>2011</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08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tcPr>
          <w:p>
            <w:pPr>
              <w:spacing w:after="0"/>
              <w:rPr>
                <w:sz w:val="18"/>
                <w:szCs w:val="18"/>
                <w:color w:val="auto"/>
              </w:rPr>
            </w:pPr>
          </w:p>
        </w:tc>
        <w:tc>
          <w:tcPr>
            <w:tcW w:w="150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spacing w:after="0"/>
              <w:rPr>
                <w:sz w:val="18"/>
                <w:szCs w:val="18"/>
                <w:color w:val="auto"/>
              </w:rPr>
            </w:pPr>
          </w:p>
        </w:tc>
        <w:tc>
          <w:tcPr>
            <w:tcW w:w="15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8"/>
                <w:szCs w:val="18"/>
                <w:color w:val="auto"/>
              </w:rPr>
            </w:pPr>
          </w:p>
        </w:tc>
        <w:tc>
          <w:tcPr>
            <w:tcW w:w="150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7"/>
              </w:rPr>
              <w:t>Number of</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Grant Date</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50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50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Non-vested as of January 1,</w:t>
            </w:r>
          </w:p>
        </w:tc>
        <w:tc>
          <w:tcPr>
            <w:tcW w:w="980" w:type="dxa"/>
            <w:vAlign w:val="bottom"/>
          </w:tcPr>
          <w:p>
            <w:pPr>
              <w:jc w:val="right"/>
              <w:spacing w:after="0"/>
              <w:rPr>
                <w:sz w:val="20"/>
                <w:szCs w:val="20"/>
                <w:color w:val="auto"/>
              </w:rPr>
            </w:pPr>
            <w:r>
              <w:rPr>
                <w:rFonts w:ascii="Arial" w:cs="Arial" w:eastAsia="Arial" w:hAnsi="Arial"/>
                <w:sz w:val="18"/>
                <w:szCs w:val="18"/>
                <w:color w:val="auto"/>
              </w:rPr>
              <w:t>107,899</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$40.73</w:t>
            </w:r>
          </w:p>
        </w:tc>
        <w:tc>
          <w:tcPr>
            <w:tcW w:w="1080" w:type="dxa"/>
            <w:vAlign w:val="bottom"/>
          </w:tcPr>
          <w:p>
            <w:pPr>
              <w:jc w:val="right"/>
              <w:spacing w:after="0"/>
              <w:rPr>
                <w:sz w:val="20"/>
                <w:szCs w:val="20"/>
                <w:color w:val="auto"/>
              </w:rPr>
            </w:pPr>
            <w:r>
              <w:rPr>
                <w:rFonts w:ascii="Arial" w:cs="Arial" w:eastAsia="Arial" w:hAnsi="Arial"/>
                <w:sz w:val="18"/>
                <w:szCs w:val="18"/>
                <w:color w:val="auto"/>
              </w:rPr>
              <w:t>128,333</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$36.54</w:t>
            </w:r>
          </w:p>
        </w:tc>
        <w:tc>
          <w:tcPr>
            <w:tcW w:w="1120" w:type="dxa"/>
            <w:vAlign w:val="bottom"/>
          </w:tcPr>
          <w:p>
            <w:pPr>
              <w:jc w:val="right"/>
              <w:spacing w:after="0"/>
              <w:rPr>
                <w:sz w:val="20"/>
                <w:szCs w:val="20"/>
                <w:color w:val="auto"/>
              </w:rPr>
            </w:pPr>
            <w:r>
              <w:rPr>
                <w:rFonts w:ascii="Arial" w:cs="Arial" w:eastAsia="Arial" w:hAnsi="Arial"/>
                <w:sz w:val="18"/>
                <w:szCs w:val="18"/>
                <w:color w:val="auto"/>
              </w:rPr>
              <w:t>122,489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$38.15</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45,830</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38,764</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$44.70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w:t>
            </w:r>
          </w:p>
        </w:tc>
      </w:tr>
      <w:tr>
        <w:trPr>
          <w:trHeight w:val="243"/>
        </w:trPr>
        <w:tc>
          <w:tcPr>
            <w:tcW w:w="20" w:type="dxa"/>
            <w:vAlign w:val="bottom"/>
          </w:tcPr>
          <w:p>
            <w:pPr>
              <w:spacing w:after="0"/>
              <w:rPr>
                <w:sz w:val="21"/>
                <w:szCs w:val="21"/>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Awarded</w:t>
            </w:r>
          </w:p>
        </w:tc>
        <w:tc>
          <w:tcPr>
            <w:tcW w:w="980" w:type="dxa"/>
            <w:vAlign w:val="bottom"/>
          </w:tcPr>
          <w:p>
            <w:pPr>
              <w:jc w:val="right"/>
              <w:spacing w:after="0"/>
              <w:rPr>
                <w:sz w:val="20"/>
                <w:szCs w:val="20"/>
                <w:color w:val="auto"/>
              </w:rPr>
            </w:pPr>
            <w:r>
              <w:rPr>
                <w:rFonts w:ascii="Arial" w:cs="Arial" w:eastAsia="Arial" w:hAnsi="Arial"/>
                <w:sz w:val="18"/>
                <w:szCs w:val="18"/>
                <w:color w:val="auto"/>
              </w:rPr>
              <w:t>(18,605)</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$35.10</w:t>
            </w:r>
          </w:p>
        </w:tc>
        <w:tc>
          <w:tcPr>
            <w:tcW w:w="1080" w:type="dxa"/>
            <w:vAlign w:val="bottom"/>
          </w:tcPr>
          <w:p>
            <w:pPr>
              <w:jc w:val="right"/>
              <w:spacing w:after="0"/>
              <w:rPr>
                <w:sz w:val="20"/>
                <w:szCs w:val="20"/>
                <w:color w:val="auto"/>
              </w:rPr>
            </w:pPr>
            <w:r>
              <w:rPr>
                <w:rFonts w:ascii="Arial" w:cs="Arial" w:eastAsia="Arial" w:hAnsi="Arial"/>
                <w:sz w:val="18"/>
                <w:szCs w:val="18"/>
                <w:color w:val="auto"/>
              </w:rPr>
              <w:t>(41,009)</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$34.25</w:t>
            </w:r>
          </w:p>
        </w:tc>
        <w:tc>
          <w:tcPr>
            <w:tcW w:w="1120" w:type="dxa"/>
            <w:vAlign w:val="bottom"/>
          </w:tcPr>
          <w:p>
            <w:pPr>
              <w:jc w:val="right"/>
              <w:spacing w:after="0"/>
              <w:rPr>
                <w:sz w:val="20"/>
                <w:szCs w:val="20"/>
                <w:color w:val="auto"/>
              </w:rPr>
            </w:pPr>
            <w:r>
              <w:rPr>
                <w:rFonts w:ascii="Arial" w:cs="Arial" w:eastAsia="Arial" w:hAnsi="Arial"/>
                <w:sz w:val="18"/>
                <w:szCs w:val="18"/>
                <w:color w:val="auto"/>
              </w:rPr>
              <w:t>(32,368)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$48.10</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Unearned Grant Award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(18,606)</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(17,575)</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980" w:type="dxa"/>
            <w:vAlign w:val="bottom"/>
          </w:tcPr>
          <w:p>
            <w:pPr>
              <w:jc w:val="right"/>
              <w:spacing w:after="0"/>
              <w:rPr>
                <w:sz w:val="20"/>
                <w:szCs w:val="20"/>
                <w:color w:val="auto"/>
              </w:rPr>
            </w:pPr>
            <w:r>
              <w:rPr>
                <w:rFonts w:ascii="Arial" w:cs="Arial" w:eastAsia="Arial" w:hAnsi="Arial"/>
                <w:sz w:val="18"/>
                <w:szCs w:val="18"/>
                <w:color w:val="auto"/>
              </w:rPr>
              <w:t>(1,753)</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$47.26</w:t>
            </w: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$34.49</w:t>
            </w: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$34.35</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as of December 31,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114,765</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$47.02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107,899</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r>
      <w:tr>
        <w:trPr>
          <w:trHeight w:val="224"/>
        </w:trPr>
        <w:tc>
          <w:tcPr>
            <w:tcW w:w="20" w:type="dxa"/>
            <w:vAlign w:val="bottom"/>
          </w:tcPr>
          <w:p>
            <w:pPr>
              <w:spacing w:after="0"/>
              <w:rPr>
                <w:sz w:val="19"/>
                <w:szCs w:val="19"/>
                <w:color w:val="auto"/>
              </w:rPr>
            </w:pPr>
          </w:p>
        </w:tc>
        <w:tc>
          <w:tcPr>
            <w:tcW w:w="35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2"/>
              </w:rPr>
              <w:t>(a)  Shares granted includes accrued dividends.</w:t>
            </w:r>
          </w:p>
        </w:tc>
        <w:tc>
          <w:tcPr>
            <w:tcW w:w="9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6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18. EMPLOYEE STOCK AND INCENTIVE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41,332 and 43,081 performance shares granted in January 2013 and 2014, for the three-year performance periods ending in 2015 and 2016, respectively. The ultimate issuance is contingent upon the attainment of certain future market goals of ALLETE during the performance periods. The grant date fair value of the performance shares granted was $2.2 million and $2.0 million,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$18,605 and 36,515 performance shares awarded in February 2013 and 2014, for the three-year performance periods ending in 2012 and 2013, respectively. The grant date fair value of the shares awarded was $0.7 million and $1.5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 as of December 31,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jc w:val="right"/>
              <w:ind w:right="1030"/>
              <w:spacing w:after="0"/>
              <w:rPr>
                <w:sz w:val="20"/>
                <w:szCs w:val="20"/>
                <w:color w:val="auto"/>
              </w:rPr>
            </w:pPr>
            <w:r>
              <w:rPr>
                <w:rFonts w:ascii="Arial" w:cs="Arial" w:eastAsia="Arial" w:hAnsi="Arial"/>
                <w:sz w:val="18"/>
                <w:szCs w:val="18"/>
                <w:b w:val="1"/>
                <w:bCs w:val="1"/>
                <w:color w:val="auto"/>
                <w:w w:val="94"/>
              </w:rPr>
              <w:t>2013</w:t>
            </w:r>
          </w:p>
        </w:tc>
        <w:tc>
          <w:tcPr>
            <w:tcW w:w="1040" w:type="dxa"/>
            <w:vAlign w:val="bottom"/>
          </w:tcPr>
          <w:p>
            <w:pPr>
              <w:spacing w:after="0"/>
              <w:rPr>
                <w:sz w:val="20"/>
                <w:szCs w:val="20"/>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b w:val="1"/>
                <w:bCs w:val="1"/>
                <w:color w:val="auto"/>
                <w:w w:val="94"/>
              </w:rPr>
              <w:t>2012</w:t>
            </w:r>
          </w:p>
        </w:tc>
        <w:tc>
          <w:tcPr>
            <w:tcW w:w="1040" w:type="dxa"/>
            <w:vAlign w:val="bottom"/>
          </w:tcPr>
          <w:p>
            <w:pPr>
              <w:spacing w:after="0"/>
              <w:rPr>
                <w:sz w:val="20"/>
                <w:szCs w:val="20"/>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Fair Value</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63,464</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$32.57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$30.61</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21,440</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$43.41</w:t>
            </w:r>
          </w:p>
        </w:tc>
        <w:tc>
          <w:tcPr>
            <w:tcW w:w="1040" w:type="dxa"/>
            <w:vAlign w:val="bottom"/>
          </w:tcPr>
          <w:p>
            <w:pPr>
              <w:jc w:val="right"/>
              <w:spacing w:after="0"/>
              <w:rPr>
                <w:sz w:val="20"/>
                <w:szCs w:val="20"/>
                <w:color w:val="auto"/>
              </w:rPr>
            </w:pPr>
            <w:r>
              <w:rPr>
                <w:rFonts w:ascii="Arial" w:cs="Arial" w:eastAsia="Arial" w:hAnsi="Arial"/>
                <w:sz w:val="18"/>
                <w:szCs w:val="18"/>
                <w:color w:val="auto"/>
              </w:rPr>
              <w:t>18,162</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$40.83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20,136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$36.74</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$30.30</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(934)</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$41.02</w:t>
            </w: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$31.80</w:t>
            </w: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$29.41</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55,982</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63,464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$32.57</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6"/>
              </w:rPr>
              <w:t>(a)  Shares granted includes accrued dividends.</w:t>
            </w:r>
          </w:p>
        </w:tc>
        <w:tc>
          <w:tcPr>
            <w:tcW w:w="10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19,193 and 17,491 restricted stock units granted in January 2013 and 2014, for the vesting periods ending in 2015 and 2016, respectively. The grant date fair value of the restricted stock units granted was $0.8 million and $0.9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20,939 restricted stock units awarded in 2013. The grant date fair value of the shares awarded was $0.7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18,860 restricted stock units awarded in February 2014. The grant date fair value of the shares awarded was $0.7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any one quarterly period is not necessarily indicative of the results which may be expected for the year.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29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 31</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 30</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 30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Dec. 31</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Millions Except Earnings Per Share</w:t>
            </w:r>
          </w:p>
        </w:tc>
        <w:tc>
          <w:tcPr>
            <w:tcW w:w="2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2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940" w:type="dxa"/>
            <w:vAlign w:val="bottom"/>
          </w:tcPr>
          <w:p>
            <w:pPr>
              <w:jc w:val="right"/>
              <w:ind w:right="330"/>
              <w:spacing w:after="0"/>
              <w:rPr>
                <w:sz w:val="20"/>
                <w:szCs w:val="20"/>
                <w:color w:val="auto"/>
              </w:rPr>
            </w:pPr>
            <w:r>
              <w:rPr>
                <w:rFonts w:ascii="Arial" w:cs="Arial" w:eastAsia="Arial" w:hAnsi="Arial"/>
                <w:sz w:val="18"/>
                <w:szCs w:val="18"/>
                <w:color w:val="auto"/>
              </w:rPr>
              <w:t>$263.8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$235.6</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$251.0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$268.0</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$44.4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$24.4</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$38.4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2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$32.5</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$14.0</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$25.2</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2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2940" w:type="dxa"/>
            <w:vAlign w:val="bottom"/>
          </w:tcPr>
          <w:p>
            <w:pPr>
              <w:jc w:val="right"/>
              <w:ind w:right="330"/>
              <w:spacing w:after="0"/>
              <w:rPr>
                <w:sz w:val="20"/>
                <w:szCs w:val="20"/>
                <w:color w:val="auto"/>
              </w:rPr>
            </w:pPr>
            <w:r>
              <w:rPr>
                <w:rFonts w:ascii="Arial" w:cs="Arial" w:eastAsia="Arial" w:hAnsi="Arial"/>
                <w:sz w:val="18"/>
                <w:szCs w:val="18"/>
                <w:color w:val="auto"/>
              </w:rPr>
              <w:t>$0.83</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$0.36</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$0.63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$0.82</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$0.83</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$0.35</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$0.63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r>
      <w:tr>
        <w:trPr>
          <w:trHeight w:val="237"/>
        </w:trPr>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2012</w:t>
            </w:r>
          </w:p>
        </w:tc>
        <w:tc>
          <w:tcPr>
            <w:tcW w:w="2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$240.0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$216.4</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$248.8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$38.4</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$23.3</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$45.6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$14.4</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Share of Common Stock</w:t>
            </w:r>
          </w:p>
        </w:tc>
        <w:tc>
          <w:tcPr>
            <w:tcW w:w="2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$0.66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$0.39</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$0.78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37"/>
        </w:trPr>
        <w:tc>
          <w:tcPr>
            <w:tcW w:w="47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$0.66</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$0.39</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$0.78</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$0.75</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64"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3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Valuation and Qualifying Accounts and Reserves</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6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Balance at</w:t>
            </w:r>
          </w:p>
        </w:tc>
        <w:tc>
          <w:tcPr>
            <w:tcW w:w="2360" w:type="dxa"/>
            <w:vAlign w:val="bottom"/>
            <w:gridSpan w:val="2"/>
          </w:tcPr>
          <w:p>
            <w:pPr>
              <w:ind w:left="940"/>
              <w:spacing w:after="0"/>
              <w:rPr>
                <w:sz w:val="20"/>
                <w:szCs w:val="20"/>
                <w:color w:val="auto"/>
              </w:rPr>
            </w:pPr>
            <w:r>
              <w:rPr>
                <w:rFonts w:ascii="Arial" w:cs="Arial" w:eastAsia="Arial" w:hAnsi="Arial"/>
                <w:sz w:val="18"/>
                <w:szCs w:val="18"/>
                <w:b w:val="1"/>
                <w:bCs w:val="1"/>
                <w:color w:val="auto"/>
              </w:rPr>
              <w:t>Additions</w:t>
            </w:r>
          </w:p>
        </w:tc>
        <w:tc>
          <w:tcPr>
            <w:tcW w:w="36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Deductions</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Balance at</w:t>
            </w:r>
          </w:p>
        </w:tc>
      </w:tr>
      <w:tr>
        <w:trPr>
          <w:trHeight w:val="216"/>
        </w:trPr>
        <w:tc>
          <w:tcPr>
            <w:tcW w:w="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6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Beginning of</w:t>
            </w: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Charged to</w:t>
            </w: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from</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End of</w:t>
            </w:r>
          </w:p>
        </w:tc>
      </w:tr>
      <w:tr>
        <w:trPr>
          <w:trHeight w:val="234"/>
        </w:trPr>
        <w:tc>
          <w:tcPr>
            <w:tcW w:w="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Period</w:t>
            </w: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 xml:space="preserve">Reserves </w:t>
            </w:r>
            <w:r>
              <w:rPr>
                <w:rFonts w:ascii="Arial" w:cs="Arial" w:eastAsia="Arial" w:hAnsi="Arial"/>
                <w:sz w:val="18"/>
                <w:szCs w:val="18"/>
                <w:b w:val="1"/>
                <w:bCs w:val="1"/>
                <w:i w:val="1"/>
                <w:iCs w:val="1"/>
                <w:color w:val="auto"/>
                <w:w w:val="87"/>
              </w:rPr>
              <w:t>(a)</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Period</w:t>
            </w:r>
          </w:p>
        </w:tc>
      </w:tr>
      <w:tr>
        <w:trPr>
          <w:trHeight w:val="27"/>
        </w:trPr>
        <w:tc>
          <w:tcPr>
            <w:tcW w:w="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Deducted from Related Assets</w:t>
            </w:r>
          </w:p>
        </w:tc>
        <w:tc>
          <w:tcPr>
            <w:tcW w:w="17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Reserve For Uncollectible Accounts</w:t>
            </w:r>
          </w:p>
        </w:tc>
        <w:tc>
          <w:tcPr>
            <w:tcW w:w="1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2011 Trade Accounts Receivable</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2012</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2013</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2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Asset Valuation Allowance</w:t>
            </w:r>
          </w:p>
        </w:tc>
        <w:tc>
          <w:tcPr>
            <w:tcW w:w="17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gridSpan w:val="2"/>
          </w:tcPr>
          <w:p>
            <w:pPr>
              <w:ind w:left="380"/>
              <w:spacing w:after="0"/>
              <w:rPr>
                <w:sz w:val="20"/>
                <w:szCs w:val="20"/>
                <w:color w:val="auto"/>
              </w:rPr>
            </w:pPr>
            <w:r>
              <w:rPr>
                <w:rFonts w:ascii="Arial" w:cs="Arial" w:eastAsia="Arial" w:hAnsi="Arial"/>
                <w:sz w:val="18"/>
                <w:szCs w:val="18"/>
                <w:color w:val="auto"/>
              </w:rPr>
              <w:t>2011 Deferred Tax Assets</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2012</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4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760" w:type="dxa"/>
            <w:vAlign w:val="bottom"/>
          </w:tcPr>
          <w:p>
            <w:pPr>
              <w:ind w:left="380"/>
              <w:spacing w:after="0"/>
              <w:rPr>
                <w:sz w:val="20"/>
                <w:szCs w:val="20"/>
                <w:color w:val="auto"/>
              </w:rPr>
            </w:pPr>
            <w:r>
              <w:rPr>
                <w:rFonts w:ascii="Arial" w:cs="Arial" w:eastAsia="Arial" w:hAnsi="Arial"/>
                <w:sz w:val="18"/>
                <w:szCs w:val="18"/>
                <w:color w:val="auto"/>
                <w:w w:val="89"/>
              </w:rPr>
              <w:t>2013</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92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2013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6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ASSIGNMENT AND ASSUMPTION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 AGREEMENT</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THIS ASSIGNMENT AND ASSUMPTION OF AND AMENDMENT No. 2 TO THIRD AMENDED AND RESTATED DISTRIBUTION AGREEMENT </w:t>
      </w:r>
      <w:r>
        <w:rPr>
          <w:rFonts w:ascii="Arial" w:cs="Arial" w:eastAsia="Arial" w:hAnsi="Arial"/>
          <w:sz w:val="22"/>
          <w:szCs w:val="22"/>
          <w:color w:val="auto"/>
        </w:rPr>
        <w:t>(“</w:t>
      </w:r>
      <w:r>
        <w:rPr>
          <w:rFonts w:ascii="Arial" w:cs="Arial" w:eastAsia="Arial" w:hAnsi="Arial"/>
          <w:sz w:val="22"/>
          <w:szCs w:val="22"/>
          <w:b w:val="1"/>
          <w:bCs w:val="1"/>
          <w:color w:val="auto"/>
        </w:rPr>
        <w:t>Amendment No. 2</w:t>
      </w:r>
      <w:r>
        <w:rPr>
          <w:rFonts w:ascii="Arial" w:cs="Arial" w:eastAsia="Arial" w:hAnsi="Arial"/>
          <w:sz w:val="22"/>
          <w:szCs w:val="22"/>
          <w:color w:val="auto"/>
        </w:rPr>
        <w:t>”) is dated as of February 13, 2014, among KCCI, Ltd.</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KCCI</w:t>
      </w:r>
      <w:r>
        <w:rPr>
          <w:rFonts w:ascii="Arial" w:cs="Arial" w:eastAsia="Arial" w:hAnsi="Arial"/>
          <w:sz w:val="22"/>
          <w:szCs w:val="22"/>
          <w:color w:val="auto"/>
        </w:rPr>
        <w:t>”), Lampert Capital Markets, Inc. (“</w:t>
      </w:r>
      <w:r>
        <w:rPr>
          <w:rFonts w:ascii="Arial" w:cs="Arial" w:eastAsia="Arial" w:hAnsi="Arial"/>
          <w:sz w:val="22"/>
          <w:szCs w:val="22"/>
          <w:b w:val="1"/>
          <w:bCs w:val="1"/>
          <w:color w:val="auto"/>
        </w:rPr>
        <w:t>Lampert</w:t>
      </w:r>
      <w:r>
        <w:rPr>
          <w:rFonts w:ascii="Arial" w:cs="Arial" w:eastAsia="Arial" w:hAnsi="Arial"/>
          <w:sz w:val="22"/>
          <w:szCs w:val="22"/>
          <w:color w:val="auto"/>
        </w:rPr>
        <w:t>”), and ALLETE, Inc. (“</w:t>
      </w:r>
      <w:r>
        <w:rPr>
          <w:rFonts w:ascii="Arial" w:cs="Arial" w:eastAsia="Arial" w:hAnsi="Arial"/>
          <w:sz w:val="22"/>
          <w:szCs w:val="22"/>
          <w:b w:val="1"/>
          <w:bCs w:val="1"/>
          <w:color w:val="auto"/>
        </w:rPr>
        <w:t>ALLETE</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KCCI and ALLETE are parties to that certain Third Amended and Restated Distribution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August 3, 2012 (the “</w:t>
      </w:r>
      <w:r>
        <w:rPr>
          <w:rFonts w:ascii="Arial" w:cs="Arial" w:eastAsia="Arial" w:hAnsi="Arial"/>
          <w:sz w:val="19"/>
          <w:szCs w:val="19"/>
          <w:b w:val="1"/>
          <w:bCs w:val="1"/>
          <w:color w:val="auto"/>
        </w:rPr>
        <w:t>2012 Agreement</w:t>
      </w:r>
      <w:r>
        <w:rPr>
          <w:rFonts w:ascii="Arial" w:cs="Arial" w:eastAsia="Arial" w:hAnsi="Arial"/>
          <w:sz w:val="19"/>
          <w:szCs w:val="19"/>
          <w:color w:val="auto"/>
        </w:rPr>
        <w:t>”), as amended by Amendment No. 1 thereto dated August 5, 2013 (“</w:t>
      </w:r>
      <w:r>
        <w:rPr>
          <w:rFonts w:ascii="Arial" w:cs="Arial" w:eastAsia="Arial" w:hAnsi="Arial"/>
          <w:sz w:val="19"/>
          <w:szCs w:val="19"/>
          <w:b w:val="1"/>
          <w:bCs w:val="1"/>
          <w:color w:val="auto"/>
        </w:rPr>
        <w:t>Amendment No. 1”</w:t>
      </w:r>
      <w:r>
        <w:rPr>
          <w:rFonts w:ascii="Arial" w:cs="Arial" w:eastAsia="Arial" w:hAnsi="Arial"/>
          <w:sz w:val="19"/>
          <w:szCs w:val="19"/>
          <w:color w:val="auto"/>
        </w:rPr>
        <w:t>, and together with the 2012 Agreement, the “</w:t>
      </w:r>
      <w:r>
        <w:rPr>
          <w:rFonts w:ascii="Arial" w:cs="Arial" w:eastAsia="Arial" w:hAnsi="Arial"/>
          <w:sz w:val="19"/>
          <w:szCs w:val="19"/>
          <w:b w:val="1"/>
          <w:bCs w:val="1"/>
          <w:color w:val="auto"/>
        </w:rPr>
        <w:t>Third Amended and Restated Distribution Agreement</w:t>
      </w:r>
      <w:r>
        <w:rPr>
          <w:rFonts w:ascii="Arial" w:cs="Arial" w:eastAsia="Arial" w:hAnsi="Arial"/>
          <w:sz w:val="19"/>
          <w:szCs w:val="19"/>
          <w:color w:val="auto"/>
        </w:rPr>
        <w:t>”); and</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KCCI desires to assign all of its right, title and interest in, to and under the Third Amended and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Agreement to Lampert, and Lampert desires to accept the assignment of the Third Amended and Restated Distribution Agreement and assume all obligations of KCCI under the Third Amended and Restated Distribution Agreement in accordance with its terms; and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assignment and assumption of the Third Amended and Restated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parties wish to make certain amendments thereto;</w:t>
      </w:r>
    </w:p>
    <w:p>
      <w:pPr>
        <w:spacing w:after="0" w:line="162"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the mutual agreements herein set forth below and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adequacy of which are hereby acknowledged, the parties agree as follows:</w:t>
      </w:r>
    </w:p>
    <w:p>
      <w:pPr>
        <w:spacing w:after="0" w:line="98"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p>
    <w:p>
      <w:pPr>
        <w:spacing w:after="0" w:line="233" w:lineRule="exact"/>
        <w:rPr>
          <w:rFonts w:ascii="Arial" w:cs="Arial" w:eastAsia="Arial" w:hAnsi="Arial"/>
          <w:sz w:val="22"/>
          <w:szCs w:val="22"/>
          <w:color w:val="auto"/>
        </w:rPr>
      </w:pPr>
    </w:p>
    <w:p>
      <w:pPr>
        <w:ind w:firstLine="656"/>
        <w:spacing w:after="0" w:line="358" w:lineRule="auto"/>
        <w:tabs>
          <w:tab w:leader="none" w:pos="1085" w:val="left"/>
        </w:tabs>
        <w:numPr>
          <w:ilvl w:val="1"/>
          <w:numId w:val="38"/>
        </w:numPr>
        <w:rPr>
          <w:rFonts w:ascii="Arial" w:cs="Arial" w:eastAsia="Arial" w:hAnsi="Arial"/>
          <w:sz w:val="19"/>
          <w:szCs w:val="19"/>
          <w:color w:val="auto"/>
        </w:rPr>
      </w:pPr>
      <w:r>
        <w:rPr>
          <w:rFonts w:ascii="Arial" w:cs="Arial" w:eastAsia="Arial" w:hAnsi="Arial"/>
          <w:sz w:val="19"/>
          <w:szCs w:val="19"/>
          <w:color w:val="auto"/>
        </w:rPr>
        <w:t>KCCI hereby transfers, assigns and conveys to Lampert its entire right, title and interest in, to and under the Third Amended and Restated Distribution Agreement, subject to the terms and conditions thereof and of this Amendment No. 2.</w:t>
      </w:r>
    </w:p>
    <w:p>
      <w:pPr>
        <w:spacing w:after="0" w:line="90" w:lineRule="exact"/>
        <w:rPr>
          <w:rFonts w:ascii="Arial" w:cs="Arial" w:eastAsia="Arial" w:hAnsi="Arial"/>
          <w:sz w:val="19"/>
          <w:szCs w:val="19"/>
          <w:color w:val="auto"/>
        </w:rPr>
      </w:pPr>
    </w:p>
    <w:p>
      <w:pPr>
        <w:jc w:val="both"/>
        <w:ind w:firstLine="656"/>
        <w:spacing w:after="0" w:line="254" w:lineRule="auto"/>
        <w:tabs>
          <w:tab w:leader="none" w:pos="1004" w:val="left"/>
        </w:tabs>
        <w:numPr>
          <w:ilvl w:val="1"/>
          <w:numId w:val="38"/>
        </w:numPr>
        <w:rPr>
          <w:rFonts w:ascii="Arial" w:cs="Arial" w:eastAsia="Arial" w:hAnsi="Arial"/>
          <w:sz w:val="22"/>
          <w:szCs w:val="22"/>
          <w:color w:val="auto"/>
        </w:rPr>
      </w:pPr>
      <w:r>
        <w:rPr>
          <w:rFonts w:ascii="Arial" w:cs="Arial" w:eastAsia="Arial" w:hAnsi="Arial"/>
          <w:sz w:val="22"/>
          <w:szCs w:val="22"/>
          <w:color w:val="auto"/>
        </w:rPr>
        <w:t>Lampert hereby accepts the assignment of KCCI’s interest in the Third Amended and Restated Distribution Agreement, assumes all of the obligations of KCCI under the Third Amended and Restated Distribution Agreement and agrees to be bound by and to perform all of the terms and conditions contained in the Third Amended and Restated Distribution Agreement on the part of the KCCI to be performed from and after the date hereof.</w:t>
      </w:r>
    </w:p>
    <w:p>
      <w:pPr>
        <w:spacing w:after="0" w:line="185"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Amendments</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31" w:val="left"/>
        </w:tabs>
        <w:numPr>
          <w:ilvl w:val="1"/>
          <w:numId w:val="39"/>
        </w:numPr>
        <w:rPr>
          <w:rFonts w:ascii="Arial" w:cs="Arial" w:eastAsia="Arial" w:hAnsi="Arial"/>
          <w:sz w:val="22"/>
          <w:szCs w:val="22"/>
          <w:color w:val="auto"/>
        </w:rPr>
      </w:pPr>
      <w:r>
        <w:rPr>
          <w:rFonts w:ascii="Arial" w:cs="Arial" w:eastAsia="Arial" w:hAnsi="Arial"/>
          <w:sz w:val="22"/>
          <w:szCs w:val="22"/>
          <w:color w:val="auto"/>
        </w:rPr>
        <w:t>All references in the Third Amended Distribution Agreement to “this Agreement” (including similar references in the 2012 Agreement such as “herein”) shall now mean the Third Amended Distribution Agreement, as amended by this Amendment No. 2.</w:t>
      </w:r>
    </w:p>
    <w:p>
      <w:pPr>
        <w:spacing w:after="0" w:line="177" w:lineRule="exact"/>
        <w:rPr>
          <w:rFonts w:ascii="Arial" w:cs="Arial" w:eastAsia="Arial" w:hAnsi="Arial"/>
          <w:sz w:val="22"/>
          <w:szCs w:val="22"/>
          <w:color w:val="auto"/>
        </w:rPr>
      </w:pPr>
    </w:p>
    <w:p>
      <w:pPr>
        <w:ind w:right="20" w:firstLine="656"/>
        <w:spacing w:after="0" w:line="276" w:lineRule="auto"/>
        <w:tabs>
          <w:tab w:leader="none" w:pos="1071" w:val="left"/>
        </w:tabs>
        <w:numPr>
          <w:ilvl w:val="1"/>
          <w:numId w:val="39"/>
        </w:numPr>
        <w:rPr>
          <w:rFonts w:ascii="Arial" w:cs="Arial" w:eastAsia="Arial" w:hAnsi="Arial"/>
          <w:sz w:val="22"/>
          <w:szCs w:val="22"/>
          <w:color w:val="auto"/>
        </w:rPr>
      </w:pPr>
      <w:r>
        <w:rPr>
          <w:rFonts w:ascii="Arial" w:cs="Arial" w:eastAsia="Arial" w:hAnsi="Arial"/>
          <w:sz w:val="22"/>
          <w:szCs w:val="22"/>
          <w:color w:val="auto"/>
        </w:rPr>
        <w:t>All references in the Third Amended Distribution Agreement to “KCCI, Ltd.”, “KCCI” or “you” shall now refer to Lampert, as successor agent to KCCI.</w:t>
      </w:r>
    </w:p>
    <w:p>
      <w:pPr>
        <w:sectPr>
          <w:pgSz w:w="11900" w:h="16838" w:orient="portrait"/>
          <w:cols w:equalWidth="0" w:num="1">
            <w:col w:w="11420"/>
          </w:cols>
          <w:pgMar w:left="240" w:top="364" w:right="239" w:bottom="1440" w:gutter="0" w:footer="0" w:header="0"/>
        </w:sectPr>
      </w:pPr>
    </w:p>
    <w:bookmarkStart w:id="119" w:name="page120"/>
    <w:bookmarkEnd w:id="119"/>
    <w:p>
      <w:pPr>
        <w:ind w:firstLine="656"/>
        <w:spacing w:after="0" w:line="358" w:lineRule="auto"/>
        <w:tabs>
          <w:tab w:leader="none" w:pos="104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second paragraph of the 2012 Agreement, as amended by Amendment No. 1, is further amended by deleting the reference to “4,209,282 Shares” in the definition of “Remaining Shares” and replacing it with “3,147,753 Shares”.</w:t>
      </w:r>
    </w:p>
    <w:p>
      <w:pPr>
        <w:spacing w:after="0" w:line="90" w:lineRule="exact"/>
        <w:rPr>
          <w:rFonts w:ascii="Arial" w:cs="Arial" w:eastAsia="Arial" w:hAnsi="Arial"/>
          <w:sz w:val="19"/>
          <w:szCs w:val="19"/>
          <w:color w:val="auto"/>
        </w:rPr>
      </w:pPr>
    </w:p>
    <w:p>
      <w:pPr>
        <w:ind w:left="1000" w:hanging="344"/>
        <w:spacing w:after="0"/>
        <w:tabs>
          <w:tab w:leader="none" w:pos="10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third paragraph of the 2012 Agreement, as amended by Amendment No. 1, is further amended as follows:</w:t>
      </w:r>
    </w:p>
    <w:p>
      <w:pPr>
        <w:spacing w:after="0" w:line="244" w:lineRule="exact"/>
        <w:rPr>
          <w:rFonts w:ascii="Arial" w:cs="Arial" w:eastAsia="Arial" w:hAnsi="Arial"/>
          <w:sz w:val="21"/>
          <w:szCs w:val="21"/>
          <w:color w:val="auto"/>
        </w:rPr>
      </w:pPr>
    </w:p>
    <w:p>
      <w:pPr>
        <w:ind w:left="660" w:right="20" w:firstLine="648"/>
        <w:spacing w:after="0" w:line="276" w:lineRule="auto"/>
        <w:rPr>
          <w:rFonts w:ascii="Arial" w:cs="Arial" w:eastAsia="Arial" w:hAnsi="Arial"/>
          <w:sz w:val="21"/>
          <w:szCs w:val="21"/>
          <w:color w:val="auto"/>
        </w:rPr>
      </w:pPr>
      <w:r>
        <w:rPr>
          <w:rFonts w:ascii="Arial" w:cs="Arial" w:eastAsia="Arial" w:hAnsi="Arial"/>
          <w:sz w:val="22"/>
          <w:szCs w:val="22"/>
          <w:color w:val="auto"/>
        </w:rPr>
        <w:t>a. by deleting the reference to “the prospectus supplement, dated August 5, 2013” in the definition of “Prospectus Supplement” and replacing it with “the prospectus supplement, to be dated February 18, 2014”.</w:t>
      </w:r>
    </w:p>
    <w:p>
      <w:pPr>
        <w:spacing w:after="0" w:line="160" w:lineRule="exact"/>
        <w:rPr>
          <w:rFonts w:ascii="Arial" w:cs="Arial" w:eastAsia="Arial" w:hAnsi="Arial"/>
          <w:sz w:val="21"/>
          <w:szCs w:val="21"/>
          <w:color w:val="auto"/>
        </w:rPr>
      </w:pPr>
    </w:p>
    <w:p>
      <w:pPr>
        <w:ind w:left="1000" w:hanging="344"/>
        <w:spacing w:after="0"/>
        <w:tabs>
          <w:tab w:leader="none" w:pos="10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Section 3(b) of the 2012 Agreement, as amended by Amendment No. 1, is amended and restated as follows:</w:t>
      </w:r>
    </w:p>
    <w:p>
      <w:pPr>
        <w:spacing w:after="0" w:line="245"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Prior to the execution of this Agreement, the Company has not, directly or indirectly, offered or sold the Shares contemplated by the Prior Distribution Agreement or this Agreement by means of any “prospectus” (within the meaning of the Act) or used any “prospectus” (within the meaning of the Act) in connection with the offer and sale of the Shares, in each case other than (i) the Prospectus, (ii) the Company’s prospectus supplement, dated February 19, 2008 and accompanying prospectus dated December 10, 2007, (iii) the Company’s prospectus supplement, dated February 27, 2009 and accompanying prospectus dated December 10, 2007, (iv) the Company’s prospectus supplement, dated February 18, 2011 and accompanying prospectus dated November 2, 2010, (v) the Company’s prospectus supplement, dated August 3, 2012 and accompanying prospectus dated November 2, 2010 and (vi) the Company’s prospectus supplement, dated August 5, 2013 and accompanying prospectus dated August 2, 2013 (the documents specified in clauses (ii) through (vi), collectively, the “</w:t>
      </w:r>
      <w:r>
        <w:rPr>
          <w:rFonts w:ascii="Arial" w:cs="Arial" w:eastAsia="Arial" w:hAnsi="Arial"/>
          <w:sz w:val="19"/>
          <w:szCs w:val="19"/>
          <w:b w:val="1"/>
          <w:bCs w:val="1"/>
          <w:color w:val="auto"/>
        </w:rPr>
        <w:t>Prior Prospectuses</w:t>
      </w:r>
      <w:r>
        <w:rPr>
          <w:rFonts w:ascii="Arial" w:cs="Arial" w:eastAsia="Arial" w:hAnsi="Arial"/>
          <w:sz w:val="19"/>
          <w:szCs w:val="19"/>
          <w:color w:val="auto"/>
        </w:rPr>
        <w:t>”); the Company has not, directly or indirectly, prepared, used or referred to any Permitted Free Writing Prospectus except in compliance with Rules 164 and 433 under the Act in connection with the offer and sale of the Shares; and the Company is not an “</w:t>
      </w:r>
      <w:r>
        <w:rPr>
          <w:rFonts w:ascii="Arial" w:cs="Arial" w:eastAsia="Arial" w:hAnsi="Arial"/>
          <w:sz w:val="19"/>
          <w:szCs w:val="19"/>
          <w:b w:val="1"/>
          <w:bCs w:val="1"/>
          <w:color w:val="auto"/>
        </w:rPr>
        <w:t>ineligible issuer</w:t>
      </w:r>
      <w:r>
        <w:rPr>
          <w:rFonts w:ascii="Arial" w:cs="Arial" w:eastAsia="Arial" w:hAnsi="Arial"/>
          <w:sz w:val="19"/>
          <w:szCs w:val="19"/>
          <w:color w:val="auto"/>
        </w:rPr>
        <w:t>” (as defined in Rule 405 under the Act) as of the eligibility determination date for purposes of Rules 164 and 433 under the Act with respect to the offering of the Remaining Shares contemplated by the Registration Statement.</w:t>
      </w:r>
    </w:p>
    <w:p>
      <w:pPr>
        <w:spacing w:after="0" w:line="200" w:lineRule="exact"/>
        <w:rPr>
          <w:sz w:val="20"/>
          <w:szCs w:val="20"/>
          <w:color w:val="auto"/>
        </w:rPr>
      </w:pPr>
    </w:p>
    <w:p>
      <w:pPr>
        <w:spacing w:after="0" w:line="224" w:lineRule="exact"/>
        <w:rPr>
          <w:sz w:val="20"/>
          <w:szCs w:val="20"/>
          <w:color w:val="auto"/>
        </w:rPr>
      </w:pPr>
    </w:p>
    <w:p>
      <w:pPr>
        <w:jc w:val="both"/>
        <w:ind w:firstLine="656"/>
        <w:spacing w:after="0" w:line="260" w:lineRule="auto"/>
        <w:tabs>
          <w:tab w:leader="none" w:pos="1112" w:val="left"/>
        </w:tabs>
        <w:numPr>
          <w:ilvl w:val="1"/>
          <w:numId w:val="41"/>
        </w:numPr>
        <w:rPr>
          <w:rFonts w:ascii="Arial" w:cs="Arial" w:eastAsia="Arial" w:hAnsi="Arial"/>
          <w:sz w:val="22"/>
          <w:szCs w:val="22"/>
          <w:color w:val="auto"/>
        </w:rPr>
      </w:pPr>
      <w:r>
        <w:rPr>
          <w:rFonts w:ascii="Arial" w:cs="Arial" w:eastAsia="Arial" w:hAnsi="Arial"/>
          <w:sz w:val="22"/>
          <w:szCs w:val="22"/>
          <w:color w:val="auto"/>
        </w:rPr>
        <w:t>Exhibits A, B, C and D to the 2012 Agreement, as amended by Amendment No. 1, are each amended to include references to this Amendment No. 2 and to make the other changes set forth therein, and are restated and set forth in their entirety as Exhibits A, B, C and D, respectively, to Amendment No. 2.</w:t>
      </w:r>
    </w:p>
    <w:p>
      <w:pPr>
        <w:spacing w:after="0" w:line="177" w:lineRule="exact"/>
        <w:rPr>
          <w:rFonts w:ascii="Arial" w:cs="Arial" w:eastAsia="Arial" w:hAnsi="Arial"/>
          <w:sz w:val="22"/>
          <w:szCs w:val="22"/>
          <w:color w:val="auto"/>
        </w:rPr>
      </w:pPr>
    </w:p>
    <w:p>
      <w:pPr>
        <w:ind w:left="460" w:hanging="452"/>
        <w:spacing w:after="0"/>
        <w:tabs>
          <w:tab w:leader="none" w:pos="4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Governing Law; Construction</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AMENDMENT NO. 2 SHALL BE GOVERNED BY, INTERPRETED UNDER AND CONSTRUED IN ACCORDANCE WITH THE INTERNAL LAWS OF THE STATE OF NEW YORK APPLICABLE TO AGREEMENTS MADE AND TO BE PERFORMED WITHIN THE STATE OF NEW YORK WITHOUT GIVING EFFECT TO PRINCIPLES OF CONFLICTS OF LAWS THEREOF. The Section headings in this Amendment No. 2 have been inserted as a matter of convenience of reference and are not a part of this Amendment No. 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20" w:name="page121"/>
    <w:bookmarkEnd w:id="120"/>
    <w:p>
      <w:pPr>
        <w:spacing w:after="0"/>
        <w:tabs>
          <w:tab w:leader="none" w:pos="4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u w:val="single" w:color="auto"/>
          <w:color w:val="auto"/>
        </w:rPr>
        <w:t>Counterparts</w:t>
      </w:r>
    </w:p>
    <w:p>
      <w:pPr>
        <w:spacing w:after="0" w:line="233"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This Amendment No. 2 may be signed in counterparts (which may include counterparts delivered by any standard form of telecommunication), each of which shall be an original and all of which together shall constitute one and the same instrument.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signed this Amendment No. 2 as of the date first written above.</w:t>
      </w:r>
    </w:p>
    <w:p>
      <w:pPr>
        <w:spacing w:after="0" w:line="200" w:lineRule="exact"/>
        <w:rPr>
          <w:sz w:val="20"/>
          <w:szCs w:val="20"/>
          <w:color w:val="auto"/>
        </w:rPr>
      </w:pPr>
    </w:p>
    <w:p>
      <w:pPr>
        <w:spacing w:after="0" w:line="236" w:lineRule="exact"/>
        <w:rPr>
          <w:sz w:val="20"/>
          <w:szCs w:val="20"/>
          <w:color w:val="auto"/>
        </w:rPr>
      </w:pPr>
    </w:p>
    <w:p>
      <w:pPr>
        <w:spacing w:after="0"/>
        <w:tabs>
          <w:tab w:leader="none" w:pos="2220" w:val="left"/>
        </w:tabs>
        <w:rPr>
          <w:sz w:val="20"/>
          <w:szCs w:val="20"/>
          <w:color w:val="auto"/>
        </w:rPr>
      </w:pPr>
      <w:r>
        <w:rPr>
          <w:rFonts w:ascii="Arial" w:cs="Arial" w:eastAsia="Arial" w:hAnsi="Arial"/>
          <w:sz w:val="22"/>
          <w:szCs w:val="22"/>
          <w:color w:val="auto"/>
        </w:rPr>
        <w:t>KCCI, Ltd.</w:t>
      </w:r>
      <w:r>
        <w:rPr>
          <w:sz w:val="20"/>
          <w:szCs w:val="20"/>
          <w:color w:val="auto"/>
        </w:rPr>
        <w:tab/>
      </w:r>
      <w:r>
        <w:rPr>
          <w:rFonts w:ascii="Arial" w:cs="Arial" w:eastAsia="Arial" w:hAnsi="Arial"/>
          <w:sz w:val="21"/>
          <w:szCs w:val="21"/>
          <w:color w:val="auto"/>
        </w:rPr>
        <w:t>ALLETE, Inc.</w:t>
      </w:r>
    </w:p>
    <w:p>
      <w:pPr>
        <w:spacing w:after="0" w:line="200" w:lineRule="exact"/>
        <w:rPr>
          <w:sz w:val="20"/>
          <w:szCs w:val="20"/>
          <w:color w:val="auto"/>
        </w:rPr>
      </w:pPr>
    </w:p>
    <w:p>
      <w:pPr>
        <w:spacing w:after="0" w:line="388" w:lineRule="exact"/>
        <w:rPr>
          <w:sz w:val="20"/>
          <w:szCs w:val="20"/>
          <w:color w:val="auto"/>
        </w:rPr>
      </w:pPr>
    </w:p>
    <w:tbl>
      <w:tblPr>
        <w:tblLayout w:type="fixed"/>
        <w:tblInd w:w="522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80" w:type="dxa"/>
            <w:vAlign w:val="bottom"/>
          </w:tcPr>
          <w:p>
            <w:pPr>
              <w:ind w:left="20"/>
              <w:spacing w:after="0"/>
              <w:rPr>
                <w:sz w:val="20"/>
                <w:szCs w:val="20"/>
                <w:color w:val="auto"/>
              </w:rPr>
            </w:pPr>
            <w:r>
              <w:rPr>
                <w:rFonts w:ascii="Arial" w:cs="Arial" w:eastAsia="Arial" w:hAnsi="Arial"/>
                <w:sz w:val="22"/>
                <w:szCs w:val="22"/>
                <w:color w:val="auto"/>
              </w:rPr>
              <w:t>/s/ Mark A.</w:t>
            </w:r>
          </w:p>
        </w:tc>
      </w:tr>
      <w:tr>
        <w:trPr>
          <w:trHeight w:val="285"/>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17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w w:val="99"/>
              </w:rPr>
              <w:t>/s/ Mark Nauman</w:t>
            </w:r>
          </w:p>
        </w:tc>
        <w:tc>
          <w:tcPr>
            <w:tcW w:w="2100" w:type="dxa"/>
            <w:vAlign w:val="bottom"/>
          </w:tcPr>
          <w:p>
            <w:pPr>
              <w:ind w:left="1380"/>
              <w:spacing w:after="0"/>
              <w:rPr>
                <w:sz w:val="20"/>
                <w:szCs w:val="20"/>
                <w:color w:val="auto"/>
              </w:rPr>
            </w:pPr>
            <w:r>
              <w:rPr>
                <w:rFonts w:ascii="Arial" w:cs="Arial" w:eastAsia="Arial" w:hAnsi="Arial"/>
                <w:sz w:val="22"/>
                <w:szCs w:val="22"/>
                <w:color w:val="auto"/>
              </w:rPr>
              <w:t>By:</w:t>
            </w: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Schober</w:t>
            </w:r>
          </w:p>
        </w:tc>
      </w:tr>
      <w:tr>
        <w:trPr>
          <w:trHeight w:val="280"/>
        </w:trPr>
        <w:tc>
          <w:tcPr>
            <w:tcW w:w="2320" w:type="dxa"/>
            <w:vAlign w:val="bottom"/>
            <w:gridSpan w:val="2"/>
          </w:tcPr>
          <w:p>
            <w:pPr>
              <w:spacing w:after="0"/>
              <w:rPr>
                <w:sz w:val="20"/>
                <w:szCs w:val="20"/>
                <w:color w:val="auto"/>
              </w:rPr>
            </w:pPr>
            <w:r>
              <w:rPr>
                <w:rFonts w:ascii="Arial" w:cs="Arial" w:eastAsia="Arial" w:hAnsi="Arial"/>
                <w:sz w:val="22"/>
                <w:szCs w:val="22"/>
                <w:color w:val="auto"/>
              </w:rPr>
              <w:t>Name: Mark Nauman</w:t>
            </w:r>
          </w:p>
        </w:tc>
        <w:tc>
          <w:tcPr>
            <w:tcW w:w="2100" w:type="dxa"/>
            <w:vAlign w:val="bottom"/>
          </w:tcPr>
          <w:p>
            <w:pPr>
              <w:ind w:left="1380"/>
              <w:spacing w:after="0"/>
              <w:rPr>
                <w:sz w:val="20"/>
                <w:szCs w:val="20"/>
                <w:color w:val="auto"/>
              </w:rPr>
            </w:pPr>
            <w:r>
              <w:rPr>
                <w:rFonts w:ascii="Arial" w:cs="Arial" w:eastAsia="Arial" w:hAnsi="Arial"/>
                <w:sz w:val="22"/>
                <w:szCs w:val="22"/>
                <w:color w:val="auto"/>
              </w:rPr>
              <w:t>Name:</w:t>
            </w:r>
          </w:p>
        </w:tc>
        <w:tc>
          <w:tcPr>
            <w:tcW w:w="1780" w:type="dxa"/>
            <w:vAlign w:val="bottom"/>
          </w:tcPr>
          <w:p>
            <w:pPr>
              <w:ind w:left="20"/>
              <w:spacing w:after="0"/>
              <w:rPr>
                <w:sz w:val="20"/>
                <w:szCs w:val="20"/>
                <w:color w:val="auto"/>
              </w:rPr>
            </w:pPr>
            <w:r>
              <w:rPr>
                <w:rFonts w:ascii="Arial" w:cs="Arial" w:eastAsia="Arial" w:hAnsi="Arial"/>
                <w:sz w:val="22"/>
                <w:szCs w:val="22"/>
                <w:color w:val="auto"/>
              </w:rPr>
              <w:t>Mark A. Schober</w:t>
            </w:r>
          </w:p>
        </w:tc>
      </w:tr>
      <w:tr>
        <w:trPr>
          <w:trHeight w:val="266"/>
        </w:trPr>
        <w:tc>
          <w:tcPr>
            <w:tcW w:w="600" w:type="dxa"/>
            <w:vAlign w:val="bottom"/>
          </w:tcPr>
          <w:p>
            <w:pPr>
              <w:spacing w:after="0"/>
              <w:rPr>
                <w:sz w:val="20"/>
                <w:szCs w:val="20"/>
                <w:color w:val="auto"/>
              </w:rPr>
            </w:pPr>
            <w:r>
              <w:rPr>
                <w:rFonts w:ascii="Arial" w:cs="Arial" w:eastAsia="Arial" w:hAnsi="Arial"/>
                <w:sz w:val="22"/>
                <w:szCs w:val="22"/>
                <w:color w:val="auto"/>
              </w:rPr>
              <w:t>Title:</w:t>
            </w:r>
          </w:p>
        </w:tc>
        <w:tc>
          <w:tcPr>
            <w:tcW w:w="1720" w:type="dxa"/>
            <w:vAlign w:val="bottom"/>
          </w:tcPr>
          <w:p>
            <w:pPr>
              <w:ind w:left="40"/>
              <w:spacing w:after="0"/>
              <w:rPr>
                <w:sz w:val="20"/>
                <w:szCs w:val="20"/>
                <w:color w:val="auto"/>
              </w:rPr>
            </w:pPr>
            <w:r>
              <w:rPr>
                <w:rFonts w:ascii="Arial" w:cs="Arial" w:eastAsia="Arial" w:hAnsi="Arial"/>
                <w:sz w:val="22"/>
                <w:szCs w:val="22"/>
                <w:color w:val="auto"/>
              </w:rPr>
              <w:t>President</w:t>
            </w:r>
          </w:p>
        </w:tc>
        <w:tc>
          <w:tcPr>
            <w:tcW w:w="2100" w:type="dxa"/>
            <w:vAlign w:val="bottom"/>
          </w:tcPr>
          <w:p>
            <w:pPr>
              <w:ind w:left="1380"/>
              <w:spacing w:after="0"/>
              <w:rPr>
                <w:sz w:val="20"/>
                <w:szCs w:val="20"/>
                <w:color w:val="auto"/>
              </w:rPr>
            </w:pPr>
            <w:r>
              <w:rPr>
                <w:rFonts w:ascii="Arial" w:cs="Arial" w:eastAsia="Arial" w:hAnsi="Arial"/>
                <w:sz w:val="22"/>
                <w:szCs w:val="22"/>
                <w:color w:val="auto"/>
              </w:rPr>
              <w:t>Title:</w:t>
            </w:r>
          </w:p>
        </w:tc>
        <w:tc>
          <w:tcPr>
            <w:tcW w:w="1780" w:type="dxa"/>
            <w:vAlign w:val="bottom"/>
          </w:tcPr>
          <w:p>
            <w:pPr>
              <w:ind w:left="20"/>
              <w:spacing w:after="0"/>
              <w:rPr>
                <w:sz w:val="20"/>
                <w:szCs w:val="20"/>
                <w:color w:val="auto"/>
              </w:rPr>
            </w:pPr>
            <w:r>
              <w:rPr>
                <w:rFonts w:ascii="Arial" w:cs="Arial" w:eastAsia="Arial" w:hAnsi="Arial"/>
                <w:sz w:val="22"/>
                <w:szCs w:val="22"/>
                <w:color w:val="auto"/>
              </w:rPr>
              <w:t>Senior Vice</w:t>
            </w:r>
          </w:p>
        </w:tc>
      </w:tr>
      <w:tr>
        <w:trPr>
          <w:trHeight w:val="243"/>
        </w:trPr>
        <w:tc>
          <w:tcPr>
            <w:tcW w:w="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80" w:type="dxa"/>
            <w:vAlign w:val="bottom"/>
          </w:tcPr>
          <w:p>
            <w:pPr>
              <w:ind w:left="20"/>
              <w:spacing w:after="0" w:line="243" w:lineRule="exact"/>
              <w:rPr>
                <w:sz w:val="20"/>
                <w:szCs w:val="20"/>
                <w:color w:val="auto"/>
              </w:rPr>
            </w:pPr>
            <w:r>
              <w:rPr>
                <w:rFonts w:ascii="Arial" w:cs="Arial" w:eastAsia="Arial" w:hAnsi="Arial"/>
                <w:sz w:val="22"/>
                <w:szCs w:val="22"/>
                <w:color w:val="auto"/>
              </w:rPr>
              <w:t>President and</w:t>
            </w:r>
          </w:p>
        </w:tc>
      </w:tr>
      <w:tr>
        <w:trPr>
          <w:trHeight w:val="243"/>
        </w:trPr>
        <w:tc>
          <w:tcPr>
            <w:tcW w:w="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80" w:type="dxa"/>
            <w:vAlign w:val="bottom"/>
          </w:tcPr>
          <w:p>
            <w:pPr>
              <w:ind w:left="20"/>
              <w:spacing w:after="0" w:line="243" w:lineRule="exact"/>
              <w:rPr>
                <w:sz w:val="20"/>
                <w:szCs w:val="20"/>
                <w:color w:val="auto"/>
              </w:rPr>
            </w:pPr>
            <w:r>
              <w:rPr>
                <w:rFonts w:ascii="Arial" w:cs="Arial" w:eastAsia="Arial" w:hAnsi="Arial"/>
                <w:sz w:val="22"/>
                <w:szCs w:val="22"/>
                <w:color w:val="auto"/>
              </w:rPr>
              <w:t>Chief Financial</w:t>
            </w:r>
          </w:p>
        </w:tc>
      </w:tr>
      <w:tr>
        <w:trPr>
          <w:trHeight w:val="275"/>
        </w:trPr>
        <w:tc>
          <w:tcPr>
            <w:tcW w:w="6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Lampert Capital Markets, Inc.</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/s/ Eric</w:t>
      </w:r>
    </w:p>
    <w:p>
      <w:pPr>
        <w:spacing w:after="0" w:line="8"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22"/>
          <w:szCs w:val="22"/>
          <w:color w:val="auto"/>
        </w:rPr>
        <w:t>By:</w:t>
        <w:tab/>
        <w:t>Schweitzer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13335</wp:posOffset>
            </wp:positionV>
            <wp:extent cx="909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Eric Schweitzer</w:t>
      </w:r>
    </w:p>
    <w:p>
      <w:pPr>
        <w:spacing w:after="0" w:line="44"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21" w:name="page122"/>
    <w:bookmarkEnd w:id="121"/>
    <w:p>
      <w:pPr>
        <w:jc w:val="right"/>
        <w:ind w:right="1339"/>
        <w:spacing w:after="0"/>
        <w:rPr>
          <w:sz w:val="20"/>
          <w:szCs w:val="20"/>
          <w:color w:val="auto"/>
        </w:rPr>
      </w:pPr>
      <w:r>
        <w:rPr>
          <w:rFonts w:ascii="Arial" w:cs="Arial" w:eastAsia="Arial" w:hAnsi="Arial"/>
          <w:sz w:val="20"/>
          <w:szCs w:val="20"/>
          <w:b w:val="1"/>
          <w:bCs w:val="1"/>
          <w:color w:val="auto"/>
        </w:rPr>
        <w:t>Exhibit 4(c)3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SUPERIOR WATER, LIGHT AND POWER COMPANY</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2915 Hill Avenue, Superior, WI 54880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U.S. BANK NATIONAL ASSOCIATION</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(formerly First Bank (N.A.))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Trustee Under Superior Water, Light and Power</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Company's Mortgage and Deed of Trust,</w:t>
      </w:r>
    </w:p>
    <w:p>
      <w:pPr>
        <w:jc w:val="center"/>
        <w:ind w:right="-1200"/>
        <w:spacing w:after="0"/>
        <w:rPr>
          <w:sz w:val="20"/>
          <w:szCs w:val="20"/>
          <w:color w:val="auto"/>
        </w:rPr>
      </w:pPr>
      <w:r>
        <w:rPr>
          <w:rFonts w:ascii="Arial" w:cs="Arial" w:eastAsia="Arial" w:hAnsi="Arial"/>
          <w:sz w:val="20"/>
          <w:szCs w:val="20"/>
          <w:color w:val="auto"/>
        </w:rPr>
        <w:t>Dated as of March 1, 1943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TWELFTH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Dated as of December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This instrument drafted 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Chapman and Cutler LLP</w:t>
      </w:r>
    </w:p>
    <w:p>
      <w:pPr>
        <w:spacing w:after="0"/>
        <w:rPr>
          <w:sz w:val="20"/>
          <w:szCs w:val="20"/>
          <w:color w:val="auto"/>
        </w:rPr>
      </w:pPr>
      <w:r>
        <w:rPr>
          <w:rFonts w:ascii="Arial" w:cs="Arial" w:eastAsia="Arial" w:hAnsi="Arial"/>
          <w:sz w:val="20"/>
          <w:szCs w:val="20"/>
          <w:color w:val="auto"/>
        </w:rPr>
        <w:t>Chicago, IL</w:t>
      </w:r>
    </w:p>
    <w:p>
      <w:pPr>
        <w:sectPr>
          <w:pgSz w:w="11900" w:h="16838" w:orient="portrait"/>
          <w:cols w:equalWidth="0" w:num="1">
            <w:col w:w="10219"/>
          </w:cols>
          <w:pgMar w:left="240" w:top="116" w:right="1440"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20"/>
          <w:szCs w:val="20"/>
          <w:b w:val="1"/>
          <w:bCs w:val="1"/>
          <w:color w:val="auto"/>
        </w:rPr>
        <w:t>TABLE OF CONTENTS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1700" w:type="dxa"/>
            <w:vAlign w:val="bottom"/>
          </w:tcPr>
          <w:p>
            <w:pPr>
              <w:spacing w:after="0"/>
              <w:rPr>
                <w:sz w:val="20"/>
                <w:szCs w:val="20"/>
                <w:color w:val="auto"/>
              </w:rPr>
            </w:pPr>
            <w:r>
              <w:rPr>
                <w:rFonts w:ascii="Arial" w:cs="Arial" w:eastAsia="Arial" w:hAnsi="Arial"/>
                <w:sz w:val="20"/>
                <w:szCs w:val="20"/>
                <w:color w:val="auto"/>
              </w:rPr>
              <w:t>S</w:t>
            </w:r>
            <w:r>
              <w:rPr>
                <w:rFonts w:ascii="Arial" w:cs="Arial" w:eastAsia="Arial" w:hAnsi="Arial"/>
                <w:sz w:val="16"/>
                <w:szCs w:val="16"/>
                <w:color w:val="auto"/>
              </w:rPr>
              <w:t>ECTION</w:t>
            </w:r>
          </w:p>
        </w:tc>
        <w:tc>
          <w:tcPr>
            <w:tcW w:w="3760" w:type="dxa"/>
            <w:vAlign w:val="bottom"/>
          </w:tcPr>
          <w:p>
            <w:pPr>
              <w:spacing w:after="0"/>
              <w:rPr>
                <w:sz w:val="21"/>
                <w:szCs w:val="21"/>
                <w:color w:val="auto"/>
              </w:rPr>
            </w:pPr>
          </w:p>
        </w:tc>
        <w:tc>
          <w:tcPr>
            <w:tcW w:w="3280" w:type="dxa"/>
            <w:vAlign w:val="bottom"/>
          </w:tcPr>
          <w:p>
            <w:pPr>
              <w:ind w:left="440"/>
              <w:spacing w:after="0"/>
              <w:rPr>
                <w:sz w:val="20"/>
                <w:szCs w:val="20"/>
                <w:color w:val="auto"/>
              </w:rPr>
            </w:pPr>
            <w:r>
              <w:rPr>
                <w:rFonts w:ascii="Arial" w:cs="Arial" w:eastAsia="Arial" w:hAnsi="Arial"/>
                <w:sz w:val="20"/>
                <w:szCs w:val="20"/>
                <w:color w:val="auto"/>
              </w:rPr>
              <w:t>H</w:t>
            </w:r>
            <w:r>
              <w:rPr>
                <w:rFonts w:ascii="Arial" w:cs="Arial" w:eastAsia="Arial" w:hAnsi="Arial"/>
                <w:sz w:val="16"/>
                <w:szCs w:val="16"/>
                <w:color w:val="auto"/>
              </w:rPr>
              <w:t>EADING</w:t>
            </w:r>
          </w:p>
        </w:tc>
        <w:tc>
          <w:tcPr>
            <w:tcW w:w="25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Parties</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Recitals</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ARTICLE I</w:t>
            </w:r>
          </w:p>
        </w:tc>
        <w:tc>
          <w:tcPr>
            <w:tcW w:w="3760" w:type="dxa"/>
            <w:vAlign w:val="bottom"/>
          </w:tcPr>
          <w:p>
            <w:pPr>
              <w:ind w:left="140"/>
              <w:spacing w:after="0"/>
              <w:rPr>
                <w:sz w:val="20"/>
                <w:szCs w:val="20"/>
                <w:color w:val="auto"/>
              </w:rPr>
            </w:pPr>
            <w:r>
              <w:rPr>
                <w:rFonts w:ascii="Arial" w:cs="Arial" w:eastAsia="Arial" w:hAnsi="Arial"/>
                <w:sz w:val="20"/>
                <w:szCs w:val="20"/>
                <w:color w:val="auto"/>
              </w:rPr>
              <w:t>BONDS OF THE ELEVENTH SERIES</w:t>
            </w: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1.1</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ARTICLE II</w:t>
            </w:r>
          </w:p>
        </w:tc>
        <w:tc>
          <w:tcPr>
            <w:tcW w:w="3760" w:type="dxa"/>
            <w:vAlign w:val="bottom"/>
          </w:tcPr>
          <w:p>
            <w:pPr>
              <w:ind w:left="140"/>
              <w:spacing w:after="0"/>
              <w:rPr>
                <w:sz w:val="20"/>
                <w:szCs w:val="20"/>
                <w:color w:val="auto"/>
              </w:rPr>
            </w:pPr>
            <w:r>
              <w:rPr>
                <w:rFonts w:ascii="Arial" w:cs="Arial" w:eastAsia="Arial" w:hAnsi="Arial"/>
                <w:sz w:val="20"/>
                <w:szCs w:val="20"/>
                <w:color w:val="auto"/>
              </w:rPr>
              <w:t>COVENANTS AND RESTRICTIONS.</w:t>
            </w: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2.1</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2.2</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2.3</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2.4</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2.5</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ARTICLE III</w:t>
            </w:r>
          </w:p>
        </w:tc>
        <w:tc>
          <w:tcPr>
            <w:tcW w:w="3760" w:type="dxa"/>
            <w:vAlign w:val="bottom"/>
          </w:tcPr>
          <w:p>
            <w:pPr>
              <w:ind w:left="140"/>
              <w:spacing w:after="0"/>
              <w:rPr>
                <w:sz w:val="20"/>
                <w:szCs w:val="20"/>
                <w:color w:val="auto"/>
              </w:rPr>
            </w:pPr>
            <w:r>
              <w:rPr>
                <w:rFonts w:ascii="Arial" w:cs="Arial" w:eastAsia="Arial" w:hAnsi="Arial"/>
                <w:sz w:val="20"/>
                <w:szCs w:val="20"/>
                <w:color w:val="auto"/>
              </w:rPr>
              <w:t>MISCELLANEOUS PROVISIONS</w:t>
            </w: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3.1</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3.2</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3.3</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3.4</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3.5</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3.6</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700" w:type="dxa"/>
            <w:vAlign w:val="bottom"/>
          </w:tcPr>
          <w:p>
            <w:pPr>
              <w:ind w:left="680"/>
              <w:spacing w:after="0"/>
              <w:rPr>
                <w:sz w:val="20"/>
                <w:szCs w:val="20"/>
                <w:color w:val="auto"/>
              </w:rPr>
            </w:pPr>
            <w:r>
              <w:rPr>
                <w:rFonts w:ascii="Arial" w:cs="Arial" w:eastAsia="Arial" w:hAnsi="Arial"/>
                <w:sz w:val="20"/>
                <w:szCs w:val="20"/>
                <w:color w:val="auto"/>
                <w:w w:val="99"/>
              </w:rPr>
              <w:t>Section 3.7</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Signature</w:t>
            </w:r>
          </w:p>
        </w:tc>
        <w:tc>
          <w:tcPr>
            <w:tcW w:w="3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ATTACHMENTS TO SUPPLEMENTAL INDENTURE:</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EXHIBIT A - Form of Bond of the Eleventh Series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EXHIBIT B - Assignment and Irrevocable Bond Power</w:t>
      </w: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549"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TWELFTH SUPPLEMENTAL INDENTURE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SUPPLEMENTAL INDENTURE, dated as of the 2nd day of December, 2013, made and entered into by and between SUPERIOR WATER, LIGHT AND POWER COMPANY, a corporation of the State of Wisconsin, whose address is 2915 Hill Avenue, Superior, Wisconsin 54880 (the </w:t>
      </w:r>
      <w:r>
        <w:rPr>
          <w:rFonts w:ascii="Arial" w:cs="Arial" w:eastAsia="Arial" w:hAnsi="Arial"/>
          <w:sz w:val="20"/>
          <w:szCs w:val="20"/>
          <w:i w:val="1"/>
          <w:iCs w:val="1"/>
          <w:color w:val="auto"/>
        </w:rPr>
        <w:t>“Company”</w:t>
      </w:r>
      <w:r>
        <w:rPr>
          <w:rFonts w:ascii="Arial" w:cs="Arial" w:eastAsia="Arial" w:hAnsi="Arial"/>
          <w:sz w:val="20"/>
          <w:szCs w:val="20"/>
          <w:color w:val="auto"/>
        </w:rPr>
        <w:t xml:space="preserve">) and U.S. BANK NATIONAL ASSOCIATION (successor to Chemical Bank, as Corporate Trustee, and Peter Morse, as Co-Trustee), a national banking association, whose principal trust office at the date hereof is in Milwaukee, Wisconsin (the </w:t>
      </w:r>
      <w:r>
        <w:rPr>
          <w:rFonts w:ascii="Arial" w:cs="Arial" w:eastAsia="Arial" w:hAnsi="Arial"/>
          <w:sz w:val="20"/>
          <w:szCs w:val="20"/>
          <w:i w:val="1"/>
          <w:iCs w:val="1"/>
          <w:color w:val="auto"/>
        </w:rPr>
        <w:t>“Trustee”</w:t>
      </w:r>
      <w:r>
        <w:rPr>
          <w:rFonts w:ascii="Arial" w:cs="Arial" w:eastAsia="Arial" w:hAnsi="Arial"/>
          <w:sz w:val="20"/>
          <w:szCs w:val="20"/>
          <w:color w:val="auto"/>
        </w:rPr>
        <w:t xml:space="preserve">), as Trustee under the Mortgage and Deed of Trust dated as of March 1, 1943 (hereinafter called the </w:t>
      </w:r>
      <w:r>
        <w:rPr>
          <w:rFonts w:ascii="Arial" w:cs="Arial" w:eastAsia="Arial" w:hAnsi="Arial"/>
          <w:sz w:val="20"/>
          <w:szCs w:val="20"/>
          <w:i w:val="1"/>
          <w:iCs w:val="1"/>
          <w:color w:val="auto"/>
        </w:rPr>
        <w:t>“Mortgage”</w:t>
      </w:r>
      <w:r>
        <w:rPr>
          <w:rFonts w:ascii="Arial" w:cs="Arial" w:eastAsia="Arial" w:hAnsi="Arial"/>
          <w:sz w:val="20"/>
          <w:szCs w:val="20"/>
          <w:color w:val="auto"/>
        </w:rPr>
        <w:t xml:space="preserve">), which Mortgage was executed and delivered by the Company to secure the payment of bonds issued or to be issued under and in accordance with the provisions of the Mortgage, reference to which Mortgage is hereby made, this Twelfth Supplemental Indenture(the </w:t>
      </w:r>
      <w:r>
        <w:rPr>
          <w:rFonts w:ascii="Arial" w:cs="Arial" w:eastAsia="Arial" w:hAnsi="Arial"/>
          <w:sz w:val="20"/>
          <w:szCs w:val="20"/>
          <w:i w:val="1"/>
          <w:iCs w:val="1"/>
          <w:color w:val="auto"/>
        </w:rPr>
        <w:t>“Twelfth Supplemental Indenture”</w:t>
      </w:r>
      <w:r>
        <w:rPr>
          <w:rFonts w:ascii="Arial" w:cs="Arial" w:eastAsia="Arial" w:hAnsi="Arial"/>
          <w:sz w:val="20"/>
          <w:szCs w:val="20"/>
          <w:color w:val="auto"/>
        </w:rPr>
        <w:t>) being supplemental thereto;</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said Mortgage was recorded in the office of the Register of Deeds in and for Douglas County, Wisconsin, on May 3, 1943, in Volume 191 of Mortgages at page 1, Document No. 362844; and</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an instrument dated as of September 15, 1949, was executed by the Company appointing Russell H. Sherman as Co-Trustee in succession to said Howard B. Smith, resigned, under said Mortgage, and by Russell H. Sherman accepting the appointment as Co-Trustee under said Mortgage in succession to the said Howard B. Smith, which instrument was recorded in the office of the Register of Deeds in and for Douglas County, Wisconsin, on October 8, 1949, in Volume 196 of Mortgages at page 510, Document No. 398649; and</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by the Mortgage, the Company covenanted that it would execute and deliver such supplemental indenture or indentures and such further instruments and do such further acts as might be necessary or proper to carry out more effectively the purposes of the Mortgage and to make subject to the lien of the Mortgage any property acquired after the date of the execution of the Mortgage and intended to be subject to the lien thereof; and</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First Supplemental Indenture, dated as of March 1, 1951 (hereinafter called its </w:t>
      </w:r>
      <w:r>
        <w:rPr>
          <w:rFonts w:ascii="Arial" w:cs="Arial" w:eastAsia="Arial" w:hAnsi="Arial"/>
          <w:sz w:val="20"/>
          <w:szCs w:val="20"/>
          <w:i w:val="1"/>
          <w:iCs w:val="1"/>
          <w:color w:val="auto"/>
        </w:rPr>
        <w:t>“First Supplemental Indenture”</w:t>
      </w:r>
      <w:r>
        <w:rPr>
          <w:rFonts w:ascii="Arial" w:cs="Arial" w:eastAsia="Arial" w:hAnsi="Arial"/>
          <w:sz w:val="20"/>
          <w:szCs w:val="20"/>
          <w:color w:val="auto"/>
        </w:rPr>
        <w:t>), which was recorded in the office of the Register of Deeds in and for Douglas County, Wisconsin, on March</w:t>
      </w:r>
      <w:r>
        <w:rPr>
          <w:rFonts w:ascii="Arial" w:cs="Arial" w:eastAsia="Arial" w:hAnsi="Arial"/>
          <w:sz w:val="20"/>
          <w:szCs w:val="20"/>
          <w:i w:val="1"/>
          <w:iCs w:val="1"/>
          <w:color w:val="auto"/>
        </w:rPr>
        <w:t xml:space="preserve"> </w:t>
      </w:r>
      <w:r>
        <w:rPr>
          <w:rFonts w:ascii="Arial" w:cs="Arial" w:eastAsia="Arial" w:hAnsi="Arial"/>
          <w:sz w:val="20"/>
          <w:szCs w:val="20"/>
          <w:color w:val="auto"/>
        </w:rPr>
        <w:t>30, 1951, in Volume 205 of Mortgages at page 73, Document No. 405297; and</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an instrument dated as of May 16, 1961, was executed by the Company appointing Richard G. Pintard as Co-Trustee in succession to said Russell H. Sherman, resigned, under said Mortgage and by Richard G. Pintard accepting the appointment as Co-Trustee under said Mortgage in succession to said Russell H. Sherman, which instrument was recorded in the office of the Register of Deeds in and for Douglas County, Wisconsin, on May 31, 1961, in Volume 256 of Mortgages at page 423, Document No. 453857; and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Second Supplemental Indenture, dated as of March 1, 1962 (hereinafter called its </w:t>
      </w:r>
      <w:r>
        <w:rPr>
          <w:rFonts w:ascii="Arial" w:cs="Arial" w:eastAsia="Arial" w:hAnsi="Arial"/>
          <w:sz w:val="20"/>
          <w:szCs w:val="20"/>
          <w:i w:val="1"/>
          <w:iCs w:val="1"/>
          <w:color w:val="auto"/>
        </w:rPr>
        <w:t>“Second Supplemental Indenture”</w:t>
      </w:r>
      <w:r>
        <w:rPr>
          <w:rFonts w:ascii="Arial" w:cs="Arial" w:eastAsia="Arial" w:hAnsi="Arial"/>
          <w:sz w:val="20"/>
          <w:szCs w:val="20"/>
          <w:color w:val="auto"/>
        </w:rPr>
        <w:t>), which was recorded in the office of the Register of Deeds in and for Douglas County, Wisconsin, on March</w:t>
      </w:r>
      <w:r>
        <w:rPr>
          <w:rFonts w:ascii="Arial" w:cs="Arial" w:eastAsia="Arial" w:hAnsi="Arial"/>
          <w:sz w:val="20"/>
          <w:szCs w:val="20"/>
          <w:i w:val="1"/>
          <w:iCs w:val="1"/>
          <w:color w:val="auto"/>
        </w:rPr>
        <w:t xml:space="preserve"> </w:t>
      </w:r>
      <w:r>
        <w:rPr>
          <w:rFonts w:ascii="Arial" w:cs="Arial" w:eastAsia="Arial" w:hAnsi="Arial"/>
          <w:sz w:val="20"/>
          <w:szCs w:val="20"/>
          <w:color w:val="auto"/>
        </w:rPr>
        <w:t>26, 1962, in Volume 261 of Mortgages at page 81, Document No. 457662;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30" w:right="239" w:bottom="1440" w:gutter="0" w:footer="0" w:header="0"/>
        </w:sectPr>
      </w:pPr>
    </w:p>
    <w:bookmarkStart w:id="124" w:name="page125"/>
    <w:bookmarkEnd w:id="124"/>
    <w:p>
      <w:pPr>
        <w:jc w:val="both"/>
        <w:ind w:firstLine="648"/>
        <w:spacing w:after="0" w:line="263" w:lineRule="auto"/>
        <w:rPr>
          <w:sz w:val="20"/>
          <w:szCs w:val="20"/>
          <w:color w:val="auto"/>
        </w:rPr>
      </w:pPr>
      <w:r>
        <w:rPr>
          <w:rFonts w:ascii="Arial" w:cs="Arial" w:eastAsia="Arial" w:hAnsi="Arial"/>
          <w:sz w:val="19"/>
          <w:szCs w:val="19"/>
          <w:color w:val="auto"/>
        </w:rPr>
        <w:t>WHEREAS, an instrument dated as of June 23, 1976, was executed by the Company appointing Steven F. Lasher as Co-Trustee in succession to said Richard G. Pintard, resigned, under said Mortgage and by Steven F. Lasher accepting the appointment as Co-Trustee under said Mortgage in succession to said Richard G. Pintard, which instrument was recorded in the office of the Register of Deeds in and for Douglas County, Wisconsin, on July 16, 1976, in Volume 353 of Records at page 274, Document No. 532495; and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Third Supplemental Indenture, dated as of July 1, 1976 (hereinafter called its </w:t>
      </w:r>
      <w:r>
        <w:rPr>
          <w:rFonts w:ascii="Arial" w:cs="Arial" w:eastAsia="Arial" w:hAnsi="Arial"/>
          <w:sz w:val="20"/>
          <w:szCs w:val="20"/>
          <w:i w:val="1"/>
          <w:iCs w:val="1"/>
          <w:color w:val="auto"/>
        </w:rPr>
        <w:t>“Third Supplemental Indenture”</w:t>
      </w:r>
      <w:r>
        <w:rPr>
          <w:rFonts w:ascii="Arial" w:cs="Arial" w:eastAsia="Arial" w:hAnsi="Arial"/>
          <w:sz w:val="20"/>
          <w:szCs w:val="20"/>
          <w:color w:val="auto"/>
        </w:rPr>
        <w:t>), which was recorded in the office of the Register of Deeds in and for Douglas County, Wisconsin, on October</w:t>
      </w:r>
      <w:r>
        <w:rPr>
          <w:rFonts w:ascii="Arial" w:cs="Arial" w:eastAsia="Arial" w:hAnsi="Arial"/>
          <w:sz w:val="20"/>
          <w:szCs w:val="20"/>
          <w:i w:val="1"/>
          <w:iCs w:val="1"/>
          <w:color w:val="auto"/>
        </w:rPr>
        <w:t xml:space="preserve"> </w:t>
      </w:r>
      <w:r>
        <w:rPr>
          <w:rFonts w:ascii="Arial" w:cs="Arial" w:eastAsia="Arial" w:hAnsi="Arial"/>
          <w:sz w:val="20"/>
          <w:szCs w:val="20"/>
          <w:color w:val="auto"/>
        </w:rPr>
        <w:t>1, 1976, in Volume 355 of Records at page 683, Document No. 534332; and</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an instrument dated as of December 30, 1977, was executed by the Company appointing C. G. Martens as Co-Trustee in succession, to said Steven F. Lasher, resigned, under said Mortgage and by C. G. Martens accepting the appointment as Co-Trustee under said Mortgage in succession to said Steven F. Lasher, which instrument was recorded in the office of the Register of Deeds in and for Douglas County, Wisconsin, on February 13, 1985, in Volume 436 of Records at page 264, Document No. 589308; and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Fourth Supplemental Indenture, dated as of March 1, 1985 (hereinafter called its </w:t>
      </w:r>
      <w:r>
        <w:rPr>
          <w:rFonts w:ascii="Arial" w:cs="Arial" w:eastAsia="Arial" w:hAnsi="Arial"/>
          <w:sz w:val="20"/>
          <w:szCs w:val="20"/>
          <w:i w:val="1"/>
          <w:iCs w:val="1"/>
          <w:color w:val="auto"/>
        </w:rPr>
        <w:t>“Fourth Supplemental Indenture”</w:t>
      </w:r>
      <w:r>
        <w:rPr>
          <w:rFonts w:ascii="Arial" w:cs="Arial" w:eastAsia="Arial" w:hAnsi="Arial"/>
          <w:sz w:val="20"/>
          <w:szCs w:val="20"/>
          <w:color w:val="auto"/>
        </w:rPr>
        <w:t>), which was recorded in the office of the Register of Deeds in and for Douglas County, Wisconsin, on March</w:t>
      </w:r>
      <w:r>
        <w:rPr>
          <w:rFonts w:ascii="Arial" w:cs="Arial" w:eastAsia="Arial" w:hAnsi="Arial"/>
          <w:sz w:val="20"/>
          <w:szCs w:val="20"/>
          <w:i w:val="1"/>
          <w:iCs w:val="1"/>
          <w:color w:val="auto"/>
        </w:rPr>
        <w:t xml:space="preserve"> </w:t>
      </w:r>
      <w:r>
        <w:rPr>
          <w:rFonts w:ascii="Arial" w:cs="Arial" w:eastAsia="Arial" w:hAnsi="Arial"/>
          <w:sz w:val="20"/>
          <w:szCs w:val="20"/>
          <w:color w:val="auto"/>
        </w:rPr>
        <w:t>19, 1985, in Volume 436 of Records at page 910, Document No. 589776; and</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WHEREAS, an instrument dated as of October 26, 1992, was executed by the Company appointing Peter Morse as Co-Trustee in succession to said C. G. Martens, resigned, under said Mortgage and by Peter Morse accepting the appointment as Co-Trustee under said Mortgage in succession to said C. G. Martens, which instrument was recorded in the office of the Register of Deeds in and for Douglas County, Wisconsin, on November 13, 1992, in Volume 539 of Records at page 9, Document No. 649056; and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Fifth Supplemental Indenture, dated as of December 1, 1992, (hereinafter called its </w:t>
      </w:r>
      <w:r>
        <w:rPr>
          <w:rFonts w:ascii="Arial" w:cs="Arial" w:eastAsia="Arial" w:hAnsi="Arial"/>
          <w:sz w:val="20"/>
          <w:szCs w:val="20"/>
          <w:i w:val="1"/>
          <w:iCs w:val="1"/>
          <w:color w:val="auto"/>
        </w:rPr>
        <w:t>“Fifth Supplemental Indenture”</w:t>
      </w:r>
      <w:r>
        <w:rPr>
          <w:rFonts w:ascii="Arial" w:cs="Arial" w:eastAsia="Arial" w:hAnsi="Arial"/>
          <w:sz w:val="20"/>
          <w:szCs w:val="20"/>
          <w:color w:val="auto"/>
        </w:rPr>
        <w:t>), which was recorded in the office of the Register of Deeds in and for Douglas County, Wisconsin, on December 28, 1992, in Volume 541 of Records at page 229, Document No. 650104; and</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Sixth Supplemental Indenture, dated as of March 24, 1994 (hereinafter called its </w:t>
      </w:r>
      <w:r>
        <w:rPr>
          <w:rFonts w:ascii="Arial" w:cs="Arial" w:eastAsia="Arial" w:hAnsi="Arial"/>
          <w:sz w:val="20"/>
          <w:szCs w:val="20"/>
          <w:i w:val="1"/>
          <w:iCs w:val="1"/>
          <w:color w:val="auto"/>
        </w:rPr>
        <w:t>“Sixth Supplemental Indenture”</w:t>
      </w:r>
      <w:r>
        <w:rPr>
          <w:rFonts w:ascii="Arial" w:cs="Arial" w:eastAsia="Arial" w:hAnsi="Arial"/>
          <w:sz w:val="20"/>
          <w:szCs w:val="20"/>
          <w:color w:val="auto"/>
        </w:rPr>
        <w:t>), which was recorded in the office of the Register of Deeds in and for Douglas County, Wisconsin, on March</w:t>
      </w:r>
      <w:r>
        <w:rPr>
          <w:rFonts w:ascii="Arial" w:cs="Arial" w:eastAsia="Arial" w:hAnsi="Arial"/>
          <w:sz w:val="20"/>
          <w:szCs w:val="20"/>
          <w:i w:val="1"/>
          <w:iCs w:val="1"/>
          <w:color w:val="auto"/>
        </w:rPr>
        <w:t xml:space="preserve"> </w:t>
      </w:r>
      <w:r>
        <w:rPr>
          <w:rFonts w:ascii="Arial" w:cs="Arial" w:eastAsia="Arial" w:hAnsi="Arial"/>
          <w:sz w:val="20"/>
          <w:szCs w:val="20"/>
          <w:color w:val="auto"/>
        </w:rPr>
        <w:t>29, 1994, in Volume 568 of Records at page 757, Document No. 662228; and</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Seventh Supplemental Indenture, dated as of November 1, 1994 (hereinafter called its </w:t>
      </w:r>
      <w:r>
        <w:rPr>
          <w:rFonts w:ascii="Arial" w:cs="Arial" w:eastAsia="Arial" w:hAnsi="Arial"/>
          <w:sz w:val="20"/>
          <w:szCs w:val="20"/>
          <w:i w:val="1"/>
          <w:iCs w:val="1"/>
          <w:color w:val="auto"/>
        </w:rPr>
        <w:t>“Seventh Supplemental Indenture”</w:t>
      </w:r>
      <w:r>
        <w:rPr>
          <w:rFonts w:ascii="Arial" w:cs="Arial" w:eastAsia="Arial" w:hAnsi="Arial"/>
          <w:sz w:val="20"/>
          <w:szCs w:val="20"/>
          <w:color w:val="auto"/>
        </w:rPr>
        <w:t>), which was recorded in the office of the Register of Deeds in and for Douglas County, Wisconsin, on January 18, 1995, in Volume 583 of Records at page 242, Document No. 669350;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125" w:name="page126"/>
    <w:bookmarkEnd w:id="125"/>
    <w:p>
      <w:pPr>
        <w:jc w:val="both"/>
        <w:ind w:firstLine="648"/>
        <w:spacing w:after="0" w:line="278" w:lineRule="auto"/>
        <w:rPr>
          <w:sz w:val="20"/>
          <w:szCs w:val="20"/>
          <w:color w:val="auto"/>
        </w:rPr>
      </w:pPr>
      <w:r>
        <w:rPr>
          <w:rFonts w:ascii="Arial" w:cs="Arial" w:eastAsia="Arial" w:hAnsi="Arial"/>
          <w:sz w:val="18"/>
          <w:szCs w:val="18"/>
          <w:color w:val="auto"/>
        </w:rPr>
        <w:t>WHEREAS, an instrument dated as of January 20, 1995, was executed by The Prudential Insurance Company pursuant to Section 102 of the Mortgage appointing First Bank (N.A.) as Trustee in succession to Chemical Bank as Corporate Trustee and Peter Morse as Co-Trustee under said Mortgage and by First Bank (N.A.) (U.S. Bank National Association, successor) accepting the appointment as Trustee under such Mortgage in succession to said Chemical Bank and said Peter Morse, which instrument was recorded in the Office of the Register of Deeds in and for Douglas County, Wisconsin on April 6, 1995 in Volume 585 of Records at page 953, Document No. 670717; and</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Eighth Supplemental Indenture, dated as of January 1, 1997 (hereinafter called its </w:t>
      </w:r>
      <w:r>
        <w:rPr>
          <w:rFonts w:ascii="Arial" w:cs="Arial" w:eastAsia="Arial" w:hAnsi="Arial"/>
          <w:sz w:val="20"/>
          <w:szCs w:val="20"/>
          <w:i w:val="1"/>
          <w:iCs w:val="1"/>
          <w:color w:val="auto"/>
        </w:rPr>
        <w:t>“Eighth Supplemental Indenture”</w:t>
      </w:r>
      <w:r>
        <w:rPr>
          <w:rFonts w:ascii="Arial" w:cs="Arial" w:eastAsia="Arial" w:hAnsi="Arial"/>
          <w:sz w:val="20"/>
          <w:szCs w:val="20"/>
          <w:color w:val="auto"/>
        </w:rPr>
        <w:t>), which was recorded in the office of the Register of Deeds in and for Douglas County, Wisconsin, on</w:t>
      </w:r>
      <w:r>
        <w:rPr>
          <w:rFonts w:ascii="Arial" w:cs="Arial" w:eastAsia="Arial" w:hAnsi="Arial"/>
          <w:sz w:val="20"/>
          <w:szCs w:val="20"/>
          <w:i w:val="1"/>
          <w:iCs w:val="1"/>
          <w:color w:val="auto"/>
        </w:rPr>
        <w:t xml:space="preserve"> </w:t>
      </w:r>
      <w:r>
        <w:rPr>
          <w:rFonts w:ascii="Arial" w:cs="Arial" w:eastAsia="Arial" w:hAnsi="Arial"/>
          <w:sz w:val="20"/>
          <w:szCs w:val="20"/>
          <w:color w:val="auto"/>
        </w:rPr>
        <w:t>January 7, 1997, in Volume 617 of Records at page 536, Document No. 685699; and</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Ninth Supplemental Indenture, dated as of October 1, 2007 (hereinafter called its </w:t>
      </w:r>
      <w:r>
        <w:rPr>
          <w:rFonts w:ascii="Arial" w:cs="Arial" w:eastAsia="Arial" w:hAnsi="Arial"/>
          <w:sz w:val="20"/>
          <w:szCs w:val="20"/>
          <w:i w:val="1"/>
          <w:iCs w:val="1"/>
          <w:color w:val="auto"/>
        </w:rPr>
        <w:t>“Ninth Supplemental Indenture”</w:t>
      </w:r>
      <w:r>
        <w:rPr>
          <w:rFonts w:ascii="Arial" w:cs="Arial" w:eastAsia="Arial" w:hAnsi="Arial"/>
          <w:sz w:val="20"/>
          <w:szCs w:val="20"/>
          <w:color w:val="auto"/>
        </w:rPr>
        <w:t>), which was recorded in the office of the Register of Deeds in and for Douglas County, Wisconsin, on</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27, 2007, as Document No. 810920; and</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Tenth Supplemental Indenture, dated as of October 1, 2007 (hereinafter called its </w:t>
      </w:r>
      <w:r>
        <w:rPr>
          <w:rFonts w:ascii="Arial" w:cs="Arial" w:eastAsia="Arial" w:hAnsi="Arial"/>
          <w:sz w:val="20"/>
          <w:szCs w:val="20"/>
          <w:i w:val="1"/>
          <w:iCs w:val="1"/>
          <w:color w:val="auto"/>
        </w:rPr>
        <w:t>“Tenth Supplemental Indenture”</w:t>
      </w:r>
      <w:r>
        <w:rPr>
          <w:rFonts w:ascii="Arial" w:cs="Arial" w:eastAsia="Arial" w:hAnsi="Arial"/>
          <w:sz w:val="20"/>
          <w:szCs w:val="20"/>
          <w:color w:val="auto"/>
        </w:rPr>
        <w:t>), which was recorded in the office of the Register of Deeds in and for Douglas County, Wisconsin, on</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27, 2007, as Document No. 810921; and;</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Company executed and delivered its Eleventh Supplemental Indenture, dated as of December 1, 2008 (hereinafter called its </w:t>
      </w:r>
      <w:r>
        <w:rPr>
          <w:rFonts w:ascii="Arial" w:cs="Arial" w:eastAsia="Arial" w:hAnsi="Arial"/>
          <w:sz w:val="20"/>
          <w:szCs w:val="20"/>
          <w:i w:val="1"/>
          <w:iCs w:val="1"/>
          <w:color w:val="auto"/>
        </w:rPr>
        <w:t>“Eleventh Supplemental Indenture”</w:t>
      </w:r>
      <w:r>
        <w:rPr>
          <w:rFonts w:ascii="Arial" w:cs="Arial" w:eastAsia="Arial" w:hAnsi="Arial"/>
          <w:sz w:val="20"/>
          <w:szCs w:val="20"/>
          <w:color w:val="auto"/>
        </w:rPr>
        <w:t>), which was recorded in the office of the Register of Deeds in and for Douglas County, Wisconsin, on December 12, 2008, as Document No. 821566; 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in addition to the property described in the Mortgage, as heretofore supplemented, the Company has acquired certain other property, rights and interests in property; and</w:t>
      </w:r>
    </w:p>
    <w:p>
      <w:pPr>
        <w:spacing w:after="0" w:line="1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WHEREAS, the Company has heretofore issued, in accordance with the provisions of the Mortgage, bonds of a series entitled and designated First Mortgage Bonds, 3 3/8% Series due 1973 (the </w:t>
      </w:r>
      <w:r>
        <w:rPr>
          <w:rFonts w:ascii="Arial" w:cs="Arial" w:eastAsia="Arial" w:hAnsi="Arial"/>
          <w:sz w:val="18"/>
          <w:szCs w:val="18"/>
          <w:i w:val="1"/>
          <w:iCs w:val="1"/>
          <w:color w:val="auto"/>
        </w:rPr>
        <w:t>“Bonds of the First Series”</w:t>
      </w:r>
      <w:r>
        <w:rPr>
          <w:rFonts w:ascii="Arial" w:cs="Arial" w:eastAsia="Arial" w:hAnsi="Arial"/>
          <w:sz w:val="18"/>
          <w:szCs w:val="18"/>
          <w:color w:val="auto"/>
        </w:rPr>
        <w:t xml:space="preserve">), in the aggregate principal amount of Two Million Five Hundred Thousand Dollars ($2,500,000), none of which Bonds of the First Series are now Outstanding; bonds of a series entitled and designated First Mortgage Bonds, 3 1/10% Series due 1981 (the </w:t>
      </w:r>
      <w:r>
        <w:rPr>
          <w:rFonts w:ascii="Arial" w:cs="Arial" w:eastAsia="Arial" w:hAnsi="Arial"/>
          <w:sz w:val="18"/>
          <w:szCs w:val="18"/>
          <w:i w:val="1"/>
          <w:iCs w:val="1"/>
          <w:color w:val="auto"/>
        </w:rPr>
        <w:t>“Bonds of the Second Series”</w:t>
      </w:r>
      <w:r>
        <w:rPr>
          <w:rFonts w:ascii="Arial" w:cs="Arial" w:eastAsia="Arial" w:hAnsi="Arial"/>
          <w:sz w:val="18"/>
          <w:szCs w:val="18"/>
          <w:color w:val="auto"/>
        </w:rPr>
        <w:t xml:space="preserve">), in the aggregate principal amount of Five Million Dollars ($5,000,000), none of which Bonds of the Second Series are now Outstanding; bonds of a series entitled and designated First Mortgage Bonds, 5% Series due 1992 (the </w:t>
      </w:r>
      <w:r>
        <w:rPr>
          <w:rFonts w:ascii="Arial" w:cs="Arial" w:eastAsia="Arial" w:hAnsi="Arial"/>
          <w:sz w:val="18"/>
          <w:szCs w:val="18"/>
          <w:i w:val="1"/>
          <w:iCs w:val="1"/>
          <w:color w:val="auto"/>
        </w:rPr>
        <w:t>“Bonds of the Third Series”</w:t>
      </w:r>
      <w:r>
        <w:rPr>
          <w:rFonts w:ascii="Arial" w:cs="Arial" w:eastAsia="Arial" w:hAnsi="Arial"/>
          <w:sz w:val="18"/>
          <w:szCs w:val="18"/>
          <w:color w:val="auto"/>
        </w:rPr>
        <w:t xml:space="preserve">), in the aggregate principal amount of Two Million Seven Hundred Thousand Dollars ($2,700,000), none of which Bonds of the Third Series are now outstanding; bonds of a series entitled and designated First Mortgage Bonds, 9 5/8% Series due 2001 (the </w:t>
      </w:r>
      <w:r>
        <w:rPr>
          <w:rFonts w:ascii="Arial" w:cs="Arial" w:eastAsia="Arial" w:hAnsi="Arial"/>
          <w:sz w:val="18"/>
          <w:szCs w:val="18"/>
          <w:i w:val="1"/>
          <w:iCs w:val="1"/>
          <w:color w:val="auto"/>
        </w:rPr>
        <w:t>“Bonds of the Fourth Series”</w:t>
      </w:r>
      <w:r>
        <w:rPr>
          <w:rFonts w:ascii="Arial" w:cs="Arial" w:eastAsia="Arial" w:hAnsi="Arial"/>
          <w:sz w:val="18"/>
          <w:szCs w:val="18"/>
          <w:color w:val="auto"/>
        </w:rPr>
        <w:t xml:space="preserve">), the interest rate for which bonds was modified to 6.10% by the Sixth Supplemental Indenture, in the aggregate principal amount of Three Million Dollars ($3,000,000), none of which bonds of the Fourth Series are now outstanding; bonds of a series entitled and designated First Mortgage Bonds, 12 1/2% Series due 1992 (the </w:t>
      </w:r>
      <w:r>
        <w:rPr>
          <w:rFonts w:ascii="Arial" w:cs="Arial" w:eastAsia="Arial" w:hAnsi="Arial"/>
          <w:sz w:val="18"/>
          <w:szCs w:val="18"/>
          <w:i w:val="1"/>
          <w:iCs w:val="1"/>
          <w:color w:val="auto"/>
        </w:rPr>
        <w:t>“Bonds of the Fifth</w:t>
      </w:r>
      <w:r>
        <w:rPr>
          <w:rFonts w:ascii="Arial" w:cs="Arial" w:eastAsia="Arial" w:hAnsi="Arial"/>
          <w:sz w:val="18"/>
          <w:szCs w:val="18"/>
          <w:color w:val="auto"/>
        </w:rPr>
        <w:t xml:space="preserve"> </w:t>
      </w:r>
      <w:r>
        <w:rPr>
          <w:rFonts w:ascii="Arial" w:cs="Arial" w:eastAsia="Arial" w:hAnsi="Arial"/>
          <w:sz w:val="18"/>
          <w:szCs w:val="18"/>
          <w:i w:val="1"/>
          <w:iCs w:val="1"/>
          <w:color w:val="auto"/>
        </w:rPr>
        <w:t>Series”</w:t>
      </w:r>
      <w:r>
        <w:rPr>
          <w:rFonts w:ascii="Arial" w:cs="Arial" w:eastAsia="Arial" w:hAnsi="Arial"/>
          <w:sz w:val="18"/>
          <w:szCs w:val="18"/>
          <w:color w:val="auto"/>
        </w:rPr>
        <w:t>), in the aggregate principal amount of Three Million Five Hundred Thousand Dollars($3,500,000), none of which Bonds of the Fifth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Series are now outstanding; Bonds of a series entitled and designated First Mortgage Bonds, 7.91% Series due 2013 (the </w:t>
      </w:r>
      <w:r>
        <w:rPr>
          <w:rFonts w:ascii="Arial" w:cs="Arial" w:eastAsia="Arial" w:hAnsi="Arial"/>
          <w:sz w:val="18"/>
          <w:szCs w:val="18"/>
          <w:i w:val="1"/>
          <w:iCs w:val="1"/>
          <w:color w:val="auto"/>
        </w:rPr>
        <w:t>“Bonds of the Sixth</w:t>
      </w:r>
      <w:r>
        <w:rPr>
          <w:rFonts w:ascii="Arial" w:cs="Arial" w:eastAsia="Arial" w:hAnsi="Arial"/>
          <w:sz w:val="18"/>
          <w:szCs w:val="18"/>
          <w:color w:val="auto"/>
        </w:rPr>
        <w:t xml:space="preserve"> </w:t>
      </w:r>
      <w:r>
        <w:rPr>
          <w:rFonts w:ascii="Arial" w:cs="Arial" w:eastAsia="Arial" w:hAnsi="Arial"/>
          <w:sz w:val="18"/>
          <w:szCs w:val="18"/>
          <w:i w:val="1"/>
          <w:iCs w:val="1"/>
          <w:color w:val="auto"/>
        </w:rPr>
        <w:t>Series”</w:t>
      </w:r>
      <w:r>
        <w:rPr>
          <w:rFonts w:ascii="Arial" w:cs="Arial" w:eastAsia="Arial" w:hAnsi="Arial"/>
          <w:sz w:val="18"/>
          <w:szCs w:val="18"/>
          <w:color w:val="auto"/>
        </w:rPr>
        <w:t>), in the aggregate principal amount of Five Million Dollars ($5,000,000), none of which Bonds of the Sixth Series is now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Bonds of a series entitled and designated First Mortgage Bonds, 7.27% Series due December 15, 2008 (the </w:t>
      </w:r>
      <w:r>
        <w:rPr>
          <w:rFonts w:ascii="Arial" w:cs="Arial" w:eastAsia="Arial" w:hAnsi="Arial"/>
          <w:sz w:val="18"/>
          <w:szCs w:val="18"/>
          <w:i w:val="1"/>
          <w:iCs w:val="1"/>
          <w:color w:val="auto"/>
        </w:rPr>
        <w:t>“Bonds of the Seventh Series”</w:t>
      </w:r>
      <w:r>
        <w:rPr>
          <w:rFonts w:ascii="Arial" w:cs="Arial" w:eastAsia="Arial" w:hAnsi="Arial"/>
          <w:sz w:val="18"/>
          <w:szCs w:val="18"/>
          <w:color w:val="auto"/>
        </w:rPr>
        <w:t xml:space="preserve">), in the aggregate principal amount of Six Million Dollars ($6,000,000), none of which Bonds of the Seventh Series remains outstanding; Bonds of a series entitled and designated First Mortgage Bonds, 5.375% Series due 2021 (the </w:t>
      </w:r>
      <w:r>
        <w:rPr>
          <w:rFonts w:ascii="Arial" w:cs="Arial" w:eastAsia="Arial" w:hAnsi="Arial"/>
          <w:sz w:val="18"/>
          <w:szCs w:val="18"/>
          <w:i w:val="1"/>
          <w:iCs w:val="1"/>
          <w:color w:val="auto"/>
        </w:rPr>
        <w:t>“Bonds of the Eighth Series”</w:t>
      </w:r>
      <w:r>
        <w:rPr>
          <w:rFonts w:ascii="Arial" w:cs="Arial" w:eastAsia="Arial" w:hAnsi="Arial"/>
          <w:sz w:val="18"/>
          <w:szCs w:val="18"/>
          <w:color w:val="auto"/>
        </w:rPr>
        <w:t xml:space="preserve">), in the aggregate principal amount of Six Million Three Hundred Seventy Thousand Dollars ($6,370,000), the full amount of which remains outstanding; Bonds of a series entitled and designated First Mortgage Bonds, 5.75% Series due November 1, 2037 (the </w:t>
      </w:r>
      <w:r>
        <w:rPr>
          <w:rFonts w:ascii="Arial" w:cs="Arial" w:eastAsia="Arial" w:hAnsi="Arial"/>
          <w:sz w:val="18"/>
          <w:szCs w:val="18"/>
          <w:i w:val="1"/>
          <w:iCs w:val="1"/>
          <w:color w:val="auto"/>
        </w:rPr>
        <w:t>“Bonds of the Ninth Series”</w:t>
      </w:r>
      <w:r>
        <w:rPr>
          <w:rFonts w:ascii="Arial" w:cs="Arial" w:eastAsia="Arial" w:hAnsi="Arial"/>
          <w:sz w:val="18"/>
          <w:szCs w:val="18"/>
          <w:color w:val="auto"/>
        </w:rPr>
        <w:t xml:space="preserve">), in the aggregate principal amount of Six Million One Hundred Thirty Thousand Dollars ($6,130,000), the full amount of which remains outstanding; and Bonds of a series entitled and designated First Mortgage Bonds, 7.25% Series due December 15, 2013 (the </w:t>
      </w:r>
      <w:r>
        <w:rPr>
          <w:rFonts w:ascii="Arial" w:cs="Arial" w:eastAsia="Arial" w:hAnsi="Arial"/>
          <w:sz w:val="18"/>
          <w:szCs w:val="18"/>
          <w:i w:val="1"/>
          <w:iCs w:val="1"/>
          <w:color w:val="auto"/>
        </w:rPr>
        <w:t>“Bonds of the Tenth Series”</w:t>
      </w:r>
      <w:r>
        <w:rPr>
          <w:rFonts w:ascii="Arial" w:cs="Arial" w:eastAsia="Arial" w:hAnsi="Arial"/>
          <w:sz w:val="18"/>
          <w:szCs w:val="18"/>
          <w:color w:val="auto"/>
        </w:rPr>
        <w:t>), in the aggregate principal amount of Ten Million Dollars ($10,000,000), the full amount of which remains outstanding;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126" w:name="page127"/>
    <w:bookmarkEnd w:id="126"/>
    <w:p>
      <w:pPr>
        <w:jc w:val="both"/>
        <w:ind w:firstLine="648"/>
        <w:spacing w:after="0" w:line="282" w:lineRule="auto"/>
        <w:rPr>
          <w:sz w:val="20"/>
          <w:szCs w:val="20"/>
          <w:color w:val="auto"/>
        </w:rPr>
      </w:pPr>
      <w:r>
        <w:rPr>
          <w:rFonts w:ascii="Arial" w:cs="Arial" w:eastAsia="Arial" w:hAnsi="Arial"/>
          <w:sz w:val="18"/>
          <w:szCs w:val="18"/>
          <w:color w:val="auto"/>
        </w:rPr>
        <w:t>WHEREAS, Section 8 of the Mortgage provides that the form of each series of bonds(other than Bonds of the First Series) issued thereunder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and</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Section 120 of the Mortgage provides, among other things, that the Company may enter into any further covenants, limitations or restrictions for the benefit of any one or more series of bonds issued thereunder, or the Company may establish the terms and provisions of any series of bonds other than said Bonds of the First Series, by an instrument in writing executed and acknowledged by the Company in such manner as would be necessary to entitle a conveyance of real estate to be of record in all of the states in which any property at the time subject to the lien of the Mortgage shall be situated; and</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the Company now desires to create a new series of bonds and to add to the covenants, limitations or restrictions contained in the Mortgage certain other covenants, limitations or restrictions to be observed by it and to amend the Mortgage; and</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execution and delivery by the Company of this Twelfth Supplemental Indenture, and the terms of the Bonds of the Eleventh Series hereinafter referred to, have been duly authorized by the Board of Directors of the Company by appropriate resolutions of said Board of Directors;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127" w:name="page128"/>
    <w:bookmarkEnd w:id="127"/>
    <w:p>
      <w:pPr>
        <w:jc w:val="both"/>
        <w:ind w:firstLine="648"/>
        <w:spacing w:after="0" w:line="269" w:lineRule="auto"/>
        <w:rPr>
          <w:sz w:val="20"/>
          <w:szCs w:val="20"/>
          <w:color w:val="auto"/>
        </w:rPr>
      </w:pPr>
      <w:r>
        <w:rPr>
          <w:rFonts w:ascii="Arial" w:cs="Arial" w:eastAsia="Arial" w:hAnsi="Arial"/>
          <w:sz w:val="18"/>
          <w:szCs w:val="18"/>
          <w:color w:val="auto"/>
        </w:rPr>
        <w:t>NOW, THEREFORE, THIS INDENTURE WITNESSETH: That Superior Water, Light and Power Company, in consideration of the premises and of One Dollar ($1) to it duly paid by the Trustee at or before the ensealing and delivery of these presents, the receipt whereof is hereby acknowledged, and in further evidence of assurance of the estate, title and rights of the Trustee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as defined in Section 6 of the Mortgage) unto U.S. Bank National Association, as Trustee under the Mortgage, and to its successor or successors in said trust, and to said Trustee and its successors and assigns forever, all and singular the permits, franchises, rights, privileges, grants and property, real, personal and mixed, now owned or which may be hereafter acquired by the Company (except any of the character herein or in the Mortgage expressly excepted), including (but not limited to) its electric light and power works, gas works, water works, buildings, structures, machinery, equipment, mains, pipes, lines, poles, wires, easements, rights of way, permits, franchises, rights, privileges, grants and all property of every kind and description, situated in the City of Superior, Douglas County, Wisconsin, or elsewhere in Douglas County, Wisconsin, in Washburn County, Wisconsin, or in any other place or places now owned by the Company, or that may be hereafter acquired by it, including, but not limited to, the following described properties of the Company---that is to say: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Lands and Rights and Interests in Lands of the Company (except any such property as may have been released from the lien of the Mortgage), including, but not limited to, all such property acquired by the Company under the following deed which is referred to for more particular description thereof, to wit:</w:t>
      </w:r>
    </w:p>
    <w:p>
      <w:pPr>
        <w:spacing w:after="0" w:line="200"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Deed dated August 18, 2006, from the County of Douglas, in the State of Wisconsin, to the Company, which deed was recorded in the office of the Register of Deeds of the County of Douglas, State of Wisconsin, on August 18, 2006, as Document No. 798722;</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All other property, real, personal and mixed, acquired by the Company after the date of the execution and delivery of the Mortgage (except any herein or in the Mortgage, as heretofore supplemented, expressly excepted), now owned or hereafter acquired by the Company and wheresoever situated, including (without in any wise limiting or impairing by the enumeration of the same the scope and intent of the foregoing or of any general description contained in this Twelfth Supplemental Indenture) all lands, power sites, flowage rights, water rights, water franchises, water locations, water appropriations, ditches, flumes, reservoirs, reservoir sites, canals, raceways, dams, dam sites, aqueducts, and all other rights or means for appropriating, conveying, storing and supplying water; all rights of way and roads; all plants, works, reservoirs and tanks for the pumping and purification of water; all water works; all plants for the generation of electricity by water, steam and/or other power; all power houses, gas plants, street lighting systems, standards and other equipment incidental thereto, telephone, radio and television systems, air-conditioning systems and equipment incidental thereto, water systems, steam heat and hot water plants, substations, lines, service and supply systems, bridges, culverts, tracks, street and interurban railway systems, offices, buildings and other structures and the equipment thereof; all machinery, engines, boilers, dynamos, water, electric, gas and other machines, regulators, meters, transformers, generators, motors, water, electrical, gas and mechanical appliances, conduits, cables, water, steam, heat, gas or other mains and pipes, service pipes, fittings, valves and connections, pole and transmission lines, wires, cables, tools, implements, apparatus, furniture, chattels and choses in action; all municipal and other franchises, consents or permits; all lines for the transmission and distribution of water, electric current, gas, steam heat or hot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2" w:right="239" w:bottom="1440" w:gutter="0" w:footer="0" w:header="0"/>
        </w:sectPr>
      </w:pPr>
    </w:p>
    <w:bookmarkStart w:id="128" w:name="page129"/>
    <w:bookmarkEnd w:id="128"/>
    <w:p>
      <w:pPr>
        <w:jc w:val="both"/>
        <w:ind w:firstLine="648"/>
        <w:spacing w:after="0" w:line="244" w:lineRule="auto"/>
        <w:rPr>
          <w:sz w:val="20"/>
          <w:szCs w:val="20"/>
          <w:color w:val="auto"/>
        </w:rPr>
      </w:pPr>
      <w:r>
        <w:rPr>
          <w:rFonts w:ascii="Arial" w:cs="Arial" w:eastAsia="Arial" w:hAnsi="Arial"/>
          <w:sz w:val="20"/>
          <w:szCs w:val="20"/>
          <w:color w:val="auto"/>
        </w:rPr>
        <w:t>Together with all and singular the tenements, hereditaments and appurtenances belonging or in any 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It is hereby agreed by the Company that all the property, rights and franchises acquired by the Company after the date hereof (except any herein or in the Mortgage, as heretofore supplemented, expressly excepted) shall be and are as fully granted and conveyed hereby and as fully embraced within the lien of the Mortgage as if such property, rights and franchises were now owned by the Company and were specifically described herein and conveyed hereby.</w:t>
      </w:r>
    </w:p>
    <w:p>
      <w:pPr>
        <w:spacing w:after="0" w:line="20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following are not and are not intended to be now or hereafter granted, bargained, sold, released, conveyed, assigned,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mortgaged, pledged, set over or confirmed hereunder and are hereby expressly excepted from the lien and operation of the Mortgage, viz: (1) cash, shares of stock, bonds, notes and other obligations and other securities not hereafter specifically pledged, paid, deposited, delivered or held under the Mortgage or covenanted so to be; (2) merchandise, equipment, materials or supplies held for the purpose of sale in the usual course of business and fuel, oil and similar materials and supplies consumable in the operation of any properties of the Company; rolling stock, buses, motor coaches, automobiles and other vehicles; (3) bills, notes and accounts receivable, and all contracts, leases and operating agreements not specifically pledged under the Mortgage or covenanted so to be; the last day of the term of any lease or leasehold which may heretofore have or hereafter may become subject to the lien of the Mortgage; (4) water, electric energy, gas, ice and other materials or products pumped, stored, generated, manufactured, produced or purchased by the Company for sale, distribution or use in the ordinary course of its business; (5) the Company’s franchise to be a corporation; and (6) all permits, franchises, rights, privileges, grants and property in the state of Minnesota now owned or hereafter acquired unless such permits, franchises, rights, privileges, grants and property in the state of Minnesota shall have been subjected to the lien of the Mortgage by an indenture or indentures supplemental to the Mortgage, pursuant to authorization of the Board of Directors of the Company, whereupon all the permits, franchises, rights, privileges, grants and property then owned or thereafter acquired by the Company in the state of Minnesota (except property of the character expressly excepted from the lien of the Mortgage in clauses (1) to (5) above, inclusive), shall become and be subject to the lien of the Mortgage as part of the Mortgaged and Pledged Property and may be released, funded and otherwise dealt with on the same terms and subject to the same conditions and restrictions as though not theretofore excepted from the lien of the Mortgage;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property and rights expressly excepted from the lien and operation of the Mortgage in the above subdivisions (2) and (3) shall (to the extent permitted by law) cease to be so excepted in the event and as of the date that the Trustee or a receiver or trustee shall enter upon and take possession of the Mortgaged and Pledged Property in the manner provided in Article XIII of the Mortgage by reason of the occurrence of a Default as defined in Section 65 of the Mortgage.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2" w:right="239" w:bottom="1440" w:gutter="0" w:footer="0" w:header="0"/>
        </w:sectPr>
      </w:pPr>
    </w:p>
    <w:bookmarkStart w:id="129" w:name="page130"/>
    <w:bookmarkEnd w:id="129"/>
    <w:p>
      <w:pPr>
        <w:jc w:val="both"/>
        <w:ind w:firstLine="648"/>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U.S. Bank National Association as Trustee, and its successors and assigns forever.</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 trust nevertheless, for the same purposes and upon the same terms, trusts and conditions and subject to and with the same provisos and covenants as are set forth in the Mortgage, as heretofore supplemented, this Twelfth Supplemental Indenture being supplemental thereto.</w:t>
      </w:r>
    </w:p>
    <w:p>
      <w:pPr>
        <w:spacing w:after="0" w:line="14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the Trustee and the beneficiaries of the trust with respect to said property, and to the Trustee and its successors as Trustee of said property, in the same manner and with the same effect as if said property had been owned by the Company at the time of the execution of the Mortgage, and had been specifically and at length described in and conveyed to the Trustee by the Mortgage as part of the property therein stated to be conveyed.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to and with the Trustee and its successors in said trust under the Mortgage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BONDS OF THE ELEVENTH SERIES</w:t>
      </w:r>
    </w:p>
    <w:p>
      <w:pPr>
        <w:spacing w:after="0" w:line="2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Section 1.1. </w:t>
      </w:r>
      <w:r>
        <w:rPr>
          <w:rFonts w:ascii="Arial" w:cs="Arial" w:eastAsia="Arial" w:hAnsi="Arial"/>
          <w:sz w:val="19"/>
          <w:szCs w:val="19"/>
          <w:color w:val="auto"/>
        </w:rPr>
        <w:t>There shall be an eleventh series of bonds designated</w:t>
      </w:r>
      <w:r>
        <w:rPr>
          <w:rFonts w:ascii="Arial" w:cs="Arial" w:eastAsia="Arial" w:hAnsi="Arial"/>
          <w:sz w:val="19"/>
          <w:szCs w:val="19"/>
          <w:i w:val="1"/>
          <w:iCs w:val="1"/>
          <w:color w:val="auto"/>
        </w:rPr>
        <w:t xml:space="preserve"> “First Mortgage Bonds, 4.15% Series due December 15, 2028” </w:t>
      </w:r>
      <w:r>
        <w:rPr>
          <w:rFonts w:ascii="Arial" w:cs="Arial" w:eastAsia="Arial" w:hAnsi="Arial"/>
          <w:sz w:val="19"/>
          <w:szCs w:val="19"/>
          <w:color w:val="auto"/>
        </w:rPr>
        <w:t xml:space="preserve">(the </w:t>
      </w:r>
      <w:r>
        <w:rPr>
          <w:rFonts w:ascii="Arial" w:cs="Arial" w:eastAsia="Arial" w:hAnsi="Arial"/>
          <w:sz w:val="19"/>
          <w:szCs w:val="19"/>
          <w:i w:val="1"/>
          <w:iCs w:val="1"/>
          <w:color w:val="auto"/>
        </w:rPr>
        <w:t>“Bonds of the Eleventh Series”</w:t>
      </w:r>
      <w:r>
        <w:rPr>
          <w:rFonts w:ascii="Arial" w:cs="Arial" w:eastAsia="Arial" w:hAnsi="Arial"/>
          <w:sz w:val="19"/>
          <w:szCs w:val="19"/>
          <w:color w:val="auto"/>
        </w:rPr>
        <w:t>), which shall be limited to $15,000,000 aggregate principal amount, and shall be issued as fully registered bonds without coupons in the denominations of $1,000 or any multiple thereof. The Bonds of the Eleventh Series shall be dated on the date of issuance thereof, mature on December 15, 2028 or upon earlier acceleration or redemption, and shall bear interest (computed on the basis of a 360-day year of twelve 30 day months) from their date of issuance, at the rate of 4.15% per annum, payable semiannually on June 15 and December 15 of each year commencing June 15, 2009 and at the rate of 6.15% per annum on any overdue payment of principal or premium, if any, and to the extent enforceable under applicable law, or any overdue payment of interest. The Bonds of the Eleventh Series shall be numbered R-1 and upward and otherwise shall be substantially in the form attached hereto as Exhibit A. Except as hereinafter provided, the principal of, and the premium, if any, and the interest on each said bond to be payable at the office of the Company in Superior, Wisconsin or agency of the Company in the City of St. Paul, Minnesota, in such coin or currency of the United States of America as at the time of payment is legal tender for public and private debts.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2" w:right="239" w:bottom="1440" w:gutter="0" w:footer="0" w:header="0"/>
        </w:sectPr>
      </w:pPr>
    </w:p>
    <w:bookmarkStart w:id="130" w:name="page131"/>
    <w:bookmarkEnd w:id="130"/>
    <w:p>
      <w:pPr>
        <w:jc w:val="both"/>
        <w:ind w:firstLine="648"/>
        <w:spacing w:after="0" w:line="271" w:lineRule="auto"/>
        <w:rPr>
          <w:sz w:val="20"/>
          <w:szCs w:val="20"/>
          <w:color w:val="auto"/>
        </w:rPr>
      </w:pPr>
      <w:r>
        <w:rPr>
          <w:rFonts w:ascii="Arial" w:cs="Arial" w:eastAsia="Arial" w:hAnsi="Arial"/>
          <w:sz w:val="18"/>
          <w:szCs w:val="18"/>
          <w:color w:val="auto"/>
        </w:rPr>
        <w:t xml:space="preserve">Notwithstanding any provision to the contrary in the Mortgage or the Bonds of the Eleventh Series, the first paragraph of Section 9 of the Bond Purchase Agreement shall govern the method of payment of principal, premium, if any, and interest on the Bonds of the Eleventh Series to the holders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Trustee shall have no obligation to comply with the provisions of Section 9 of the Bond Purchase Agreement with respect to any transferee of the Purchaser or any other holder of the Bonds of the Eleventh Series until such transferee or holder shall have made the agreement described in Section 9 of the Bond Purchase Agreement. Subject to such proviso, the Trustee hereby consents to the method of payment described in Section 9 of the Bond Purchase Agreement. The Trustee shall not be liable or responsible to any holder of Bonds of the Eleventh Series entitled to the benefits of Section 9 of the Bond Purchase Agreement or to any transferee thereof or to the Company for any act or omission to act on the part of the Company or any such holder of Bonds of the Eleventh Series in connection with Section 9 of the Bond Purchase Agreement. The Company hereby indemnifies the Trustee against all liabilities, if any, resulting from acts or omissions on its part or on the part of the Company in connection with Section 9 of the Bond Purchase Agreement.</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The Bonds of the Eleventh Series shall be dated as of the date of authentication thereof by the Trustee (except that if any Bond of the Eleventh Series shall be authenticated on an interest payment date for the Bonds of the Eleventh Series to which interest has been paid, such Bond shall be dated as of the day following) and shall bear interest from the fifteenth day of June or December, as the case may be, next preceding the date of such Bond to which interest has been paid;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any such Bond shall be authenticated before June 15, 2014, such Bond shall bear interest from the date of the original issue of the Bonds of the Eleventh Series;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if the Company shall at the time of the authentication of any Bond of the Eleventh Series be in default in the payment of interest upon the Bonds of the Eleventh Series, such Bond shall be dated as of, and shall bear interest from, the date of the beginning of the period for which such interest is so in default.</w:t>
      </w:r>
    </w:p>
    <w:p>
      <w:pPr>
        <w:spacing w:after="0" w:line="2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Upon notice as provided in the following paragraph, the Bonds of the Eleventh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in any such case at 100% of the principal amount of the Bonds being redeemed plus interest accrued thereon to the date of redemption, together with a premium equal to the Make-Whole Amount, if any, with respect to the Bonds of the Eleventh Series being redeemed determined five Business Days prior to the date of such redemption.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2" w:right="239" w:bottom="1440" w:gutter="0" w:footer="0" w:header="0"/>
        </w:sectPr>
      </w:pPr>
    </w:p>
    <w:bookmarkStart w:id="131" w:name="page132"/>
    <w:bookmarkEnd w:id="131"/>
    <w:p>
      <w:pPr>
        <w:jc w:val="both"/>
        <w:ind w:firstLine="648"/>
        <w:spacing w:after="0" w:line="256" w:lineRule="auto"/>
        <w:rPr>
          <w:sz w:val="20"/>
          <w:szCs w:val="20"/>
          <w:color w:val="auto"/>
        </w:rPr>
      </w:pPr>
      <w:r>
        <w:rPr>
          <w:rFonts w:ascii="Arial" w:cs="Arial" w:eastAsia="Arial" w:hAnsi="Arial"/>
          <w:sz w:val="19"/>
          <w:szCs w:val="19"/>
          <w:color w:val="auto"/>
        </w:rPr>
        <w:t>Notice of any redemption of the Bonds of the Eleventh Series shall be given by the Company by mail, postage prepaid, at least 30 but not more than 60 days prior to the date of redemption, to the registered owners of all Bonds of the Eleventh Series to be so redeemed at their respective addresses appearing on the books maintained by the Company pursuant to Section 13 of the Mortgage. Any notice which is mailed as herein provided shall be conclusively presumed to have been properly and sufficiently given on the date of such mailing, whether or not the registered owner receives the notice. In any case, failure to give notice by mail, or any defect in such notice, to the registered owner of any Bond of the Eleventh Series designated for redemption in whole or in part shall not affect the validity of the proceedings for the redemption of any other Bond of the Eleventh Series. Two Business Days prior to the redemption date specified in such notice, the Company shall provide each registered owner of Bonds of the Eleventh Series to be redeemed with written notice of the premium, if any, payable with respect thereto and a reasonably detailed computation of the Make-Whole Amount.</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All partial redemptions of Bonds of the Eleventh Series shall be made ratably among all registered owners thereof in the proportion which the principal amount of the Bonds held by each registered owner bears to the aggregate principal amount of all Bonds of the Eleventh Series then outstanding, computed to the nearest $1,000 principal amount of the Bonds of the Eleventh Series.</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In the event that the principal amount of the Bonds of the Eleventh Series is declared due and payable upon the occurrence of a Default or becomes due and payable pursuant to Section 73 of the Mortgage, there shall then become due and payable, together with the principal amount of the Bonds of the Eleventh Series and interest accrued thereon, a premium equal to the amount of the Make-Whole Amount which would have been payable with respect to such Bonds of the Eleventh Series, if they had been redeemed at the option of the Company pursuant to Section 1.1 in this Twelfth Supplemental Indenture on the date on which the Bonds of the Eleventh Series became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premium, if any, with respect to the Bonds of the Eleventh Series shall become due and payable only if such Default is, or such sale is made following a Default, other than one specified in subsections (e) or (f) of Section 65 of the Mortgage.</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Any Bonds of the Eleventh Series shall be transferable by the registered owner thereof in person, or by its attorney duly authorized in writing, at the office or agency of the Company in the City of St. Paul, Minnesota, or the office of the Company in Superior, Wisconsin, upon surrender thereof for cancellation, together with a written instrument of transfer in form approved by the Company duly executed by such registered owner or by its duly authorized attorney. Upon any such transfer, a new Bond or Bonds of the Eleventh Series for the same aggregate principal amount will be issued to the transferee in exchange therefor. Any Bond of the Eleventh Series may, at the option of the registered owner thereof and upon surrender thereof for cancellation at such office or agency, be exchanged as prescribed in the Mortgage for another Bond or Bonds of the Eleventh Series of other authorized denominations having the same aggregate principal amount. In the event any written instrument of transfer is required in connection with any transfer or exchange of any Bond of the Eleventh Series, an instrument in the form attached hereto as Exhibit B is hereby approved by the Company for the purposes of Section 12 of the Mortgage.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2" w:right="239" w:bottom="1440" w:gutter="0" w:footer="0" w:header="0"/>
        </w:sectPr>
      </w:pPr>
    </w:p>
    <w:bookmarkStart w:id="132" w:name="page133"/>
    <w:bookmarkEnd w:id="132"/>
    <w:p>
      <w:pPr>
        <w:jc w:val="both"/>
        <w:ind w:firstLine="648"/>
        <w:spacing w:after="0" w:line="258" w:lineRule="auto"/>
        <w:rPr>
          <w:sz w:val="20"/>
          <w:szCs w:val="20"/>
          <w:color w:val="auto"/>
        </w:rPr>
      </w:pPr>
      <w:r>
        <w:rPr>
          <w:rFonts w:ascii="Arial" w:cs="Arial" w:eastAsia="Arial" w:hAnsi="Arial"/>
          <w:sz w:val="19"/>
          <w:szCs w:val="19"/>
          <w:color w:val="auto"/>
        </w:rPr>
        <w:t>Notwithstanding any provision of Section 12 or Section 16 of the Mortgage, (a) no charge will be made by the Company for any transfer or exchange of any Bond of the Eleventh Series or, in the case of any lost, destroyed or mutilated Bond, the issuance, authentication and delivery of a new Bond of the Eleventh Series in substitution thereof, whether for any stamp tax or other governmental charge, if any, applicable thereto or otherwise, and the Company shall reimburse the Trustee for all expenses incurred in connection therewith and (b) in the event of any loss, destruction or mutilation of any Bond of the Eleventh Series, and a request by the holder for issuance of a new Bond of the Eleventh Series in substitution therefor, the holder’s unsecured indemnity agreement shall be deemed to be satisfactory to the Company and the Trustee for purposes of Section 16 of the Mortgage.</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any provision of Section 15 of the Mortgage, Bonds of the Eleventh Series shall be authenticated, issued and delivered only as definitive bonds. Bonds of the Eleventh Series so authenticated, issued and delivered may be in the form of fully engraved bonds, bonds printed or lithographed on engraved borders, bonds printed or bonds typewritten.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 AND RESTRICTIONS</w:t>
      </w:r>
    </w:p>
    <w:p>
      <w:pPr>
        <w:spacing w:after="0" w:line="2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color w:val="auto"/>
        </w:rPr>
        <w:t>The Company covenants that, so long as any Bonds of the Eleventh Series are outstanding, it will not merge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 with any other Person or sell, lease or transfer or otherwise dispose (a </w:t>
      </w:r>
      <w:r>
        <w:rPr>
          <w:rFonts w:ascii="Arial" w:cs="Arial" w:eastAsia="Arial" w:hAnsi="Arial"/>
          <w:sz w:val="18"/>
          <w:szCs w:val="18"/>
          <w:i w:val="1"/>
          <w:iCs w:val="1"/>
          <w:color w:val="auto"/>
        </w:rPr>
        <w:t>“Disposition”</w:t>
      </w:r>
      <w:r>
        <w:rPr>
          <w:rFonts w:ascii="Arial" w:cs="Arial" w:eastAsia="Arial" w:hAnsi="Arial"/>
          <w:sz w:val="18"/>
          <w:szCs w:val="18"/>
          <w:color w:val="auto"/>
        </w:rPr>
        <w:t xml:space="preserve">) of all or a Substantial Part of its assets, or assets which shall have contributed a Substantial Part of net income of the Company for any of the three fiscal years then most recently ended, to any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may merge or consolidate with, or sell or transfer all or substantially all of its assets to, Allete, but only if (a) in the event that Allete is the continuing or surviving corporation or the acquiring corporation, Allete shall be a solvent corporation and shall expressly assume in writing all of the obligations of the Company under the Mortgage, this Twelfth Supplemental Indenture, the Bonds of the Eleventh Series and the Bond Purchase Agreement, including all covenants therein and herein contained, and Allete shall succeed to and be substituted for the Company with the same effect as if it had been named herein as a party hereto, and (b) the Company as the continuing or surviving corporation or Allete as the continuing or surviving corporation or acquiring corporation, as the case may be, shall not, immediately after such merger or consolidation, or such sale or other disposition, be in default under any of such obligations. Notwithstanding the foregoing, the Company may make a Disposition and the assets subject to such Disposition shall not be included in the determination of Substantial Part to the extent that an amount equal to the net proceeds from such Disposition are, within 365 days of such Disposition (A) reinvested in assets of a similar nature of at least equivalent value to be used in the existing business of the Company, and/or</w:t>
      </w:r>
    </w:p>
    <w:p>
      <w:pPr>
        <w:spacing w:after="0" w:line="7" w:lineRule="exact"/>
        <w:rPr>
          <w:sz w:val="20"/>
          <w:szCs w:val="20"/>
          <w:color w:val="auto"/>
        </w:rPr>
      </w:pPr>
    </w:p>
    <w:p>
      <w:pPr>
        <w:jc w:val="both"/>
        <w:ind w:firstLine="8"/>
        <w:spacing w:after="0" w:line="271" w:lineRule="auto"/>
        <w:tabs>
          <w:tab w:leader="none" w:pos="3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applied to the payment or prepayment of the Bonds of the Eleventh Series. For purposes of the foregoing clause (B), the net proceeds from such Disposition shall be used to prepay (not less than 30 or more than 60 days following such offer) the Bonds of the Eleventh Series at a price of 100% of the principal amount of the Bonds of the Eleventh Series to be prepaid (without any Make-Whole Amount) together with interest accrued to the date of prepayment; provided that if any holder of the Bonds of the Eleventh Series declines such offer, the amount that would have been paid to such holder shall be offered pro rata to the other holders of the Bonds of the Eleventh Series that have accepted the offer. A failure by a holder of Bonds of the Eleventh Series to respond in writing not later than 10 Business Days prior to the proposed prepayment date to an offer to prepay made pursuant to this Section 2.1 shall be deemed to constitute a rejection of such offer by such holder.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2" w:right="239" w:bottom="1440" w:gutter="0" w:footer="0" w:header="0"/>
        </w:sectPr>
      </w:pPr>
    </w:p>
    <w:bookmarkStart w:id="133" w:name="page134"/>
    <w:bookmarkEnd w:id="133"/>
    <w:p>
      <w:pPr>
        <w:ind w:right="20" w:firstLine="648"/>
        <w:spacing w:after="0" w:line="260" w:lineRule="auto"/>
        <w:rPr>
          <w:sz w:val="20"/>
          <w:szCs w:val="20"/>
          <w:color w:val="auto"/>
        </w:rPr>
      </w:pPr>
      <w:r>
        <w:rPr>
          <w:rFonts w:ascii="Arial" w:cs="Arial" w:eastAsia="Arial" w:hAnsi="Arial"/>
          <w:sz w:val="20"/>
          <w:szCs w:val="20"/>
          <w:i w:val="1"/>
          <w:iCs w:val="1"/>
          <w:color w:val="auto"/>
        </w:rPr>
        <w:t xml:space="preserve">Section 2.2. </w:t>
      </w:r>
      <w:r>
        <w:rPr>
          <w:rFonts w:ascii="Arial" w:cs="Arial" w:eastAsia="Arial" w:hAnsi="Arial"/>
          <w:sz w:val="20"/>
          <w:szCs w:val="20"/>
          <w:color w:val="auto"/>
        </w:rPr>
        <w:t>The Company covenants that, so long as any Bonds of the Eleventh Series shall remain outstanding, the Company will</w:t>
      </w:r>
      <w:r>
        <w:rPr>
          <w:rFonts w:ascii="Arial" w:cs="Arial" w:eastAsia="Arial" w:hAnsi="Arial"/>
          <w:sz w:val="20"/>
          <w:szCs w:val="20"/>
          <w:i w:val="1"/>
          <w:iCs w:val="1"/>
          <w:color w:val="auto"/>
        </w:rPr>
        <w:t xml:space="preserve"> </w:t>
      </w:r>
      <w:r>
        <w:rPr>
          <w:rFonts w:ascii="Arial" w:cs="Arial" w:eastAsia="Arial" w:hAnsi="Arial"/>
          <w:sz w:val="20"/>
          <w:szCs w:val="20"/>
          <w:color w:val="auto"/>
        </w:rPr>
        <w:t>not issue, sell or otherwise dispose of any of its shares of capital stock to any Person other than Allete.</w:t>
      </w:r>
    </w:p>
    <w:p>
      <w:pPr>
        <w:spacing w:after="0" w:line="190"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color w:val="auto"/>
        </w:rPr>
        <w:t>The Company covenants that, so long as any of the Bonds of the Sixth Series are outstanding, or so long as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is subject to any covenant in any other debt instrument prohibiting it from owning Subsidiaries, the Company shall not have any Subsidiaries.</w:t>
      </w:r>
    </w:p>
    <w:p>
      <w:pPr>
        <w:spacing w:after="0" w:line="144"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i w:val="1"/>
          <w:iCs w:val="1"/>
          <w:color w:val="auto"/>
        </w:rPr>
        <w:t xml:space="preserve">Section 2.4. </w:t>
      </w:r>
      <w:r>
        <w:rPr>
          <w:rFonts w:ascii="Arial" w:cs="Arial" w:eastAsia="Arial" w:hAnsi="Arial"/>
          <w:sz w:val="20"/>
          <w:szCs w:val="20"/>
          <w:color w:val="auto"/>
        </w:rPr>
        <w:t>The Company will not at any time permit any Subsidiary to, directly or indirectly, create, incur, assume, guarantee, have</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or otherwise become or remain directly or indirectly liable with respect to, any Debt other than:</w:t>
      </w:r>
    </w:p>
    <w:p>
      <w:pPr>
        <w:spacing w:after="0" w:line="190" w:lineRule="exact"/>
        <w:rPr>
          <w:sz w:val="20"/>
          <w:szCs w:val="20"/>
          <w:color w:val="auto"/>
        </w:rPr>
      </w:pPr>
    </w:p>
    <w:p>
      <w:pPr>
        <w:ind w:left="1780" w:hanging="475"/>
        <w:spacing w:after="0"/>
        <w:tabs>
          <w:tab w:leader="none" w:pos="17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Debt of a Subsidiary owed to the Company;</w:t>
      </w:r>
    </w:p>
    <w:p>
      <w:pPr>
        <w:spacing w:after="0" w:line="229" w:lineRule="exact"/>
        <w:rPr>
          <w:rFonts w:ascii="Arial" w:cs="Arial" w:eastAsia="Arial" w:hAnsi="Arial"/>
          <w:sz w:val="20"/>
          <w:szCs w:val="20"/>
          <w:color w:val="auto"/>
        </w:rPr>
      </w:pPr>
    </w:p>
    <w:p>
      <w:pPr>
        <w:jc w:val="both"/>
        <w:ind w:left="1300" w:firstLine="5"/>
        <w:spacing w:after="0" w:line="246" w:lineRule="auto"/>
        <w:tabs>
          <w:tab w:leader="none" w:pos="1801"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Debt of a Subsidiary outstanding at the time such Subsidiary becomes a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such Debt shall not have been incurred in contemplation of such Subsidiary becoming a Subsidiary and (ii) immediately after such Subsidiary becomes a Subsidiary no Default or Potential Default shall exist, and </w:t>
      </w:r>
      <w:r>
        <w:rPr>
          <w:rFonts w:ascii="Arial" w:cs="Arial" w:eastAsia="Arial" w:hAnsi="Arial"/>
          <w:sz w:val="20"/>
          <w:szCs w:val="20"/>
          <w:i w:val="1"/>
          <w:iCs w:val="1"/>
          <w:color w:val="auto"/>
        </w:rPr>
        <w:t>provided, further</w:t>
      </w:r>
      <w:r>
        <w:rPr>
          <w:rFonts w:ascii="Arial" w:cs="Arial" w:eastAsia="Arial" w:hAnsi="Arial"/>
          <w:sz w:val="20"/>
          <w:szCs w:val="20"/>
          <w:color w:val="auto"/>
        </w:rPr>
        <w:t>, that such Debt may not be extended, renewed or refunded except as otherwise permitted by this Agreement; and</w:t>
      </w:r>
    </w:p>
    <w:p>
      <w:pPr>
        <w:spacing w:after="0" w:line="205" w:lineRule="exact"/>
        <w:rPr>
          <w:rFonts w:ascii="Arial" w:cs="Arial" w:eastAsia="Arial" w:hAnsi="Arial"/>
          <w:sz w:val="20"/>
          <w:szCs w:val="20"/>
          <w:color w:val="auto"/>
        </w:rPr>
      </w:pPr>
    </w:p>
    <w:p>
      <w:pPr>
        <w:jc w:val="both"/>
        <w:ind w:left="660" w:firstLine="645"/>
        <w:spacing w:after="0" w:line="250" w:lineRule="auto"/>
        <w:tabs>
          <w:tab w:leader="none" w:pos="1790"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Debt of a Subsidiary in addition to that otherwise permitted by the foregoing provisions of this Section 2.4,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on the date the Subsidiary incurs or otherwise becomes liable with respect to any such additional Debt and immediately after giving effect thereto and the concurrent retirement of any other Debt,</w:t>
      </w:r>
    </w:p>
    <w:p>
      <w:pPr>
        <w:spacing w:after="0" w:line="186" w:lineRule="exact"/>
        <w:rPr>
          <w:rFonts w:ascii="Arial" w:cs="Arial" w:eastAsia="Arial" w:hAnsi="Arial"/>
          <w:sz w:val="20"/>
          <w:szCs w:val="20"/>
          <w:color w:val="auto"/>
        </w:rPr>
      </w:pPr>
    </w:p>
    <w:p>
      <w:pPr>
        <w:ind w:left="2380" w:hanging="427"/>
        <w:spacing w:after="0"/>
        <w:tabs>
          <w:tab w:leader="none" w:pos="23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 Default or Potential Default exists, and</w:t>
      </w:r>
    </w:p>
    <w:p>
      <w:pPr>
        <w:spacing w:after="0" w:line="229" w:lineRule="exact"/>
        <w:rPr>
          <w:rFonts w:ascii="Arial" w:cs="Arial" w:eastAsia="Arial" w:hAnsi="Arial"/>
          <w:sz w:val="20"/>
          <w:szCs w:val="20"/>
          <w:color w:val="auto"/>
        </w:rPr>
      </w:pPr>
    </w:p>
    <w:p>
      <w:pPr>
        <w:jc w:val="both"/>
        <w:ind w:left="1300" w:firstLine="653"/>
        <w:spacing w:after="0" w:line="250" w:lineRule="auto"/>
        <w:tabs>
          <w:tab w:leader="none" w:pos="2462" w:val="left"/>
        </w:tabs>
        <w:numPr>
          <w:ilvl w:val="1"/>
          <w:numId w:val="44"/>
        </w:numPr>
        <w:rPr>
          <w:rFonts w:ascii="Arial" w:cs="Arial" w:eastAsia="Arial" w:hAnsi="Arial"/>
          <w:sz w:val="20"/>
          <w:szCs w:val="20"/>
          <w:color w:val="auto"/>
        </w:rPr>
      </w:pPr>
      <w:r>
        <w:rPr>
          <w:rFonts w:ascii="Arial" w:cs="Arial" w:eastAsia="Arial" w:hAnsi="Arial"/>
          <w:sz w:val="20"/>
          <w:szCs w:val="20"/>
          <w:color w:val="auto"/>
        </w:rPr>
        <w:t>simultaneously with the incurrence thereof, the Company delivers Net Earnings Certificate showing, on the date of issuance of such Debt by such Subsidiary, the Company’s Adjusted Net Earnings to be as required by Section 27 of the Indenture to issue at least $1.00 of additional bonds under the Indenture.</w:t>
      </w:r>
    </w:p>
    <w:p>
      <w:pPr>
        <w:spacing w:after="0" w:line="200" w:lineRule="exact"/>
        <w:rPr>
          <w:sz w:val="20"/>
          <w:szCs w:val="20"/>
          <w:color w:val="auto"/>
        </w:rPr>
      </w:pPr>
    </w:p>
    <w:p>
      <w:pPr>
        <w:jc w:val="both"/>
        <w:ind w:firstLine="500"/>
        <w:spacing w:after="0" w:line="243" w:lineRule="auto"/>
        <w:rPr>
          <w:sz w:val="20"/>
          <w:szCs w:val="20"/>
          <w:color w:val="auto"/>
        </w:rPr>
      </w:pPr>
      <w:r>
        <w:rPr>
          <w:rFonts w:ascii="Arial" w:cs="Arial" w:eastAsia="Arial" w:hAnsi="Arial"/>
          <w:sz w:val="20"/>
          <w:szCs w:val="20"/>
          <w:i w:val="1"/>
          <w:iCs w:val="1"/>
          <w:color w:val="auto"/>
        </w:rPr>
        <w:t xml:space="preserve">Section 2.5. </w:t>
      </w:r>
      <w:r>
        <w:rPr>
          <w:rFonts w:ascii="Arial" w:cs="Arial" w:eastAsia="Arial" w:hAnsi="Arial"/>
          <w:sz w:val="20"/>
          <w:szCs w:val="20"/>
          <w:color w:val="auto"/>
        </w:rPr>
        <w:t>A default by the Company in the observance of any covenant or agreement contained in Sections 2.1 through 2.4,</w:t>
      </w:r>
      <w:r>
        <w:rPr>
          <w:rFonts w:ascii="Arial" w:cs="Arial" w:eastAsia="Arial" w:hAnsi="Arial"/>
          <w:sz w:val="20"/>
          <w:szCs w:val="20"/>
          <w:i w:val="1"/>
          <w:iCs w:val="1"/>
          <w:color w:val="auto"/>
        </w:rPr>
        <w:t xml:space="preserve"> </w:t>
      </w:r>
      <w:r>
        <w:rPr>
          <w:rFonts w:ascii="Arial" w:cs="Arial" w:eastAsia="Arial" w:hAnsi="Arial"/>
          <w:sz w:val="20"/>
          <w:szCs w:val="20"/>
          <w:color w:val="auto"/>
        </w:rPr>
        <w:t>inclusive, of this Twelfth Supplemental Indenture or the occurrence of an Event of Default (as defined herein) shall be deemed to constitute an additional and independent Default under, and defined in, Section 65 of the Mortgage. None of the additional Defaults provided for pursuant to this Section 2.5 are intended or shall be deemed to limit any of the Defaults currently expressed in the Mortgage and none of the Defaults currently expressed in the Mortgage are intended or shall be deemed to limit any of the additional Defaults provided for pursuant to this Section 2.5.</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2"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13" w:lineRule="exact"/>
        <w:rPr>
          <w:sz w:val="20"/>
          <w:szCs w:val="20"/>
          <w:color w:val="auto"/>
        </w:rPr>
      </w:pPr>
    </w:p>
    <w:p>
      <w:pPr>
        <w:ind w:left="500"/>
        <w:spacing w:after="0"/>
        <w:tabs>
          <w:tab w:leader="none" w:pos="1660" w:val="left"/>
        </w:tabs>
        <w:rPr>
          <w:sz w:val="20"/>
          <w:szCs w:val="20"/>
          <w:color w:val="auto"/>
        </w:rPr>
      </w:pPr>
      <w:r>
        <w:rPr>
          <w:rFonts w:ascii="Arial" w:cs="Arial" w:eastAsia="Arial" w:hAnsi="Arial"/>
          <w:sz w:val="20"/>
          <w:szCs w:val="20"/>
          <w:i w:val="1"/>
          <w:iCs w:val="1"/>
          <w:color w:val="auto"/>
        </w:rPr>
        <w:t>Section 3.1.</w:t>
      </w:r>
      <w:r>
        <w:rPr>
          <w:sz w:val="20"/>
          <w:szCs w:val="20"/>
          <w:color w:val="auto"/>
        </w:rPr>
        <w:tab/>
      </w:r>
      <w:r>
        <w:rPr>
          <w:rFonts w:ascii="Arial" w:cs="Arial" w:eastAsia="Arial" w:hAnsi="Arial"/>
          <w:sz w:val="18"/>
          <w:szCs w:val="18"/>
          <w:color w:val="auto"/>
        </w:rPr>
        <w:t>For purposes of this Twelfth Supplemental Indenture, the following terms have the following meanings indicated below: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“Allete” </w:t>
      </w:r>
      <w:r>
        <w:rPr>
          <w:rFonts w:ascii="Arial" w:cs="Arial" w:eastAsia="Arial" w:hAnsi="Arial"/>
          <w:sz w:val="20"/>
          <w:szCs w:val="20"/>
          <w:color w:val="auto"/>
        </w:rPr>
        <w:t>shall mean ALLETE, Inc., a Minnesota corporation, or any successor to Allete, Inc.</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“Bond Purchase Agreement” </w:t>
      </w:r>
      <w:r>
        <w:rPr>
          <w:rFonts w:ascii="Arial" w:cs="Arial" w:eastAsia="Arial" w:hAnsi="Arial"/>
          <w:sz w:val="20"/>
          <w:szCs w:val="20"/>
          <w:color w:val="auto"/>
        </w:rPr>
        <w:t>shall mean the Bond Purchase Agreement dated as of December 13, 2013, between the Company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Purchaser.</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“Business Day” </w:t>
      </w:r>
      <w:r>
        <w:rPr>
          <w:rFonts w:ascii="Arial" w:cs="Arial" w:eastAsia="Arial" w:hAnsi="Arial"/>
          <w:sz w:val="20"/>
          <w:szCs w:val="20"/>
          <w:color w:val="auto"/>
        </w:rPr>
        <w:t>shall mean any day other than a Saturday, Sunday or a day on which commercial banks in Chicago, Illinois, or</w:t>
      </w:r>
      <w:r>
        <w:rPr>
          <w:rFonts w:ascii="Arial" w:cs="Arial" w:eastAsia="Arial" w:hAnsi="Arial"/>
          <w:sz w:val="20"/>
          <w:szCs w:val="20"/>
          <w:i w:val="1"/>
          <w:iCs w:val="1"/>
          <w:color w:val="auto"/>
        </w:rPr>
        <w:t xml:space="preserve"> </w:t>
      </w:r>
      <w:r>
        <w:rPr>
          <w:rFonts w:ascii="Arial" w:cs="Arial" w:eastAsia="Arial" w:hAnsi="Arial"/>
          <w:sz w:val="20"/>
          <w:szCs w:val="20"/>
          <w:color w:val="auto"/>
        </w:rPr>
        <w:t>Milwaukee, Wisconsin, are required or authorized to be closed.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“Capitalized Lease Obligation” </w:t>
      </w:r>
      <w:r>
        <w:rPr>
          <w:rFonts w:ascii="Arial" w:cs="Arial" w:eastAsia="Arial" w:hAnsi="Arial"/>
          <w:sz w:val="20"/>
          <w:szCs w:val="20"/>
          <w:color w:val="auto"/>
        </w:rPr>
        <w:t>shall mean with respect to any Person any rental obligation which, under generally accepted</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principles, would be required to be capitalized on the books of such Person, taken at the amount thereof accounted for as indebtedness (net of interest expense) in accordance with such principles.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“Consolidated Net Worth” </w:t>
      </w:r>
      <w:r>
        <w:rPr>
          <w:rFonts w:ascii="Arial" w:cs="Arial" w:eastAsia="Arial" w:hAnsi="Arial"/>
          <w:sz w:val="20"/>
          <w:szCs w:val="20"/>
          <w:color w:val="auto"/>
        </w:rPr>
        <w:t>shall mean the net worth of the Company and its Subsidiaries determined on a consolidated basis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GAAP.</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“Debt” </w:t>
      </w:r>
      <w:r>
        <w:rPr>
          <w:rFonts w:ascii="Arial" w:cs="Arial" w:eastAsia="Arial" w:hAnsi="Arial"/>
          <w:sz w:val="20"/>
          <w:szCs w:val="20"/>
          <w:color w:val="auto"/>
        </w:rPr>
        <w:t>means, with respect to any Person, without duplication,</w:t>
      </w:r>
    </w:p>
    <w:p>
      <w:pPr>
        <w:spacing w:after="0" w:line="229" w:lineRule="exact"/>
        <w:rPr>
          <w:sz w:val="20"/>
          <w:szCs w:val="20"/>
          <w:color w:val="auto"/>
        </w:rPr>
      </w:pPr>
    </w:p>
    <w:p>
      <w:pPr>
        <w:ind w:left="1780" w:hanging="475"/>
        <w:spacing w:after="0"/>
        <w:tabs>
          <w:tab w:leader="none" w:pos="17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its liabilities for borrowed money;</w:t>
      </w:r>
    </w:p>
    <w:p>
      <w:pPr>
        <w:spacing w:after="0" w:line="229" w:lineRule="exact"/>
        <w:rPr>
          <w:rFonts w:ascii="Arial" w:cs="Arial" w:eastAsia="Arial" w:hAnsi="Arial"/>
          <w:sz w:val="20"/>
          <w:szCs w:val="20"/>
          <w:color w:val="auto"/>
        </w:rPr>
      </w:pPr>
    </w:p>
    <w:p>
      <w:pPr>
        <w:jc w:val="both"/>
        <w:ind w:left="660" w:firstLine="645"/>
        <w:spacing w:after="0" w:line="250" w:lineRule="auto"/>
        <w:tabs>
          <w:tab w:leader="none" w:pos="1826" w:val="left"/>
        </w:tabs>
        <w:numPr>
          <w:ilvl w:val="0"/>
          <w:numId w:val="45"/>
        </w:numPr>
        <w:rPr>
          <w:rFonts w:ascii="Arial" w:cs="Arial" w:eastAsia="Arial" w:hAnsi="Arial"/>
          <w:sz w:val="20"/>
          <w:szCs w:val="20"/>
          <w:color w:val="auto"/>
        </w:rPr>
      </w:pPr>
      <w:r>
        <w:rPr>
          <w:rFonts w:ascii="Arial" w:cs="Arial" w:eastAsia="Arial" w:hAnsi="Arial"/>
          <w:sz w:val="20"/>
          <w:szCs w:val="20"/>
          <w:color w:val="auto"/>
        </w:rPr>
        <w:t>its liabilities for the deferred purchase price of property acquired by such Person (excluding accounts payable arising in the ordinary course of business but including, without limitation, all liabilities created or arising under any conditional sale or other title retention agreement with respect to any such property);</w:t>
      </w:r>
    </w:p>
    <w:p>
      <w:pPr>
        <w:spacing w:after="0" w:line="199" w:lineRule="exact"/>
        <w:rPr>
          <w:rFonts w:ascii="Arial" w:cs="Arial" w:eastAsia="Arial" w:hAnsi="Arial"/>
          <w:sz w:val="20"/>
          <w:szCs w:val="20"/>
          <w:color w:val="auto"/>
        </w:rPr>
      </w:pPr>
    </w:p>
    <w:p>
      <w:pPr>
        <w:ind w:left="1780" w:hanging="475"/>
        <w:spacing w:after="0"/>
        <w:tabs>
          <w:tab w:leader="none" w:pos="17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its Capital Lease Obligations;</w:t>
      </w:r>
    </w:p>
    <w:p>
      <w:pPr>
        <w:spacing w:after="0" w:line="229" w:lineRule="exact"/>
        <w:rPr>
          <w:rFonts w:ascii="Arial" w:cs="Arial" w:eastAsia="Arial" w:hAnsi="Arial"/>
          <w:sz w:val="20"/>
          <w:szCs w:val="20"/>
          <w:color w:val="auto"/>
        </w:rPr>
      </w:pPr>
    </w:p>
    <w:p>
      <w:pPr>
        <w:ind w:left="660" w:firstLine="645"/>
        <w:spacing w:after="0" w:line="260" w:lineRule="auto"/>
        <w:tabs>
          <w:tab w:leader="none" w:pos="1792" w:val="left"/>
        </w:tabs>
        <w:numPr>
          <w:ilvl w:val="0"/>
          <w:numId w:val="45"/>
        </w:numPr>
        <w:rPr>
          <w:rFonts w:ascii="Arial" w:cs="Arial" w:eastAsia="Arial" w:hAnsi="Arial"/>
          <w:sz w:val="20"/>
          <w:szCs w:val="20"/>
          <w:color w:val="auto"/>
        </w:rPr>
      </w:pPr>
      <w:r>
        <w:rPr>
          <w:rFonts w:ascii="Arial" w:cs="Arial" w:eastAsia="Arial" w:hAnsi="Arial"/>
          <w:sz w:val="20"/>
          <w:szCs w:val="20"/>
          <w:color w:val="auto"/>
        </w:rPr>
        <w:t>all liabilities for borrowed money secured by any lien with respect to any property owned by such Person (whether or not it has assumed or otherwise become liable for such liabilities);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76" w:right="239" w:bottom="1440" w:gutter="0" w:footer="0" w:header="0"/>
        </w:sectPr>
      </w:pPr>
    </w:p>
    <w:bookmarkStart w:id="135" w:name="page136"/>
    <w:bookmarkEnd w:id="135"/>
    <w:p>
      <w:pPr>
        <w:ind w:left="1780" w:hanging="475"/>
        <w:spacing w:after="0"/>
        <w:tabs>
          <w:tab w:leader="none" w:pos="17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guaranty of such Person with respect to liabilities of a type described in any of clauses (a) through (d) hereof.</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Debt of any Person shall include all obligations of such Person of the character described in clauses (a) through (e) to the extent such Person remains legally liable in respect thereof notwithstanding that any such obligation is deemed to be extinguished under GAAP.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“Disposition” </w:t>
      </w:r>
      <w:r>
        <w:rPr>
          <w:rFonts w:ascii="Arial" w:cs="Arial" w:eastAsia="Arial" w:hAnsi="Arial"/>
          <w:sz w:val="20"/>
          <w:szCs w:val="20"/>
          <w:color w:val="auto"/>
        </w:rPr>
        <w:t>shall have the meaning set forth for such term in Section 2.1.</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“Event of Default” </w:t>
      </w:r>
      <w:r>
        <w:rPr>
          <w:rFonts w:ascii="Arial" w:cs="Arial" w:eastAsia="Arial" w:hAnsi="Arial"/>
          <w:sz w:val="20"/>
          <w:szCs w:val="20"/>
          <w:color w:val="auto"/>
        </w:rPr>
        <w:t>shall mean any of the following events which shall occur and be continuing for any reason whatsoever at any time</w:t>
      </w:r>
      <w:r>
        <w:rPr>
          <w:rFonts w:ascii="Arial" w:cs="Arial" w:eastAsia="Arial" w:hAnsi="Arial"/>
          <w:sz w:val="20"/>
          <w:szCs w:val="20"/>
          <w:i w:val="1"/>
          <w:iCs w:val="1"/>
          <w:color w:val="auto"/>
        </w:rPr>
        <w:t xml:space="preserve"> </w:t>
      </w:r>
      <w:r>
        <w:rPr>
          <w:rFonts w:ascii="Arial" w:cs="Arial" w:eastAsia="Arial" w:hAnsi="Arial"/>
          <w:sz w:val="20"/>
          <w:szCs w:val="20"/>
          <w:color w:val="auto"/>
        </w:rPr>
        <w:t>when any of the Bonds of the Eleventh Series shall be outstanding (and whether such occurrence shall be voluntary or involuntary or come about or be effected by operation of law or otherwise):</w:t>
      </w:r>
    </w:p>
    <w:p>
      <w:pPr>
        <w:spacing w:after="0" w:line="200" w:lineRule="exact"/>
        <w:rPr>
          <w:sz w:val="20"/>
          <w:szCs w:val="20"/>
          <w:color w:val="auto"/>
        </w:rPr>
      </w:pPr>
    </w:p>
    <w:p>
      <w:pPr>
        <w:jc w:val="both"/>
        <w:ind w:left="660" w:firstLine="645"/>
        <w:spacing w:after="0" w:line="250" w:lineRule="auto"/>
        <w:tabs>
          <w:tab w:leader="none" w:pos="187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 defaults in the payment of any principal or premium, if any, payable with respect to any Bond of the Eleventh Series when the same shall become due, either by the terms thereof or otherwise as provided in the Mortgage, this Twelfth Supplemental Indenture or the Bond Purchase Agreement; or</w:t>
      </w:r>
    </w:p>
    <w:p>
      <w:pPr>
        <w:spacing w:after="0" w:line="199" w:lineRule="exact"/>
        <w:rPr>
          <w:rFonts w:ascii="Arial" w:cs="Arial" w:eastAsia="Arial" w:hAnsi="Arial"/>
          <w:sz w:val="20"/>
          <w:szCs w:val="20"/>
          <w:color w:val="auto"/>
        </w:rPr>
      </w:pPr>
    </w:p>
    <w:p>
      <w:pPr>
        <w:ind w:left="1800" w:hanging="495"/>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defaults in the payment of any interest on any Bond of the Eleventh Series for more than 5 days after the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due date; or</w:t>
      </w:r>
    </w:p>
    <w:p>
      <w:pPr>
        <w:spacing w:after="0" w:line="199" w:lineRule="exact"/>
        <w:rPr>
          <w:rFonts w:ascii="Arial" w:cs="Arial" w:eastAsia="Arial" w:hAnsi="Arial"/>
          <w:sz w:val="18"/>
          <w:szCs w:val="18"/>
          <w:color w:val="auto"/>
        </w:rPr>
      </w:pPr>
    </w:p>
    <w:p>
      <w:pPr>
        <w:jc w:val="both"/>
        <w:ind w:left="660" w:firstLine="645"/>
        <w:spacing w:after="0" w:line="256" w:lineRule="auto"/>
        <w:tabs>
          <w:tab w:leader="none" w:pos="193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Company defaults (whether as primary obligor or as guarantor or other surety) in any payment of principal of or interest on any other obligation for money borrowed (or any Capitalized Lease Obligation, any obligation under a conditional sale or other title retention agreement, any obligation issued or assumed as full or partial payment for property whether or not secured by a purchase money mortgage or any obligation under notes payable or drafts accepted representing extensions of credit) beyond any period of grace provided with respect thereto and as a result, the aggregate principal amount of all such defaulted obligations exceeds $100,000 or the Company fails to perform or observe any other agreement, term or condition contained in any agreement under which any such obligations are created (or if any other event thereunder or under any such agreement shall occur and be continuing) and the effect of such failure or other event is to cause, or to permit the holder or holders of such obligations (or a trustee on behalf of such holder or holders) to cause, such obligations in the aggregate principal amount in excess of $100,000 to become due (or to be repurchased by the Company) prior to any stated maturity; or</w:t>
      </w:r>
    </w:p>
    <w:p>
      <w:pPr>
        <w:spacing w:after="0" w:line="194" w:lineRule="exact"/>
        <w:rPr>
          <w:rFonts w:ascii="Arial" w:cs="Arial" w:eastAsia="Arial" w:hAnsi="Arial"/>
          <w:sz w:val="19"/>
          <w:szCs w:val="19"/>
          <w:color w:val="auto"/>
        </w:rPr>
      </w:pPr>
    </w:p>
    <w:p>
      <w:pPr>
        <w:jc w:val="both"/>
        <w:ind w:left="660" w:firstLine="645"/>
        <w:spacing w:after="0" w:line="291" w:lineRule="auto"/>
        <w:tabs>
          <w:tab w:leader="none" w:pos="19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representation or warranty made by the Company in this Twelfth Supplemental Indenture or the Bond Purchase Agreement or by the Company or any of its officers in any writing furnished in connection with or pursuant to this Twelfth Supplemental Indenture or the Bond Purchase Agreement shall be false in any material respect on the date as of which made;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2" w:right="239" w:bottom="1440" w:gutter="0" w:footer="0" w:header="0"/>
        </w:sectPr>
      </w:pPr>
    </w:p>
    <w:bookmarkStart w:id="136" w:name="page137"/>
    <w:bookmarkEnd w:id="136"/>
    <w:p>
      <w:pPr>
        <w:ind w:firstLine="645"/>
        <w:spacing w:after="0" w:line="260" w:lineRule="auto"/>
        <w:tabs>
          <w:tab w:leader="none" w:pos="1252"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Company fails to perform or observe any agreement, term or condition contained in the Mortgage, this Twelfth Supplemental Indenture or the Bond Purchase Agreement; or</w:t>
      </w:r>
    </w:p>
    <w:p>
      <w:pPr>
        <w:spacing w:after="0" w:line="190" w:lineRule="exact"/>
        <w:rPr>
          <w:rFonts w:ascii="Arial" w:cs="Arial" w:eastAsia="Arial" w:hAnsi="Arial"/>
          <w:sz w:val="20"/>
          <w:szCs w:val="20"/>
          <w:color w:val="auto"/>
        </w:rPr>
      </w:pPr>
    </w:p>
    <w:p>
      <w:pPr>
        <w:ind w:left="1200" w:hanging="555"/>
        <w:spacing w:after="0"/>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makes an assignment for the benefit of creditors or is generally not paying its debts as such debts become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due; or</w:t>
      </w:r>
    </w:p>
    <w:p>
      <w:pPr>
        <w:spacing w:after="0" w:line="199" w:lineRule="exact"/>
        <w:rPr>
          <w:rFonts w:ascii="Arial" w:cs="Arial" w:eastAsia="Arial" w:hAnsi="Arial"/>
          <w:sz w:val="16"/>
          <w:szCs w:val="16"/>
          <w:color w:val="auto"/>
        </w:rPr>
      </w:pPr>
    </w:p>
    <w:p>
      <w:pPr>
        <w:jc w:val="both"/>
        <w:ind w:firstLine="591"/>
        <w:spacing w:after="0" w:line="250" w:lineRule="auto"/>
        <w:tabs>
          <w:tab w:leader="none" w:pos="12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any decree or order for relief in respect of the Company is entered under any bankruptcy, reorganization, compromise, arrangement, insolvency, readjustment of debt, dissolution or liquidation or similar law, whether now or hereafter in effect (herein called the Bankruptcy Law), of any jurisdiction; or</w:t>
      </w:r>
    </w:p>
    <w:p>
      <w:pPr>
        <w:spacing w:after="0" w:line="199" w:lineRule="exact"/>
        <w:rPr>
          <w:rFonts w:ascii="Arial" w:cs="Arial" w:eastAsia="Arial" w:hAnsi="Arial"/>
          <w:sz w:val="20"/>
          <w:szCs w:val="20"/>
          <w:color w:val="auto"/>
        </w:rPr>
      </w:pPr>
    </w:p>
    <w:p>
      <w:pPr>
        <w:jc w:val="both"/>
        <w:ind w:firstLine="537"/>
        <w:spacing w:after="0" w:line="246" w:lineRule="auto"/>
        <w:tabs>
          <w:tab w:leader="none" w:pos="1302"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Company petitions or applies to any tribunal for, or consents to, the appointment of, or taking possession by, a trustee, receiver, custodian, liquidator or similar official of the Company or of any Substantial Part of the assets of the Company or commences a voluntary case under the Bankruptcy Law of the United States or any proceedings relating to the Company under the Bankruptcy Law of any other jurisdiction; or</w:t>
      </w:r>
    </w:p>
    <w:p>
      <w:pPr>
        <w:spacing w:after="0" w:line="205" w:lineRule="exact"/>
        <w:rPr>
          <w:rFonts w:ascii="Arial" w:cs="Arial" w:eastAsia="Arial" w:hAnsi="Arial"/>
          <w:sz w:val="20"/>
          <w:szCs w:val="20"/>
          <w:color w:val="auto"/>
        </w:rPr>
      </w:pPr>
    </w:p>
    <w:p>
      <w:pPr>
        <w:jc w:val="both"/>
        <w:ind w:firstLine="645"/>
        <w:spacing w:after="0" w:line="291" w:lineRule="auto"/>
        <w:tabs>
          <w:tab w:leader="none" w:pos="13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such petition or application is filed, or any such proceedings are commenced, against the Company, and the Company by any act indicates its approval thereof, consent thereto or acquiescence therein, or an order, judgment or decree is entered appointing any such trustee, receiver, custodian, liquidator or similar official, or approving the petition in any such proceedings; or</w:t>
      </w:r>
    </w:p>
    <w:p>
      <w:pPr>
        <w:spacing w:after="0" w:line="165" w:lineRule="exact"/>
        <w:rPr>
          <w:rFonts w:ascii="Arial" w:cs="Arial" w:eastAsia="Arial" w:hAnsi="Arial"/>
          <w:sz w:val="18"/>
          <w:szCs w:val="18"/>
          <w:color w:val="auto"/>
        </w:rPr>
      </w:pPr>
    </w:p>
    <w:p>
      <w:pPr>
        <w:ind w:firstLine="645"/>
        <w:spacing w:after="0" w:line="260" w:lineRule="auto"/>
        <w:tabs>
          <w:tab w:leader="none" w:pos="1274"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order, judgment or decree is entered in any proceedings against the Company decreeing the dissolution of the Company and such order, judgment or decree remains unstayed and in effect for more than 60 days; or</w:t>
      </w:r>
    </w:p>
    <w:p>
      <w:pPr>
        <w:spacing w:after="0" w:line="190" w:lineRule="exact"/>
        <w:rPr>
          <w:rFonts w:ascii="Arial" w:cs="Arial" w:eastAsia="Arial" w:hAnsi="Arial"/>
          <w:sz w:val="20"/>
          <w:szCs w:val="20"/>
          <w:color w:val="auto"/>
        </w:rPr>
      </w:pPr>
    </w:p>
    <w:p>
      <w:pPr>
        <w:jc w:val="both"/>
        <w:ind w:firstLine="645"/>
        <w:spacing w:after="0" w:line="282" w:lineRule="auto"/>
        <w:tabs>
          <w:tab w:leader="none" w:pos="122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order, judgment or decree is entered in any proceedings against the Company decreeing a split-up of the Company which requires the divestiture of assets representing a Substantial Part of the assets of the Company or which requires the divestiture of assets which shall have contributed a Substantial Part of the net income of the Company for any of the three fiscal years then most recently ended, and such order, judgment or decree remains unstayed and in effect for more than 60 days; or</w:t>
      </w:r>
    </w:p>
    <w:p>
      <w:pPr>
        <w:spacing w:after="0" w:line="162" w:lineRule="exact"/>
        <w:rPr>
          <w:sz w:val="20"/>
          <w:szCs w:val="20"/>
          <w:color w:val="auto"/>
        </w:rPr>
      </w:pPr>
    </w:p>
    <w:p>
      <w:pPr>
        <w:jc w:val="both"/>
        <w:ind w:firstLine="591"/>
        <w:spacing w:after="0" w:line="250" w:lineRule="auto"/>
        <w:tabs>
          <w:tab w:leader="none" w:pos="1245" w:val="left"/>
        </w:tabs>
        <w:numPr>
          <w:ilvl w:val="0"/>
          <w:numId w:val="50"/>
        </w:numPr>
        <w:rPr>
          <w:rFonts w:ascii="Arial" w:cs="Arial" w:eastAsia="Arial" w:hAnsi="Arial"/>
          <w:sz w:val="20"/>
          <w:szCs w:val="20"/>
          <w:color w:val="auto"/>
        </w:rPr>
      </w:pPr>
      <w:r>
        <w:rPr>
          <w:rFonts w:ascii="Arial" w:cs="Arial" w:eastAsia="Arial" w:hAnsi="Arial"/>
          <w:sz w:val="20"/>
          <w:szCs w:val="20"/>
          <w:color w:val="auto"/>
        </w:rPr>
        <w:t>a final judgment in an amount in excess of $100,000 is rendered against the Company and, within 60 days after entry thereof, such judgment is not discharged or execution thereof stayed pending appeal, or within 60 days after the expiration of any such stay, such judgment is not discharged; or</w:t>
      </w:r>
    </w:p>
    <w:p>
      <w:pPr>
        <w:spacing w:after="0" w:line="199" w:lineRule="exact"/>
        <w:rPr>
          <w:rFonts w:ascii="Arial" w:cs="Arial" w:eastAsia="Arial" w:hAnsi="Arial"/>
          <w:sz w:val="20"/>
          <w:szCs w:val="20"/>
          <w:color w:val="auto"/>
        </w:rPr>
      </w:pPr>
    </w:p>
    <w:p>
      <w:pPr>
        <w:ind w:left="1180" w:hanging="643"/>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Allete shall cease to own of record and beneficially 100% of the outstanding shares of capital stock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color w:val="auto"/>
        </w:rPr>
        <w:t>GAAP</w:t>
      </w:r>
      <w:r>
        <w:rPr>
          <w:rFonts w:ascii="Arial" w:cs="Arial" w:eastAsia="Arial" w:hAnsi="Arial"/>
          <w:sz w:val="20"/>
          <w:szCs w:val="20"/>
          <w:i w:val="1"/>
          <w:iCs w:val="1"/>
          <w:color w:val="auto"/>
        </w:rPr>
        <w:t xml:space="preserve">” </w:t>
      </w:r>
      <w:r>
        <w:rPr>
          <w:rFonts w:ascii="Arial" w:cs="Arial" w:eastAsia="Arial" w:hAnsi="Arial"/>
          <w:sz w:val="20"/>
          <w:szCs w:val="20"/>
          <w:color w:val="auto"/>
        </w:rPr>
        <w:t>means generally accepted accounting principles as in effect from time to time in the United States of America.</w:t>
      </w:r>
    </w:p>
    <w:p>
      <w:pPr>
        <w:spacing w:after="0" w:line="2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0"/>
          </w:cols>
          <w:pgMar w:left="900" w:top="582" w:right="239" w:bottom="1440" w:gutter="0" w:footer="0" w:header="0"/>
        </w:sectPr>
      </w:pPr>
    </w:p>
    <w:bookmarkStart w:id="137" w:name="page138"/>
    <w:bookmarkEnd w:id="137"/>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“Make-Whole Amount” </w:t>
      </w:r>
      <w:r>
        <w:rPr>
          <w:rFonts w:ascii="Arial" w:cs="Arial" w:eastAsia="Arial" w:hAnsi="Arial"/>
          <w:sz w:val="20"/>
          <w:szCs w:val="20"/>
          <w:color w:val="auto"/>
        </w:rPr>
        <w:t>means, with respect to any Bond of the Eleventh Series, an amount equal to the excess, if any, of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Discounted Value of the Remaining Scheduled Payments with respect to the Called Principal of such Bond of the Eleventh Series over the amount of such Called Principal,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Make-Whole Amount may in no event be less than zero. For the purposes of determining the Make-Whole Amount, the following terms have the following meanings:</w:t>
      </w:r>
    </w:p>
    <w:p>
      <w:pPr>
        <w:spacing w:after="0" w:line="205"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i w:val="1"/>
          <w:iCs w:val="1"/>
          <w:color w:val="auto"/>
        </w:rPr>
        <w:t xml:space="preserve">“Called Principal” </w:t>
      </w:r>
      <w:r>
        <w:rPr>
          <w:rFonts w:ascii="Arial" w:cs="Arial" w:eastAsia="Arial" w:hAnsi="Arial"/>
          <w:sz w:val="19"/>
          <w:szCs w:val="19"/>
          <w:color w:val="auto"/>
        </w:rPr>
        <w:t>means, with respect to any Bond of the Eleventh Series, the principal of such Bond of the Eleventh Series</w:t>
      </w:r>
      <w:r>
        <w:rPr>
          <w:rFonts w:ascii="Arial" w:cs="Arial" w:eastAsia="Arial" w:hAnsi="Arial"/>
          <w:sz w:val="19"/>
          <w:szCs w:val="19"/>
          <w:i w:val="1"/>
          <w:iCs w:val="1"/>
          <w:color w:val="auto"/>
        </w:rPr>
        <w:t xml:space="preserve"> </w:t>
      </w:r>
      <w:r>
        <w:rPr>
          <w:rFonts w:ascii="Arial" w:cs="Arial" w:eastAsia="Arial" w:hAnsi="Arial"/>
          <w:sz w:val="19"/>
          <w:szCs w:val="19"/>
          <w:color w:val="auto"/>
        </w:rPr>
        <w:t>that is to be prepaid or has become or is declared to be immediately due and payable, as the context requires.</w:t>
      </w:r>
    </w:p>
    <w:p>
      <w:pPr>
        <w:spacing w:after="0" w:line="16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i w:val="1"/>
          <w:iCs w:val="1"/>
          <w:color w:val="auto"/>
        </w:rPr>
        <w:t xml:space="preserve">“Discounted Value” </w:t>
      </w:r>
      <w:r>
        <w:rPr>
          <w:rFonts w:ascii="Arial" w:cs="Arial" w:eastAsia="Arial" w:hAnsi="Arial"/>
          <w:sz w:val="20"/>
          <w:szCs w:val="20"/>
          <w:color w:val="auto"/>
        </w:rPr>
        <w:t>means, with respect to the Called Principal of any Bond of the Eleventh Series, the amount obtained by</w:t>
      </w:r>
      <w:r>
        <w:rPr>
          <w:rFonts w:ascii="Arial" w:cs="Arial" w:eastAsia="Arial" w:hAnsi="Arial"/>
          <w:sz w:val="20"/>
          <w:szCs w:val="20"/>
          <w:i w:val="1"/>
          <w:iCs w:val="1"/>
          <w:color w:val="auto"/>
        </w:rPr>
        <w:t xml:space="preserve"> </w:t>
      </w:r>
      <w:r>
        <w:rPr>
          <w:rFonts w:ascii="Arial" w:cs="Arial" w:eastAsia="Arial" w:hAnsi="Arial"/>
          <w:sz w:val="20"/>
          <w:szCs w:val="20"/>
          <w:color w:val="auto"/>
        </w:rPr>
        <w:t>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 of the Eleventh Series is payable) equal to the Reinvestment Yield with respect to such Called Principal.</w:t>
      </w:r>
    </w:p>
    <w:p>
      <w:pPr>
        <w:spacing w:after="0" w:line="208"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0"/>
          <w:szCs w:val="20"/>
          <w:i w:val="1"/>
          <w:iCs w:val="1"/>
          <w:color w:val="auto"/>
        </w:rPr>
        <w:t xml:space="preserve">“Reinvestment Yield” </w:t>
      </w:r>
      <w:r>
        <w:rPr>
          <w:rFonts w:ascii="Arial" w:cs="Arial" w:eastAsia="Arial" w:hAnsi="Arial"/>
          <w:sz w:val="20"/>
          <w:szCs w:val="20"/>
          <w:color w:val="auto"/>
        </w:rPr>
        <w:t>means, with respect to the Called Principal of any Bond of the Eleventh Series, the yield to maturity</w:t>
      </w:r>
      <w:r>
        <w:rPr>
          <w:rFonts w:ascii="Arial" w:cs="Arial" w:eastAsia="Arial" w:hAnsi="Arial"/>
          <w:sz w:val="20"/>
          <w:szCs w:val="20"/>
          <w:i w:val="1"/>
          <w:iCs w:val="1"/>
          <w:color w:val="auto"/>
        </w:rPr>
        <w:t xml:space="preserve"> </w:t>
      </w:r>
      <w:r>
        <w:rPr>
          <w:rFonts w:ascii="Arial" w:cs="Arial" w:eastAsia="Arial" w:hAnsi="Arial"/>
          <w:sz w:val="20"/>
          <w:szCs w:val="20"/>
          <w:color w:val="auto"/>
        </w:rPr>
        <w:t>implied by (i) the yields reported as of</w:t>
      </w:r>
    </w:p>
    <w:p>
      <w:pPr>
        <w:spacing w:after="0" w:line="2"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color w:val="auto"/>
        </w:rPr>
        <w:t>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 the run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(or any comparable successor publication) for U.S. Treasury securities having a constant maturity equal to the Remaining Average Life of such Called Principal as of such Settlement Date.</w:t>
      </w:r>
    </w:p>
    <w:p>
      <w:pPr>
        <w:spacing w:after="0" w:line="187"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In the case of each determination under clause (i) or clause (ii), as the case may be, of the preceding paragraph, such implied yield will be determined, if necessary, by (a) converting U.S. Treasury bill quotations to bond equivalent yields in accordance with accepted financial practice and (b) interpolating linearly between (1) the applicable U.S. Treasury security with the maturity closest to and greater than such Remaining Average Life and (2) the applicable U.S. Treasury security with the maturity closest to and less than such Remaining Average Life. The Reinvestment Yield shall be rounded to the number of decimal places as appears in the interest rate of the applicable Bond of the Eleventh Series.</w:t>
      </w:r>
    </w:p>
    <w:p>
      <w:pPr>
        <w:spacing w:after="0" w:line="210"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i w:val="1"/>
          <w:iCs w:val="1"/>
          <w:color w:val="auto"/>
        </w:rPr>
        <w:t xml:space="preserve">“Remaining Average Life” </w:t>
      </w:r>
      <w:r>
        <w:rPr>
          <w:rFonts w:ascii="Arial" w:cs="Arial" w:eastAsia="Arial" w:hAnsi="Arial"/>
          <w:sz w:val="20"/>
          <w:szCs w:val="20"/>
          <w:color w:val="auto"/>
        </w:rPr>
        <w:t>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2" w:right="239" w:bottom="1440" w:gutter="0" w:footer="0" w:header="0"/>
        </w:sectPr>
      </w:pPr>
    </w:p>
    <w:bookmarkStart w:id="138" w:name="page139"/>
    <w:bookmarkEnd w:id="138"/>
    <w:p>
      <w:pPr>
        <w:jc w:val="both"/>
        <w:ind w:left="660" w:firstLine="648"/>
        <w:spacing w:after="0" w:line="243" w:lineRule="auto"/>
        <w:rPr>
          <w:sz w:val="20"/>
          <w:szCs w:val="20"/>
          <w:color w:val="auto"/>
        </w:rPr>
      </w:pPr>
      <w:r>
        <w:rPr>
          <w:rFonts w:ascii="Arial" w:cs="Arial" w:eastAsia="Arial" w:hAnsi="Arial"/>
          <w:sz w:val="20"/>
          <w:szCs w:val="20"/>
          <w:i w:val="1"/>
          <w:iCs w:val="1"/>
          <w:color w:val="auto"/>
        </w:rPr>
        <w:t xml:space="preserve">“Remaining Scheduled Payments” </w:t>
      </w:r>
      <w:r>
        <w:rPr>
          <w:rFonts w:ascii="Arial" w:cs="Arial" w:eastAsia="Arial" w:hAnsi="Arial"/>
          <w:sz w:val="20"/>
          <w:szCs w:val="20"/>
          <w:color w:val="auto"/>
        </w:rPr>
        <w:t>means, with respect to the Called Principal of any Bond of the Eleventh Series, all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payments of such Called Principal and interest thereon that would be due after the Settlement Date with respect to such Called Principal if no payment of such Called Principal were made prior to its scheduled due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Settlement Date is not a date on which interest payments are due to be made under the terms of the Bond of the Eleventh Series, then the amount of the next succeeding scheduled interest payment will be reduced by the amount of interest accrued to such Settlement Date and required to be paid on such Settlement Date.</w:t>
      </w:r>
    </w:p>
    <w:p>
      <w:pPr>
        <w:spacing w:after="0" w:line="210"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i w:val="1"/>
          <w:iCs w:val="1"/>
          <w:color w:val="auto"/>
        </w:rPr>
        <w:t xml:space="preserve">“Settlement Date” </w:t>
      </w:r>
      <w:r>
        <w:rPr>
          <w:rFonts w:ascii="Arial" w:cs="Arial" w:eastAsia="Arial" w:hAnsi="Arial"/>
          <w:sz w:val="19"/>
          <w:szCs w:val="19"/>
          <w:color w:val="auto"/>
        </w:rPr>
        <w:t>means, with respect to the Called Principal of any Bond of the Eleventh Series, the date on which such</w:t>
      </w:r>
      <w:r>
        <w:rPr>
          <w:rFonts w:ascii="Arial" w:cs="Arial" w:eastAsia="Arial" w:hAnsi="Arial"/>
          <w:sz w:val="19"/>
          <w:szCs w:val="19"/>
          <w:i w:val="1"/>
          <w:iCs w:val="1"/>
          <w:color w:val="auto"/>
        </w:rPr>
        <w:t xml:space="preserve"> </w:t>
      </w:r>
      <w:r>
        <w:rPr>
          <w:rFonts w:ascii="Arial" w:cs="Arial" w:eastAsia="Arial" w:hAnsi="Arial"/>
          <w:sz w:val="19"/>
          <w:szCs w:val="19"/>
          <w:color w:val="auto"/>
        </w:rPr>
        <w:t>Called Principal is to be prepaid or has become or is declared to be immediately due and payable, as the context requires.</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“Person” </w:t>
      </w:r>
      <w:r>
        <w:rPr>
          <w:rFonts w:ascii="Arial" w:cs="Arial" w:eastAsia="Arial" w:hAnsi="Arial"/>
          <w:sz w:val="20"/>
          <w:szCs w:val="20"/>
          <w:color w:val="auto"/>
        </w:rPr>
        <w:t>shall mean and include an individual, a partnership, a joint venture, a corporation, a limited liability company, a trust, an</w:t>
      </w:r>
      <w:r>
        <w:rPr>
          <w:rFonts w:ascii="Arial" w:cs="Arial" w:eastAsia="Arial" w:hAnsi="Arial"/>
          <w:sz w:val="20"/>
          <w:szCs w:val="20"/>
          <w:i w:val="1"/>
          <w:iCs w:val="1"/>
          <w:color w:val="auto"/>
        </w:rPr>
        <w:t xml:space="preserve"> </w:t>
      </w:r>
      <w:r>
        <w:rPr>
          <w:rFonts w:ascii="Arial" w:cs="Arial" w:eastAsia="Arial" w:hAnsi="Arial"/>
          <w:sz w:val="20"/>
          <w:szCs w:val="20"/>
          <w:color w:val="auto"/>
        </w:rPr>
        <w:t>unincorporated organization and a government or any department or agency thereof.</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“Proceeds of Released Property” </w:t>
      </w:r>
      <w:r>
        <w:rPr>
          <w:rFonts w:ascii="Arial" w:cs="Arial" w:eastAsia="Arial" w:hAnsi="Arial"/>
          <w:sz w:val="20"/>
          <w:szCs w:val="20"/>
          <w:color w:val="auto"/>
        </w:rPr>
        <w:t>shall mean the aggregate of the cash deposited with or received by the Corporate Trustee pursuant to</w:t>
      </w:r>
      <w:r>
        <w:rPr>
          <w:rFonts w:ascii="Arial" w:cs="Arial" w:eastAsia="Arial" w:hAnsi="Arial"/>
          <w:sz w:val="20"/>
          <w:szCs w:val="20"/>
          <w:i w:val="1"/>
          <w:iCs w:val="1"/>
          <w:color w:val="auto"/>
        </w:rPr>
        <w:t xml:space="preserve"> </w:t>
      </w:r>
      <w:r>
        <w:rPr>
          <w:rFonts w:ascii="Arial" w:cs="Arial" w:eastAsia="Arial" w:hAnsi="Arial"/>
          <w:sz w:val="20"/>
          <w:szCs w:val="20"/>
          <w:color w:val="auto"/>
        </w:rPr>
        <w:t>the provisions of Section 59, Section 60, Section 61 (except such cash as is to be paid over to the Company under the provisions of Section 61), or Section 62 of the Mortgage.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“Purchaser” </w:t>
      </w:r>
      <w:r>
        <w:rPr>
          <w:rFonts w:ascii="Arial" w:cs="Arial" w:eastAsia="Arial" w:hAnsi="Arial"/>
          <w:sz w:val="20"/>
          <w:szCs w:val="20"/>
          <w:color w:val="auto"/>
        </w:rPr>
        <w:t>means Thrivent Financial for Lutherans.</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“Subsidiary” </w:t>
      </w:r>
      <w:r>
        <w:rPr>
          <w:rFonts w:ascii="Arial" w:cs="Arial" w:eastAsia="Arial" w:hAnsi="Arial"/>
          <w:sz w:val="19"/>
          <w:szCs w:val="19"/>
          <w:color w:val="auto"/>
        </w:rPr>
        <w:t>means, as to any Person, any other Person in which such first Person or one or more of its Subsidiaries or such first</w:t>
      </w:r>
      <w:r>
        <w:rPr>
          <w:rFonts w:ascii="Arial" w:cs="Arial" w:eastAsia="Arial" w:hAnsi="Arial"/>
          <w:sz w:val="19"/>
          <w:szCs w:val="19"/>
          <w:i w:val="1"/>
          <w:iCs w:val="1"/>
          <w:color w:val="auto"/>
        </w:rPr>
        <w:t xml:space="preserve"> </w:t>
      </w:r>
      <w:r>
        <w:rPr>
          <w:rFonts w:ascii="Arial" w:cs="Arial" w:eastAsia="Arial" w:hAnsi="Arial"/>
          <w:sz w:val="19"/>
          <w:szCs w:val="19"/>
          <w:color w:val="auto"/>
        </w:rPr>
        <w:t>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“Substantial Part” </w:t>
      </w:r>
      <w:r>
        <w:rPr>
          <w:rFonts w:ascii="Arial" w:cs="Arial" w:eastAsia="Arial" w:hAnsi="Arial"/>
          <w:sz w:val="18"/>
          <w:szCs w:val="18"/>
          <w:color w:val="auto"/>
        </w:rPr>
        <w:t>shall mean when used with respect to assets or net income 15% or more of such assets or net income, respectively.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2" w:right="239" w:bottom="1440" w:gutter="0" w:footer="0" w:header="0"/>
        </w:sectPr>
      </w:pPr>
    </w:p>
    <w:bookmarkStart w:id="139" w:name="page140"/>
    <w:bookmarkEnd w:id="139"/>
    <w:p>
      <w:pPr>
        <w:jc w:val="both"/>
        <w:ind w:firstLine="500"/>
        <w:spacing w:after="0" w:line="260" w:lineRule="auto"/>
        <w:rPr>
          <w:sz w:val="20"/>
          <w:szCs w:val="20"/>
          <w:color w:val="auto"/>
        </w:rPr>
      </w:pPr>
      <w:r>
        <w:rPr>
          <w:rFonts w:ascii="Arial" w:cs="Arial" w:eastAsia="Arial" w:hAnsi="Arial"/>
          <w:sz w:val="20"/>
          <w:szCs w:val="20"/>
          <w:i w:val="1"/>
          <w:iCs w:val="1"/>
          <w:color w:val="auto"/>
        </w:rPr>
        <w:t xml:space="preserve">Section 3.2. </w:t>
      </w:r>
      <w:r>
        <w:rPr>
          <w:rFonts w:ascii="Arial" w:cs="Arial" w:eastAsia="Arial" w:hAnsi="Arial"/>
          <w:sz w:val="20"/>
          <w:szCs w:val="20"/>
          <w:color w:val="auto"/>
        </w:rPr>
        <w:t>The terms defined in the Mortgage, as heretofore supplemented, shall for all purposes of this Twelfth Supplemental</w:t>
      </w:r>
      <w:r>
        <w:rPr>
          <w:rFonts w:ascii="Arial" w:cs="Arial" w:eastAsia="Arial" w:hAnsi="Arial"/>
          <w:sz w:val="20"/>
          <w:szCs w:val="20"/>
          <w:i w:val="1"/>
          <w:iCs w:val="1"/>
          <w:color w:val="auto"/>
        </w:rPr>
        <w:t xml:space="preserve"> </w:t>
      </w:r>
      <w:r>
        <w:rPr>
          <w:rFonts w:ascii="Arial" w:cs="Arial" w:eastAsia="Arial" w:hAnsi="Arial"/>
          <w:sz w:val="20"/>
          <w:szCs w:val="20"/>
          <w:color w:val="auto"/>
        </w:rPr>
        <w:t>Indenture have the meanings specified in the Mortgage, as heretofore supplemented.</w:t>
      </w:r>
    </w:p>
    <w:p>
      <w:pPr>
        <w:spacing w:after="0" w:line="190" w:lineRule="exact"/>
        <w:rPr>
          <w:sz w:val="20"/>
          <w:szCs w:val="20"/>
          <w:color w:val="auto"/>
        </w:rPr>
      </w:pPr>
    </w:p>
    <w:p>
      <w:pPr>
        <w:jc w:val="both"/>
        <w:ind w:firstLine="500"/>
        <w:spacing w:after="0" w:line="316" w:lineRule="auto"/>
        <w:rPr>
          <w:sz w:val="20"/>
          <w:szCs w:val="20"/>
          <w:color w:val="auto"/>
        </w:rPr>
      </w:pPr>
      <w:r>
        <w:rPr>
          <w:rFonts w:ascii="Arial" w:cs="Arial" w:eastAsia="Arial" w:hAnsi="Arial"/>
          <w:sz w:val="18"/>
          <w:szCs w:val="18"/>
          <w:i w:val="1"/>
          <w:iCs w:val="1"/>
          <w:color w:val="auto"/>
        </w:rPr>
        <w:t xml:space="preserve">Section 3.3. </w:t>
      </w:r>
      <w:r>
        <w:rPr>
          <w:rFonts w:ascii="Arial" w:cs="Arial" w:eastAsia="Arial" w:hAnsi="Arial"/>
          <w:sz w:val="18"/>
          <w:szCs w:val="18"/>
          <w:color w:val="auto"/>
        </w:rPr>
        <w:t>The Trustee hereby accepts the trust herein declared, provided and created and agrees to perform the same upon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herein and in the Mortgage, as heretofore supplemented, set forth and upon the following terms and conditions.</w:t>
      </w:r>
    </w:p>
    <w:p>
      <w:pPr>
        <w:spacing w:after="0" w:line="144" w:lineRule="exact"/>
        <w:rPr>
          <w:sz w:val="20"/>
          <w:szCs w:val="20"/>
          <w:color w:val="auto"/>
        </w:rPr>
      </w:pPr>
    </w:p>
    <w:p>
      <w:pPr>
        <w:jc w:val="both"/>
        <w:ind w:firstLine="500"/>
        <w:spacing w:after="0" w:line="278" w:lineRule="auto"/>
        <w:rPr>
          <w:sz w:val="20"/>
          <w:szCs w:val="20"/>
          <w:color w:val="auto"/>
        </w:rPr>
      </w:pPr>
      <w:r>
        <w:rPr>
          <w:rFonts w:ascii="Arial" w:cs="Arial" w:eastAsia="Arial" w:hAnsi="Arial"/>
          <w:sz w:val="18"/>
          <w:szCs w:val="18"/>
          <w:i w:val="1"/>
          <w:iCs w:val="1"/>
          <w:color w:val="auto"/>
        </w:rPr>
        <w:t xml:space="preserve">Section 3.4. </w:t>
      </w:r>
      <w:r>
        <w:rPr>
          <w:rFonts w:ascii="Arial" w:cs="Arial" w:eastAsia="Arial" w:hAnsi="Arial"/>
          <w:sz w:val="18"/>
          <w:szCs w:val="18"/>
          <w:color w:val="auto"/>
        </w:rPr>
        <w:t>The Trustee shall not be responsible in any manner whatsoever for or in respect of the validity or sufficiency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Twelfth Supplemental Indenture or for or in respect of the recitals contained herein, all of which recitals are made by the Company solely. In general, each and every term and condition contained in Article XVII of the Mortgage shall apply to and form part of this Twelfth Supplemental Indenture with the same force and effect as if the same were herein set forth in full, with such omissions, variations and insertions, if any, as may be appropriate to make the same conform to the provisions of this Twelfth Supplemental Indenture.</w:t>
      </w:r>
    </w:p>
    <w:p>
      <w:pPr>
        <w:spacing w:after="0" w:line="179"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9"/>
          <w:szCs w:val="19"/>
          <w:i w:val="1"/>
          <w:iCs w:val="1"/>
          <w:color w:val="auto"/>
        </w:rPr>
        <w:t xml:space="preserve">Section 3.5. </w:t>
      </w:r>
      <w:r>
        <w:rPr>
          <w:rFonts w:ascii="Arial" w:cs="Arial" w:eastAsia="Arial" w:hAnsi="Arial"/>
          <w:sz w:val="19"/>
          <w:szCs w:val="19"/>
          <w:color w:val="auto"/>
        </w:rPr>
        <w:t>Subject to the provisions of Article XVI and Article XVII of the Mortgage, whenever in this Twelfth Supplemental</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any of the parties hereto is named or referred to, this shall be deemed to include the successors or assigns of such party, and all the covenants and agreements in this Twelfth Supplemental Indenture contained by or on behalf of the Company or by or on behalf of the Trustee shall bind and inure to the benefit of the respective successors and assigns of such parties whether so expressed or not.</w:t>
      </w:r>
    </w:p>
    <w:p>
      <w:pPr>
        <w:spacing w:after="0" w:line="190" w:lineRule="exact"/>
        <w:rPr>
          <w:sz w:val="20"/>
          <w:szCs w:val="20"/>
          <w:color w:val="auto"/>
        </w:rPr>
      </w:pPr>
    </w:p>
    <w:p>
      <w:pPr>
        <w:jc w:val="both"/>
        <w:ind w:firstLine="500"/>
        <w:spacing w:after="0" w:line="243" w:lineRule="auto"/>
        <w:rPr>
          <w:sz w:val="20"/>
          <w:szCs w:val="20"/>
          <w:color w:val="auto"/>
        </w:rPr>
      </w:pPr>
      <w:r>
        <w:rPr>
          <w:rFonts w:ascii="Arial" w:cs="Arial" w:eastAsia="Arial" w:hAnsi="Arial"/>
          <w:sz w:val="20"/>
          <w:szCs w:val="20"/>
          <w:i w:val="1"/>
          <w:iCs w:val="1"/>
          <w:color w:val="auto"/>
        </w:rPr>
        <w:t xml:space="preserve">Section 3.6. </w:t>
      </w:r>
      <w:r>
        <w:rPr>
          <w:rFonts w:ascii="Arial" w:cs="Arial" w:eastAsia="Arial" w:hAnsi="Arial"/>
          <w:sz w:val="20"/>
          <w:szCs w:val="20"/>
          <w:color w:val="auto"/>
        </w:rPr>
        <w:t>Nothing in this Twelfth Supplemental Indenture, express or implied, is intended, or shall be construed, to confer upon, or</w:t>
      </w:r>
      <w:r>
        <w:rPr>
          <w:rFonts w:ascii="Arial" w:cs="Arial" w:eastAsia="Arial" w:hAnsi="Arial"/>
          <w:sz w:val="20"/>
          <w:szCs w:val="20"/>
          <w:i w:val="1"/>
          <w:iCs w:val="1"/>
          <w:color w:val="auto"/>
        </w:rPr>
        <w:t xml:space="preserve"> </w:t>
      </w:r>
      <w:r>
        <w:rPr>
          <w:rFonts w:ascii="Arial" w:cs="Arial" w:eastAsia="Arial" w:hAnsi="Arial"/>
          <w:sz w:val="20"/>
          <w:szCs w:val="20"/>
          <w:color w:val="auto"/>
        </w:rPr>
        <w:t>to give to, any person, firm or corporation, other than the parties hereto and the holders of the bonds Outstanding under the Mortgage, any right, remedy or claim under or by reason of this Twelfth Supplemental Indenture or any covenant, condition, stipulation, promise or agreement hereof, and all the covenants, conditions, stipulations, promises and agreements of this Twelfth Supplemental Indenture contained by or on behalf of the Company shall be for the sole and exclusive benefit of the parties hereto, and of the holders of the bonds and of the coupons Outstanding under the Mortgage.</w:t>
      </w:r>
    </w:p>
    <w:p>
      <w:pPr>
        <w:spacing w:after="0" w:line="210" w:lineRule="exact"/>
        <w:rPr>
          <w:sz w:val="20"/>
          <w:szCs w:val="20"/>
          <w:color w:val="auto"/>
        </w:rPr>
      </w:pPr>
    </w:p>
    <w:p>
      <w:pPr>
        <w:jc w:val="both"/>
        <w:ind w:firstLine="500"/>
        <w:spacing w:after="0" w:line="260" w:lineRule="auto"/>
        <w:rPr>
          <w:sz w:val="20"/>
          <w:szCs w:val="20"/>
          <w:color w:val="auto"/>
        </w:rPr>
      </w:pPr>
      <w:r>
        <w:rPr>
          <w:rFonts w:ascii="Arial" w:cs="Arial" w:eastAsia="Arial" w:hAnsi="Arial"/>
          <w:sz w:val="20"/>
          <w:szCs w:val="20"/>
          <w:i w:val="1"/>
          <w:iCs w:val="1"/>
          <w:color w:val="auto"/>
        </w:rPr>
        <w:t xml:space="preserve">Section 3.7. </w:t>
      </w:r>
      <w:r>
        <w:rPr>
          <w:rFonts w:ascii="Arial" w:cs="Arial" w:eastAsia="Arial" w:hAnsi="Arial"/>
          <w:sz w:val="20"/>
          <w:szCs w:val="20"/>
          <w:color w:val="auto"/>
        </w:rPr>
        <w:t>This Twelfth Supplemental Indenture may be executed in several counterparts, each of which shall be an original and all</w:t>
      </w:r>
      <w:r>
        <w:rPr>
          <w:rFonts w:ascii="Arial" w:cs="Arial" w:eastAsia="Arial" w:hAnsi="Arial"/>
          <w:sz w:val="20"/>
          <w:szCs w:val="20"/>
          <w:i w:val="1"/>
          <w:iCs w:val="1"/>
          <w:color w:val="auto"/>
        </w:rPr>
        <w:t xml:space="preserve"> </w:t>
      </w:r>
      <w:r>
        <w:rPr>
          <w:rFonts w:ascii="Arial" w:cs="Arial" w:eastAsia="Arial" w:hAnsi="Arial"/>
          <w:sz w:val="20"/>
          <w:szCs w:val="20"/>
          <w:color w:val="auto"/>
        </w:rPr>
        <w:t>of which shall constitute but one and the same instrument.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2" w:right="239" w:bottom="1440" w:gutter="0" w:footer="0" w:header="0"/>
        </w:sectPr>
      </w:pPr>
    </w:p>
    <w:bookmarkStart w:id="140" w:name="page141"/>
    <w:bookmarkEnd w:id="140"/>
    <w:p>
      <w:pPr>
        <w:jc w:val="both"/>
        <w:ind w:firstLine="648"/>
        <w:spacing w:after="0" w:line="282" w:lineRule="auto"/>
        <w:rPr>
          <w:sz w:val="20"/>
          <w:szCs w:val="20"/>
          <w:color w:val="auto"/>
        </w:rPr>
      </w:pPr>
      <w:r>
        <w:rPr>
          <w:rFonts w:ascii="Arial" w:cs="Arial" w:eastAsia="Arial" w:hAnsi="Arial"/>
          <w:sz w:val="18"/>
          <w:szCs w:val="18"/>
          <w:color w:val="auto"/>
        </w:rPr>
        <w:t>IN WITNESS WHEREOF, Superior Water, Light and Power Company has caused its corporate name to be hereunto affixed, and this instrument to be signed and sealed by its President or one of its Vice Presidents, and its corporate seal to be attested by its Secretary or one of its Assistant Secretaries for and in its behalf, and U.S. Bank National Association has caused its corporate name to be hereunto affixed, and this instrument to be signed by its President and to be attested by its Secretary, all as of the 2nd day of December, 2013.</w:t>
      </w:r>
    </w:p>
    <w:p>
      <w:pPr>
        <w:spacing w:after="0" w:line="17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SUPERIOR WATER, LIGHT AND POWER COMPANY</w:t>
      </w:r>
    </w:p>
    <w:p>
      <w:pPr>
        <w:spacing w:after="0" w:line="200" w:lineRule="exact"/>
        <w:rPr>
          <w:sz w:val="20"/>
          <w:szCs w:val="20"/>
          <w:color w:val="auto"/>
        </w:rPr>
      </w:pPr>
    </w:p>
    <w:p>
      <w:pPr>
        <w:spacing w:after="0" w:line="394" w:lineRule="exact"/>
        <w:rPr>
          <w:sz w:val="20"/>
          <w:szCs w:val="20"/>
          <w:color w:val="auto"/>
        </w:rPr>
      </w:pPr>
    </w:p>
    <w:p>
      <w:pPr>
        <w:ind w:left="6060"/>
        <w:spacing w:after="0"/>
        <w:tabs>
          <w:tab w:leader="none" w:pos="6580" w:val="left"/>
        </w:tabs>
        <w:rPr>
          <w:sz w:val="20"/>
          <w:szCs w:val="20"/>
          <w:color w:val="auto"/>
        </w:rPr>
      </w:pPr>
      <w:r>
        <w:rPr>
          <w:rFonts w:ascii="Arial" w:cs="Arial" w:eastAsia="Arial" w:hAnsi="Arial"/>
          <w:sz w:val="20"/>
          <w:szCs w:val="20"/>
          <w:color w:val="auto"/>
        </w:rPr>
        <w:t>By:</w:t>
        <w:tab/>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27305</wp:posOffset>
            </wp:positionV>
            <wp:extent cx="17151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7" w:lineRule="exact"/>
        <w:rPr>
          <w:sz w:val="20"/>
          <w:szCs w:val="20"/>
          <w:color w:val="auto"/>
        </w:rPr>
      </w:pPr>
    </w:p>
    <w:p>
      <w:pPr>
        <w:ind w:left="660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Janet A. Blake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7151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Executed, sealed and delivered by Superior Water, Light and Power Company in the presence of:</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Kellie Damico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183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Teri 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183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2" w:right="239" w:bottom="1440" w:gutter="0" w:footer="0" w:header="0"/>
        </w:sectPr>
      </w:pPr>
    </w:p>
    <w:bookmarkStart w:id="141" w:name="page142"/>
    <w:bookmarkEnd w:id="141"/>
    <w:p>
      <w:pPr>
        <w:jc w:val="right"/>
        <w:ind w:right="1479"/>
        <w:spacing w:after="0"/>
        <w:rPr>
          <w:sz w:val="20"/>
          <w:szCs w:val="20"/>
          <w:color w:val="auto"/>
        </w:rPr>
      </w:pPr>
      <w:r>
        <w:rPr>
          <w:rFonts w:ascii="Arial" w:cs="Arial" w:eastAsia="Arial" w:hAnsi="Arial"/>
          <w:sz w:val="20"/>
          <w:szCs w:val="20"/>
          <w:color w:val="auto"/>
        </w:rPr>
        <w:t>U.S. BANK NATIONAL ASSOCIATION, as</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Trustee</w:t>
      </w:r>
    </w:p>
    <w:p>
      <w:pPr>
        <w:spacing w:after="0" w:line="362"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F. Posto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41910</wp:posOffset>
            </wp:positionV>
            <wp:extent cx="12865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70" w:lineRule="exact"/>
        <w:rPr>
          <w:sz w:val="20"/>
          <w:szCs w:val="20"/>
          <w:color w:val="auto"/>
        </w:rPr>
      </w:pPr>
    </w:p>
    <w:p>
      <w:pPr>
        <w:ind w:left="7160"/>
        <w:spacing w:after="0"/>
        <w:rPr>
          <w:sz w:val="20"/>
          <w:szCs w:val="20"/>
          <w:color w:val="auto"/>
        </w:rPr>
      </w:pPr>
      <w:r>
        <w:rPr>
          <w:rFonts w:ascii="Arial" w:cs="Arial" w:eastAsia="Arial" w:hAnsi="Arial"/>
          <w:sz w:val="20"/>
          <w:szCs w:val="20"/>
          <w:color w:val="auto"/>
        </w:rPr>
        <w:t>Steven F. Posto</w:t>
      </w:r>
    </w:p>
    <w:p>
      <w:pPr>
        <w:spacing w:after="0" w:line="54" w:lineRule="exact"/>
        <w:rPr>
          <w:sz w:val="20"/>
          <w:szCs w:val="20"/>
          <w:color w:val="auto"/>
        </w:rPr>
      </w:pPr>
    </w:p>
    <w:p>
      <w:pPr>
        <w:ind w:left="7160"/>
        <w:spacing w:after="0"/>
        <w:rPr>
          <w:sz w:val="20"/>
          <w:szCs w:val="20"/>
          <w:color w:val="auto"/>
        </w:rPr>
      </w:pPr>
      <w:r>
        <w:rPr>
          <w:rFonts w:ascii="Arial" w:cs="Arial" w:eastAsia="Arial" w:hAnsi="Arial"/>
          <w:sz w:val="20"/>
          <w:szCs w:val="20"/>
          <w:color w:val="auto"/>
        </w:rPr>
        <w:t>Vice President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Peter M.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183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Peter M. Brennan</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582" w:right="1440"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STATE OF WISCONSIN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sectPr>
          <w:pgSz w:w="11900" w:h="16838" w:orient="portrait"/>
          <w:cols w:equalWidth="0" w:num="2">
            <w:col w:w="2040" w:space="220"/>
            <w:col w:w="9160"/>
          </w:cols>
          <w:pgMar w:left="240" w:top="582" w:right="239" w:bottom="1440" w:gutter="0" w:footer="0" w:header="0"/>
        </w:sectPr>
      </w:pPr>
    </w:p>
    <w:p>
      <w:pPr>
        <w:ind w:left="2600"/>
        <w:spacing w:after="0"/>
        <w:rPr>
          <w:sz w:val="20"/>
          <w:szCs w:val="20"/>
          <w:color w:val="auto"/>
        </w:rPr>
      </w:pPr>
      <w:r>
        <w:rPr>
          <w:rFonts w:ascii="Arial" w:cs="Arial" w:eastAsia="Arial" w:hAnsi="Arial"/>
          <w:sz w:val="16"/>
          <w:szCs w:val="16"/>
          <w:color w:val="auto"/>
        </w:rPr>
        <w:t>) SS.</w:t>
      </w:r>
    </w:p>
    <w:p>
      <w:pPr>
        <w:sectPr>
          <w:pgSz w:w="11900" w:h="16838" w:orient="portrait"/>
          <w:cols w:equalWidth="0" w:num="1">
            <w:col w:w="11420"/>
          </w:cols>
          <w:pgMar w:left="240" w:top="582"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COUNTY OF DOUGLAS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ectPr>
          <w:pgSz w:w="11900" w:h="16838" w:orient="portrait"/>
          <w:cols w:equalWidth="0" w:num="2">
            <w:col w:w="2140" w:space="220"/>
            <w:col w:w="9060"/>
          </w:cols>
          <w:pgMar w:left="240" w:top="582" w:right="239" w:bottom="1440" w:gutter="0" w:footer="0" w:header="0"/>
          <w:type w:val="continuous"/>
        </w:sectPr>
      </w:pPr>
    </w:p>
    <w:p>
      <w:pPr>
        <w:spacing w:after="0" w:line="2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Personally came before me this 22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day of November, 2013, Bethany M. Owen, to me known to be the President, and Janet A. Blake, to me known to be the Secretary of the above-named SUPERIOR WATER, LIGHT AND POWER COMPANY,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President and Secretary of said corporation, that the seal affixed to said instrument is the corporate seal of said corporation, and that they signed, sealed and delivered said instrument in the name and on behalf of said corporation by authority of its Board of Directors, and said President and Secretary, then and there acknowledged said instrument to be the free act and deed of said corporation and that such corporation executed the same.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Given under my hand and notarial seal this 22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day of November, 2013.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/s/ Hollie L. Randolph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27305</wp:posOffset>
            </wp:positionV>
            <wp:extent cx="16808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47"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Hollie L. Randolph</w:t>
      </w:r>
    </w:p>
    <w:p>
      <w:pPr>
        <w:spacing w:after="0" w:line="54"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Notary Public, State of</w:t>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Wisconsin</w:t>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My Commission Expires</w:t>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4/24/2016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2" w:right="239" w:bottom="1440" w:gutter="0" w:footer="0" w:header="0"/>
          <w:type w:val="continuous"/>
        </w:sectPr>
      </w:pPr>
    </w:p>
    <w:bookmarkStart w:id="143" w:name="page144"/>
    <w:bookmarkEnd w:id="143"/>
    <w:p>
      <w:pPr>
        <w:spacing w:after="0"/>
        <w:tabs>
          <w:tab w:leader="none" w:pos="2240" w:val="left"/>
        </w:tabs>
        <w:rPr>
          <w:sz w:val="20"/>
          <w:szCs w:val="20"/>
          <w:color w:val="auto"/>
        </w:rPr>
      </w:pPr>
      <w:r>
        <w:rPr>
          <w:rFonts w:ascii="Arial" w:cs="Arial" w:eastAsia="Arial" w:hAnsi="Arial"/>
          <w:sz w:val="20"/>
          <w:szCs w:val="20"/>
          <w:color w:val="auto"/>
        </w:rPr>
        <w:t>STATE OF WISCONSIN</w:t>
        <w:tab/>
        <w:t>)</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SS.</w:t>
      </w:r>
    </w:p>
    <w:p>
      <w:pPr>
        <w:spacing w:after="0"/>
        <w:tabs>
          <w:tab w:leader="none" w:pos="2580" w:val="left"/>
        </w:tabs>
        <w:rPr>
          <w:sz w:val="20"/>
          <w:szCs w:val="20"/>
          <w:color w:val="auto"/>
        </w:rPr>
      </w:pPr>
      <w:r>
        <w:rPr>
          <w:rFonts w:ascii="Arial" w:cs="Arial" w:eastAsia="Arial" w:hAnsi="Arial"/>
          <w:sz w:val="20"/>
          <w:szCs w:val="20"/>
          <w:color w:val="auto"/>
        </w:rPr>
        <w:t>COUNTY OF MILWAUKEE</w:t>
      </w:r>
      <w:r>
        <w:rPr>
          <w:sz w:val="20"/>
          <w:szCs w:val="20"/>
          <w:color w:val="auto"/>
        </w:rPr>
        <w:tab/>
      </w:r>
      <w:r>
        <w:rPr>
          <w:rFonts w:ascii="Arial" w:cs="Arial" w:eastAsia="Arial" w:hAnsi="Arial"/>
          <w:sz w:val="18"/>
          <w:szCs w:val="18"/>
          <w:color w:val="auto"/>
        </w:rPr>
        <w:t>)</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Personally came before me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November, 2013, Steven F. Posto, to me known to be the Vice President of the above-named U.S. BANK NATIONAL ASSOCIATION,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he is the Vice President of said corporation, and that he signed and delivered said instrument in the name and on behalf of said corporation by authority of its Board of Directors, and said Vice President then and there acknowledged said instrument to be the free act and deed of said corporation and that such corporation executed the same.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Given under my hand and notarial seal this 25</w:t>
      </w:r>
      <w:r>
        <w:rPr>
          <w:rFonts w:ascii="Arial" w:cs="Arial" w:eastAsia="Arial" w:hAnsi="Arial"/>
          <w:sz w:val="25"/>
          <w:szCs w:val="25"/>
          <w:color w:val="auto"/>
          <w:vertAlign w:val="superscript"/>
        </w:rPr>
        <w:t>th</w:t>
      </w:r>
      <w:r>
        <w:rPr>
          <w:rFonts w:ascii="Arial" w:cs="Arial" w:eastAsia="Arial" w:hAnsi="Arial"/>
          <w:sz w:val="20"/>
          <w:szCs w:val="20"/>
          <w:color w:val="auto"/>
        </w:rPr>
        <w:t>day of November, 2013.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Erin F.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27305</wp:posOffset>
            </wp:positionV>
            <wp:extent cx="15265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47"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Erin F. Graham</w:t>
      </w:r>
    </w:p>
    <w:p>
      <w:pPr>
        <w:spacing w:after="0" w:line="54"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Notary Public, State of</w:t>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Wisconsin</w:t>
      </w:r>
    </w:p>
    <w:p>
      <w:pPr>
        <w:spacing w:after="0" w:line="3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My Commission Expires</w:t>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1/31/2016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2" w:right="239" w:bottom="1440" w:gutter="0" w:footer="0" w:header="0"/>
        </w:sectPr>
      </w:pPr>
    </w:p>
    <w:bookmarkStart w:id="144" w:name="page145"/>
    <w:bookmarkEnd w:id="144"/>
    <w:p>
      <w:pPr>
        <w:ind w:left="7300"/>
        <w:spacing w:after="0"/>
        <w:rPr>
          <w:sz w:val="20"/>
          <w:szCs w:val="20"/>
          <w:color w:val="auto"/>
        </w:rPr>
      </w:pPr>
      <w:r>
        <w:rPr>
          <w:rFonts w:ascii="Arial" w:cs="Arial" w:eastAsia="Arial" w:hAnsi="Arial"/>
          <w:sz w:val="20"/>
          <w:szCs w:val="20"/>
          <w:b w:val="1"/>
          <w:bCs w:val="1"/>
          <w:color w:val="auto"/>
        </w:rPr>
        <w:t>EXHIBIT A</w:t>
      </w:r>
    </w:p>
    <w:p>
      <w:pPr>
        <w:spacing w:after="0" w:line="310"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[FORM OF BOND OF THE ELEVENTH SERIES]</w:t>
      </w:r>
    </w:p>
    <w:p>
      <w:pPr>
        <w:spacing w:after="0" w:line="297"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SUPERIOR WATER, LIGHT AND POWER COMPANY</w:t>
      </w:r>
    </w:p>
    <w:p>
      <w:pPr>
        <w:spacing w:after="0" w:line="351"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FIRST MORTGAGE BOND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4.15% Series due December 15, 2028</w:t>
      </w:r>
    </w:p>
    <w:p>
      <w:pPr>
        <w:sectPr>
          <w:pgSz w:w="11900" w:h="16838" w:orient="portrait"/>
          <w:cols w:equalWidth="0" w:num="1">
            <w:col w:w="11420"/>
          </w:cols>
          <w:pgMar w:left="240" w:top="576"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 R-___</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$___</w:t>
      </w:r>
    </w:p>
    <w:p>
      <w:pPr>
        <w:spacing w:after="0" w:line="222" w:lineRule="exact"/>
        <w:rPr>
          <w:sz w:val="20"/>
          <w:szCs w:val="20"/>
          <w:color w:val="auto"/>
        </w:rPr>
      </w:pPr>
    </w:p>
    <w:p>
      <w:pPr>
        <w:sectPr>
          <w:pgSz w:w="11900" w:h="16838" w:orient="portrait"/>
          <w:cols w:equalWidth="0" w:num="2">
            <w:col w:w="2540" w:space="720"/>
            <w:col w:w="8160"/>
          </w:cols>
          <w:pgMar w:left="240" w:top="576" w:right="239" w:bottom="1440" w:gutter="0" w:footer="0" w:header="0"/>
          <w:type w:val="continuous"/>
        </w:sectPr>
      </w:pPr>
    </w:p>
    <w:p>
      <w:pPr>
        <w:spacing w:after="0" w:line="12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SUPERIOR WATER, LIGHT AND POWER COMPANY, a corporation of the State of Wisconsin (hereinafter called the </w:t>
      </w:r>
      <w:r>
        <w:rPr>
          <w:rFonts w:ascii="Arial" w:cs="Arial" w:eastAsia="Arial" w:hAnsi="Arial"/>
          <w:sz w:val="18"/>
          <w:szCs w:val="18"/>
          <w:i w:val="1"/>
          <w:iCs w:val="1"/>
          <w:color w:val="auto"/>
        </w:rPr>
        <w:t>“Company”</w:t>
      </w:r>
      <w:r>
        <w:rPr>
          <w:rFonts w:ascii="Arial" w:cs="Arial" w:eastAsia="Arial" w:hAnsi="Arial"/>
          <w:sz w:val="18"/>
          <w:szCs w:val="18"/>
          <w:color w:val="auto"/>
        </w:rPr>
        <w:t>), for value received, hereby promises to pay to__________________or registered assigns, on December 15, 2028, ___________ DOLLARS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0"/>
          <w:szCs w:val="20"/>
          <w:color w:val="auto"/>
        </w:rPr>
        <w:t>($ ) in such coin or currency of the United States of America as at the time of payment is legal tender for public and private debts, and to pay to the registered owner hereof interest thereon in like coin or currency (computed on the basis of a 360-day year of twelve 30-day months) at the rate of four and fifteen hundredths percent (4.15%) per annum semiannually on June 15 and December 15 of each year commencing June 15, 2014 until the principal thereof shall have become due and payable and at the rate of 6.15% per annum on any overdue payment of principal or premium, if any, and, to the extent enforceable under applicable law, on any overdue payment of interest. The principal hereof (and premium, if any) and interest hereon shall be paid at the office or agency of the Company in the City of St. Paul, Minnesota, or the office of the Company in Superior, Wisconsin or as shall be otherwise agreed to pursuant to the provisions of the Twelfth Supplemental Indenture hereinafter referred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-1047115</wp:posOffset>
            </wp:positionV>
            <wp:extent cx="254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This bond is one of an issue of bonds of the Company issuable in series and is one of series designated the First Mortgage Bonds, 4.15% Series due December 15, 2028 (the </w:t>
      </w:r>
      <w:r>
        <w:rPr>
          <w:rFonts w:ascii="Arial" w:cs="Arial" w:eastAsia="Arial" w:hAnsi="Arial"/>
          <w:sz w:val="19"/>
          <w:szCs w:val="19"/>
          <w:i w:val="1"/>
          <w:iCs w:val="1"/>
          <w:color w:val="auto"/>
        </w:rPr>
        <w:t>“Bonds of the Eleventh Series”</w:t>
      </w:r>
      <w:r>
        <w:rPr>
          <w:rFonts w:ascii="Arial" w:cs="Arial" w:eastAsia="Arial" w:hAnsi="Arial"/>
          <w:sz w:val="19"/>
          <w:szCs w:val="19"/>
          <w:color w:val="auto"/>
        </w:rPr>
        <w:t xml:space="preserve">) created by the Twelfth Supplemental Indenture dated as of December 2, 2013 executed by the Company to U.S. Bank National Association (successor Trustee to Chemical Bank and Peter Morse), as Trustee, all bonds of all series being issued and to be issued under and equally secured by a Mortgage and Deed of Trust (herein, together with any indentures supplemental thereto, called the </w:t>
      </w:r>
      <w:r>
        <w:rPr>
          <w:rFonts w:ascii="Arial" w:cs="Arial" w:eastAsia="Arial" w:hAnsi="Arial"/>
          <w:sz w:val="19"/>
          <w:szCs w:val="19"/>
          <w:i w:val="1"/>
          <w:iCs w:val="1"/>
          <w:color w:val="auto"/>
        </w:rPr>
        <w:t>“Mortgage”</w:t>
      </w:r>
      <w:r>
        <w:rPr>
          <w:rFonts w:ascii="Arial" w:cs="Arial" w:eastAsia="Arial" w:hAnsi="Arial"/>
          <w:sz w:val="19"/>
          <w:szCs w:val="19"/>
          <w:color w:val="auto"/>
        </w:rPr>
        <w:t>), dated as of March 1, 1943, executed by the Company to Chemical Bank &amp; Trust Company and Howard B. Smith, as Trustees (U.S. Bank National Association, successor Trustee). Reference is made to the Mortgage for a description of the property mortgaged and pledged, the nature and extent of the security, the rights of the holders of the bonds and of the Trustee in respect thereof, the duties and immunities of the Trustee and terms and conditions upon which the bonds are and are to be secured and the circumstances under which additional bonds may be issued.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76" w:right="239" w:bottom="1440" w:gutter="0" w:footer="0" w:header="0"/>
          <w:type w:val="continuous"/>
        </w:sectPr>
      </w:pPr>
    </w:p>
    <w:bookmarkStart w:id="145" w:name="page146"/>
    <w:bookmarkEnd w:id="145"/>
    <w:p>
      <w:pPr>
        <w:jc w:val="both"/>
        <w:ind w:firstLine="648"/>
        <w:spacing w:after="0" w:line="255" w:lineRule="auto"/>
        <w:rPr>
          <w:sz w:val="20"/>
          <w:szCs w:val="20"/>
          <w:color w:val="auto"/>
        </w:rPr>
      </w:pPr>
      <w:r>
        <w:rPr>
          <w:rFonts w:ascii="Arial" w:cs="Arial" w:eastAsia="Arial" w:hAnsi="Arial"/>
          <w:sz w:val="19"/>
          <w:szCs w:val="19"/>
          <w:color w:val="auto"/>
        </w:rPr>
        <w:t>With the consent of the Company and to the extent permitted by and as provided in the Mortgage, the rights and obligations of the Company and/or the rights of the holders of the bonds and/or coupons and/or the terms and provisions of the Mortgage may be modified or altered by affirmative vote of the holders of at least seventy per centum (70%) in principal amount of the bonds then outstanding under the Mortgage and, if the rights of the holders of one or more, but less than all, series of bonds then outstanding are to be affected, then also by affirmative vote of the holders of at least seventy per centum (70%) in principal amount of the bonds then outstanding of each series of bonds so to be affected (excluding in any case bonds disqualified from voting by reason of the Company's interest therein as provided in the Mortgage); provided that, without the consent of the holder hereof, no such modification or alteration shall, among other things, impair or affect the right of the holder to receive payment of the principal of (and premium, if any) and interest on this bond, on or after the respective due dates and at the places and in the respective amounts expressed herein, or permit the creation of any lien equal or prior to the lien of the Mortgage or deprive the holder of the benefit of a lien on the mortgaged and pledged property, or give any bond or bonds secured by the Mortgage any preference over any other bond or bonds so secured, or reduce the percentage in principal amount of the bonds required to authorize or consent to any such modification or alteration of the Mortgage.</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Bonds of the Eleventh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(as defined in said Twelfth Supplemental Indenture), in any such case at 100% of the principal amount to be so redeemed, plus accrued interest thereon to the redemption date together with a premium equal to the Make-Whole Amount (as defined in said Twelfth Supplemental Indenture), if any, with respect to the Bonds of the Eleventh Series, being redeemed.</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Notice of any redemption of the Bonds of the Eleventh Series shall be given by mail at least 30 days prior to the redemption date, all as more fully provided in said Twelfth Supplemental Indenture and the Mortgage. Notice of redemption having been duly given, the Bonds of the Eleventh Series called for redemption shall become due and payable upon the redemption date, and if the redemption price shall have been deposited with the Trustee, interest thereon shall cease to accrue on and after the redemption date (unless such bonds shall have been properly presented for payment on, or within one year after, the redemption date and shall not have been paid) and on the redemption date or whenever thereafter the redemption price thereof shall have been deposited with the Trustee such bonds shall no longer be entitled to the lien of the Mortgage.</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principal hereof may be declared or may become due prior to the maturity date hereinbefore named on the conditions, in the manner and at the time set forth in the Mortgage, upon the occurrence of a default as in the Mortgage provided.</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This bond is transferable as prescribed in the Mortgage by the registered owner hereof in person, or by its duly authorized attorney, at the office or agency of the Company in the City of St. Paul, Minnesota or the office of the Company in Superior, Wisconsin upon surrender hereof for cancellation, together with a written instrument of transfer in form approved by the Company duly executed by the registered owner hereof or by its duly authorized attorney, and thereupon a new fully registered bond or bonds of the same series for a like principal amount will be issued to the transferee in exchange herefor as provided in the Mortgage. This bond may, at the option of the registered owner hereof and upon surrender hereof for cancellation at such office or agency, be exchanged as prescribed in the Mortgage for other registered bonds of the same series of other authorized denominations having a like aggregate principal amount. No charge will be made by the Company for any transfer or exchange of this bond or, in case this bond shall be lost, destroyed or mutilated, the issuance, authentication and delivery of a new bond in substitution hereof. The Company and the Trustee may deem and treat the person in whose name this bond is registered as the absolute owner hereof for the purpose of receiving payment and for all other purposes and neither the Company nor the Trustee shall be affected by any notice to the contrary.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582" w:right="239" w:bottom="1440" w:gutter="0" w:footer="0" w:header="0"/>
        </w:sectPr>
      </w:pPr>
    </w:p>
    <w:bookmarkStart w:id="146" w:name="page147"/>
    <w:bookmarkEnd w:id="146"/>
    <w:p>
      <w:pPr>
        <w:jc w:val="both"/>
        <w:ind w:firstLine="648"/>
        <w:spacing w:after="0" w:line="291" w:lineRule="auto"/>
        <w:rPr>
          <w:sz w:val="20"/>
          <w:szCs w:val="20"/>
          <w:color w:val="auto"/>
        </w:rPr>
      </w:pPr>
      <w:r>
        <w:rPr>
          <w:rFonts w:ascii="Arial" w:cs="Arial" w:eastAsia="Arial" w:hAnsi="Arial"/>
          <w:sz w:val="18"/>
          <w:szCs w:val="18"/>
          <w:color w:val="auto"/>
        </w:rPr>
        <w:t>As provided in the Mortgage, the Company shall not be required to make transfers or exchanges of bonds of any series for a period of ten (10) days next preceding any interest payment date for bonds of said series, or next preceding any designation of bonds of said series to be redeemed, and the Company shall not be required to make transfers or exchanges of any bonds designated in whole or in part for redemption.</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 recourse shall be had for the payment of the principal of or interest on this bond against any incorporator or any past, present or future subscriber to the capital stock, stockholder, officer, or director of the Company or of any predecessor or successor corporation, as such, either directly or through the Company or any predecessor of successor corporation, under any rule of law, statute, or constitution or by the enforcement of any assessment or otherwise, all such liability of incorporators, subscribers, stockholders, officers, and directors being released by the holder or owner hereof by the acceptance of this bond and being likewise waived and released by the terms of the Mortgage.</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This bond shall not become obligatory until U.S. Bank National Association, the Trustee under the Mortgage, or its successor thereunder, shall have signed the form of authentication certificate endorsed hereon.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582" w:right="239" w:bottom="1440" w:gutter="0" w:footer="0" w:header="0"/>
        </w:sectPr>
      </w:pPr>
    </w:p>
    <w:bookmarkStart w:id="147" w:name="page148"/>
    <w:bookmarkEnd w:id="147"/>
    <w:p>
      <w:pPr>
        <w:ind w:firstLine="648"/>
        <w:spacing w:after="0" w:line="250" w:lineRule="auto"/>
        <w:rPr>
          <w:sz w:val="20"/>
          <w:szCs w:val="20"/>
          <w:color w:val="auto"/>
        </w:rPr>
      </w:pPr>
      <w:r>
        <w:rPr>
          <w:rFonts w:ascii="Arial" w:cs="Arial" w:eastAsia="Arial" w:hAnsi="Arial"/>
          <w:sz w:val="20"/>
          <w:szCs w:val="20"/>
          <w:color w:val="auto"/>
        </w:rPr>
        <w:t>IN WITNESS WHEREOF, SUPERIOR WATER, LIGHT AND POWER COMPANY has caused this bond to be signed in its corporate name by its President or one of its Vice-Presidents and its Treasurer and its corporate seal to be impressed or imprinted hereon and attested by its Secretary or one of its Assistant Secretaries on , 20____.</w:t>
      </w:r>
    </w:p>
    <w:p>
      <w:pPr>
        <w:spacing w:after="0" w:line="26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SUPERIOR WATER, LIGHT AND POWER COMPANY</w:t>
      </w:r>
    </w:p>
    <w:p>
      <w:pPr>
        <w:spacing w:after="0" w:line="200" w:lineRule="exact"/>
        <w:rPr>
          <w:sz w:val="20"/>
          <w:szCs w:val="20"/>
          <w:color w:val="auto"/>
        </w:rPr>
      </w:pPr>
    </w:p>
    <w:p>
      <w:pPr>
        <w:spacing w:after="0" w:line="232"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27305</wp:posOffset>
            </wp:positionV>
            <wp:extent cx="1457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7" w:lineRule="exact"/>
        <w:rPr>
          <w:sz w:val="20"/>
          <w:szCs w:val="20"/>
          <w:color w:val="auto"/>
        </w:rPr>
      </w:pPr>
    </w:p>
    <w:p>
      <w:pPr>
        <w:ind w:left="6640"/>
        <w:spacing w:after="0"/>
        <w:rPr>
          <w:sz w:val="20"/>
          <w:szCs w:val="20"/>
          <w:color w:val="auto"/>
        </w:rPr>
      </w:pPr>
      <w:r>
        <w:rPr>
          <w:rFonts w:ascii="Arial" w:cs="Arial" w:eastAsia="Arial" w:hAnsi="Arial"/>
          <w:sz w:val="20"/>
          <w:szCs w:val="20"/>
          <w:color w:val="auto"/>
        </w:rPr>
        <w:t>Bethany M. Owen</w:t>
      </w:r>
    </w:p>
    <w:p>
      <w:pPr>
        <w:spacing w:after="0" w:line="54" w:lineRule="exact"/>
        <w:rPr>
          <w:sz w:val="20"/>
          <w:szCs w:val="20"/>
          <w:color w:val="auto"/>
        </w:rPr>
      </w:pPr>
    </w:p>
    <w:p>
      <w:pPr>
        <w:ind w:left="664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27305</wp:posOffset>
            </wp:positionV>
            <wp:extent cx="14579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7" w:lineRule="exact"/>
        <w:rPr>
          <w:sz w:val="20"/>
          <w:szCs w:val="20"/>
          <w:color w:val="auto"/>
        </w:rPr>
      </w:pPr>
    </w:p>
    <w:p>
      <w:pPr>
        <w:ind w:left="6640"/>
        <w:spacing w:after="0"/>
        <w:rPr>
          <w:sz w:val="20"/>
          <w:szCs w:val="20"/>
          <w:color w:val="auto"/>
        </w:rPr>
      </w:pPr>
      <w:r>
        <w:rPr>
          <w:rFonts w:ascii="Arial" w:cs="Arial" w:eastAsia="Arial" w:hAnsi="Arial"/>
          <w:sz w:val="20"/>
          <w:szCs w:val="20"/>
          <w:color w:val="auto"/>
        </w:rPr>
        <w:t>Paul M. Holt</w:t>
      </w:r>
    </w:p>
    <w:p>
      <w:pPr>
        <w:spacing w:after="0" w:line="54" w:lineRule="exact"/>
        <w:rPr>
          <w:sz w:val="20"/>
          <w:szCs w:val="20"/>
          <w:color w:val="auto"/>
        </w:rPr>
      </w:pPr>
    </w:p>
    <w:p>
      <w:pPr>
        <w:ind w:left="664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27305</wp:posOffset>
            </wp:positionV>
            <wp:extent cx="21266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780"/>
        <w:spacing w:after="0"/>
        <w:rPr>
          <w:sz w:val="20"/>
          <w:szCs w:val="20"/>
          <w:color w:val="auto"/>
        </w:rPr>
      </w:pPr>
      <w:r>
        <w:rPr>
          <w:rFonts w:ascii="Arial" w:cs="Arial" w:eastAsia="Arial" w:hAnsi="Arial"/>
          <w:sz w:val="20"/>
          <w:szCs w:val="20"/>
          <w:color w:val="auto"/>
        </w:rPr>
        <w:t>Janet A. Blake</w:t>
      </w:r>
    </w:p>
    <w:p>
      <w:pPr>
        <w:spacing w:after="0" w:line="5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582" w:right="279" w:bottom="1440" w:gutter="0" w:footer="0" w:header="0"/>
        </w:sectPr>
      </w:pPr>
    </w:p>
    <w:bookmarkStart w:id="148" w:name="page149"/>
    <w:bookmarkEnd w:id="148"/>
    <w:p>
      <w:pPr>
        <w:ind w:left="2980"/>
        <w:spacing w:after="0"/>
        <w:rPr>
          <w:sz w:val="20"/>
          <w:szCs w:val="20"/>
          <w:color w:val="auto"/>
        </w:rPr>
      </w:pPr>
      <w:r>
        <w:rPr>
          <w:rFonts w:ascii="Arial" w:cs="Arial" w:eastAsia="Arial" w:hAnsi="Arial"/>
          <w:sz w:val="20"/>
          <w:szCs w:val="20"/>
          <w:b w:val="1"/>
          <w:bCs w:val="1"/>
          <w:color w:val="auto"/>
        </w:rPr>
        <w:t>[FORM OF TRUSTEE'S AUTHENTICATION CERTIFICATE]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This bond is one of the bonds, of the series herein designated, described or provided for in the within-mentioned Mortgage.</w:t>
      </w: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27305</wp:posOffset>
            </wp:positionV>
            <wp:extent cx="21266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780"/>
        <w:spacing w:after="0"/>
        <w:rPr>
          <w:sz w:val="20"/>
          <w:szCs w:val="20"/>
          <w:color w:val="auto"/>
        </w:rPr>
      </w:pPr>
      <w:r>
        <w:rPr>
          <w:rFonts w:ascii="Arial" w:cs="Arial" w:eastAsia="Arial" w:hAnsi="Arial"/>
          <w:sz w:val="20"/>
          <w:szCs w:val="20"/>
          <w:color w:val="auto"/>
        </w:rPr>
        <w:t>Authorized Officer</w:t>
      </w: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576" w:right="1440" w:bottom="1440" w:gutter="0" w:footer="0" w:header="0"/>
        </w:sectPr>
      </w:pPr>
    </w:p>
    <w:bookmarkStart w:id="149" w:name="page150"/>
    <w:bookmarkEnd w:id="149"/>
    <w:p>
      <w:pPr>
        <w:ind w:left="7300"/>
        <w:spacing w:after="0"/>
        <w:rPr>
          <w:sz w:val="20"/>
          <w:szCs w:val="20"/>
          <w:color w:val="auto"/>
        </w:rPr>
      </w:pPr>
      <w:r>
        <w:rPr>
          <w:rFonts w:ascii="Arial" w:cs="Arial" w:eastAsia="Arial" w:hAnsi="Arial"/>
          <w:sz w:val="20"/>
          <w:szCs w:val="20"/>
          <w:b w:val="1"/>
          <w:bCs w:val="1"/>
          <w:color w:val="auto"/>
        </w:rPr>
        <w:t>EXHIBIT B</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ASSIGNMENT AND IRREVOCABLE BOND POWER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t>
      </w:r>
    </w:p>
    <w:p>
      <w:pPr>
        <w:jc w:val="center"/>
        <w:ind w:right="-19"/>
        <w:spacing w:after="0"/>
        <w:rPr>
          <w:sz w:val="20"/>
          <w:szCs w:val="20"/>
          <w:color w:val="auto"/>
        </w:rPr>
      </w:pPr>
      <w:r>
        <w:rPr>
          <w:rFonts w:ascii="Arial" w:cs="Arial" w:eastAsia="Arial" w:hAnsi="Arial"/>
          <w:sz w:val="20"/>
          <w:szCs w:val="20"/>
          <w:b w:val="1"/>
          <w:bCs w:val="1"/>
          <w:color w:val="auto"/>
        </w:rPr>
        <w:t>SUPERIOR WATER, LIGHT AND POWER COMPANY</w:t>
      </w:r>
    </w:p>
    <w:p>
      <w:pPr>
        <w:jc w:val="center"/>
        <w:ind w:right="-19"/>
        <w:spacing w:after="0"/>
        <w:rPr>
          <w:sz w:val="20"/>
          <w:szCs w:val="20"/>
          <w:color w:val="auto"/>
        </w:rPr>
      </w:pPr>
      <w:r>
        <w:rPr>
          <w:rFonts w:ascii="Arial" w:cs="Arial" w:eastAsia="Arial" w:hAnsi="Arial"/>
          <w:sz w:val="20"/>
          <w:szCs w:val="20"/>
          <w:b w:val="1"/>
          <w:bCs w:val="1"/>
          <w:color w:val="auto"/>
        </w:rPr>
        <w:t>FIRST MORTGAGE BOND</w:t>
      </w:r>
    </w:p>
    <w:p>
      <w:pPr>
        <w:ind w:left="3940"/>
        <w:spacing w:after="0"/>
        <w:rPr>
          <w:sz w:val="20"/>
          <w:szCs w:val="20"/>
          <w:color w:val="auto"/>
        </w:rPr>
      </w:pPr>
      <w:r>
        <w:rPr>
          <w:rFonts w:ascii="Arial" w:cs="Arial" w:eastAsia="Arial" w:hAnsi="Arial"/>
          <w:sz w:val="20"/>
          <w:szCs w:val="20"/>
          <w:b w:val="1"/>
          <w:bCs w:val="1"/>
          <w:color w:val="auto"/>
        </w:rPr>
        <w:t>_______% SERIES DUE ______________</w:t>
      </w: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VALUE RECEIVED, ___________________________________ do___ hereby sell, assign and transfer unto</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 one First Mortgage Bond, ____% Series due ________________ of Superior Water, Light and Power Company</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“Company”</w:t>
      </w:r>
      <w:r>
        <w:rPr>
          <w:rFonts w:ascii="Arial" w:cs="Arial" w:eastAsia="Arial" w:hAnsi="Arial"/>
          <w:sz w:val="19"/>
          <w:szCs w:val="19"/>
          <w:color w:val="auto"/>
        </w:rPr>
        <w:t>)for __________________________ dollars ($____________), No. ________, standing in __________________ name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 on the books of the Company and do___ hereby irrevocably constitute and appoint 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attorney to transfer the said bond on the books of the Company, with full power of substitution in the premises.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_________________________ ha___ hereunto set ____ hand ___________ [and seal ___________] at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 this ____day of ___________________, 20_____.</w:t>
      </w:r>
    </w:p>
    <w:p>
      <w:pPr>
        <w:sectPr>
          <w:pgSz w:w="11900" w:h="16838" w:orient="portrait"/>
          <w:cols w:equalWidth="0" w:num="1">
            <w:col w:w="11400"/>
          </w:cols>
          <w:pgMar w:left="240" w:top="630" w:right="2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 [SEAL]</w:t>
      </w:r>
    </w:p>
    <w:p>
      <w:pPr>
        <w:spacing w:after="0" w:line="200" w:lineRule="exact"/>
        <w:rPr>
          <w:sz w:val="20"/>
          <w:szCs w:val="20"/>
          <w:color w:val="auto"/>
        </w:rPr>
      </w:pPr>
    </w:p>
    <w:p>
      <w:pPr>
        <w:sectPr>
          <w:pgSz w:w="11900" w:h="16838" w:orient="portrait"/>
          <w:cols w:equalWidth="0" w:num="2">
            <w:col w:w="2980" w:space="400"/>
            <w:col w:w="8020"/>
          </w:cols>
          <w:pgMar w:left="240" w:top="630" w:right="259" w:bottom="1440" w:gutter="0" w:footer="0" w:header="0"/>
          <w:type w:val="continuous"/>
        </w:sect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 [SEAL]</w:t>
      </w:r>
    </w:p>
    <w:p>
      <w:pPr>
        <w:spacing w:after="0" w:line="200" w:lineRule="exact"/>
        <w:rPr>
          <w:sz w:val="20"/>
          <w:szCs w:val="20"/>
          <w:color w:val="auto"/>
        </w:rPr>
      </w:pPr>
    </w:p>
    <w:p>
      <w:pPr>
        <w:sectPr>
          <w:pgSz w:w="11900" w:h="16838" w:orient="portrait"/>
          <w:cols w:equalWidth="0" w:num="2">
            <w:col w:w="2980" w:space="400"/>
            <w:col w:w="8020"/>
          </w:cols>
          <w:pgMar w:left="240" w:top="630" w:right="259" w:bottom="1440" w:gutter="0" w:footer="0" w:header="0"/>
          <w:type w:val="continuous"/>
        </w:sect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STATE OF ________________ )</w:t>
      </w:r>
    </w:p>
    <w:p>
      <w:pPr>
        <w:sectPr>
          <w:pgSz w:w="11900" w:h="16838" w:orient="portrait"/>
          <w:cols w:equalWidth="0" w:num="1">
            <w:col w:w="11400"/>
          </w:cols>
          <w:pgMar w:left="240" w:top="630" w:right="259" w:bottom="1440" w:gutter="0" w:footer="0" w:header="0"/>
          <w:type w:val="continuous"/>
        </w:sectPr>
      </w:pPr>
    </w:p>
    <w:p>
      <w:pPr>
        <w:spacing w:after="0" w:line="61" w:lineRule="exact"/>
        <w:rPr>
          <w:sz w:val="20"/>
          <w:szCs w:val="20"/>
          <w:color w:val="auto"/>
        </w:rPr>
      </w:pPr>
    </w:p>
    <w:p>
      <w:pPr>
        <w:ind w:left="2720" w:hanging="119"/>
        <w:spacing w:after="0"/>
        <w:tabs>
          <w:tab w:leader="none" w:pos="2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SS.</w:t>
      </w:r>
    </w:p>
    <w:p>
      <w:pPr>
        <w:spacing w:after="0"/>
        <w:rPr>
          <w:rFonts w:ascii="Arial" w:cs="Arial" w:eastAsia="Arial" w:hAnsi="Arial"/>
          <w:sz w:val="20"/>
          <w:szCs w:val="20"/>
          <w:color w:val="auto"/>
        </w:rPr>
      </w:pPr>
      <w:r>
        <w:rPr>
          <w:rFonts w:ascii="Arial" w:cs="Arial" w:eastAsia="Arial" w:hAnsi="Arial"/>
          <w:sz w:val="20"/>
          <w:szCs w:val="20"/>
          <w:color w:val="auto"/>
        </w:rPr>
        <w:t>COUNTY OF ______________ )</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_____________________________, a notary public in and for said County, in the State aforesaid, do hereby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3716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who _____ personally known to me to be the same person__ whose name__ _____ subscribed to the foregoing instrument, appeared before me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this day in person and acknowledged that___________________________ signed, sealed and delivered the said instrument as _______free and</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voluntary act for the use and purposes therein set forth.</w:t>
      </w:r>
    </w:p>
    <w:p>
      <w:pPr>
        <w:spacing w:after="0" w:line="281"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Given under my hand and official seal this ____ day of _______________, 20_____.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756285</wp:posOffset>
            </wp:positionV>
            <wp:extent cx="21266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Notary Public</w:t>
      </w:r>
    </w:p>
    <w:p>
      <w:pPr>
        <w:spacing w:after="0" w:line="5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My Commission Expires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630" w:right="25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10(e)6</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Base Salary</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00"/>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Times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9"/>
        </w:trPr>
        <w:tc>
          <w:tcPr>
            <w:tcW w:w="3840" w:type="dxa"/>
            <w:vAlign w:val="bottom"/>
            <w:gridSpan w:val="4"/>
          </w:tcPr>
          <w:p>
            <w:pPr>
              <w:spacing w:after="0"/>
              <w:rPr>
                <w:sz w:val="20"/>
                <w:szCs w:val="20"/>
                <w:color w:val="auto"/>
              </w:rPr>
            </w:pPr>
            <w:r>
              <w:rPr>
                <w:rFonts w:ascii="Arial" w:cs="Arial" w:eastAsia="Arial" w:hAnsi="Arial"/>
                <w:sz w:val="18"/>
                <w:szCs w:val="18"/>
                <w:color w:val="auto"/>
              </w:rPr>
              <w:t>Award Opportunity (percent of base salary)</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20"/>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Equals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00"/>
        </w:trPr>
        <w:tc>
          <w:tcPr>
            <w:tcW w:w="3840" w:type="dxa"/>
            <w:vAlign w:val="bottom"/>
            <w:gridSpan w:val="4"/>
          </w:tcPr>
          <w:p>
            <w:pPr>
              <w:spacing w:after="0"/>
              <w:rPr>
                <w:sz w:val="20"/>
                <w:szCs w:val="20"/>
                <w:color w:val="auto"/>
              </w:rPr>
            </w:pPr>
            <w:r>
              <w:rPr>
                <w:rFonts w:ascii="Arial" w:cs="Arial" w:eastAsia="Arial" w:hAnsi="Arial"/>
                <w:sz w:val="18"/>
                <w:szCs w:val="18"/>
                <w:color w:val="auto"/>
              </w:rPr>
              <w:t>Target Award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2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Goal Performance Level</w:t>
            </w:r>
          </w:p>
        </w:tc>
        <w:tc>
          <w:tcPr>
            <w:tcW w:w="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b w:val="1"/>
                <w:bCs w:val="1"/>
                <w:color w:val="auto"/>
                <w:w w:val="91"/>
              </w:rPr>
              <w:t>Target Award</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Superior</w:t>
            </w:r>
          </w:p>
        </w:tc>
        <w:tc>
          <w:tcPr>
            <w:tcW w:w="520" w:type="dxa"/>
            <w:vAlign w:val="bottom"/>
          </w:tcPr>
          <w:p>
            <w:pPr>
              <w:spacing w:after="0"/>
              <w:rPr>
                <w:sz w:val="21"/>
                <w:szCs w:val="21"/>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200%</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100%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Threshold</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0"/>
              </w:rPr>
              <w:t>37.5%</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Below Threshold</w:t>
            </w:r>
          </w:p>
        </w:tc>
        <w:tc>
          <w:tcPr>
            <w:tcW w:w="520" w:type="dxa"/>
            <w:vAlign w:val="bottom"/>
          </w:tcPr>
          <w:p>
            <w:pPr>
              <w:spacing w:after="0"/>
              <w:rPr>
                <w:sz w:val="20"/>
                <w:szCs w:val="20"/>
                <w:color w:val="auto"/>
              </w:rPr>
            </w:pPr>
          </w:p>
        </w:tc>
        <w:tc>
          <w:tcPr>
            <w:tcW w:w="1320" w:type="dxa"/>
            <w:vAlign w:val="bottom"/>
            <w:gridSpan w:val="2"/>
          </w:tcPr>
          <w:p>
            <w:pPr>
              <w:jc w:val="center"/>
              <w:ind w:left="702"/>
              <w:spacing w:after="0"/>
              <w:rPr>
                <w:sz w:val="20"/>
                <w:szCs w:val="20"/>
                <w:color w:val="auto"/>
              </w:rPr>
            </w:pPr>
            <w:r>
              <w:rPr>
                <w:rFonts w:ascii="Arial" w:cs="Arial" w:eastAsia="Arial" w:hAnsi="Arial"/>
                <w:sz w:val="18"/>
                <w:szCs w:val="18"/>
                <w:color w:val="auto"/>
                <w:w w:val="92"/>
              </w:rPr>
              <w:t>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64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22"/>
                <w:szCs w:val="22"/>
                <w:b w:val="1"/>
                <w:bCs w:val="1"/>
                <w:color w:val="auto"/>
                <w:w w:val="88"/>
              </w:rPr>
              <w:t>Goals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3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5"/>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640" w:type="dxa"/>
            <w:vAlign w:val="bottom"/>
            <w:gridSpan w:val="3"/>
          </w:tcPr>
          <w:p>
            <w:pPr>
              <w:ind w:left="1640"/>
              <w:spacing w:after="0"/>
              <w:rPr>
                <w:sz w:val="20"/>
                <w:szCs w:val="20"/>
                <w:color w:val="auto"/>
              </w:rPr>
            </w:pPr>
            <w:r>
              <w:rPr>
                <w:rFonts w:ascii="Arial" w:cs="Arial" w:eastAsia="Arial" w:hAnsi="Arial"/>
                <w:sz w:val="20"/>
                <w:szCs w:val="20"/>
                <w:color w:val="auto"/>
              </w:rPr>
              <w:t>Net Income</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4"/>
              </w:rPr>
              <w:t>50%</w:t>
            </w: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00" w:type="dxa"/>
            <w:vAlign w:val="bottom"/>
            <w:gridSpan w:val="6"/>
          </w:tcPr>
          <w:p>
            <w:pPr>
              <w:ind w:left="1640"/>
              <w:spacing w:after="0"/>
              <w:rPr>
                <w:sz w:val="20"/>
                <w:szCs w:val="20"/>
                <w:color w:val="auto"/>
              </w:rPr>
            </w:pPr>
            <w:r>
              <w:rPr>
                <w:rFonts w:ascii="Arial" w:cs="Arial" w:eastAsia="Arial" w:hAnsi="Arial"/>
                <w:sz w:val="20"/>
                <w:szCs w:val="20"/>
                <w:color w:val="auto"/>
              </w:rPr>
              <w:t>Cash from Operating Activities</w:t>
            </w: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4"/>
              </w:rPr>
              <w:t>25%</w:t>
            </w:r>
          </w:p>
        </w:tc>
        <w:tc>
          <w:tcPr>
            <w:tcW w:w="240" w:type="dxa"/>
            <w:vAlign w:val="bottom"/>
          </w:tcPr>
          <w:p>
            <w:pPr>
              <w:spacing w:after="0"/>
              <w:rPr>
                <w:sz w:val="24"/>
                <w:szCs w:val="24"/>
                <w:color w:val="auto"/>
              </w:rPr>
            </w:pPr>
          </w:p>
        </w:tc>
      </w:tr>
      <w:tr>
        <w:trPr>
          <w:trHeight w:val="563"/>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w w:val="92"/>
              </w:rPr>
              <w:t>Strategic &amp; Operational Positioning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4"/>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25%</w:t>
            </w:r>
          </w:p>
        </w:tc>
        <w:tc>
          <w:tcPr>
            <w:tcW w:w="24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7"/>
              </w:rPr>
              <w:t>100%</w:t>
            </w:r>
          </w:p>
        </w:tc>
        <w:tc>
          <w:tcPr>
            <w:tcW w:w="240" w:type="dxa"/>
            <w:vAlign w:val="bottom"/>
          </w:tcPr>
          <w:p>
            <w:pPr>
              <w:spacing w:after="0"/>
              <w:rPr>
                <w:sz w:val="24"/>
                <w:szCs w:val="24"/>
                <w:color w:val="auto"/>
              </w:rPr>
            </w:pP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10(j)14</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In accordance with the terms of ALLETE’s Executive Long-Term Incentive Compensation Plan, as amended (the "Plan"), as determined by and through the Executive Compensation Committee of ALLETE’s Board of Directors, ALLETE hereby grants to you (the "Participant") Performance Shares, as set forth below, subject to the terms and conditions set forth in this Grant including Annexes A and B hereto and all documents incorporated herein by reference:</w:t>
      </w:r>
    </w:p>
    <w:p>
      <w:pPr>
        <w:spacing w:after="0" w:line="200" w:lineRule="exact"/>
        <w:rPr>
          <w:sz w:val="20"/>
          <w:szCs w:val="20"/>
          <w:color w:val="auto"/>
        </w:rPr>
      </w:pPr>
    </w:p>
    <w:p>
      <w:pPr>
        <w:spacing w:after="0" w:line="3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Number of Performance Shares Granted:</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Date of Grant:</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Performance Period:</w:t>
      </w:r>
    </w:p>
    <w:p>
      <w:pPr>
        <w:spacing w:after="0" w:line="44" w:lineRule="exact"/>
        <w:rPr>
          <w:sz w:val="20"/>
          <w:szCs w:val="20"/>
          <w:color w:val="auto"/>
        </w:rPr>
      </w:pPr>
    </w:p>
    <w:p>
      <w:pPr>
        <w:ind w:left="880"/>
        <w:spacing w:after="0"/>
        <w:tabs>
          <w:tab w:leader="none" w:pos="5540" w:val="left"/>
        </w:tabs>
        <w:rPr>
          <w:sz w:val="20"/>
          <w:szCs w:val="20"/>
          <w:color w:val="auto"/>
        </w:rPr>
      </w:pPr>
      <w:r>
        <w:rPr>
          <w:rFonts w:ascii="Arial" w:cs="Arial" w:eastAsia="Arial" w:hAnsi="Arial"/>
          <w:sz w:val="22"/>
          <w:szCs w:val="22"/>
          <w:color w:val="auto"/>
        </w:rPr>
        <w:t>Performance Goals:</w:t>
      </w:r>
      <w:r>
        <w:rPr>
          <w:sz w:val="20"/>
          <w:szCs w:val="20"/>
          <w:color w:val="auto"/>
        </w:rPr>
        <w:tab/>
      </w:r>
      <w:r>
        <w:rPr>
          <w:rFonts w:ascii="Arial" w:cs="Arial" w:eastAsia="Arial" w:hAnsi="Arial"/>
          <w:sz w:val="19"/>
          <w:szCs w:val="19"/>
          <w:color w:val="auto"/>
        </w:rPr>
        <w:t>See Annex B</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Further terms and conditions of the Grant are set forth in Annex A hereto and Performance Goals are set forth in Annex B hereto, which are integral parts of this Grant.</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All terms, provisions and conditions applicable to the Performance Shares set forth in the Plan and not set forth herein are incorporated by reference. To the extent any provision hereof is inconsistent with a provision of the Plan, the provisions of the Plan will govern.</w:t>
      </w:r>
    </w:p>
    <w:p>
      <w:pPr>
        <w:spacing w:after="0" w:line="186"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IN WITNESS WHEREOF, ALLETE has caused this Grant to be executed by its Chairman, President &amp; </w:t>
      </w:r>
      <w:r>
        <w:rPr>
          <w:rFonts w:ascii="Arial" w:cs="Arial" w:eastAsia="Arial" w:hAnsi="Arial"/>
          <w:sz w:val="19"/>
          <w:szCs w:val="19"/>
          <w:color w:val="auto"/>
        </w:rPr>
        <w:t>Chief Executive Officer</w:t>
      </w:r>
      <w:r>
        <w:rPr>
          <w:rFonts w:ascii="Arial" w:cs="Arial" w:eastAsia="Arial" w:hAnsi="Arial"/>
          <w:sz w:val="22"/>
          <w:szCs w:val="22"/>
          <w:color w:val="auto"/>
        </w:rPr>
        <w:t xml:space="preserve"> as of the date and year first above written.</w:t>
      </w:r>
    </w:p>
    <w:p>
      <w:pPr>
        <w:spacing w:after="0" w:line="16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24765</wp:posOffset>
            </wp:positionV>
            <wp:extent cx="22383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Chairman,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color w:val="auto"/>
        </w:rPr>
        <w:t>Annex A and Annex B</w:t>
      </w:r>
    </w:p>
    <w:p>
      <w:pPr>
        <w:sectPr>
          <w:pgSz w:w="11900" w:h="16838" w:orient="portrait"/>
          <w:cols w:equalWidth="0" w:num="1">
            <w:col w:w="11420"/>
          </w:cols>
          <w:pgMar w:left="240" w:top="121" w:right="239" w:bottom="1440" w:gutter="0" w:footer="0" w:header="0"/>
        </w:sectPr>
      </w:pPr>
    </w:p>
    <w:bookmarkStart w:id="152" w:name="page153"/>
    <w:bookmarkEnd w:id="152"/>
    <w:p>
      <w:pPr>
        <w:jc w:val="center"/>
        <w:ind w:right="-139"/>
        <w:spacing w:after="0"/>
        <w:rPr>
          <w:sz w:val="20"/>
          <w:szCs w:val="20"/>
          <w:color w:val="auto"/>
        </w:rPr>
      </w:pPr>
      <w:r>
        <w:rPr>
          <w:rFonts w:ascii="Arial" w:cs="Arial" w:eastAsia="Arial" w:hAnsi="Arial"/>
          <w:sz w:val="23"/>
          <w:szCs w:val="23"/>
          <w:b w:val="1"/>
          <w:bCs w:val="1"/>
          <w:color w:val="auto"/>
        </w:rPr>
        <w:t>ANNEX A</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TO</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ALLETE</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PERFORMANCE SHARE GRANT</w:t>
      </w:r>
    </w:p>
    <w:p>
      <w:pPr>
        <w:spacing w:after="0" w:line="220"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The Grant of Performance Shares evidenced by the Grant to which this is annexed is subject to the following additional terms and conditions:</w:t>
      </w:r>
    </w:p>
    <w:p>
      <w:pPr>
        <w:spacing w:after="0" w:line="175" w:lineRule="exact"/>
        <w:rPr>
          <w:sz w:val="20"/>
          <w:szCs w:val="20"/>
          <w:color w:val="auto"/>
        </w:rPr>
      </w:pPr>
    </w:p>
    <w:p>
      <w:pPr>
        <w:ind w:right="60" w:firstLine="656"/>
        <w:spacing w:after="0" w:line="248" w:lineRule="auto"/>
        <w:tabs>
          <w:tab w:leader="none" w:pos="99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xml:space="preserve"> The Participant shall receive Dividend Equivalents with respect to the number of Performance Shares subject to the Grant. Dividend Equivalents shall be calculated and credited to the Participant at the end of the Performance Period. The Dividend Equivalents shall be in the form of additional Performance Shares, which shall be added to the number of Performance Shares subject to the Grant, and which shall equal the number of Shares (including fractional Shares) that could be purchased on the dividend payment dates, based on the closing sale price as reported in the consolidated transaction reporting system on that date, with cash dividends that would have been paid on Performance Shares, if such Performance Shares were Shares.</w:t>
      </w:r>
    </w:p>
    <w:p>
      <w:pPr>
        <w:spacing w:after="0" w:line="195" w:lineRule="exact"/>
        <w:rPr>
          <w:rFonts w:ascii="Arial" w:cs="Arial" w:eastAsia="Arial" w:hAnsi="Arial"/>
          <w:sz w:val="22"/>
          <w:szCs w:val="22"/>
          <w:color w:val="auto"/>
        </w:rPr>
      </w:pPr>
    </w:p>
    <w:p>
      <w:pPr>
        <w:ind w:right="20" w:firstLine="656"/>
        <w:spacing w:after="0" w:line="291" w:lineRule="auto"/>
        <w:tabs>
          <w:tab w:leader="none" w:pos="99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Satisfaction of Goals.</w:t>
      </w:r>
      <w:r>
        <w:rPr>
          <w:rFonts w:ascii="Arial" w:cs="Arial" w:eastAsia="Arial" w:hAnsi="Arial"/>
          <w:sz w:val="19"/>
          <w:szCs w:val="19"/>
          <w:color w:val="auto"/>
        </w:rPr>
        <w:t xml:space="preserve"> At the end of the Performance Period, the Executive Compensation Committee (the “Committee”) shall determine the extent to which the Performance Goals have been met. The Participant will not be credited with any Performance Shares if the threshold level has not been met. Subject to the provisions of Section 4 hereof and to provisions in the Plan for change in control, percentages of the Performance Share grant shall be credited to the Participant as follows: If the threshold level has been met, 50% of the Performance Shares (as increased by the Dividend Equivalents) shall be credited to the Participant. If the target level has been met, 100% of the Performance Shares (as increased by the Dividend Equivalents) shall be credited to the Participant. If the superior level has been met, 200% of the Performance Shares (as increased by the Dividend Equivalents) shall be credited to the Participant. Straight line interpolation will be used to determine earned awards based on achievement of goals between the threshold, target and superior levels.</w:t>
      </w:r>
    </w:p>
    <w:p>
      <w:pPr>
        <w:spacing w:after="0" w:line="154" w:lineRule="exact"/>
        <w:rPr>
          <w:rFonts w:ascii="Arial" w:cs="Arial" w:eastAsia="Arial" w:hAnsi="Arial"/>
          <w:sz w:val="19"/>
          <w:szCs w:val="19"/>
          <w:color w:val="auto"/>
        </w:rPr>
      </w:pPr>
    </w:p>
    <w:p>
      <w:pPr>
        <w:ind w:right="80" w:firstLine="656"/>
        <w:spacing w:after="0" w:line="264" w:lineRule="auto"/>
        <w:tabs>
          <w:tab w:leader="none" w:pos="99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Subject to the provisions of subsection (d) hereof and to provisions in the Plan for change in control, Performance Shares as determined by the Committee according to Section 2 hereof shall be paid out 100% (as increased by the Dividend Equivalents) within two and one half months after the end of the Performance Period and after the Committee has determined the extent to which Performance Goals have been met. Payment shall be made, after withholding Performance Shares equal in value to the Participant’s income tax obligation via a deposit of ALLETE common stock into an Invest Direct account. Performance Share awards shall not vest until paid.</w:t>
      </w:r>
    </w:p>
    <w:p>
      <w:pPr>
        <w:spacing w:after="0" w:line="391" w:lineRule="exact"/>
        <w:rPr>
          <w:rFonts w:ascii="Arial" w:cs="Arial" w:eastAsia="Arial" w:hAnsi="Arial"/>
          <w:sz w:val="21"/>
          <w:szCs w:val="21"/>
          <w:color w:val="auto"/>
        </w:rPr>
      </w:pPr>
    </w:p>
    <w:p>
      <w:pPr>
        <w:ind w:right="840" w:firstLine="656"/>
        <w:spacing w:after="0" w:line="276" w:lineRule="auto"/>
        <w:tabs>
          <w:tab w:leader="none" w:pos="99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Payment Upon Death, Retirement or Disability; Forfeiture of Unvested Performance Shares Upon Demotion, Unsatisfactory Job Performance or Other Separation from Service.</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If during a Performance Period the Participant (i) Retires, (ii) dies while employed by a Related Company, or</w:t>
      </w:r>
    </w:p>
    <w:p>
      <w:pPr>
        <w:spacing w:after="0" w:line="22" w:lineRule="exact"/>
        <w:rPr>
          <w:sz w:val="20"/>
          <w:szCs w:val="20"/>
          <w:color w:val="auto"/>
        </w:rPr>
      </w:pPr>
    </w:p>
    <w:p>
      <w:pPr>
        <w:ind w:left="660" w:hanging="4"/>
        <w:spacing w:after="0" w:line="262" w:lineRule="auto"/>
        <w:tabs>
          <w:tab w:leader="none" w:pos="1038" w:val="left"/>
        </w:tabs>
        <w:numPr>
          <w:ilvl w:val="0"/>
          <w:numId w:val="53"/>
        </w:numPr>
        <w:rPr>
          <w:rFonts w:ascii="Arial" w:cs="Arial" w:eastAsia="Arial" w:hAnsi="Arial"/>
          <w:sz w:val="21"/>
          <w:szCs w:val="21"/>
          <w:color w:val="auto"/>
        </w:rPr>
      </w:pPr>
      <w:r>
        <w:rPr>
          <w:rFonts w:ascii="Arial" w:cs="Arial" w:eastAsia="Arial" w:hAnsi="Arial"/>
          <w:sz w:val="21"/>
          <w:szCs w:val="21"/>
          <w:color w:val="auto"/>
        </w:rPr>
        <w:t>becomes Disabled, the Participant (or the Participant’s beneficiary or estate) shall receive a payment of any Performance Shares (as increased by the Dividend Equivalents) after the end of the Performance Period, promptly after the Committee has determined the extent to which Performance Goals have been met. The payment shall be prorated based upon the number of whole calendar months within the Performance Period which had elapsed as of the date of death, Retirement or Disability in relation to the number of calendar</w:t>
      </w:r>
    </w:p>
    <w:p>
      <w:pPr>
        <w:sectPr>
          <w:pgSz w:w="11900" w:h="16838" w:orient="portrait"/>
          <w:cols w:equalWidth="0" w:num="1">
            <w:col w:w="11280"/>
          </w:cols>
          <w:pgMar w:left="240" w:top="351" w:right="379" w:bottom="1440" w:gutter="0" w:footer="0" w:header="0"/>
        </w:sectPr>
      </w:pPr>
    </w:p>
    <w:bookmarkStart w:id="153" w:name="page154"/>
    <w:bookmarkEnd w:id="153"/>
    <w:p>
      <w:pPr>
        <w:ind w:left="640" w:right="100"/>
        <w:spacing w:after="0" w:line="273" w:lineRule="auto"/>
        <w:rPr>
          <w:sz w:val="20"/>
          <w:szCs w:val="20"/>
          <w:color w:val="auto"/>
        </w:rPr>
      </w:pPr>
      <w:r>
        <w:rPr>
          <w:rFonts w:ascii="Arial" w:cs="Arial" w:eastAsia="Arial" w:hAnsi="Arial"/>
          <w:sz w:val="22"/>
          <w:szCs w:val="22"/>
          <w:color w:val="auto"/>
        </w:rPr>
        <w:t>months in the full Performance Period. A whole month is counted in the calculation if the Participant was in the position as of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month.</w:t>
      </w:r>
    </w:p>
    <w:p>
      <w:pPr>
        <w:spacing w:after="0" w:line="75" w:lineRule="exact"/>
        <w:rPr>
          <w:sz w:val="20"/>
          <w:szCs w:val="20"/>
          <w:color w:val="auto"/>
        </w:rPr>
      </w:pPr>
    </w:p>
    <w:p>
      <w:pPr>
        <w:ind w:left="640" w:right="40" w:firstLine="648"/>
        <w:spacing w:after="0" w:line="254"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as specified in Section 4.1 above, the Participant Retires, dies or becomes Disabled, the Participant (or the Participant’s beneficiary or estate) shall be entitled to a full payout of all Performance Shares (as increased by the Dividend Equivalents), which shall be paid out at the next scheduled performance share payment date.</w:t>
      </w:r>
    </w:p>
    <w:p>
      <w:pPr>
        <w:spacing w:after="0" w:line="185" w:lineRule="exact"/>
        <w:rPr>
          <w:sz w:val="20"/>
          <w:szCs w:val="20"/>
          <w:color w:val="auto"/>
        </w:rPr>
      </w:pPr>
    </w:p>
    <w:p>
      <w:pPr>
        <w:ind w:left="640" w:firstLine="648"/>
        <w:spacing w:after="0" w:line="254" w:lineRule="auto"/>
        <w:rPr>
          <w:sz w:val="20"/>
          <w:szCs w:val="20"/>
          <w:color w:val="auto"/>
        </w:rPr>
      </w:pPr>
      <w:r>
        <w:rPr>
          <w:rFonts w:ascii="Arial" w:cs="Arial" w:eastAsia="Arial" w:hAnsi="Arial"/>
          <w:sz w:val="22"/>
          <w:szCs w:val="22"/>
          <w:color w:val="auto"/>
        </w:rPr>
        <w:t>4.3 If prior to payment of all Performance Shares, the Participant is demoted, or ALLETE or a Business Unit determines, in its sole discretion, that the Participant’s job performance is unsatisfactory, ALLETE reserves the right to cancel or amend the Participant’s grant relating to any unpaid Performance Shares, with the result that some portion or all of the Participant’s unpaid Performance Shares will be forfeited.</w:t>
      </w:r>
    </w:p>
    <w:p>
      <w:pPr>
        <w:spacing w:after="0" w:line="185" w:lineRule="exact"/>
        <w:rPr>
          <w:sz w:val="20"/>
          <w:szCs w:val="20"/>
          <w:color w:val="auto"/>
        </w:rPr>
      </w:pPr>
    </w:p>
    <w:p>
      <w:pPr>
        <w:ind w:left="640" w:right="220" w:firstLine="648"/>
        <w:spacing w:after="0" w:line="278" w:lineRule="auto"/>
        <w:rPr>
          <w:sz w:val="20"/>
          <w:szCs w:val="20"/>
          <w:color w:val="auto"/>
        </w:rPr>
      </w:pPr>
      <w:r>
        <w:rPr>
          <w:rFonts w:ascii="Arial" w:cs="Arial" w:eastAsia="Arial" w:hAnsi="Arial"/>
          <w:sz w:val="21"/>
          <w:szCs w:val="21"/>
          <w:color w:val="auto"/>
        </w:rPr>
        <w:t>4.4 If the Participant has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60" w:lineRule="exact"/>
        <w:rPr>
          <w:sz w:val="20"/>
          <w:szCs w:val="20"/>
          <w:color w:val="auto"/>
        </w:rPr>
      </w:pPr>
    </w:p>
    <w:p>
      <w:pPr>
        <w:ind w:left="-20" w:right="160" w:firstLine="656"/>
        <w:spacing w:after="0" w:line="260" w:lineRule="auto"/>
        <w:tabs>
          <w:tab w:leader="none" w:pos="97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7" w:lineRule="exact"/>
        <w:rPr>
          <w:rFonts w:ascii="Arial" w:cs="Arial" w:eastAsia="Arial" w:hAnsi="Arial"/>
          <w:sz w:val="22"/>
          <w:szCs w:val="22"/>
          <w:color w:val="auto"/>
        </w:rPr>
      </w:pPr>
    </w:p>
    <w:p>
      <w:pPr>
        <w:ind w:left="-20" w:right="40" w:firstLine="656"/>
        <w:spacing w:after="0" w:line="278" w:lineRule="auto"/>
        <w:tabs>
          <w:tab w:leader="none" w:pos="97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Ratification of Actions.</w:t>
      </w:r>
      <w:r>
        <w:rPr>
          <w:rFonts w:ascii="Arial" w:cs="Arial" w:eastAsia="Arial" w:hAnsi="Arial"/>
          <w:sz w:val="21"/>
          <w:szCs w:val="21"/>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60" w:lineRule="exact"/>
        <w:rPr>
          <w:rFonts w:ascii="Arial" w:cs="Arial" w:eastAsia="Arial" w:hAnsi="Arial"/>
          <w:sz w:val="21"/>
          <w:szCs w:val="21"/>
          <w:color w:val="auto"/>
        </w:rPr>
      </w:pPr>
    </w:p>
    <w:p>
      <w:pPr>
        <w:ind w:left="-20" w:right="60" w:firstLine="656"/>
        <w:spacing w:after="0" w:line="254" w:lineRule="auto"/>
        <w:tabs>
          <w:tab w:leader="none" w:pos="97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85" w:lineRule="exact"/>
        <w:rPr>
          <w:rFonts w:ascii="Arial" w:cs="Arial" w:eastAsia="Arial" w:hAnsi="Arial"/>
          <w:sz w:val="22"/>
          <w:szCs w:val="22"/>
          <w:color w:val="auto"/>
        </w:rPr>
      </w:pPr>
    </w:p>
    <w:p>
      <w:pPr>
        <w:ind w:left="-20" w:right="160" w:firstLine="656"/>
        <w:spacing w:after="0" w:line="307" w:lineRule="auto"/>
        <w:tabs>
          <w:tab w:leader="none" w:pos="97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20" w:right="720" w:firstLine="656"/>
        <w:spacing w:after="0" w:line="276" w:lineRule="auto"/>
        <w:tabs>
          <w:tab w:leader="none" w:pos="97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1280"/>
        <w:spacing w:after="0"/>
        <w:tabs>
          <w:tab w:leader="none" w:pos="17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375" w:right="259" w:bottom="1440" w:gutter="0" w:footer="0" w:header="0"/>
        </w:sectPr>
      </w:pPr>
    </w:p>
    <w:bookmarkStart w:id="154" w:name="page155"/>
    <w:bookmarkEnd w:id="154"/>
    <w:p>
      <w:pPr>
        <w:ind w:left="640"/>
        <w:spacing w:after="0"/>
        <w:tabs>
          <w:tab w:leader="none" w:pos="10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620" w:right="160" w:hanging="651"/>
        <w:spacing w:after="0" w:line="253" w:lineRule="auto"/>
        <w:tabs>
          <w:tab w:leader="none" w:pos="16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22"/>
          <w:szCs w:val="22"/>
          <w:color w:val="auto"/>
        </w:rPr>
      </w:pPr>
    </w:p>
    <w:p>
      <w:pPr>
        <w:ind w:left="1620" w:right="60" w:hanging="651"/>
        <w:spacing w:after="0" w:line="250" w:lineRule="auto"/>
        <w:tabs>
          <w:tab w:leader="none" w:pos="16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22"/>
          <w:szCs w:val="22"/>
          <w:color w:val="auto"/>
        </w:rPr>
      </w:pPr>
    </w:p>
    <w:p>
      <w:pPr>
        <w:ind w:left="1620" w:hanging="651"/>
        <w:spacing w:after="0"/>
        <w:tabs>
          <w:tab w:leader="none" w:pos="16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260" w:lineRule="exact"/>
        <w:rPr>
          <w:rFonts w:ascii="Arial" w:cs="Arial" w:eastAsia="Arial" w:hAnsi="Arial"/>
          <w:sz w:val="22"/>
          <w:szCs w:val="22"/>
          <w:color w:val="auto"/>
        </w:rPr>
      </w:pPr>
    </w:p>
    <w:p>
      <w:pPr>
        <w:ind w:left="1620" w:hanging="651"/>
        <w:spacing w:after="0" w:line="253" w:lineRule="auto"/>
        <w:tabs>
          <w:tab w:leader="none" w:pos="16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9.3 “</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4" w:lineRule="exact"/>
        <w:rPr>
          <w:sz w:val="20"/>
          <w:szCs w:val="20"/>
          <w:color w:val="auto"/>
        </w:rPr>
      </w:pPr>
    </w:p>
    <w:p>
      <w:pPr>
        <w:jc w:val="both"/>
        <w:ind w:right="30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9.4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369" w:right="239" w:bottom="1440" w:gutter="0" w:footer="0" w:header="0"/>
        </w:sectPr>
      </w:pPr>
    </w:p>
    <w:bookmarkStart w:id="155" w:name="page156"/>
    <w:bookmarkEnd w:id="155"/>
    <w:p>
      <w:pPr>
        <w:ind w:left="4" w:firstLine="648"/>
        <w:spacing w:after="0" w:line="286" w:lineRule="auto"/>
        <w:rPr>
          <w:sz w:val="20"/>
          <w:szCs w:val="20"/>
          <w:color w:val="auto"/>
        </w:rPr>
      </w:pPr>
      <w:r>
        <w:rPr>
          <w:rFonts w:ascii="Arial" w:cs="Arial" w:eastAsia="Arial" w:hAnsi="Arial"/>
          <w:sz w:val="19"/>
          <w:szCs w:val="19"/>
          <w:color w:val="auto"/>
        </w:rPr>
        <w:t>9.5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300" w:hanging="4"/>
        <w:spacing w:after="0" w:line="262" w:lineRule="auto"/>
        <w:tabs>
          <w:tab w:leader="none" w:pos="310" w:val="left"/>
        </w:tabs>
        <w:numPr>
          <w:ilvl w:val="0"/>
          <w:numId w:val="56"/>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9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4"/>
          </w:cols>
          <w:pgMar w:left="896" w:top="369" w:right="319" w:bottom="1440" w:gutter="0" w:footer="0" w:header="0"/>
        </w:sectPr>
      </w:pPr>
    </w:p>
    <w:bookmarkStart w:id="156" w:name="page157"/>
    <w:bookmarkEnd w:id="156"/>
    <w:p>
      <w:pPr>
        <w:jc w:val="center"/>
        <w:ind w:right="-79"/>
        <w:spacing w:after="0"/>
        <w:rPr>
          <w:sz w:val="20"/>
          <w:szCs w:val="20"/>
          <w:color w:val="auto"/>
        </w:rPr>
      </w:pPr>
      <w:r>
        <w:rPr>
          <w:rFonts w:ascii="Arial" w:cs="Arial" w:eastAsia="Arial" w:hAnsi="Arial"/>
          <w:sz w:val="22"/>
          <w:szCs w:val="22"/>
          <w:b w:val="1"/>
          <w:bCs w:val="1"/>
          <w:color w:val="auto"/>
        </w:rPr>
        <w:t>ANNEX B</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w:t>
      </w:r>
    </w:p>
    <w:p>
      <w:pPr>
        <w:jc w:val="center"/>
        <w:ind w:right="-79"/>
        <w:spacing w:after="0" w:line="231" w:lineRule="auto"/>
        <w:rPr>
          <w:sz w:val="20"/>
          <w:szCs w:val="20"/>
          <w:color w:val="auto"/>
        </w:rPr>
      </w:pPr>
      <w:r>
        <w:rPr>
          <w:rFonts w:ascii="Arial" w:cs="Arial" w:eastAsia="Arial" w:hAnsi="Arial"/>
          <w:sz w:val="22"/>
          <w:szCs w:val="22"/>
          <w:b w:val="1"/>
          <w:bCs w:val="1"/>
          <w:color w:val="auto"/>
        </w:rPr>
        <w:t>ALLETE</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auto"/>
        </w:rPr>
        <w:t>PERFORMANCE SHARE GRANT</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auto"/>
        </w:rPr>
        <w:t>Effective 2014</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auto"/>
        </w:rPr>
        <w:t>[Eligible Executive Employees]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Total Shareholder Return (TSR) computed over the three-year period.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w:t>
      </w:r>
    </w:p>
    <w:p>
      <w:pPr>
        <w:spacing w:after="0" w:line="22" w:lineRule="exact"/>
        <w:rPr>
          <w:sz w:val="20"/>
          <w:szCs w:val="20"/>
          <w:color w:val="auto"/>
        </w:rPr>
      </w:pPr>
    </w:p>
    <w:p>
      <w:pPr>
        <w:spacing w:after="0" w:line="228" w:lineRule="auto"/>
        <w:rPr>
          <w:sz w:val="20"/>
          <w:szCs w:val="20"/>
          <w:color w:val="auto"/>
        </w:rPr>
      </w:pPr>
      <w:r>
        <w:rPr>
          <w:rFonts w:ascii="Arial" w:cs="Arial" w:eastAsia="Arial" w:hAnsi="Arial"/>
          <w:sz w:val="21"/>
          <w:szCs w:val="21"/>
          <w:color w:val="auto"/>
        </w:rPr>
        <w:t>If ALLETE’s TSR ranking is 4th or higher among a peer group of 27 companies (superior performance), 200% of the Performance Share Grant will be earned. If ALLETE’s TSR performance ranks 14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among the peer group (target performance), 100% of the Grant will be earned. If ALLETE’s TSR performance ranks 19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(threshold performance), 50% of the Grant will be earned. If TSR performance is below threshold, no Performance Shares will be earned. Straight-line interpolation will be used to determine earned awards based on the TSR ranking between threshold, target and superior.</w:t>
      </w:r>
    </w:p>
    <w:p>
      <w:pPr>
        <w:spacing w:after="0" w:line="218" w:lineRule="exact"/>
        <w:rPr>
          <w:sz w:val="20"/>
          <w:szCs w:val="20"/>
          <w:color w:val="auto"/>
        </w:rPr>
      </w:pPr>
    </w:p>
    <w:tbl>
      <w:tblPr>
        <w:tblLayout w:type="fixed"/>
        <w:tblInd w:w="1930" w:type="dxa"/>
        <w:tblCellMar>
          <w:top w:w="0" w:type="dxa"/>
          <w:left w:w="0" w:type="dxa"/>
          <w:bottom w:w="0" w:type="dxa"/>
          <w:right w:w="0" w:type="dxa"/>
        </w:tblCellMar>
      </w:tblPr>
      <w:tr>
        <w:trPr>
          <w:trHeight w:val="216"/>
        </w:trPr>
        <w:tc>
          <w:tcPr>
            <w:tcW w:w="3060" w:type="dxa"/>
            <w:vAlign w:val="bottom"/>
            <w:tcBorders>
              <w:top w:val="single" w:sz="8" w:color="auto"/>
              <w:left w:val="single" w:sz="8" w:color="auto"/>
              <w:right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rPr>
              <w:t>TSR Rank</w:t>
            </w:r>
          </w:p>
        </w:tc>
        <w:tc>
          <w:tcPr>
            <w:tcW w:w="190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Perf. Level</w:t>
            </w:r>
          </w:p>
        </w:tc>
        <w:tc>
          <w:tcPr>
            <w:tcW w:w="2660" w:type="dxa"/>
            <w:vAlign w:val="bottom"/>
            <w:tcBorders>
              <w:top w:val="single" w:sz="8" w:color="auto"/>
              <w:right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Payout %</w:t>
            </w:r>
          </w:p>
        </w:tc>
      </w:tr>
      <w:tr>
        <w:trPr>
          <w:trHeight w:val="48"/>
        </w:trPr>
        <w:tc>
          <w:tcPr>
            <w:tcW w:w="1120" w:type="dxa"/>
            <w:vAlign w:val="bottom"/>
            <w:tcBorders>
              <w:left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1</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2</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3</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4</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1"/>
              </w:rPr>
              <w:t>Superior</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5</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190%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6</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180%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7</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170%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8</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160%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9</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150%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10</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140%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11</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130%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12</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120%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13</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110%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14</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8"/>
              </w:rPr>
              <w:t>Target</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15</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90%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16</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80%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17</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70%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18</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60%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19</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9"/>
              </w:rPr>
              <w:t>Threshold</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50%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20</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21</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22</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23</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24</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25</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26</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27</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28</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40"/>
          </w:cols>
          <w:pgMar w:left="240" w:top="369"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14(j)15</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17"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In accordance with the terms of ALLETE’s Executive Long-Term Incentive Compensation Plan, as amended (the "Plan"),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Annex A hereto, and all documents incorporated herein by reference: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Restricted Stock Units: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Period: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All terms, provisions and conditions set forth in the Plan and not set forth herein are incorporated by reference.</w:t>
      </w:r>
    </w:p>
    <w:p>
      <w:pPr>
        <w:spacing w:after="0" w:line="200" w:lineRule="exact"/>
        <w:rPr>
          <w:sz w:val="20"/>
          <w:szCs w:val="20"/>
          <w:color w:val="auto"/>
        </w:rPr>
      </w:pPr>
    </w:p>
    <w:p>
      <w:pPr>
        <w:spacing w:after="0" w:line="317"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24765</wp:posOffset>
            </wp:positionV>
            <wp:extent cx="22383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Chairman, President &amp; CEO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ectPr>
          <w:pgSz w:w="11900" w:h="16838" w:orient="portrait"/>
          <w:cols w:equalWidth="0" w:num="1">
            <w:col w:w="11420"/>
          </w:cols>
          <w:pgMar w:left="240" w:top="121" w:right="2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22"/>
          <w:szCs w:val="22"/>
          <w:b w:val="1"/>
          <w:bCs w:val="1"/>
          <w:color w:val="auto"/>
        </w:rPr>
        <w:t>ANNEX A</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GRANT</w:t>
      </w:r>
    </w:p>
    <w:p>
      <w:pPr>
        <w:spacing w:after="0" w:line="202"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The grant of restricted stock units (each , a “RSU”) under the ALLETE Executive Long-Term Incentive Compensation Plan (the “Plan”), evidenced by the Grant to which this is annexed, is subject to the following additional terms and conditions:</w:t>
      </w:r>
    </w:p>
    <w:p>
      <w:pPr>
        <w:spacing w:after="0" w:line="105" w:lineRule="exact"/>
        <w:rPr>
          <w:sz w:val="20"/>
          <w:szCs w:val="20"/>
          <w:color w:val="auto"/>
        </w:rPr>
      </w:pPr>
    </w:p>
    <w:p>
      <w:pPr>
        <w:ind w:right="80" w:firstLine="8"/>
        <w:spacing w:after="0" w:line="250" w:lineRule="auto"/>
        <w:tabs>
          <w:tab w:leader="none" w:pos="34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which shares will be deposited into an account for the Participant in the ALLETE Invest Direct plan.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Participant’s income tax obligation.</w:t>
      </w:r>
    </w:p>
    <w:p>
      <w:pPr>
        <w:spacing w:after="0" w:line="188" w:lineRule="exact"/>
        <w:rPr>
          <w:rFonts w:ascii="Arial" w:cs="Arial" w:eastAsia="Arial" w:hAnsi="Arial"/>
          <w:sz w:val="22"/>
          <w:szCs w:val="22"/>
          <w:color w:val="auto"/>
        </w:rPr>
      </w:pPr>
    </w:p>
    <w:p>
      <w:pPr>
        <w:ind w:right="40" w:firstLine="8"/>
        <w:spacing w:after="0" w:line="264" w:lineRule="auto"/>
        <w:tabs>
          <w:tab w:leader="none" w:pos="342"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Participant will receive Dividend Equivalents in connection with the RSU’s granted. Dividend Equivalents will be calculated and credited to the Participant at the time the underlying RSU’s are paid. Dividend Equivalents shall be in the form of additional RSU’s, which shall be added to the number of RSU’s subject to the grant, and which shall equal the number of Shares (including fractional Shares) that could have been purchased on the dividend payment dates based on the closing price as reported in the consolidated transaction reporting system on that date with cash dividends that would have been paid on the RSU’s, if such RSU’s were Shares.</w:t>
      </w:r>
    </w:p>
    <w:p>
      <w:pPr>
        <w:spacing w:after="0" w:line="175" w:lineRule="exact"/>
        <w:rPr>
          <w:rFonts w:ascii="Arial" w:cs="Arial" w:eastAsia="Arial" w:hAnsi="Arial"/>
          <w:sz w:val="21"/>
          <w:szCs w:val="21"/>
          <w:color w:val="auto"/>
        </w:rPr>
      </w:pPr>
    </w:p>
    <w:p>
      <w:pPr>
        <w:ind w:right="520" w:firstLine="8"/>
        <w:spacing w:after="0" w:line="276" w:lineRule="auto"/>
        <w:tabs>
          <w:tab w:leader="none" w:pos="34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or Unsatisfactory Job Performance</w:t>
      </w:r>
      <w:r>
        <w:rPr>
          <w:rFonts w:ascii="Arial" w:cs="Arial" w:eastAsia="Arial" w:hAnsi="Arial"/>
          <w:sz w:val="22"/>
          <w:szCs w:val="22"/>
          <w:color w:val="auto"/>
        </w:rPr>
        <w:t>.</w:t>
      </w:r>
    </w:p>
    <w:p>
      <w:pPr>
        <w:spacing w:after="0" w:line="161" w:lineRule="exact"/>
        <w:rPr>
          <w:sz w:val="20"/>
          <w:szCs w:val="20"/>
          <w:color w:val="auto"/>
        </w:rPr>
      </w:pPr>
    </w:p>
    <w:p>
      <w:pPr>
        <w:ind w:left="660" w:right="20"/>
        <w:spacing w:after="0" w:line="262" w:lineRule="auto"/>
        <w:rPr>
          <w:sz w:val="20"/>
          <w:szCs w:val="20"/>
          <w:color w:val="auto"/>
        </w:rPr>
      </w:pPr>
      <w:r>
        <w:rPr>
          <w:rFonts w:ascii="Arial" w:cs="Arial" w:eastAsia="Arial" w:hAnsi="Arial"/>
          <w:sz w:val="21"/>
          <w:szCs w:val="21"/>
          <w:color w:val="auto"/>
        </w:rPr>
        <w:t>3.1 Subject to Section 3.4 below, if during the vesting period the Participant (i) Retires, (ii) dies while employed by ALLETE or any Related Company, or (iii) becomes Disabled, a portion of the unvested RSU’s subject to the Grant will vest and be paid to the Participant (or the Participant’s beneficiary or estate) during the period ending sixty days after such event; provided, however, the Participant will not be permitted, directly or indirectly, to designate the taxable year of the distribution. Except as otherwise provided in Section 4, Payment pursuant to this Section 3.1 shall be prorated, after giving effect to the accumulation of Dividend Equivalents, based on the number of whole calendar months within the vesting period that had elapsed as of the date of Retirement, death or Disability in relation to the number of calendar months in the vesting period. For purposes of this calculation, the Participant will be credited with a whole month if the Participant was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pacing w:after="0" w:line="91" w:lineRule="exact"/>
        <w:rPr>
          <w:sz w:val="20"/>
          <w:szCs w:val="20"/>
          <w:color w:val="auto"/>
        </w:rPr>
      </w:pPr>
    </w:p>
    <w:p>
      <w:pPr>
        <w:ind w:left="660"/>
        <w:spacing w:after="0" w:line="260" w:lineRule="auto"/>
        <w:rPr>
          <w:sz w:val="20"/>
          <w:szCs w:val="20"/>
          <w:color w:val="auto"/>
        </w:rPr>
      </w:pPr>
      <w:r>
        <w:rPr>
          <w:rFonts w:ascii="Arial" w:cs="Arial" w:eastAsia="Arial" w:hAnsi="Arial"/>
          <w:sz w:val="22"/>
          <w:szCs w:val="22"/>
          <w:color w:val="auto"/>
        </w:rPr>
        <w:t>3.2 Except as otherwise provided in Section 4, if during the vesting period or prior to payment of all RSU’s the Participant has a Separation from Service for any reason other than those specified in Section 3.1 above, all unvested or unpaid RSU’s subject to the Grant will be forfeited on the date of such Separation from Service.</w:t>
      </w:r>
    </w:p>
    <w:p>
      <w:pPr>
        <w:spacing w:after="0" w:line="177" w:lineRule="exact"/>
        <w:rPr>
          <w:sz w:val="20"/>
          <w:szCs w:val="20"/>
          <w:color w:val="auto"/>
        </w:rPr>
      </w:pPr>
    </w:p>
    <w:p>
      <w:pPr>
        <w:jc w:val="both"/>
        <w:ind w:left="660" w:right="160"/>
        <w:spacing w:after="0" w:line="320" w:lineRule="auto"/>
        <w:rPr>
          <w:sz w:val="20"/>
          <w:szCs w:val="20"/>
          <w:color w:val="auto"/>
        </w:rPr>
      </w:pPr>
      <w:r>
        <w:rPr>
          <w:rFonts w:ascii="Arial" w:cs="Arial" w:eastAsia="Arial" w:hAnsi="Arial"/>
          <w:sz w:val="19"/>
          <w:szCs w:val="19"/>
          <w:color w:val="auto"/>
        </w:rPr>
        <w:t>3.3 If during the vesting period or prior to payment of all Shares the Participant is demoted, or if ALLETE determines, in its sole discretion, that the Participant’s job performance is unsatisfactory, ALLETE may cancel or amend the Participant’s grant relating to any unpaid RSU’s, resulting in the forfeiture of some portion or all of the Participant’s unpaid RSU’s.</w:t>
      </w:r>
    </w:p>
    <w:p>
      <w:pPr>
        <w:sectPr>
          <w:pgSz w:w="11900" w:h="16838" w:orient="portrait"/>
          <w:cols w:equalWidth="0" w:num="1">
            <w:col w:w="11420"/>
          </w:cols>
          <w:pgMar w:left="240" w:top="369" w:right="239" w:bottom="1440" w:gutter="0" w:footer="0" w:header="0"/>
        </w:sectPr>
      </w:pPr>
    </w:p>
    <w:bookmarkStart w:id="159" w:name="page160"/>
    <w:bookmarkEnd w:id="159"/>
    <w:p>
      <w:pPr>
        <w:ind w:left="652"/>
        <w:spacing w:after="0" w:line="248" w:lineRule="auto"/>
        <w:rPr>
          <w:sz w:val="20"/>
          <w:szCs w:val="20"/>
          <w:color w:val="auto"/>
        </w:rPr>
      </w:pPr>
      <w:r>
        <w:rPr>
          <w:rFonts w:ascii="Arial" w:cs="Arial" w:eastAsia="Arial" w:hAnsi="Arial"/>
          <w:sz w:val="22"/>
          <w:szCs w:val="22"/>
          <w:color w:val="auto"/>
        </w:rPr>
        <w:t>3.4 Notwithstanding anything herein to the contrary, if the Participant becomes entitled to a payment of the RSU’s by reason of the Participant’s Retirement and if the Participant is a Specified Employee on the date of such Retirement, payment shall not be made until the earlier of: (i) the expiration of the six-month period beginning on the date of Participant’s Retirement, or (ii) the date of the Participant’s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96" w:lineRule="exact"/>
        <w:rPr>
          <w:sz w:val="20"/>
          <w:szCs w:val="20"/>
          <w:color w:val="auto"/>
        </w:rPr>
      </w:pPr>
    </w:p>
    <w:p>
      <w:pPr>
        <w:ind w:left="-8" w:right="20" w:firstLine="8"/>
        <w:spacing w:after="0" w:line="266" w:lineRule="auto"/>
        <w:tabs>
          <w:tab w:leader="none" w:pos="33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Upon a Change in Control, unless the Committee provides otherwise prior to the Change in Control, outstanding unvested RSU’s shall be prorated (as described below) and such prorated RSU’s shall immediately vest and be payable to the Participant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a Participant’s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three-year vesting period that had elapsed as of the date of the Change in Control or termination of employment, as applicable, in relation to the number of calendar months in the three-year vesting period. For purposes of this calculation, the Participant will be credited with a whole month if the Participant was employed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 In no event will the Participant be permitted, directly or indirectly, to designate the taxable year of the distribution on account of or in connection with a Change in Control.</w:t>
      </w:r>
    </w:p>
    <w:p>
      <w:pPr>
        <w:spacing w:after="0" w:line="175" w:lineRule="exact"/>
        <w:rPr>
          <w:rFonts w:ascii="Arial" w:cs="Arial" w:eastAsia="Arial" w:hAnsi="Arial"/>
          <w:sz w:val="20"/>
          <w:szCs w:val="20"/>
          <w:color w:val="auto"/>
        </w:rPr>
      </w:pPr>
    </w:p>
    <w:p>
      <w:pPr>
        <w:ind w:left="-8" w:right="180" w:firstLine="8"/>
        <w:spacing w:after="0" w:line="260" w:lineRule="auto"/>
        <w:tabs>
          <w:tab w:leader="none" w:pos="334"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90" w:lineRule="exact"/>
        <w:rPr>
          <w:rFonts w:ascii="Arial" w:cs="Arial" w:eastAsia="Arial" w:hAnsi="Arial"/>
          <w:sz w:val="22"/>
          <w:szCs w:val="22"/>
          <w:color w:val="auto"/>
        </w:rPr>
      </w:pPr>
    </w:p>
    <w:p>
      <w:pPr>
        <w:ind w:left="-8" w:right="60" w:firstLine="8"/>
        <w:spacing w:after="0" w:line="320" w:lineRule="auto"/>
        <w:tabs>
          <w:tab w:leader="none" w:pos="38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xml:space="preserv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w:t>
      </w:r>
    </w:p>
    <w:p>
      <w:pPr>
        <w:spacing w:after="0" w:line="138" w:lineRule="exact"/>
        <w:rPr>
          <w:rFonts w:ascii="Arial" w:cs="Arial" w:eastAsia="Arial" w:hAnsi="Arial"/>
          <w:sz w:val="19"/>
          <w:szCs w:val="19"/>
          <w:color w:val="auto"/>
        </w:rPr>
      </w:pPr>
    </w:p>
    <w:p>
      <w:pPr>
        <w:ind w:left="-8" w:right="100" w:firstLine="8"/>
        <w:spacing w:after="0" w:line="278" w:lineRule="auto"/>
        <w:tabs>
          <w:tab w:leader="none" w:pos="38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Ratification of Actions.</w:t>
      </w:r>
      <w:r>
        <w:rPr>
          <w:rFonts w:ascii="Arial" w:cs="Arial" w:eastAsia="Arial" w:hAnsi="Arial"/>
          <w:sz w:val="21"/>
          <w:szCs w:val="21"/>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60" w:lineRule="exact"/>
        <w:rPr>
          <w:rFonts w:ascii="Arial" w:cs="Arial" w:eastAsia="Arial" w:hAnsi="Arial"/>
          <w:sz w:val="21"/>
          <w:szCs w:val="21"/>
          <w:color w:val="auto"/>
        </w:rPr>
      </w:pPr>
    </w:p>
    <w:p>
      <w:pPr>
        <w:ind w:left="-8" w:right="80" w:firstLine="8"/>
        <w:spacing w:after="0" w:line="254" w:lineRule="auto"/>
        <w:tabs>
          <w:tab w:leader="none" w:pos="334"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591" w:right="239" w:bottom="1440" w:gutter="0" w:footer="0" w:header="0"/>
        </w:sectPr>
      </w:pPr>
    </w:p>
    <w:bookmarkStart w:id="160" w:name="page161"/>
    <w:bookmarkEnd w:id="160"/>
    <w:p>
      <w:pPr>
        <w:jc w:val="both"/>
        <w:ind w:left="-8" w:right="120" w:firstLine="8"/>
        <w:spacing w:after="0" w:line="307" w:lineRule="auto"/>
        <w:tabs>
          <w:tab w:leader="none" w:pos="33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8" w:right="360" w:firstLine="8"/>
        <w:spacing w:after="0" w:line="276" w:lineRule="auto"/>
        <w:tabs>
          <w:tab w:leader="none" w:pos="44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712"/>
        <w:spacing w:after="0"/>
        <w:tabs>
          <w:tab w:leader="none" w:pos="1252"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239" w:lineRule="exact"/>
        <w:rPr>
          <w:sz w:val="20"/>
          <w:szCs w:val="20"/>
          <w:color w:val="auto"/>
        </w:rPr>
      </w:pPr>
    </w:p>
    <w:p>
      <w:pPr>
        <w:ind w:left="1792" w:hanging="658"/>
        <w:spacing w:after="0" w:line="259" w:lineRule="auto"/>
        <w:tabs>
          <w:tab w:leader="none" w:pos="1792"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220" w:lineRule="exact"/>
        <w:rPr>
          <w:rFonts w:ascii="Arial" w:cs="Arial" w:eastAsia="Arial" w:hAnsi="Arial"/>
          <w:sz w:val="21"/>
          <w:szCs w:val="21"/>
          <w:color w:val="auto"/>
        </w:rPr>
      </w:pPr>
    </w:p>
    <w:p>
      <w:pPr>
        <w:ind w:left="1792" w:right="300" w:hanging="658"/>
        <w:spacing w:after="0" w:line="302" w:lineRule="auto"/>
        <w:tabs>
          <w:tab w:leader="none" w:pos="1792"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83" w:lineRule="exact"/>
        <w:rPr>
          <w:rFonts w:ascii="Arial" w:cs="Arial" w:eastAsia="Arial" w:hAnsi="Arial"/>
          <w:sz w:val="19"/>
          <w:szCs w:val="19"/>
          <w:color w:val="auto"/>
        </w:rPr>
      </w:pPr>
    </w:p>
    <w:p>
      <w:pPr>
        <w:ind w:left="1792" w:right="140" w:hanging="658"/>
        <w:spacing w:after="0" w:line="253" w:lineRule="auto"/>
        <w:tabs>
          <w:tab w:leader="none" w:pos="1792"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226" w:lineRule="exact"/>
        <w:rPr>
          <w:rFonts w:ascii="Arial" w:cs="Arial" w:eastAsia="Arial" w:hAnsi="Arial"/>
          <w:sz w:val="22"/>
          <w:szCs w:val="22"/>
          <w:color w:val="auto"/>
        </w:rPr>
      </w:pPr>
    </w:p>
    <w:p>
      <w:pPr>
        <w:ind w:left="1792" w:hanging="658"/>
        <w:spacing w:after="0" w:line="260" w:lineRule="auto"/>
        <w:tabs>
          <w:tab w:leader="none" w:pos="1792"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222" w:lineRule="exact"/>
        <w:rPr>
          <w:sz w:val="20"/>
          <w:szCs w:val="20"/>
          <w:color w:val="auto"/>
        </w:rPr>
      </w:pPr>
    </w:p>
    <w:p>
      <w:pPr>
        <w:ind w:left="552" w:right="200"/>
        <w:spacing w:after="0" w:line="302"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375" w:right="259" w:bottom="1440" w:gutter="0" w:footer="0" w:header="0"/>
        </w:sectPr>
      </w:pPr>
    </w:p>
    <w:bookmarkStart w:id="161" w:name="page162"/>
    <w:bookmarkEnd w:id="161"/>
    <w:p>
      <w:pPr>
        <w:ind w:right="40"/>
        <w:spacing w:after="0" w:line="287" w:lineRule="auto"/>
        <w:rPr>
          <w:sz w:val="20"/>
          <w:szCs w:val="20"/>
          <w:color w:val="auto"/>
        </w:rPr>
      </w:pPr>
      <w:r>
        <w:rPr>
          <w:rFonts w:ascii="Arial" w:cs="Arial" w:eastAsia="Arial" w:hAnsi="Arial"/>
          <w:sz w:val="21"/>
          <w:szCs w:val="21"/>
          <w:color w:val="auto"/>
        </w:rPr>
        <w:t>limited or limited liability partnership, limited liability company, joint venture, estate, trust, firm, association, organization or other entity or any governmental or quasi-governmental authority, organization, agency or body.</w:t>
      </w:r>
    </w:p>
    <w:p>
      <w:pPr>
        <w:spacing w:after="0" w:line="14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300" w:right="40" w:hanging="650"/>
        <w:spacing w:after="0" w:line="25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22"/>
          <w:szCs w:val="22"/>
          <w:color w:val="auto"/>
        </w:rPr>
      </w:pPr>
    </w:p>
    <w:p>
      <w:pPr>
        <w:ind w:left="1300" w:right="60" w:hanging="650"/>
        <w:spacing w:after="0" w:line="250"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22"/>
          <w:szCs w:val="22"/>
          <w:color w:val="auto"/>
        </w:rPr>
      </w:pPr>
    </w:p>
    <w:p>
      <w:pPr>
        <w:ind w:left="1300" w:hanging="650"/>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260" w:lineRule="exact"/>
        <w:rPr>
          <w:rFonts w:ascii="Arial" w:cs="Arial" w:eastAsia="Arial" w:hAnsi="Arial"/>
          <w:sz w:val="22"/>
          <w:szCs w:val="22"/>
          <w:color w:val="auto"/>
        </w:rPr>
      </w:pPr>
    </w:p>
    <w:p>
      <w:pPr>
        <w:ind w:left="1300" w:right="180" w:hanging="650"/>
        <w:spacing w:after="0" w:line="25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ind w:left="100"/>
        <w:spacing w:after="0" w:line="288" w:lineRule="auto"/>
        <w:rPr>
          <w:sz w:val="20"/>
          <w:szCs w:val="20"/>
          <w:color w:val="auto"/>
        </w:rPr>
      </w:pPr>
      <w:r>
        <w:rPr>
          <w:rFonts w:ascii="Arial" w:cs="Arial" w:eastAsia="Arial" w:hAnsi="Arial"/>
          <w:sz w:val="19"/>
          <w:szCs w:val="19"/>
          <w:color w:val="auto"/>
        </w:rPr>
        <w:t>10.4 “</w:t>
      </w:r>
      <w:r>
        <w:rPr>
          <w:rFonts w:ascii="Arial" w:cs="Arial" w:eastAsia="Arial" w:hAnsi="Arial"/>
          <w:sz w:val="19"/>
          <w:szCs w:val="19"/>
          <w:b w:val="1"/>
          <w:bCs w:val="1"/>
          <w:color w:val="auto"/>
        </w:rPr>
        <w:t>Related Company</w:t>
      </w:r>
      <w:r>
        <w:rPr>
          <w:rFonts w:ascii="Arial" w:cs="Arial" w:eastAsia="Arial" w:hAnsi="Arial"/>
          <w:sz w:val="19"/>
          <w:szCs w:val="19"/>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4" w:lineRule="exact"/>
        <w:rPr>
          <w:sz w:val="20"/>
          <w:szCs w:val="20"/>
          <w:color w:val="auto"/>
        </w:rPr>
      </w:pPr>
    </w:p>
    <w:p>
      <w:pPr>
        <w:jc w:val="both"/>
        <w:ind w:left="100" w:right="28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left="100"/>
        <w:spacing w:after="0" w:line="263" w:lineRule="auto"/>
        <w:rPr>
          <w:sz w:val="20"/>
          <w:szCs w:val="20"/>
          <w:color w:val="auto"/>
        </w:rPr>
      </w:pPr>
      <w:r>
        <w:rPr>
          <w:rFonts w:ascii="Arial" w:cs="Arial" w:eastAsia="Arial" w:hAnsi="Arial"/>
          <w:sz w:val="21"/>
          <w:szCs w:val="21"/>
          <w:color w:val="auto"/>
        </w:rPr>
        <w:t>10.5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14" w:lineRule="exact"/>
        <w:rPr>
          <w:sz w:val="20"/>
          <w:szCs w:val="20"/>
          <w:color w:val="auto"/>
        </w:rPr>
      </w:pPr>
    </w:p>
    <w:p>
      <w:pPr>
        <w:ind w:left="100" w:right="260"/>
        <w:spacing w:after="0" w:line="262" w:lineRule="auto"/>
        <w:rPr>
          <w:sz w:val="20"/>
          <w:szCs w:val="20"/>
          <w:color w:val="auto"/>
        </w:rPr>
      </w:pPr>
      <w:r>
        <w:rPr>
          <w:rFonts w:ascii="Arial" w:cs="Arial" w:eastAsia="Arial" w:hAnsi="Arial"/>
          <w:sz w:val="22"/>
          <w:szCs w:val="22"/>
          <w:color w:val="auto"/>
        </w:rPr>
        <w:t>10.6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800" w:top="375" w:right="259" w:bottom="1440" w:gutter="0" w:footer="0" w:header="0"/>
        </w:sectPr>
      </w:pPr>
    </w:p>
    <w:bookmarkStart w:id="162" w:name="page163"/>
    <w:bookmarkEnd w:id="162"/>
    <w:p>
      <w:pPr>
        <w:ind w:left="4"/>
        <w:spacing w:after="0" w:line="286" w:lineRule="auto"/>
        <w:rPr>
          <w:sz w:val="20"/>
          <w:szCs w:val="20"/>
          <w:color w:val="auto"/>
        </w:rPr>
      </w:pPr>
      <w:r>
        <w:rPr>
          <w:rFonts w:ascii="Arial" w:cs="Arial" w:eastAsia="Arial" w:hAnsi="Arial"/>
          <w:sz w:val="19"/>
          <w:szCs w:val="19"/>
          <w:color w:val="auto"/>
        </w:rPr>
        <w:t>10.7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280" w:hanging="4"/>
        <w:spacing w:after="0" w:line="262" w:lineRule="auto"/>
        <w:tabs>
          <w:tab w:leader="none" w:pos="310" w:val="left"/>
        </w:tabs>
        <w:numPr>
          <w:ilvl w:val="0"/>
          <w:numId w:val="62"/>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r>
        <w:rPr>
          <w:rFonts w:ascii="Arial" w:cs="Arial" w:eastAsia="Arial" w:hAnsi="Arial"/>
          <w:sz w:val="18"/>
          <w:szCs w:val="18"/>
          <w:color w:val="auto"/>
        </w:rPr>
        <w:t>.</w:t>
      </w:r>
    </w:p>
    <w:p>
      <w:pPr>
        <w:spacing w:after="0" w:line="185" w:lineRule="exact"/>
        <w:rPr>
          <w:sz w:val="20"/>
          <w:szCs w:val="20"/>
          <w:color w:val="auto"/>
        </w:rPr>
      </w:pPr>
    </w:p>
    <w:p>
      <w:pPr>
        <w:ind w:left="4" w:right="40" w:firstLine="68"/>
        <w:spacing w:after="0" w:line="309" w:lineRule="auto"/>
        <w:rPr>
          <w:sz w:val="20"/>
          <w:szCs w:val="20"/>
          <w:color w:val="auto"/>
        </w:rPr>
      </w:pPr>
      <w:r>
        <w:rPr>
          <w:rFonts w:ascii="Arial" w:cs="Arial" w:eastAsia="Arial" w:hAnsi="Arial"/>
          <w:sz w:val="19"/>
          <w:szCs w:val="19"/>
          <w:color w:val="auto"/>
        </w:rPr>
        <w:t>10.8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0" w:lineRule="exact"/>
        <w:rPr>
          <w:sz w:val="20"/>
          <w:szCs w:val="20"/>
          <w:color w:val="auto"/>
        </w:rPr>
      </w:pPr>
    </w:p>
    <w:p>
      <w:pPr>
        <w:spacing w:after="0" w:line="390"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64"/>
          </w:cols>
          <w:pgMar w:left="896" w:top="369"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10(l)4</w:t>
      </w:r>
    </w:p>
    <w:p>
      <w:pPr>
        <w:spacing w:after="0" w:line="248" w:lineRule="exact"/>
        <w:rPr>
          <w:sz w:val="20"/>
          <w:szCs w:val="20"/>
          <w:color w:val="auto"/>
        </w:rPr>
      </w:pPr>
    </w:p>
    <w:tbl>
      <w:tblPr>
        <w:tblLayout w:type="fixed"/>
        <w:tblInd w:w="1430" w:type="dxa"/>
        <w:tblCellMar>
          <w:top w:w="0" w:type="dxa"/>
          <w:left w:w="0" w:type="dxa"/>
          <w:bottom w:w="0" w:type="dxa"/>
          <w:right w:w="0" w:type="dxa"/>
        </w:tblCellMar>
      </w:tblPr>
      <w:tr>
        <w:trPr>
          <w:trHeight w:val="306"/>
        </w:trPr>
        <w:tc>
          <w:tcPr>
            <w:tcW w:w="6980" w:type="dxa"/>
            <w:vAlign w:val="bottom"/>
          </w:tcPr>
          <w:p>
            <w:pPr>
              <w:jc w:val="center"/>
              <w:ind w:left="1511"/>
              <w:spacing w:after="0"/>
              <w:rPr>
                <w:sz w:val="20"/>
                <w:szCs w:val="20"/>
                <w:color w:val="auto"/>
              </w:rPr>
            </w:pPr>
            <w:r>
              <w:rPr>
                <w:rFonts w:ascii="Arial" w:cs="Arial" w:eastAsia="Arial" w:hAnsi="Arial"/>
                <w:sz w:val="25"/>
                <w:szCs w:val="25"/>
                <w:b w:val="1"/>
                <w:bCs w:val="1"/>
                <w:color w:val="auto"/>
              </w:rPr>
              <w:t>ALLETE, INC.</w:t>
            </w:r>
          </w:p>
        </w:tc>
        <w:tc>
          <w:tcPr>
            <w:tcW w:w="1640" w:type="dxa"/>
            <w:vAlign w:val="bottom"/>
          </w:tcPr>
          <w:p>
            <w:pPr>
              <w:spacing w:after="0"/>
              <w:rPr>
                <w:sz w:val="24"/>
                <w:szCs w:val="24"/>
                <w:color w:val="auto"/>
              </w:rPr>
            </w:pPr>
          </w:p>
        </w:tc>
      </w:tr>
      <w:tr>
        <w:trPr>
          <w:trHeight w:val="257"/>
        </w:trPr>
        <w:tc>
          <w:tcPr>
            <w:tcW w:w="6980" w:type="dxa"/>
            <w:vAlign w:val="bottom"/>
          </w:tcPr>
          <w:p>
            <w:pPr>
              <w:jc w:val="center"/>
              <w:ind w:left="1491"/>
              <w:spacing w:after="0"/>
              <w:rPr>
                <w:sz w:val="20"/>
                <w:szCs w:val="20"/>
                <w:color w:val="auto"/>
              </w:rPr>
            </w:pPr>
            <w:r>
              <w:rPr>
                <w:rFonts w:ascii="Arial" w:cs="Arial" w:eastAsia="Arial" w:hAnsi="Arial"/>
                <w:sz w:val="22"/>
                <w:szCs w:val="22"/>
                <w:b w:val="1"/>
                <w:bCs w:val="1"/>
                <w:color w:val="auto"/>
                <w:w w:val="88"/>
              </w:rPr>
              <w:t>Non-Employee Director Compensation</w:t>
            </w:r>
          </w:p>
        </w:tc>
        <w:tc>
          <w:tcPr>
            <w:tcW w:w="1640" w:type="dxa"/>
            <w:vAlign w:val="bottom"/>
          </w:tcPr>
          <w:p>
            <w:pPr>
              <w:spacing w:after="0"/>
              <w:rPr>
                <w:sz w:val="22"/>
                <w:szCs w:val="22"/>
                <w:color w:val="auto"/>
              </w:rPr>
            </w:pPr>
          </w:p>
        </w:tc>
      </w:tr>
      <w:tr>
        <w:trPr>
          <w:trHeight w:val="281"/>
        </w:trPr>
        <w:tc>
          <w:tcPr>
            <w:tcW w:w="6980" w:type="dxa"/>
            <w:vAlign w:val="bottom"/>
          </w:tcPr>
          <w:p>
            <w:pPr>
              <w:jc w:val="center"/>
              <w:ind w:left="1491"/>
              <w:spacing w:after="0"/>
              <w:rPr>
                <w:sz w:val="20"/>
                <w:szCs w:val="20"/>
                <w:color w:val="auto"/>
              </w:rPr>
            </w:pPr>
            <w:r>
              <w:rPr>
                <w:rFonts w:ascii="Arial" w:cs="Arial" w:eastAsia="Arial" w:hAnsi="Arial"/>
                <w:sz w:val="22"/>
                <w:szCs w:val="22"/>
                <w:b w:val="1"/>
                <w:bCs w:val="1"/>
                <w:color w:val="auto"/>
                <w:w w:val="89"/>
              </w:rPr>
              <w:t>Effective January 1, 2014</w:t>
            </w:r>
          </w:p>
        </w:tc>
        <w:tc>
          <w:tcPr>
            <w:tcW w:w="1640" w:type="dxa"/>
            <w:vAlign w:val="bottom"/>
          </w:tcPr>
          <w:p>
            <w:pPr>
              <w:spacing w:after="0"/>
              <w:rPr>
                <w:sz w:val="24"/>
                <w:szCs w:val="24"/>
                <w:color w:val="auto"/>
              </w:rPr>
            </w:pPr>
          </w:p>
        </w:tc>
      </w:tr>
      <w:tr>
        <w:trPr>
          <w:trHeight w:val="692"/>
        </w:trPr>
        <w:tc>
          <w:tcPr>
            <w:tcW w:w="6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2"/>
        </w:trPr>
        <w:tc>
          <w:tcPr>
            <w:tcW w:w="698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Board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Stock</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$65,000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Cash</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$50,000</w:t>
            </w:r>
          </w:p>
        </w:tc>
      </w:tr>
      <w:tr>
        <w:trPr>
          <w:trHeight w:val="249"/>
        </w:trPr>
        <w:tc>
          <w:tcPr>
            <w:tcW w:w="69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Committee Cash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Audit</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$9,000</w:t>
            </w: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Executive Compensation</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Corporate Governance &amp; Nominating</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$7,500</w:t>
            </w:r>
          </w:p>
        </w:tc>
      </w:tr>
      <w:tr>
        <w:trPr>
          <w:trHeight w:val="249"/>
        </w:trPr>
        <w:tc>
          <w:tcPr>
            <w:tcW w:w="69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Chair Cash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Audit</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$10,000</w:t>
            </w: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Executive Compensation</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Corporate Governance &amp; Nominating</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$5,000</w:t>
            </w:r>
          </w:p>
        </w:tc>
      </w:tr>
      <w:tr>
        <w:trPr>
          <w:trHeight w:val="351"/>
        </w:trPr>
        <w:tc>
          <w:tcPr>
            <w:tcW w:w="6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2"/>
        </w:trPr>
        <w:tc>
          <w:tcPr>
            <w:tcW w:w="698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Lead Director </w:t>
            </w:r>
            <w:r>
              <w:rPr>
                <w:rFonts w:ascii="Arial" w:cs="Arial" w:eastAsia="Arial" w:hAnsi="Arial"/>
                <w:sz w:val="25"/>
                <w:szCs w:val="25"/>
                <w:color w:val="auto"/>
                <w:vertAlign w:val="superscript"/>
              </w:rPr>
              <w:t>(1) (2) (3)</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Stock Retainer</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$65,000</w:t>
            </w: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Cash Retainer</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$50,000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Lead Director Cash Retainer</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$25,000</w:t>
            </w:r>
          </w:p>
        </w:tc>
      </w:tr>
      <w:tr>
        <w:trPr>
          <w:trHeight w:val="351"/>
        </w:trPr>
        <w:tc>
          <w:tcPr>
            <w:tcW w:w="6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2"/>
        </w:trPr>
        <w:tc>
          <w:tcPr>
            <w:tcW w:w="698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Board Chairman </w:t>
            </w:r>
            <w:r>
              <w:rPr>
                <w:rFonts w:ascii="Arial" w:cs="Arial" w:eastAsia="Arial" w:hAnsi="Arial"/>
                <w:sz w:val="25"/>
                <w:szCs w:val="25"/>
                <w:color w:val="auto"/>
                <w:vertAlign w:val="superscript"/>
              </w:rPr>
              <w:t>(1) (2) (3)</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Stock Retainer</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$90,000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Board Cash Retainer</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$85,000</w:t>
            </w:r>
          </w:p>
        </w:tc>
      </w:tr>
    </w:tbl>
    <w:p>
      <w:pPr>
        <w:spacing w:after="0" w:line="200" w:lineRule="exact"/>
        <w:rPr>
          <w:sz w:val="20"/>
          <w:szCs w:val="20"/>
          <w:color w:val="auto"/>
        </w:rPr>
      </w:pPr>
    </w:p>
    <w:p>
      <w:pPr>
        <w:spacing w:after="0" w:line="363"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20"/>
          <w:szCs w:val="20"/>
          <w:color w:val="auto"/>
        </w:rPr>
        <w:t>Cash and stock retainers may be deferred under the Director Compensation Deferral Plan II.</w:t>
      </w:r>
    </w:p>
    <w:p>
      <w:pPr>
        <w:ind w:left="340" w:hanging="332"/>
        <w:spacing w:after="0" w:line="191" w:lineRule="auto"/>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20"/>
          <w:szCs w:val="20"/>
          <w:color w:val="auto"/>
        </w:rPr>
        <w:t>Cash retainers may be elected to be received in ALLETE stock.</w:t>
      </w:r>
    </w:p>
    <w:p>
      <w:pPr>
        <w:ind w:left="340" w:hanging="332"/>
        <w:spacing w:after="0" w:line="195" w:lineRule="auto"/>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20"/>
          <w:szCs w:val="20"/>
          <w:color w:val="auto"/>
        </w:rPr>
        <w:t>Lead Director and Board Chairman are not eligible for other committee or chair retainers.</w:t>
      </w:r>
    </w:p>
    <w:p>
      <w:pPr>
        <w:sectPr>
          <w:pgSz w:w="11900" w:h="16838" w:orient="portrait"/>
          <w:cols w:equalWidth="0" w:num="1">
            <w:col w:w="11420"/>
          </w:cols>
          <w:pgMar w:left="240" w:top="121" w:right="239" w:bottom="1440" w:gutter="0" w:footer="0" w:header="0"/>
        </w:sectPr>
      </w:pPr>
    </w:p>
    <w:bookmarkStart w:id="164" w:name="page165"/>
    <w:bookmarkEnd w:id="164"/>
    <w:p>
      <w:pPr>
        <w:ind w:left="844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Ratios of Earnings to Fixed Charges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r>
      <w:tr>
        <w:trPr>
          <w:trHeight w:val="27"/>
        </w:trPr>
        <w:tc>
          <w:tcPr>
            <w:tcW w:w="5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are defined:</w:t>
            </w:r>
          </w:p>
        </w:tc>
        <w:tc>
          <w:tcPr>
            <w:tcW w:w="1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Pretax Income Before Non-Controlling Interest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$133.3</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$135.0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$129.2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$119.1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$91.5</w:t>
            </w: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Add: Fixed Charges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56.7</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51.2</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47.6</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29"/>
        </w:trPr>
        <w:tc>
          <w:tcPr>
            <w:tcW w:w="5620" w:type="dxa"/>
            <w:vAlign w:val="bottom"/>
          </w:tcPr>
          <w:p>
            <w:pPr>
              <w:ind w:left="740"/>
              <w:spacing w:after="0"/>
              <w:rPr>
                <w:sz w:val="20"/>
                <w:szCs w:val="20"/>
                <w:color w:val="auto"/>
              </w:rPr>
            </w:pPr>
            <w:r>
              <w:rPr>
                <w:rFonts w:ascii="Arial" w:cs="Arial" w:eastAsia="Arial" w:hAnsi="Arial"/>
                <w:sz w:val="18"/>
                <w:szCs w:val="18"/>
                <w:color w:val="auto"/>
                <w:w w:val="96"/>
              </w:rPr>
              <w:t>Undistributed Income from Less than 50 percent Owned Equity</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620" w:type="dxa"/>
            <w:vAlign w:val="bottom"/>
          </w:tcPr>
          <w:p>
            <w:pPr>
              <w:ind w:left="2640"/>
              <w:spacing w:after="0"/>
              <w:rPr>
                <w:sz w:val="20"/>
                <w:szCs w:val="20"/>
                <w:color w:val="auto"/>
              </w:rPr>
            </w:pPr>
            <w:r>
              <w:rPr>
                <w:rFonts w:ascii="Arial" w:cs="Arial" w:eastAsia="Arial" w:hAnsi="Arial"/>
                <w:sz w:val="18"/>
                <w:szCs w:val="18"/>
                <w:color w:val="auto"/>
              </w:rPr>
              <w:t>Investment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Earnings as defined:</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$185.9</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$182.4</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$173.0</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r>
      <w:tr>
        <w:trPr>
          <w:trHeight w:val="318"/>
        </w:trPr>
        <w:tc>
          <w:tcPr>
            <w:tcW w:w="56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Interest on Long-Term Debt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$50.9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$47.0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$43.1</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$39.7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Other Interest Charges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 xml:space="preserve">Interest Component of All Rentals </w:t>
            </w:r>
            <w:r>
              <w:rPr>
                <w:rFonts w:ascii="Arial" w:cs="Arial" w:eastAsia="Arial" w:hAnsi="Arial"/>
                <w:sz w:val="18"/>
                <w:szCs w:val="18"/>
                <w:i w:val="1"/>
                <w:iCs w:val="1"/>
                <w:color w:val="auto"/>
              </w:rPr>
              <w:t>(a)</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5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Fixed Charges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$56.7</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$51.2</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$47.6</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3.28</w:t>
            </w: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3.56</w:t>
            </w: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3.63</w:t>
            </w: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3.67</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9805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interest portion of rents estimated at 33 1/3 percent.</w:t>
      </w:r>
    </w:p>
    <w:p>
      <w:pPr>
        <w:sectPr>
          <w:pgSz w:w="11900" w:h="16838" w:orient="portrait"/>
          <w:cols w:equalWidth="0" w:num="1">
            <w:col w:w="11000"/>
          </w:cols>
          <w:pgMar w:left="240" w:top="580" w:right="659" w:bottom="1440" w:gutter="0" w:footer="0" w:header="0"/>
        </w:sectPr>
      </w:pPr>
    </w:p>
    <w:bookmarkStart w:id="165" w:name="page166"/>
    <w:bookmarkEnd w:id="16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720" w:type="dxa"/>
            <w:vAlign w:val="bottom"/>
          </w:tcPr>
          <w:p>
            <w:pPr>
              <w:ind w:left="192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414"/>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rPr>
              <w:t>SUBSIDIARIES OF THE REGISTRANT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w w:val="90"/>
              </w:rPr>
              <w:t>(As of December 31, 2013)</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w w:val="92"/>
              </w:rPr>
              <w:t>(Reported Under Item 601 of Regulation S-K)</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7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Name of Organization</w:t>
            </w:r>
          </w:p>
        </w:tc>
        <w:tc>
          <w:tcPr>
            <w:tcW w:w="272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State or Country</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i w:val="1"/>
                <w:iCs w:val="1"/>
                <w:color w:val="auto"/>
              </w:rPr>
              <w:t>Minnesota Power &amp; Light Company; MPEX; MPEX A Division of Minnesota Power)</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ALLETE Automotive Services,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ALLETE Capital II</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Capital III</w:t>
            </w:r>
          </w:p>
        </w:tc>
        <w:tc>
          <w:tcPr>
            <w:tcW w:w="272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Commercial,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Cape Coral Holdings,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Lake Swamp,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Lehigh Acquisition Corporation</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Florida Landmark Communities,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920"/>
              <w:spacing w:after="0"/>
              <w:rPr>
                <w:sz w:val="20"/>
                <w:szCs w:val="20"/>
                <w:color w:val="auto"/>
              </w:rPr>
            </w:pPr>
            <w:r>
              <w:rPr>
                <w:rFonts w:ascii="Arial" w:cs="Arial" w:eastAsia="Arial" w:hAnsi="Arial"/>
                <w:sz w:val="18"/>
                <w:szCs w:val="18"/>
                <w:color w:val="auto"/>
              </w:rPr>
              <w:t>Lehigh Corporation</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Mardem,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920"/>
              <w:spacing w:after="0"/>
              <w:rPr>
                <w:sz w:val="20"/>
                <w:szCs w:val="20"/>
                <w:color w:val="auto"/>
              </w:rPr>
            </w:pPr>
            <w:r>
              <w:rPr>
                <w:rFonts w:ascii="Arial" w:cs="Arial" w:eastAsia="Arial" w:hAnsi="Arial"/>
                <w:sz w:val="18"/>
                <w:szCs w:val="18"/>
                <w:color w:val="auto"/>
              </w:rPr>
              <w:t>Palm Coast Holdings,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Port Orange Holdings,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Interlachen Lakes Estates, LLC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Palm Coast Land,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Tomoka Holdings, LLC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ALLETE Water Services,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Florida Water Services Corporation</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Energy Replacement Property,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Energy Land, Incorporated</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0"/>
              </w:rPr>
              <w:t>Wisconsin</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Lakeview Financial Corporation I</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Lakeview Financial Corporation II</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Logistics Coal,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Minnesota Power Enterprises,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Clean Energy, Inc.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ACE Wind LLC</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ACE West Holdings, LLC</w:t>
            </w:r>
          </w:p>
        </w:tc>
        <w:tc>
          <w:tcPr>
            <w:tcW w:w="272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ACE O&amp;M, LLC</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ALLETE Renewable Resources, Inc.</w:t>
            </w:r>
          </w:p>
        </w:tc>
        <w:tc>
          <w:tcPr>
            <w:tcW w:w="2720" w:type="dxa"/>
            <w:vAlign w:val="bottom"/>
            <w:vMerge w:val="restart"/>
            <w:shd w:val="clear" w:color="auto" w:fill="CCEEFF"/>
          </w:tcPr>
          <w:p>
            <w:pPr>
              <w:jc w:val="center"/>
              <w:ind w:left="930"/>
              <w:spacing w:after="0"/>
              <w:rPr>
                <w:sz w:val="20"/>
                <w:szCs w:val="20"/>
                <w:color w:val="auto"/>
              </w:rPr>
            </w:pPr>
            <w:r>
              <w:rPr>
                <w:rFonts w:ascii="Arial" w:cs="Arial" w:eastAsia="Arial" w:hAnsi="Arial"/>
                <w:sz w:val="18"/>
                <w:szCs w:val="18"/>
                <w:color w:val="auto"/>
                <w:w w:val="92"/>
              </w:rPr>
              <w:t>North Dakota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BNI Coal, Ltd.</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2"/>
              </w:rPr>
              <w:t>North Dakota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MP Affiliate Resources,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Rainy River Energy Corporation</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4" w:right="239" w:bottom="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Rainy River Energy Corporation - Wisconsin</w:t>
            </w:r>
          </w:p>
        </w:tc>
        <w:tc>
          <w:tcPr>
            <w:tcW w:w="420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0"/>
              </w:rPr>
              <w:t>Wisconsin</w:t>
            </w: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500"/>
              <w:spacing w:after="0"/>
              <w:rPr>
                <w:sz w:val="20"/>
                <w:szCs w:val="20"/>
                <w:color w:val="auto"/>
              </w:rPr>
            </w:pPr>
            <w:r>
              <w:rPr>
                <w:rFonts w:ascii="Arial" w:cs="Arial" w:eastAsia="Arial" w:hAnsi="Arial"/>
                <w:sz w:val="18"/>
                <w:szCs w:val="18"/>
                <w:color w:val="auto"/>
              </w:rPr>
              <w:t>Upper Minnesota Properties, Inc.</w:t>
            </w:r>
          </w:p>
        </w:tc>
        <w:tc>
          <w:tcPr>
            <w:tcW w:w="4200" w:type="dxa"/>
            <w:vAlign w:val="bottom"/>
            <w:vMerge w:val="restart"/>
          </w:tcPr>
          <w:p>
            <w:pPr>
              <w:jc w:val="center"/>
              <w:ind w:left="239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Upper Minnesota Properties - Development, Inc.</w:t>
            </w:r>
          </w:p>
        </w:tc>
        <w:tc>
          <w:tcPr>
            <w:tcW w:w="4200" w:type="dxa"/>
            <w:vAlign w:val="bottom"/>
            <w:vMerge w:val="restart"/>
            <w:shd w:val="clear" w:color="auto" w:fill="CCEEFF"/>
          </w:tcPr>
          <w:p>
            <w:pPr>
              <w:jc w:val="center"/>
              <w:ind w:left="239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shd w:val="clear" w:color="auto" w:fill="CCEEFF"/>
          </w:tcPr>
          <w:p>
            <w:pPr>
              <w:spacing w:after="0"/>
              <w:rPr>
                <w:sz w:val="19"/>
                <w:szCs w:val="19"/>
                <w:color w:val="auto"/>
              </w:rPr>
            </w:pPr>
          </w:p>
        </w:tc>
        <w:tc>
          <w:tcPr>
            <w:tcW w:w="42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720"/>
              <w:spacing w:after="0"/>
              <w:rPr>
                <w:sz w:val="20"/>
                <w:szCs w:val="20"/>
                <w:color w:val="auto"/>
              </w:rPr>
            </w:pPr>
            <w:r>
              <w:rPr>
                <w:rFonts w:ascii="Arial" w:cs="Arial" w:eastAsia="Arial" w:hAnsi="Arial"/>
                <w:sz w:val="18"/>
                <w:szCs w:val="18"/>
                <w:color w:val="auto"/>
              </w:rPr>
              <w:t>Upper Minnesota Properties - Irving, Inc.</w:t>
            </w:r>
          </w:p>
        </w:tc>
        <w:tc>
          <w:tcPr>
            <w:tcW w:w="4200" w:type="dxa"/>
            <w:vAlign w:val="bottom"/>
            <w:vMerge w:val="restart"/>
          </w:tcPr>
          <w:p>
            <w:pPr>
              <w:jc w:val="center"/>
              <w:ind w:left="239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Upper Minnesota Properties - Meadowlands, Inc.</w:t>
            </w:r>
          </w:p>
        </w:tc>
        <w:tc>
          <w:tcPr>
            <w:tcW w:w="4200" w:type="dxa"/>
            <w:vAlign w:val="bottom"/>
            <w:vMerge w:val="restart"/>
            <w:shd w:val="clear" w:color="auto" w:fill="CCEEFF"/>
          </w:tcPr>
          <w:p>
            <w:pPr>
              <w:jc w:val="center"/>
              <w:ind w:left="239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shd w:val="clear" w:color="auto" w:fill="CCEEFF"/>
          </w:tcPr>
          <w:p>
            <w:pPr>
              <w:spacing w:after="0"/>
              <w:rPr>
                <w:sz w:val="19"/>
                <w:szCs w:val="19"/>
                <w:color w:val="auto"/>
              </w:rPr>
            </w:pPr>
          </w:p>
        </w:tc>
        <w:tc>
          <w:tcPr>
            <w:tcW w:w="42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280"/>
              <w:spacing w:after="0"/>
              <w:rPr>
                <w:sz w:val="20"/>
                <w:szCs w:val="20"/>
                <w:color w:val="auto"/>
              </w:rPr>
            </w:pPr>
            <w:r>
              <w:rPr>
                <w:rFonts w:ascii="Arial" w:cs="Arial" w:eastAsia="Arial" w:hAnsi="Arial"/>
                <w:sz w:val="18"/>
                <w:szCs w:val="18"/>
                <w:color w:val="auto"/>
              </w:rPr>
              <w:t>MP Investments, Inc.</w:t>
            </w:r>
          </w:p>
        </w:tc>
        <w:tc>
          <w:tcPr>
            <w:tcW w:w="4200" w:type="dxa"/>
            <w:vAlign w:val="bottom"/>
            <w:vMerge w:val="restart"/>
          </w:tcPr>
          <w:p>
            <w:pPr>
              <w:jc w:val="center"/>
              <w:ind w:left="241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RendField Land Company, Inc.</w:t>
            </w:r>
          </w:p>
        </w:tc>
        <w:tc>
          <w:tcPr>
            <w:tcW w:w="4200" w:type="dxa"/>
            <w:vAlign w:val="bottom"/>
            <w:vMerge w:val="restart"/>
            <w:shd w:val="clear" w:color="auto" w:fill="CCEEFF"/>
          </w:tcPr>
          <w:p>
            <w:pPr>
              <w:jc w:val="center"/>
              <w:ind w:left="239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shd w:val="clear" w:color="auto" w:fill="CCEEFF"/>
          </w:tcPr>
          <w:p>
            <w:pPr>
              <w:spacing w:after="0"/>
              <w:rPr>
                <w:sz w:val="19"/>
                <w:szCs w:val="19"/>
                <w:color w:val="auto"/>
              </w:rPr>
            </w:pPr>
          </w:p>
        </w:tc>
        <w:tc>
          <w:tcPr>
            <w:tcW w:w="42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280"/>
              <w:spacing w:after="0"/>
              <w:rPr>
                <w:sz w:val="20"/>
                <w:szCs w:val="20"/>
                <w:color w:val="auto"/>
              </w:rPr>
            </w:pPr>
            <w:r>
              <w:rPr>
                <w:rFonts w:ascii="Arial" w:cs="Arial" w:eastAsia="Arial" w:hAnsi="Arial"/>
                <w:sz w:val="18"/>
                <w:szCs w:val="18"/>
                <w:color w:val="auto"/>
              </w:rPr>
              <w:t>Superior Water, Light and Power Company</w:t>
            </w:r>
          </w:p>
        </w:tc>
        <w:tc>
          <w:tcPr>
            <w:tcW w:w="4200" w:type="dxa"/>
            <w:vAlign w:val="bottom"/>
            <w:vMerge w:val="restart"/>
          </w:tcPr>
          <w:p>
            <w:pPr>
              <w:jc w:val="center"/>
              <w:ind w:left="2410"/>
              <w:spacing w:after="0"/>
              <w:rPr>
                <w:sz w:val="20"/>
                <w:szCs w:val="20"/>
                <w:color w:val="auto"/>
              </w:rPr>
            </w:pPr>
            <w:r>
              <w:rPr>
                <w:rFonts w:ascii="Arial" w:cs="Arial" w:eastAsia="Arial" w:hAnsi="Arial"/>
                <w:sz w:val="18"/>
                <w:szCs w:val="18"/>
                <w:color w:val="auto"/>
                <w:w w:val="90"/>
              </w:rPr>
              <w:t>Wisconsin</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S-3 (Nos. 333-188315, 333-190335) and Form S-8 (Nos. 333-91348, 333-183051, 333-162890, 333-190336) of ALLETE, Inc. of our report dated February 14, 2014,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ectPr>
          <w:pgSz w:w="11900" w:h="16838" w:orient="portrait"/>
          <w:cols w:equalWidth="0" w:num="1">
            <w:col w:w="11420"/>
          </w:cols>
          <w:pgMar w:left="240" w:top="12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Alan R. Hodnik, certify that:</w:t>
      </w:r>
    </w:p>
    <w:p>
      <w:pPr>
        <w:spacing w:after="0" w:line="225"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2013,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Date: February 14, 2014</w:t>
      </w:r>
      <w:r>
        <w:rPr>
          <w:sz w:val="20"/>
          <w:szCs w:val="20"/>
          <w:color w:val="auto"/>
        </w:rPr>
        <w:tab/>
      </w:r>
      <w:r>
        <w:rPr>
          <w:rFonts w:ascii="Arial" w:cs="Arial" w:eastAsia="Arial" w:hAnsi="Arial"/>
          <w:sz w:val="16"/>
          <w:szCs w:val="16"/>
          <w:u w:val="single" w:color="auto"/>
          <w:color w:val="auto"/>
        </w:rPr>
        <w:t>/s/ 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Mark A. Schober, certify that:</w:t>
      </w:r>
    </w:p>
    <w:p>
      <w:pPr>
        <w:spacing w:after="0" w:line="225"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2013,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3680" w:val="left"/>
        </w:tabs>
        <w:rPr>
          <w:sz w:val="20"/>
          <w:szCs w:val="20"/>
          <w:color w:val="auto"/>
        </w:rPr>
      </w:pPr>
      <w:r>
        <w:rPr>
          <w:rFonts w:ascii="Arial" w:cs="Arial" w:eastAsia="Arial" w:hAnsi="Arial"/>
          <w:sz w:val="18"/>
          <w:szCs w:val="18"/>
          <w:color w:val="auto"/>
        </w:rPr>
        <w:t>Date:</w:t>
        <w:tab/>
        <w:t>February 14, 2014</w:t>
      </w:r>
      <w:r>
        <w:rPr>
          <w:sz w:val="20"/>
          <w:szCs w:val="20"/>
          <w:color w:val="auto"/>
        </w:rPr>
        <w:tab/>
      </w:r>
      <w:r>
        <w:rPr>
          <w:rFonts w:ascii="Arial" w:cs="Arial" w:eastAsia="Arial" w:hAnsi="Arial"/>
          <w:sz w:val="16"/>
          <w:szCs w:val="16"/>
          <w:u w:val="single" w:color="auto"/>
          <w:color w:val="auto"/>
        </w:rPr>
        <w:t>/s/ Mark A. Schober</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170"/>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2013,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14, 2014</w:t>
      </w:r>
      <w:r>
        <w:rPr>
          <w:sz w:val="20"/>
          <w:szCs w:val="20"/>
          <w:color w:val="auto"/>
        </w:rPr>
        <w:tab/>
      </w:r>
      <w:r>
        <w:rPr>
          <w:rFonts w:ascii="Arial" w:cs="Arial" w:eastAsia="Arial" w:hAnsi="Arial"/>
          <w:sz w:val="16"/>
          <w:szCs w:val="16"/>
          <w:u w:val="single" w:color="auto"/>
          <w:color w:val="auto"/>
        </w:rPr>
        <w:t>/s/ 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14, 2014</w:t>
      </w:r>
      <w:r>
        <w:rPr>
          <w:sz w:val="20"/>
          <w:szCs w:val="20"/>
          <w:color w:val="auto"/>
        </w:rPr>
        <w:tab/>
      </w:r>
      <w:r>
        <w:rPr>
          <w:rFonts w:ascii="Arial" w:cs="Arial" w:eastAsia="Arial" w:hAnsi="Arial"/>
          <w:sz w:val="16"/>
          <w:szCs w:val="16"/>
          <w:u w:val="single" w:color="auto"/>
          <w:color w:val="auto"/>
        </w:rPr>
        <w:t>/s/ Mark A. Schober</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$7,977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For the year ended December 31, 2013, BNI Coal, owner of Center Mine, received four significant and substantial (S&amp;S) citations under Section 104(a) of the Mine Safety Act. The total penalties assessed on BNI with respect to its citations were $7,977. As of the date of filing this Form 10-K, no penalty has yet been assessed or proposed with respect to one of the S&amp;S citations. For the year ended December 31, 2013,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172" w:name="page173"/>
    <w:bookmarkEnd w:id="172"/>
    <w:p>
      <w:pPr>
        <w:ind w:left="10640"/>
        <w:spacing w:after="0"/>
        <w:rPr>
          <w:sz w:val="20"/>
          <w:szCs w:val="20"/>
          <w:color w:val="auto"/>
        </w:rPr>
      </w:pPr>
      <w:r>
        <w:rPr>
          <w:rFonts w:ascii="Arial" w:cs="Arial" w:eastAsia="Arial" w:hAnsi="Arial"/>
          <w:sz w:val="17"/>
          <w:szCs w:val="17"/>
          <w:color w:val="auto"/>
        </w:rPr>
        <w:t>Exhibit 99</w:t>
      </w:r>
    </w:p>
    <w:p>
      <w:pPr>
        <w:sectPr>
          <w:pgSz w:w="11900" w:h="16838" w:orient="portrait"/>
          <w:cols w:equalWidth="0" w:num="1">
            <w:col w:w="11400"/>
          </w:cols>
          <w:pgMar w:left="240" w:top="963" w:right="259" w:bottom="1440" w:gutter="0" w:footer="0" w:header="0"/>
        </w:sectPr>
      </w:pPr>
    </w:p>
    <w:p>
      <w:pPr>
        <w:spacing w:after="0" w:line="75"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-74295</wp:posOffset>
            </wp:positionV>
            <wp:extent cx="1372235" cy="626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February 14, 2014</w:t>
      </w:r>
    </w:p>
    <w:p>
      <w:pPr>
        <w:spacing w:after="0" w:line="86" w:lineRule="exact"/>
        <w:rPr>
          <w:sz w:val="20"/>
          <w:szCs w:val="20"/>
          <w:color w:val="auto"/>
        </w:rPr>
      </w:pPr>
    </w:p>
    <w:p>
      <w:pPr>
        <w:sectPr>
          <w:pgSz w:w="11900" w:h="16838" w:orient="portrait"/>
          <w:cols w:equalWidth="0" w:num="2">
            <w:col w:w="8000" w:space="720"/>
            <w:col w:w="2680"/>
          </w:cols>
          <w:pgMar w:left="240" w:top="963" w:right="259" w:bottom="1440" w:gutter="0" w:footer="0" w:header="0"/>
          <w:type w:val="continuous"/>
        </w:sectPr>
      </w:pPr>
    </w:p>
    <w:p>
      <w:pPr>
        <w:ind w:left="6900"/>
        <w:spacing w:after="0"/>
        <w:rPr>
          <w:sz w:val="20"/>
          <w:szCs w:val="20"/>
          <w:color w:val="auto"/>
        </w:rPr>
      </w:pPr>
      <w:r>
        <w:rPr>
          <w:rFonts w:ascii="Arial" w:cs="Arial" w:eastAsia="Arial" w:hAnsi="Arial"/>
          <w:sz w:val="16"/>
          <w:szCs w:val="16"/>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Tim Thorp</w:t>
      </w:r>
    </w:p>
    <w:p>
      <w:pPr>
        <w:spacing w:after="0" w:line="75" w:lineRule="exact"/>
        <w:rPr>
          <w:sz w:val="20"/>
          <w:szCs w:val="20"/>
          <w:color w:val="auto"/>
        </w:rPr>
      </w:pPr>
    </w:p>
    <w:p>
      <w:pPr>
        <w:sectPr>
          <w:pgSz w:w="11900" w:h="16838" w:orient="portrait"/>
          <w:cols w:equalWidth="0" w:num="2">
            <w:col w:w="8160" w:space="560"/>
            <w:col w:w="2680"/>
          </w:cols>
          <w:pgMar w:left="240" w:top="963" w:right="259" w:bottom="1440" w:gutter="0" w:footer="0" w:header="0"/>
          <w:type w:val="continuous"/>
        </w:sectPr>
      </w:pPr>
    </w:p>
    <w:p>
      <w:pPr>
        <w:ind w:left="8720"/>
        <w:spacing w:after="0"/>
        <w:rPr>
          <w:sz w:val="20"/>
          <w:szCs w:val="20"/>
          <w:color w:val="auto"/>
        </w:rPr>
      </w:pPr>
      <w:r>
        <w:rPr>
          <w:rFonts w:ascii="Arial" w:cs="Arial" w:eastAsia="Arial" w:hAnsi="Arial"/>
          <w:sz w:val="18"/>
          <w:szCs w:val="18"/>
          <w:color w:val="auto"/>
        </w:rPr>
        <w:t>218-723-3953</w:t>
      </w:r>
    </w:p>
    <w:p>
      <w:pPr>
        <w:spacing w:after="0" w:line="63"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tthorp@allete.com</w:t>
      </w:r>
    </w:p>
    <w:p>
      <w:pPr>
        <w:sectPr>
          <w:pgSz w:w="11900" w:h="16838" w:orient="portrait"/>
          <w:cols w:equalWidth="0" w:num="1">
            <w:col w:w="11400"/>
          </w:cols>
          <w:pgMar w:left="240" w:top="963" w:right="259" w:bottom="1440" w:gutter="0" w:footer="0" w:header="0"/>
          <w:type w:val="continuous"/>
        </w:sect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ALLETE reports 2013 financial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Expects earnings of between $2.75 and $2.95 per share in 2014</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Duluth, Minn. -ALLETE, Inc. (NYSE: ALE) today reported 2013 earnings of $2.63 per share compared with $2.58 in 2012. Included in the 2013 results were acquisition costs of $1.0 million after-tax, or three cents per share, related to ALLETE Clean Energy’s acquisition of three wind energy facilities.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for 2013 was $104.7 million, an increase of eight percent over $97.1 million for 2012. Operating revenue grew by six percent year-over-year at $1.02 billion compared to $961.2 million a year ago.</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“We’re pleased to report continued financial progress at ALLETE, while at the same time making significant capital investments relative to executing our strategy,” said ALLETE President, Chairman and CEO Al Hodnik. “Electric sales to Minnesota Power’s industrial customers remained consistent and strong in 2013, and all of our businesses performed generally within expectations for the year. ALLETE’s year-end results are in line with our previous earnings guidance.”</w:t>
      </w:r>
    </w:p>
    <w:p>
      <w:pPr>
        <w:spacing w:after="0" w:line="18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Net income from ALLETE’s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which includes Minnesota Power, Superior Water, Light &amp; Power, and an investment in the American Transmission Company, rose by nine percent year-over-year; to $104.9 million in 2013 from $96.1 million in 2012. Increases in total kilowatt-hour sales, cost recovery revenue, federal production tax credits, transmission revenue and municipal rates were partially offset by higher operating and interest expenses, as well as increased costs under the Square Butte purchased power contract.</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consisting of BNI Coal, ALLETE Properties, ALLETE Clean Energy and miscellaneous corporate expenditures recorded a slight loss of $200,000 in 2013 compared to net income of $1 million in 2012. Included in the results for 2013 were acquisition costs of $1 million after-tax associated with the acquisition of three wind energy facilities by ALLETE Clean Energy, mentioned above. Excluding those expenses, net income for the segment was similar to last year.</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Earnings per share for 2013 were diluted by fifteen cents due to the issuance of common shares needed to fund strategic investments in renewable energy, environmental upgrades and energy transmission infrastructure.</w:t>
      </w:r>
    </w:p>
    <w:p>
      <w:pPr>
        <w:spacing w:after="0" w:line="17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“ALLETE expects to earn between $2.75 and $2.95 per share on net income of $120 million to $130 million in 2014,” Hodnik said. He added that the company expects strong electricity usage from Minnesota Power’s industrial customers and significant capital investments in environmental upgrades and renewable energy in 2014. In addition, the company expects ALLETE Clean Energy’s wind farm acquisition to be accretive to earnings, and results from Superior Water, Light &amp; Power, BNI Coal, and ALLETE Properties to be in line with those in 2013. Earning guidance for 2014 also includes 25 cents to 35 cents of anticipated dilution from common share issuances in 2013 and 2014, and excludes costs related to the ALLETE Clean Energy acquisition.</w:t>
      </w:r>
    </w:p>
    <w:p>
      <w:pPr>
        <w:spacing w:after="0" w:line="15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ALLETE's corporate headquarters are in Duluth, Minnesota. In addition to its electric utilities, Minnesota Power in northeast Minnesota and Superior Water, Light &amp; Power Co. in northwest Wisconsin, ALLETE owns BNI Coal in Center, N. D. and ALLETE Clean Energy, and has significant transmission investments in the upper Midwest. More information about the company is available on ALLETE's Web site at www.allete.com.</w:t>
      </w:r>
    </w:p>
    <w:p>
      <w:pPr>
        <w:spacing w:after="0" w:line="16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ectPr>
          <w:pgSz w:w="11900" w:h="16838" w:orient="portrait"/>
          <w:cols w:equalWidth="0" w:num="1">
            <w:col w:w="11400"/>
          </w:cols>
          <w:pgMar w:left="240" w:top="963" w:right="259" w:bottom="1440" w:gutter="0" w:footer="0" w:header="0"/>
          <w:type w:val="continuous"/>
        </w:sectPr>
      </w:pPr>
    </w:p>
    <w:bookmarkStart w:id="173" w:name="page174"/>
    <w:bookmarkEnd w:id="173"/>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585" w:right="299" w:bottom="1440" w:gutter="0" w:footer="0" w:header="0"/>
        </w:sectPr>
      </w:pPr>
    </w:p>
    <w:bookmarkStart w:id="174" w:name="page175"/>
    <w:bookmarkEnd w:id="174"/>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Periods Ended December 31, 2013 and 2012</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Millions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80" w:type="dxa"/>
            <w:vAlign w:val="bottom"/>
            <w:gridSpan w:val="2"/>
          </w:tcPr>
          <w:p>
            <w:pPr>
              <w:jc w:val="right"/>
              <w:ind w:right="1170"/>
              <w:spacing w:after="0"/>
              <w:rPr>
                <w:sz w:val="20"/>
                <w:szCs w:val="20"/>
                <w:color w:val="auto"/>
              </w:rPr>
            </w:pPr>
            <w:r>
              <w:rPr>
                <w:rFonts w:ascii="Arial" w:cs="Arial" w:eastAsia="Arial" w:hAnsi="Arial"/>
                <w:sz w:val="18"/>
                <w:szCs w:val="18"/>
                <w:b w:val="1"/>
                <w:bCs w:val="1"/>
                <w:color w:val="auto"/>
              </w:rPr>
              <w:t>Quarter Ended</w:t>
            </w:r>
          </w:p>
        </w:tc>
        <w:tc>
          <w:tcPr>
            <w:tcW w:w="1380" w:type="dxa"/>
            <w:vAlign w:val="bottom"/>
          </w:tcPr>
          <w:p>
            <w:pPr>
              <w:ind w:left="420"/>
              <w:spacing w:after="0"/>
              <w:rPr>
                <w:sz w:val="20"/>
                <w:szCs w:val="20"/>
                <w:color w:val="auto"/>
              </w:rPr>
            </w:pPr>
            <w:r>
              <w:rPr>
                <w:rFonts w:ascii="Arial" w:cs="Arial" w:eastAsia="Arial" w:hAnsi="Arial"/>
                <w:sz w:val="18"/>
                <w:szCs w:val="18"/>
                <w:b w:val="1"/>
                <w:bCs w:val="1"/>
                <w:color w:val="auto"/>
                <w:w w:val="89"/>
              </w:rPr>
              <w:t>Year to Date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600" w:type="dxa"/>
            <w:vAlign w:val="bottom"/>
          </w:tcPr>
          <w:p>
            <w:pPr>
              <w:jc w:val="right"/>
              <w:ind w:right="890"/>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890"/>
              <w:spacing w:after="0"/>
              <w:rPr>
                <w:sz w:val="20"/>
                <w:szCs w:val="20"/>
                <w:color w:val="auto"/>
              </w:rPr>
            </w:pPr>
            <w:r>
              <w:rPr>
                <w:rFonts w:ascii="Arial" w:cs="Arial" w:eastAsia="Arial" w:hAnsi="Arial"/>
                <w:sz w:val="18"/>
                <w:szCs w:val="18"/>
                <w:b w:val="1"/>
                <w:bCs w:val="1"/>
                <w:color w:val="auto"/>
                <w:w w:val="94"/>
              </w:rPr>
              <w:t>2013</w:t>
            </w: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$268.0</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$256.0</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$1,018.4</w:t>
            </w:r>
          </w:p>
        </w:tc>
        <w:tc>
          <w:tcPr>
            <w:tcW w:w="880" w:type="dxa"/>
            <w:vAlign w:val="bottom"/>
          </w:tcPr>
          <w:p>
            <w:pPr>
              <w:jc w:val="right"/>
              <w:spacing w:after="0"/>
              <w:rPr>
                <w:sz w:val="20"/>
                <w:szCs w:val="20"/>
                <w:color w:val="auto"/>
              </w:rPr>
            </w:pPr>
            <w:r>
              <w:rPr>
                <w:rFonts w:ascii="Arial" w:cs="Arial" w:eastAsia="Arial" w:hAnsi="Arial"/>
                <w:sz w:val="18"/>
                <w:szCs w:val="18"/>
                <w:color w:val="auto"/>
              </w:rPr>
              <w:t>$961.2</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0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89.1</w:t>
            </w:r>
          </w:p>
        </w:tc>
        <w:tc>
          <w:tcPr>
            <w:tcW w:w="1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80.0</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334.8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43"/>
        </w:trPr>
        <w:tc>
          <w:tcPr>
            <w:tcW w:w="306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101.7</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102.3</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412.9</w:t>
            </w:r>
          </w:p>
        </w:tc>
        <w:tc>
          <w:tcPr>
            <w:tcW w:w="880" w:type="dxa"/>
            <w:vAlign w:val="bottom"/>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9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30.3</w:t>
            </w:r>
          </w:p>
        </w:tc>
        <w:tc>
          <w:tcPr>
            <w:tcW w:w="1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25.8</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116.6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7"/>
        </w:trPr>
        <w:tc>
          <w:tcPr>
            <w:tcW w:w="3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221.1</w:t>
            </w:r>
          </w:p>
        </w:tc>
        <w:tc>
          <w:tcPr>
            <w:tcW w:w="1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208.1</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864.3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0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46.9</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47.9</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154.1</w:t>
            </w:r>
          </w:p>
        </w:tc>
        <w:tc>
          <w:tcPr>
            <w:tcW w:w="88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0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(12.5)</w:t>
            </w:r>
          </w:p>
        </w:tc>
        <w:tc>
          <w:tcPr>
            <w:tcW w:w="1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(12.1)</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(50.3)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306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5.2</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5.1</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20.3</w:t>
            </w: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c>
          <w:tcPr>
            <w:tcW w:w="1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3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9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(5.5)</w:t>
            </w:r>
          </w:p>
        </w:tc>
        <w:tc>
          <w:tcPr>
            <w:tcW w:w="1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(4.4)</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(20.7)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0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41.4</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43.5</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133.4</w:t>
            </w:r>
          </w:p>
        </w:tc>
        <w:tc>
          <w:tcPr>
            <w:tcW w:w="88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9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8.4</w:t>
            </w:r>
          </w:p>
        </w:tc>
        <w:tc>
          <w:tcPr>
            <w:tcW w:w="1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14.6</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28.7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7"/>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$33.0</w:t>
            </w:r>
          </w:p>
        </w:tc>
        <w:tc>
          <w:tcPr>
            <w:tcW w:w="1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$28.9</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$104.7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0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40.6</w:t>
            </w:r>
          </w:p>
        </w:tc>
        <w:tc>
          <w:tcPr>
            <w:tcW w:w="1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38.5</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39.7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3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40.7</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38.6</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39.8</w:t>
            </w:r>
          </w:p>
        </w:tc>
        <w:tc>
          <w:tcPr>
            <w:tcW w:w="88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0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000" w:type="dxa"/>
            <w:vAlign w:val="bottom"/>
          </w:tcPr>
          <w:p>
            <w:pPr>
              <w:spacing w:after="0"/>
              <w:rPr>
                <w:sz w:val="21"/>
                <w:szCs w:val="21"/>
                <w:color w:val="auto"/>
              </w:rPr>
            </w:pP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$0.82</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$0.76</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$2.64</w:t>
            </w: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39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0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$0.82</w:t>
            </w:r>
          </w:p>
        </w:tc>
        <w:tc>
          <w:tcPr>
            <w:tcW w:w="1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$0.75</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$2.63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Dividends Per Share of Common Stock</w:t>
            </w:r>
          </w:p>
        </w:tc>
        <w:tc>
          <w:tcPr>
            <w:tcW w:w="9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$0.475</w:t>
            </w:r>
          </w:p>
        </w:tc>
        <w:tc>
          <w:tcPr>
            <w:tcW w:w="1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$0.46</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318"/>
        </w:trPr>
        <w:tc>
          <w:tcPr>
            <w:tcW w:w="30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58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Consolidated Balance Sheet</w:t>
            </w:r>
          </w:p>
        </w:tc>
        <w:tc>
          <w:tcPr>
            <w:tcW w:w="16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80" w:type="dxa"/>
            <w:vAlign w:val="bottom"/>
          </w:tcPr>
          <w:p>
            <w:pPr>
              <w:jc w:val="right"/>
              <w:ind w:right="1450"/>
              <w:spacing w:after="0"/>
              <w:rPr>
                <w:sz w:val="20"/>
                <w:szCs w:val="20"/>
                <w:color w:val="auto"/>
              </w:rPr>
            </w:pPr>
            <w:r>
              <w:rPr>
                <w:rFonts w:ascii="Arial" w:cs="Arial" w:eastAsia="Arial" w:hAnsi="Arial"/>
                <w:sz w:val="18"/>
                <w:szCs w:val="18"/>
                <w:color w:val="auto"/>
              </w:rPr>
              <w:t>Millions</w:t>
            </w:r>
          </w:p>
        </w:tc>
        <w:tc>
          <w:tcPr>
            <w:tcW w:w="1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060" w:type="dxa"/>
            <w:vAlign w:val="bottom"/>
          </w:tcPr>
          <w:p>
            <w:pPr>
              <w:spacing w:after="0"/>
              <w:rPr>
                <w:sz w:val="24"/>
                <w:szCs w:val="24"/>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 31,</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2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ind w:left="420"/>
              <w:spacing w:after="0"/>
              <w:rPr>
                <w:sz w:val="20"/>
                <w:szCs w:val="20"/>
                <w:color w:val="auto"/>
              </w:rPr>
            </w:pPr>
            <w:r>
              <w:rPr>
                <w:rFonts w:ascii="Arial" w:cs="Arial" w:eastAsia="Arial" w:hAnsi="Arial"/>
                <w:sz w:val="18"/>
                <w:szCs w:val="18"/>
                <w:b w:val="1"/>
                <w:bCs w:val="1"/>
                <w:color w:val="auto"/>
              </w:rPr>
              <w:t>Dec. 31,</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 31,</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5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1000" w:type="dxa"/>
            <w:vAlign w:val="bottom"/>
          </w:tcPr>
          <w:p>
            <w:pPr>
              <w:jc w:val="right"/>
              <w:spacing w:after="0"/>
              <w:rPr>
                <w:sz w:val="20"/>
                <w:szCs w:val="20"/>
                <w:color w:val="auto"/>
              </w:rPr>
            </w:pPr>
            <w:r>
              <w:rPr>
                <w:rFonts w:ascii="Arial" w:cs="Arial" w:eastAsia="Arial" w:hAnsi="Arial"/>
                <w:sz w:val="18"/>
                <w:szCs w:val="18"/>
                <w:color w:val="auto"/>
              </w:rPr>
              <w:t>$80.8</w:t>
            </w:r>
          </w:p>
        </w:tc>
        <w:tc>
          <w:tcPr>
            <w:tcW w:w="258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$230.2</w:t>
            </w:r>
          </w:p>
        </w:tc>
        <w:tc>
          <w:tcPr>
            <w:tcW w:w="880" w:type="dxa"/>
            <w:vAlign w:val="bottom"/>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6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1,083.0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2,576.5</w:t>
            </w:r>
          </w:p>
        </w:tc>
        <w:tc>
          <w:tcPr>
            <w:tcW w:w="1000" w:type="dxa"/>
            <w:vAlign w:val="bottom"/>
          </w:tcPr>
          <w:p>
            <w:pPr>
              <w:jc w:val="right"/>
              <w:spacing w:after="0"/>
              <w:rPr>
                <w:sz w:val="20"/>
                <w:szCs w:val="20"/>
                <w:color w:val="auto"/>
              </w:rPr>
            </w:pPr>
            <w:r>
              <w:rPr>
                <w:rFonts w:ascii="Arial" w:cs="Arial" w:eastAsia="Arial" w:hAnsi="Arial"/>
                <w:sz w:val="18"/>
                <w:szCs w:val="18"/>
                <w:color w:val="auto"/>
              </w:rPr>
              <w:t>2,347.6</w:t>
            </w:r>
          </w:p>
        </w:tc>
        <w:tc>
          <w:tcPr>
            <w:tcW w:w="258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479.1</w:t>
            </w:r>
          </w:p>
        </w:tc>
        <w:tc>
          <w:tcPr>
            <w:tcW w:w="880" w:type="dxa"/>
            <w:vAlign w:val="bottom"/>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3060" w:type="dxa"/>
            <w:vAlign w:val="bottom"/>
            <w:vMerge w:val="restart"/>
          </w:tcPr>
          <w:p>
            <w:pPr>
              <w:ind w:left="40"/>
              <w:spacing w:after="0"/>
              <w:rPr>
                <w:sz w:val="20"/>
                <w:szCs w:val="20"/>
                <w:color w:val="auto"/>
              </w:rPr>
            </w:pPr>
            <w:r>
              <w:rPr>
                <w:rFonts w:ascii="Arial" w:cs="Arial" w:eastAsia="Arial" w:hAnsi="Arial"/>
                <w:sz w:val="18"/>
                <w:szCs w:val="18"/>
                <w:color w:val="auto"/>
              </w:rPr>
              <w:t>Investment in ATC</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114.6</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107.3</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w w:val="92"/>
              </w:rPr>
              <w:t>Defined Benefit Pension &amp; Other Postretirement Benefit</w:t>
            </w:r>
          </w:p>
        </w:tc>
        <w:tc>
          <w:tcPr>
            <w:tcW w:w="1380" w:type="dxa"/>
            <w:vAlign w:val="bottom"/>
            <w:vMerge w:val="restart"/>
          </w:tcPr>
          <w:p>
            <w:pPr>
              <w:jc w:val="right"/>
              <w:ind w:right="90"/>
              <w:spacing w:after="0"/>
              <w:rPr>
                <w:sz w:val="20"/>
                <w:szCs w:val="20"/>
                <w:color w:val="auto"/>
              </w:rPr>
            </w:pPr>
            <w:r>
              <w:rPr>
                <w:rFonts w:ascii="Arial" w:cs="Arial" w:eastAsia="Arial" w:hAnsi="Arial"/>
                <w:sz w:val="18"/>
                <w:szCs w:val="18"/>
                <w:color w:val="auto"/>
              </w:rPr>
              <w:t>133.4</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30"/>
        </w:trPr>
        <w:tc>
          <w:tcPr>
            <w:tcW w:w="30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Plans</w:t>
            </w:r>
          </w:p>
        </w:tc>
        <w:tc>
          <w:tcPr>
            <w:tcW w:w="160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258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60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1,342.9</w:t>
            </w:r>
          </w:p>
        </w:tc>
        <w:tc>
          <w:tcPr>
            <w:tcW w:w="880" w:type="dxa"/>
            <w:vAlign w:val="bottom"/>
          </w:tcPr>
          <w:p>
            <w:pPr>
              <w:jc w:val="right"/>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w:t>
            </w:r>
          </w:p>
        </w:tc>
        <w:tc>
          <w:tcPr>
            <w:tcW w:w="4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$3,476.8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w:t>
            </w:r>
          </w:p>
        </w:tc>
        <w:tc>
          <w:tcPr>
            <w:tcW w:w="0" w:type="dxa"/>
            <w:vAlign w:val="bottom"/>
          </w:tcPr>
          <w:p>
            <w:pPr>
              <w:spacing w:after="0"/>
              <w:rPr>
                <w:sz w:val="1"/>
                <w:szCs w:val="1"/>
                <w:color w:val="auto"/>
              </w:rPr>
            </w:pPr>
          </w:p>
        </w:tc>
      </w:tr>
      <w:tr>
        <w:trPr>
          <w:trHeight w:val="20"/>
        </w:trPr>
        <w:tc>
          <w:tcPr>
            <w:tcW w:w="30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1" w:right="23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416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Quarter Ended</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Year to Date</w:t>
            </w:r>
          </w:p>
        </w:tc>
        <w:tc>
          <w:tcPr>
            <w:tcW w:w="880" w:type="dxa"/>
            <w:vAlign w:val="bottom"/>
          </w:tcPr>
          <w:p>
            <w:pPr>
              <w:spacing w:after="0"/>
              <w:rPr>
                <w:sz w:val="20"/>
                <w:szCs w:val="20"/>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16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December 31,</w:t>
            </w:r>
          </w:p>
        </w:tc>
        <w:tc>
          <w:tcPr>
            <w:tcW w:w="25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8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3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620" w:type="dxa"/>
            <w:vAlign w:val="bottom"/>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$31.9</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$28.0</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$104.9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(0.2)</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$33.0</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$28.9</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$104.7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$0.82</w:t>
            </w: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$0.75</w:t>
            </w:r>
          </w:p>
        </w:tc>
        <w:tc>
          <w:tcPr>
            <w:tcW w:w="1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$2.63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88"/>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2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600"/>
              <w:spacing w:after="0"/>
              <w:rPr>
                <w:sz w:val="20"/>
                <w:szCs w:val="20"/>
                <w:color w:val="auto"/>
              </w:rPr>
            </w:pPr>
            <w:r>
              <w:rPr>
                <w:rFonts w:ascii="Arial" w:cs="Arial" w:eastAsia="Arial" w:hAnsi="Arial"/>
                <w:sz w:val="18"/>
                <w:szCs w:val="18"/>
                <w:color w:val="auto"/>
              </w:rPr>
              <w:t>High</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$51.72</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$42.09</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$54.14</w:t>
            </w:r>
          </w:p>
        </w:tc>
        <w:tc>
          <w:tcPr>
            <w:tcW w:w="880" w:type="dxa"/>
            <w:vAlign w:val="bottom"/>
          </w:tcPr>
          <w:p>
            <w:pPr>
              <w:jc w:val="right"/>
              <w:spacing w:after="0"/>
              <w:rPr>
                <w:sz w:val="20"/>
                <w:szCs w:val="20"/>
                <w:color w:val="auto"/>
              </w:rPr>
            </w:pPr>
            <w:r>
              <w:rPr>
                <w:rFonts w:ascii="Arial" w:cs="Arial" w:eastAsia="Arial" w:hAnsi="Arial"/>
                <w:sz w:val="18"/>
                <w:szCs w:val="18"/>
                <w:color w:val="auto"/>
              </w:rPr>
              <w:t>$42.66</w:t>
            </w: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$47.48</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$37.73</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$41.39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r>
      <w:tr>
        <w:trPr>
          <w:trHeight w:val="243"/>
        </w:trPr>
        <w:tc>
          <w:tcPr>
            <w:tcW w:w="4760" w:type="dxa"/>
            <w:vAlign w:val="bottom"/>
          </w:tcPr>
          <w:p>
            <w:pPr>
              <w:ind w:left="600"/>
              <w:spacing w:after="0"/>
              <w:rPr>
                <w:sz w:val="20"/>
                <w:szCs w:val="20"/>
                <w:color w:val="auto"/>
              </w:rPr>
            </w:pPr>
            <w:r>
              <w:rPr>
                <w:rFonts w:ascii="Arial" w:cs="Arial" w:eastAsia="Arial" w:hAnsi="Arial"/>
                <w:sz w:val="18"/>
                <w:szCs w:val="18"/>
                <w:color w:val="auto"/>
              </w:rPr>
              <w:t>Close</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$49.88</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$40.98</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$49.88</w:t>
            </w:r>
          </w:p>
        </w:tc>
        <w:tc>
          <w:tcPr>
            <w:tcW w:w="880" w:type="dxa"/>
            <w:vAlign w:val="bottom"/>
          </w:tcPr>
          <w:p>
            <w:pPr>
              <w:jc w:val="right"/>
              <w:spacing w:after="0"/>
              <w:rPr>
                <w:sz w:val="20"/>
                <w:szCs w:val="20"/>
                <w:color w:val="auto"/>
              </w:rPr>
            </w:pPr>
            <w:r>
              <w:rPr>
                <w:rFonts w:ascii="Arial" w:cs="Arial" w:eastAsia="Arial" w:hAnsi="Arial"/>
                <w:sz w:val="18"/>
                <w:szCs w:val="18"/>
                <w:color w:val="auto"/>
              </w:rPr>
              <w:t>$40.98</w:t>
            </w: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$32.43</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$30.50</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$32.43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594"/>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313</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303</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1,177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43"/>
        </w:trPr>
        <w:tc>
          <w:tcPr>
            <w:tcW w:w="47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364</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352</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1,455</w:t>
            </w:r>
          </w:p>
        </w:tc>
        <w:tc>
          <w:tcPr>
            <w:tcW w:w="88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258</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262</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999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43"/>
        </w:trPr>
        <w:tc>
          <w:tcPr>
            <w:tcW w:w="47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1,830</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1,877</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7,338</w:t>
            </w:r>
          </w:p>
        </w:tc>
        <w:tc>
          <w:tcPr>
            <w:tcW w:w="880" w:type="dxa"/>
            <w:vAlign w:val="bottom"/>
          </w:tcPr>
          <w:p>
            <w:pPr>
              <w:jc w:val="right"/>
              <w:spacing w:after="0"/>
              <w:rPr>
                <w:sz w:val="20"/>
                <w:szCs w:val="20"/>
                <w:color w:val="auto"/>
              </w:rPr>
            </w:pPr>
            <w:r>
              <w:rPr>
                <w:rFonts w:ascii="Arial" w:cs="Arial" w:eastAsia="Arial" w:hAnsi="Arial"/>
                <w:sz w:val="18"/>
                <w:szCs w:val="18"/>
                <w:color w:val="auto"/>
              </w:rPr>
              <w:t>7,502</w:t>
            </w: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2,765</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2,794</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10,969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11,090</w:t>
            </w:r>
          </w:p>
        </w:tc>
      </w:tr>
      <w:tr>
        <w:trPr>
          <w:trHeight w:val="243"/>
        </w:trPr>
        <w:tc>
          <w:tcPr>
            <w:tcW w:w="47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530</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512</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2,278</w:t>
            </w:r>
          </w:p>
        </w:tc>
        <w:tc>
          <w:tcPr>
            <w:tcW w:w="88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3,295</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3,306</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13,247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13,089</w:t>
            </w: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280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113</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2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3,318</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3,339</w:t>
            </w:r>
          </w:p>
        </w:tc>
        <w:tc>
          <w:tcPr>
            <w:tcW w:w="1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13,360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r>
      <w:tr>
        <w:trPr>
          <w:trHeight w:val="588"/>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8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2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Retail and Municipals</w:t>
            </w:r>
          </w:p>
        </w:tc>
        <w:tc>
          <w:tcPr>
            <w:tcW w:w="2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$29.2</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$28.1</w:t>
            </w:r>
          </w:p>
        </w:tc>
        <w:tc>
          <w:tcPr>
            <w:tcW w:w="16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$110.0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2800" w:type="dxa"/>
            <w:vAlign w:val="bottom"/>
          </w:tcPr>
          <w:p>
            <w:pPr>
              <w:jc w:val="right"/>
              <w:ind w:right="250"/>
              <w:spacing w:after="0"/>
              <w:rPr>
                <w:sz w:val="20"/>
                <w:szCs w:val="20"/>
                <w:color w:val="auto"/>
              </w:rPr>
            </w:pPr>
            <w:r>
              <w:rPr>
                <w:rFonts w:ascii="Arial" w:cs="Arial" w:eastAsia="Arial" w:hAnsi="Arial"/>
                <w:sz w:val="18"/>
                <w:szCs w:val="18"/>
                <w:color w:val="auto"/>
              </w:rPr>
              <w:t>30.3</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29.0</w:t>
            </w:r>
          </w:p>
        </w:tc>
        <w:tc>
          <w:tcPr>
            <w:tcW w:w="1620" w:type="dxa"/>
            <w:vAlign w:val="bottom"/>
          </w:tcPr>
          <w:p>
            <w:pPr>
              <w:jc w:val="right"/>
              <w:ind w:right="490"/>
              <w:spacing w:after="0"/>
              <w:rPr>
                <w:sz w:val="20"/>
                <w:szCs w:val="20"/>
                <w:color w:val="auto"/>
              </w:rPr>
            </w:pPr>
            <w:r>
              <w:rPr>
                <w:rFonts w:ascii="Arial" w:cs="Arial" w:eastAsia="Arial" w:hAnsi="Arial"/>
                <w:sz w:val="18"/>
                <w:szCs w:val="18"/>
                <w:color w:val="auto"/>
              </w:rPr>
              <w:t>120.4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116.2</w:t>
            </w: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Municipals</w:t>
            </w:r>
          </w:p>
        </w:tc>
        <w:tc>
          <w:tcPr>
            <w:tcW w:w="28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16.4</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16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66.4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Industrial</w:t>
            </w:r>
          </w:p>
        </w:tc>
        <w:tc>
          <w:tcPr>
            <w:tcW w:w="2800" w:type="dxa"/>
            <w:vAlign w:val="bottom"/>
          </w:tcPr>
          <w:p>
            <w:pPr>
              <w:jc w:val="right"/>
              <w:ind w:right="250"/>
              <w:spacing w:after="0"/>
              <w:rPr>
                <w:sz w:val="20"/>
                <w:szCs w:val="20"/>
                <w:color w:val="auto"/>
              </w:rPr>
            </w:pPr>
            <w:r>
              <w:rPr>
                <w:rFonts w:ascii="Arial" w:cs="Arial" w:eastAsia="Arial" w:hAnsi="Arial"/>
                <w:sz w:val="18"/>
                <w:szCs w:val="18"/>
                <w:color w:val="auto"/>
              </w:rPr>
              <w:t>101.6</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100.1</w:t>
            </w:r>
          </w:p>
        </w:tc>
        <w:tc>
          <w:tcPr>
            <w:tcW w:w="1620" w:type="dxa"/>
            <w:vAlign w:val="bottom"/>
          </w:tcPr>
          <w:p>
            <w:pPr>
              <w:jc w:val="right"/>
              <w:ind w:right="490"/>
              <w:spacing w:after="0"/>
              <w:rPr>
                <w:sz w:val="20"/>
                <w:szCs w:val="20"/>
                <w:color w:val="auto"/>
              </w:rPr>
            </w:pPr>
            <w:r>
              <w:rPr>
                <w:rFonts w:ascii="Arial" w:cs="Arial" w:eastAsia="Arial" w:hAnsi="Arial"/>
                <w:sz w:val="18"/>
                <w:szCs w:val="18"/>
                <w:color w:val="auto"/>
              </w:rPr>
              <w:t>400.2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393.4</w:t>
            </w: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Retail and Municipals</w:t>
            </w:r>
          </w:p>
        </w:tc>
        <w:tc>
          <w:tcPr>
            <w:tcW w:w="28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177.5</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172.8</w:t>
            </w:r>
          </w:p>
        </w:tc>
        <w:tc>
          <w:tcPr>
            <w:tcW w:w="16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697.0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Other Power Suppliers</w:t>
            </w:r>
          </w:p>
        </w:tc>
        <w:tc>
          <w:tcPr>
            <w:tcW w:w="2800" w:type="dxa"/>
            <w:vAlign w:val="bottom"/>
          </w:tcPr>
          <w:p>
            <w:pPr>
              <w:jc w:val="right"/>
              <w:ind w:right="250"/>
              <w:spacing w:after="0"/>
              <w:rPr>
                <w:sz w:val="20"/>
                <w:szCs w:val="20"/>
                <w:color w:val="auto"/>
              </w:rPr>
            </w:pPr>
            <w:r>
              <w:rPr>
                <w:rFonts w:ascii="Arial" w:cs="Arial" w:eastAsia="Arial" w:hAnsi="Arial"/>
                <w:sz w:val="18"/>
                <w:szCs w:val="18"/>
                <w:color w:val="auto"/>
              </w:rPr>
              <w:t>23.7</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18.6</w:t>
            </w:r>
          </w:p>
        </w:tc>
        <w:tc>
          <w:tcPr>
            <w:tcW w:w="1620" w:type="dxa"/>
            <w:vAlign w:val="bottom"/>
          </w:tcPr>
          <w:p>
            <w:pPr>
              <w:jc w:val="right"/>
              <w:ind w:right="490"/>
              <w:spacing w:after="0"/>
              <w:rPr>
                <w:sz w:val="20"/>
                <w:szCs w:val="20"/>
                <w:color w:val="auto"/>
              </w:rPr>
            </w:pPr>
            <w:r>
              <w:rPr>
                <w:rFonts w:ascii="Arial" w:cs="Arial" w:eastAsia="Arial" w:hAnsi="Arial"/>
                <w:sz w:val="18"/>
                <w:szCs w:val="18"/>
                <w:color w:val="auto"/>
              </w:rPr>
              <w:t>89.5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40.7</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41.0</w:t>
            </w:r>
          </w:p>
        </w:tc>
        <w:tc>
          <w:tcPr>
            <w:tcW w:w="16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139.0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w:t>
            </w:r>
          </w:p>
        </w:tc>
      </w:tr>
      <w:tr>
        <w:trPr>
          <w:trHeight w:val="237"/>
        </w:trPr>
        <w:tc>
          <w:tcPr>
            <w:tcW w:w="47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Revenue</w:t>
            </w:r>
          </w:p>
        </w:tc>
        <w:tc>
          <w:tcPr>
            <w:tcW w:w="2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$241.9</w:t>
            </w:r>
          </w:p>
        </w:tc>
        <w:tc>
          <w:tcPr>
            <w:tcW w:w="1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$232.4</w:t>
            </w:r>
          </w:p>
        </w:tc>
        <w:tc>
          <w:tcPr>
            <w:tcW w:w="16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$925.5</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$874.4</w:t>
            </w: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T"/>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x"/>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1"/>
    </w:lvl>
  </w:abstractNum>
  <w:abstractNum w:abstractNumId="6">
    <w:nsid w:val="3804823E"/>
    <w:multiLevelType w:val="hybridMultilevel"/>
    <w:lvl w:ilvl="0">
      <w:lvlJc w:val="left"/>
      <w:lvlText w:val="(%1)"/>
      <w:numFmt w:val="lowerLetter"/>
      <w:start w:val="1"/>
    </w:lvl>
  </w:abstractNum>
  <w:abstractNum w:abstractNumId="7">
    <w:nsid w:val="77465F01"/>
    <w:multiLevelType w:val="hybridMultilevel"/>
    <w:lvl w:ilvl="0">
      <w:lvlJc w:val="left"/>
      <w:lvlText w:val="(%1)"/>
      <w:numFmt w:val="lowerLetter"/>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lowerLetter"/>
      <w:start w:val="1"/>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lowerLetter"/>
      <w:start w:val="1"/>
    </w:lvl>
  </w:abstractNum>
  <w:abstractNum w:abstractNumId="21">
    <w:nsid w:val="725A06FB"/>
    <w:multiLevelType w:val="hybridMultilevel"/>
    <w:lvl w:ilvl="0">
      <w:lvlJc w:val="left"/>
      <w:lvlText w:val="(%1)"/>
      <w:numFmt w:val="decimal"/>
      <w:start w:val="3"/>
    </w:lvl>
  </w:abstractNum>
  <w:abstractNum w:abstractNumId="22">
    <w:nsid w:val="2CD89A32"/>
    <w:multiLevelType w:val="hybridMultilevel"/>
    <w:lvl w:ilvl="0">
      <w:lvlJc w:val="left"/>
      <w:lvlText w:val="1"/>
      <w:numFmt w:val="bullet"/>
      <w:start w:val="1"/>
    </w:lvl>
  </w:abstractNum>
  <w:abstractNum w:abstractNumId="23">
    <w:nsid w:val="57E4CCAF"/>
    <w:multiLevelType w:val="hybridMultilevel"/>
    <w:lvl w:ilvl="0">
      <w:lvlJc w:val="left"/>
      <w:lvlText w:val="%1"/>
      <w:numFmt w:val="decimal"/>
      <w:start w:val="32"/>
    </w:lvl>
  </w:abstractNum>
  <w:abstractNum w:abstractNumId="24">
    <w:nsid w:val="7A6D8D3C"/>
    <w:multiLevelType w:val="hybridMultilevel"/>
    <w:lvl w:ilvl="0">
      <w:lvlJc w:val="left"/>
      <w:lvlText w:val="%1"/>
      <w:numFmt w:val="decimal"/>
      <w:start w:val="99"/>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lowerLetter"/>
      <w:start w:val="1"/>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lowerLetter"/>
      <w:start w:val="1"/>
    </w:lvl>
  </w:abstractNum>
  <w:abstractNum w:abstractNumId="34">
    <w:nsid w:val="3DC240FB"/>
    <w:multiLevelType w:val="hybridMultilevel"/>
    <w:lvl w:ilvl="0">
      <w:lvlJc w:val="left"/>
      <w:lvlText w:val="(%1)"/>
      <w:numFmt w:val="lowerLetter"/>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upperLetter"/>
      <w:start w:val="9"/>
    </w:lvl>
    <w:lvl w:ilvl="1">
      <w:lvlJc w:val="left"/>
      <w:lvlText w:val="%2."/>
      <w:numFmt w:val="decimal"/>
      <w:start w:val="1"/>
    </w:lvl>
  </w:abstractNum>
  <w:abstractNum w:abstractNumId="38">
    <w:nsid w:val="12E685FB"/>
    <w:multiLevelType w:val="hybridMultilevel"/>
    <w:lvl w:ilvl="0">
      <w:lvlJc w:val="left"/>
      <w:lvlText w:val="%1."/>
      <w:numFmt w:val="upperLetter"/>
      <w:start w:val="35"/>
    </w:lvl>
    <w:lvl w:ilvl="1">
      <w:lvlJc w:val="left"/>
      <w:lvlText w:val="%2."/>
      <w:numFmt w:val="decimal"/>
      <w:start w:val="1"/>
    </w:lvl>
  </w:abstractNum>
  <w:abstractNum w:abstractNumId="39">
    <w:nsid w:val="70C6A529"/>
    <w:multiLevelType w:val="hybridMultilevel"/>
    <w:lvl w:ilvl="0">
      <w:lvlJc w:val="left"/>
      <w:lvlText w:val="%1."/>
      <w:numFmt w:val="decimal"/>
      <w:start w:val="3"/>
    </w:lvl>
    <w:lvl w:ilvl="1">
      <w:lvlJc w:val="left"/>
      <w:lvlText w:val="%2"/>
      <w:numFmt w:val="lowerLetter"/>
      <w:start w:val="1"/>
    </w:lvl>
  </w:abstractNum>
  <w:abstractNum w:abstractNumId="40">
    <w:nsid w:val="520EEDD1"/>
    <w:multiLevelType w:val="hybridMultilevel"/>
    <w:lvl w:ilvl="0">
      <w:lvlJc w:val="left"/>
      <w:lvlText w:val="%1"/>
      <w:numFmt w:val="upperLetter"/>
      <w:start w:val="1"/>
    </w:lvl>
    <w:lvl w:ilvl="1">
      <w:lvlJc w:val="left"/>
      <w:lvlText w:val="%2."/>
      <w:numFmt w:val="decimal"/>
      <w:start w:val="6"/>
    </w:lvl>
  </w:abstractNum>
  <w:abstractNum w:abstractNumId="41">
    <w:nsid w:val="374A3FE6"/>
    <w:multiLevelType w:val="hybridMultilevel"/>
    <w:lvl w:ilvl="0">
      <w:lvlJc w:val="left"/>
      <w:lvlText w:val="%1."/>
      <w:numFmt w:val="upperLetter"/>
      <w:start w:val="61"/>
    </w:lvl>
    <w:lvl w:ilvl="1">
      <w:lvlJc w:val="left"/>
      <w:lvlText w:val="%2"/>
      <w:numFmt w:val="decimal"/>
      <w:start w:val="1"/>
    </w:lvl>
  </w:abstractNum>
  <w:abstractNum w:abstractNumId="42">
    <w:nsid w:val="4F4EF005"/>
    <w:multiLevelType w:val="hybridMultilevel"/>
    <w:lvl w:ilvl="0">
      <w:lvlJc w:val="left"/>
      <w:lvlText w:val="(%1)"/>
      <w:numFmt w:val="upperLetter"/>
      <w:start w:val="2"/>
    </w:lvl>
  </w:abstractNum>
  <w:abstractNum w:abstractNumId="43">
    <w:nsid w:val="23F9C13C"/>
    <w:multiLevelType w:val="hybridMultilevel"/>
    <w:lvl w:ilvl="0">
      <w:lvlJc w:val="left"/>
      <w:lvlText w:val="(%1)"/>
      <w:numFmt w:val="lowerLetter"/>
      <w:start w:val="1"/>
    </w:lvl>
    <w:lvl w:ilvl="1">
      <w:lvlJc w:val="left"/>
      <w:lvlText w:val="(%2)"/>
      <w:numFmt w:val="lowerRoman"/>
      <w:start w:val="1"/>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Letter"/>
      <w:start w:val="5"/>
    </w:lvl>
  </w:abstractNum>
  <w:abstractNum w:abstractNumId="46">
    <w:nsid w:val="39386575"/>
    <w:multiLevelType w:val="hybridMultilevel"/>
    <w:lvl w:ilvl="0">
      <w:lvlJc w:val="left"/>
      <w:lvlText w:val="(%1)"/>
      <w:numFmt w:val="lowerRoman"/>
      <w:start w:val="1"/>
    </w:lvl>
  </w:abstractNum>
  <w:abstractNum w:abstractNumId="47">
    <w:nsid w:val="1CF10FD8"/>
    <w:multiLevelType w:val="hybridMultilevel"/>
    <w:lvl w:ilvl="0">
      <w:lvlJc w:val="left"/>
      <w:lvlText w:val="%1"/>
      <w:numFmt w:val="lowerRoman"/>
      <w:start w:val="1"/>
    </w:lvl>
    <w:lvl w:ilvl="1">
      <w:lvlJc w:val="left"/>
      <w:lvlText w:val="(%2)"/>
      <w:numFmt w:val="lowerRoman"/>
      <w:start w:val="5"/>
    </w:lvl>
  </w:abstractNum>
  <w:abstractNum w:abstractNumId="48">
    <w:nsid w:val="180115BE"/>
    <w:multiLevelType w:val="hybridMultilevel"/>
    <w:lvl w:ilvl="0">
      <w:lvlJc w:val="left"/>
      <w:lvlText w:val="(%1)"/>
      <w:numFmt w:val="lowerRoman"/>
      <w:start w:val="7"/>
    </w:lvl>
    <w:lvl w:ilvl="1">
      <w:lvlJc w:val="left"/>
      <w:lvlText w:val="(%2)"/>
      <w:numFmt w:val="lowerRoman"/>
      <w:start w:val="10"/>
    </w:lvl>
  </w:abstractNum>
  <w:abstractNum w:abstractNumId="49">
    <w:nsid w:val="235BA861"/>
    <w:multiLevelType w:val="hybridMultilevel"/>
    <w:lvl w:ilvl="0">
      <w:lvlJc w:val="left"/>
      <w:lvlText w:val="(%1)"/>
      <w:numFmt w:val="lowerRoman"/>
      <w:start w:val="12"/>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lowerRoman"/>
      <w:start w:val="3"/>
    </w:lvl>
  </w:abstractNum>
  <w:abstractNum w:abstractNumId="53">
    <w:nsid w:val="741226BB"/>
    <w:multiLevelType w:val="hybridMultilevel"/>
    <w:lvl w:ilvl="0">
      <w:lvlJc w:val="left"/>
      <w:lvlText w:val="%1."/>
      <w:numFmt w:val="decimal"/>
      <w:start w:val="5"/>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decimal"/>
      <w:start w:val="6"/>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4"/>
    </w:lvl>
  </w:abstractNum>
  <w:abstractNum w:abstractNumId="58">
    <w:nsid w:val="7E0C57B1"/>
    <w:multiLevelType w:val="hybridMultilevel"/>
    <w:lvl w:ilvl="0">
      <w:lvlJc w:val="left"/>
      <w:lvlText w:val="%1."/>
      <w:numFmt w:val="decimal"/>
      <w:start w:val="9"/>
    </w:lvl>
  </w:abstractNum>
  <w:abstractNum w:abstractNumId="59">
    <w:nsid w:val="77AE35EB"/>
    <w:multiLevelType w:val="hybridMultilevel"/>
    <w:lvl w:ilvl="0">
      <w:lvlJc w:val="left"/>
      <w:lvlText w:val="(%1)"/>
      <w:numFmt w:val="lowerRoman"/>
      <w:start w:val="1"/>
    </w:lvl>
  </w:abstractNum>
  <w:abstractNum w:abstractNumId="60">
    <w:nsid w:val="579BE4F1"/>
    <w:multiLevelType w:val="hybridMultilevel"/>
    <w:lvl w:ilvl="0">
      <w:lvlJc w:val="left"/>
      <w:lvlText w:val="%1."/>
      <w:numFmt w:val="lowerRoman"/>
      <w:start w:val="1"/>
    </w:lvl>
  </w:abstractNum>
  <w:abstractNum w:abstractNumId="61">
    <w:nsid w:val="310C50B3"/>
    <w:multiLevelType w:val="hybridMultilevel"/>
    <w:lvl w:ilvl="0">
      <w:lvlJc w:val="left"/>
      <w:lvlText w:val="(%1)"/>
      <w:numFmt w:val="decimal"/>
      <w:start w:val="6"/>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2019-12-05T12:39:04Z</dcterms:created>
  <dcterms:modified xsi:type="dcterms:W3CDTF">2019-12-05T12:39:04Z</dcterms:modified>
</cp:coreProperties>
</file>