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2014</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42,625,440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2014</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40" w:type="dxa"/>
            <w:vAlign w:val="bottom"/>
            <w:tcBorders>
              <w:top w:val="single" w:sz="8" w:color="0000EE"/>
            </w:tcBorders>
            <w:gridSpan w:val="2"/>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900" w:type="dxa"/>
            <w:vAlign w:val="bottom"/>
            <w:tcBorders>
              <w:top w:val="single" w:sz="8" w:color="0000EE"/>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June 30, 2014 and December 31, 2013</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For the Quarter and Six Months Ended June 30,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For the Quarter and Six Months Ended June 30, 2014 and 2013</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For the Six Months Ended June 30,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15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15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spacing w:after="0"/>
              <w:rPr>
                <w:sz w:val="20"/>
                <w:szCs w:val="20"/>
                <w:color w:val="auto"/>
              </w:rPr>
            </w:pPr>
            <w:r>
              <w:rPr>
                <w:rFonts w:ascii="Arial" w:cs="Arial" w:eastAsia="Arial" w:hAnsi="Arial"/>
                <w:sz w:val="14"/>
                <w:szCs w:val="14"/>
                <w:color w:val="auto"/>
              </w:rPr>
              <w:t>ALLETE, Inc. Second Quarter 2014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76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Wind Energy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1, 2 &amp; 3 Wind Facilities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4</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4 Wind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76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IBEW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43"/>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kWh</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340" w:type="dxa"/>
            <w:vAlign w:val="bottom"/>
            <w:shd w:val="clear" w:color="auto" w:fill="CCEEFF"/>
          </w:tcPr>
          <w:p>
            <w:pPr>
              <w:spacing w:after="0"/>
              <w:rPr>
                <w:sz w:val="17"/>
                <w:szCs w:val="17"/>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240"/>
              <w:spacing w:after="0"/>
              <w:rPr>
                <w:sz w:val="20"/>
                <w:szCs w:val="20"/>
                <w:color w:val="auto"/>
              </w:rPr>
            </w:pPr>
            <w:r>
              <w:rPr>
                <w:rFonts w:ascii="Arial" w:cs="Arial" w:eastAsia="Arial" w:hAnsi="Arial"/>
                <w:sz w:val="14"/>
                <w:szCs w:val="14"/>
                <w:color w:val="auto"/>
              </w:rPr>
              <w:t>ALLETE, Inc. Second Quarter 2014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gridSpan w:val="2"/>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Corporation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76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240"/>
              <w:spacing w:after="0"/>
              <w:rPr>
                <w:sz w:val="20"/>
                <w:szCs w:val="20"/>
                <w:color w:val="auto"/>
              </w:rPr>
            </w:pPr>
            <w:r>
              <w:rPr>
                <w:rFonts w:ascii="Arial" w:cs="Arial" w:eastAsia="Arial" w:hAnsi="Arial"/>
                <w:sz w:val="14"/>
                <w:szCs w:val="14"/>
                <w:color w:val="auto"/>
              </w:rPr>
              <w:t>ALLETE, Inc. Second Quarter 2014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Item 1A under the heading “Risk Factors” beginning on page 28 of ALLETE’s Annual Report on Form 10-K for the year ended December 31, 2013.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$1.1)</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78.9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96.3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35.1</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293.5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3,020.4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270.8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263.8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118.8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116.7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146.3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$3,895.6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$3,476.8</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$93.2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$99.9</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17.4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61.1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1,316.8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1,083.0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496.3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100.1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81.0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117.0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234.5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127.2</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2,478.1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15)</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42.6 and 41.4 Shares Outstanding</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945.1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5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497.7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489.1</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1,416.0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1,417.5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$3,895.6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$3,476.8</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4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4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20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940" w:type="dxa"/>
            <w:vAlign w:val="bottom"/>
          </w:tcPr>
          <w:p>
            <w:pPr>
              <w:spacing w:after="0"/>
              <w:rPr>
                <w:sz w:val="23"/>
                <w:szCs w:val="23"/>
                <w:color w:val="auto"/>
              </w:rPr>
            </w:pPr>
          </w:p>
        </w:tc>
        <w:tc>
          <w:tcPr>
            <w:tcW w:w="2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2013</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$260.7</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$235.6</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83.6</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78.7</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115.1</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103.8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234.9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208.5</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33.8</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28.7</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232.5</w:t>
            </w: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211.2</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480.7</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430.6</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28.2</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24.4</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(13.5)</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(12.8)</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4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(6.4)</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(6.3)</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21.8</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18.1</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16.9</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14.0</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0.1</w:t>
            </w: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$16.8</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$14.0</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42.1</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39.4</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42.3</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39.6</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41.9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$0.40</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$0.36</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$0.40</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$0.35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$0.49</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$0.475</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r>
      <w:tr>
        <w:trPr>
          <w:trHeight w:val="264"/>
        </w:trPr>
        <w:tc>
          <w:tcPr>
            <w:tcW w:w="836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2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12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2013</w:t>
            </w: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$16.9</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of Income Taxes of $0.1, $0.1, $0.1, and $0.1</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of Income Taxes of $–, $0.1, $0.1, and $0.1</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40"/>
              <w:spacing w:after="0"/>
              <w:rPr>
                <w:sz w:val="20"/>
                <w:szCs w:val="20"/>
                <w:color w:val="auto"/>
              </w:rPr>
            </w:pPr>
            <w:r>
              <w:rPr>
                <w:rFonts w:ascii="Arial" w:cs="Arial" w:eastAsia="Arial" w:hAnsi="Arial"/>
                <w:sz w:val="18"/>
                <w:szCs w:val="18"/>
                <w:color w:val="auto"/>
              </w:rPr>
              <w:t>Net of Income Taxes of $0.2, $0.3, $0.4, and $0.5</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0.3</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0.6</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17.4</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14.6</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51.5</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$17.3</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$14.6</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$51.1</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40" w:type="dxa"/>
            <w:vAlign w:val="bottom"/>
          </w:tcPr>
          <w:p>
            <w:pPr>
              <w:spacing w:after="0"/>
              <w:rPr>
                <w:sz w:val="19"/>
                <w:szCs w:val="19"/>
                <w:color w:val="auto"/>
              </w:rPr>
            </w:pPr>
          </w:p>
        </w:tc>
        <w:tc>
          <w:tcPr>
            <w:tcW w:w="268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auto"/>
              </w:rPr>
              <w:t>Six Months Ended</w:t>
            </w:r>
          </w:p>
        </w:tc>
      </w:tr>
      <w:tr>
        <w:trPr>
          <w:trHeight w:val="270"/>
        </w:trPr>
        <w:tc>
          <w:tcPr>
            <w:tcW w:w="87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800" w:type="dxa"/>
            <w:vAlign w:val="bottom"/>
          </w:tcPr>
          <w:p>
            <w:pPr>
              <w:spacing w:after="0"/>
              <w:rPr>
                <w:sz w:val="23"/>
                <w:szCs w:val="23"/>
                <w:color w:val="auto"/>
              </w:rPr>
            </w:pPr>
          </w:p>
        </w:tc>
      </w:tr>
      <w:tr>
        <w:trPr>
          <w:trHeight w:val="270"/>
        </w:trPr>
        <w:tc>
          <w:tcPr>
            <w:tcW w:w="8740" w:type="dxa"/>
            <w:vAlign w:val="bottom"/>
          </w:tcPr>
          <w:p>
            <w:pPr>
              <w:spacing w:after="0"/>
              <w:rPr>
                <w:sz w:val="23"/>
                <w:szCs w:val="23"/>
                <w:color w:val="auto"/>
              </w:rPr>
            </w:pPr>
          </w:p>
        </w:tc>
        <w:tc>
          <w:tcPr>
            <w:tcW w:w="1880" w:type="dxa"/>
            <w:vAlign w:val="bottom"/>
          </w:tcPr>
          <w:p>
            <w:pPr>
              <w:jc w:val="right"/>
              <w:ind w:right="755"/>
              <w:spacing w:after="0"/>
              <w:rPr>
                <w:sz w:val="20"/>
                <w:szCs w:val="20"/>
                <w:color w:val="auto"/>
              </w:rPr>
            </w:pPr>
            <w:r>
              <w:rPr>
                <w:rFonts w:ascii="Arial" w:cs="Arial" w:eastAsia="Arial" w:hAnsi="Arial"/>
                <w:sz w:val="17"/>
                <w:szCs w:val="17"/>
                <w:b w:val="1"/>
                <w:bCs w:val="1"/>
                <w:color w:val="auto"/>
              </w:rPr>
              <w:t>2014</w:t>
            </w:r>
          </w:p>
        </w:tc>
        <w:tc>
          <w:tcPr>
            <w:tcW w:w="800" w:type="dxa"/>
            <w:vAlign w:val="bottom"/>
          </w:tcPr>
          <w:p>
            <w:pPr>
              <w:jc w:val="right"/>
              <w:ind w:right="295"/>
              <w:spacing w:after="0"/>
              <w:rPr>
                <w:sz w:val="20"/>
                <w:szCs w:val="20"/>
                <w:color w:val="auto"/>
              </w:rPr>
            </w:pPr>
            <w:r>
              <w:rPr>
                <w:rFonts w:ascii="Arial" w:cs="Arial" w:eastAsia="Arial" w:hAnsi="Arial"/>
                <w:sz w:val="17"/>
                <w:szCs w:val="17"/>
                <w:b w:val="1"/>
                <w:bCs w:val="1"/>
                <w:color w:val="auto"/>
              </w:rPr>
              <w:t>2013</w:t>
            </w:r>
          </w:p>
        </w:tc>
      </w:tr>
      <w:tr>
        <w:trPr>
          <w:trHeight w:val="31"/>
        </w:trPr>
        <w:tc>
          <w:tcPr>
            <w:tcW w:w="8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8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$50.7</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$46.5</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(3.8)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Income from Equity Investments, Net of Dividends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(1.9)</w:t>
            </w:r>
          </w:p>
        </w:tc>
        <w:tc>
          <w:tcPr>
            <w:tcW w:w="8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Gains on Sale of Assets / Investments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66.0</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56.9</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0.5</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0.5</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13.6</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11.6</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1.4</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ESOP Compensation Expense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4.5</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6.4</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0.6</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0.4</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21.0</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9.9</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(12.9)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7.0</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7.4</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(11.0)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(9.7)</w:t>
            </w:r>
          </w:p>
        </w:tc>
        <w:tc>
          <w:tcPr>
            <w:tcW w:w="8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and Other Postretirement Benefit Plans</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(11.5)</w:t>
            </w:r>
          </w:p>
        </w:tc>
        <w:tc>
          <w:tcPr>
            <w:tcW w:w="8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5.4</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color w:val="auto"/>
              </w:rPr>
              <w:t>126.1</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111.1</w:t>
            </w:r>
          </w:p>
        </w:tc>
      </w:tr>
      <w:tr>
        <w:trPr>
          <w:trHeight w:val="31"/>
        </w:trPr>
        <w:tc>
          <w:tcPr>
            <w:tcW w:w="8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2.7</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8.1</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(3.4)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(2.3)</w:t>
            </w: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30.6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(333.9)</w:t>
            </w:r>
          </w:p>
        </w:tc>
        <w:tc>
          <w:tcPr>
            <w:tcW w:w="800" w:type="dxa"/>
            <w:vAlign w:val="bottom"/>
          </w:tcPr>
          <w:p>
            <w:pPr>
              <w:jc w:val="right"/>
              <w:spacing w:after="0"/>
              <w:rPr>
                <w:sz w:val="20"/>
                <w:szCs w:val="20"/>
                <w:color w:val="auto"/>
              </w:rPr>
            </w:pPr>
            <w:r>
              <w:rPr>
                <w:rFonts w:ascii="Arial" w:cs="Arial" w:eastAsia="Arial" w:hAnsi="Arial"/>
                <w:sz w:val="17"/>
                <w:szCs w:val="17"/>
                <w:color w:val="auto"/>
              </w:rPr>
              <w:t>(128.6)</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 Net of Cash Acquired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(23.1)</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6.0</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Assets</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(323.4)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(125.2)</w:t>
            </w:r>
          </w:p>
        </w:tc>
      </w:tr>
      <w:tr>
        <w:trPr>
          <w:trHeight w:val="31"/>
        </w:trPr>
        <w:tc>
          <w:tcPr>
            <w:tcW w:w="8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38.9</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33.3</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215.0</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150.0</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Reductions of Long-Term Debt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(20.8)</w:t>
            </w:r>
          </w:p>
        </w:tc>
        <w:tc>
          <w:tcPr>
            <w:tcW w:w="800" w:type="dxa"/>
            <w:vAlign w:val="bottom"/>
          </w:tcPr>
          <w:p>
            <w:pPr>
              <w:jc w:val="right"/>
              <w:spacing w:after="0"/>
              <w:rPr>
                <w:sz w:val="20"/>
                <w:szCs w:val="20"/>
                <w:color w:val="auto"/>
              </w:rPr>
            </w:pPr>
            <w:r>
              <w:rPr>
                <w:rFonts w:ascii="Arial" w:cs="Arial" w:eastAsia="Arial" w:hAnsi="Arial"/>
                <w:sz w:val="17"/>
                <w:szCs w:val="17"/>
                <w:color w:val="auto"/>
              </w:rPr>
              <w:t>(65.5)</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(6.0)</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(41.7)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Financing Activities</w:t>
            </w:r>
          </w:p>
        </w:tc>
        <w:tc>
          <w:tcPr>
            <w:tcW w:w="188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color w:val="auto"/>
              </w:rPr>
              <w:t>183.6</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78.3</w:t>
            </w:r>
          </w:p>
        </w:tc>
      </w:tr>
      <w:tr>
        <w:trPr>
          <w:trHeight w:val="31"/>
        </w:trPr>
        <w:tc>
          <w:tcPr>
            <w:tcW w:w="8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(13.7)</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w:t>
            </w:r>
          </w:p>
        </w:tc>
      </w:tr>
      <w:tr>
        <w:trPr>
          <w:trHeight w:val="239"/>
        </w:trPr>
        <w:tc>
          <w:tcPr>
            <w:tcW w:w="874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880" w:type="dxa"/>
            <w:vAlign w:val="bottom"/>
          </w:tcPr>
          <w:p>
            <w:pPr>
              <w:jc w:val="right"/>
              <w:ind w:right="475"/>
              <w:spacing w:after="0"/>
              <w:rPr>
                <w:sz w:val="20"/>
                <w:szCs w:val="20"/>
                <w:color w:val="auto"/>
              </w:rPr>
            </w:pPr>
            <w:r>
              <w:rPr>
                <w:rFonts w:ascii="Arial" w:cs="Arial" w:eastAsia="Arial" w:hAnsi="Arial"/>
                <w:sz w:val="17"/>
                <w:szCs w:val="17"/>
                <w:color w:val="auto"/>
              </w:rPr>
              <w:t>97.3</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80.8</w:t>
            </w:r>
          </w:p>
        </w:tc>
      </w:tr>
      <w:tr>
        <w:trPr>
          <w:trHeight w:val="31"/>
        </w:trPr>
        <w:tc>
          <w:tcPr>
            <w:tcW w:w="8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8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color w:val="auto"/>
              </w:rPr>
              <w:t>$83.6</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$145.0</w:t>
            </w:r>
          </w:p>
        </w:tc>
      </w:tr>
      <w:tr>
        <w:trPr>
          <w:trHeight w:val="224"/>
        </w:trPr>
        <w:tc>
          <w:tcPr>
            <w:tcW w:w="874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2013, Consolidated Balance Sheet was derived from audited financial statements but does not include all disclosures required by GAAP. All adjustments are of a normal, recurring nature, except as otherwise disclosed. Operating results for the period ended June 30, 2014, are not necessarily indicative of results that may be expected for any other interim period or for the year ending December 31, 2014. For further information, refer to the consolidated financial statements and notes included in our 2013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6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6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3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600" w:type="dxa"/>
            <w:vAlign w:val="bottom"/>
          </w:tcPr>
          <w:p>
            <w:pPr>
              <w:jc w:val="right"/>
              <w:ind w:right="150"/>
              <w:spacing w:after="0"/>
              <w:rPr>
                <w:sz w:val="20"/>
                <w:szCs w:val="20"/>
                <w:color w:val="auto"/>
              </w:rPr>
            </w:pPr>
            <w:r>
              <w:rPr>
                <w:rFonts w:ascii="Arial" w:cs="Arial" w:eastAsia="Arial" w:hAnsi="Arial"/>
                <w:sz w:val="18"/>
                <w:szCs w:val="18"/>
                <w:color w:val="auto"/>
              </w:rPr>
              <w:t>52.4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3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536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8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1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(a)</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8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$32.2</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Restricted Cash related to ALLETE Clean Energy’s wind energy facilities operating expense and capital distribution reserve requirements.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June 30, 2014, included in Other Non-Current Assets on the Consolidated Balance Sheet was restricted cash of $4.9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ALLETE Clean Energy’s wind energy facilities debt service and other requirements. As of December 31, 2013, the Company had restricted cash of $5.4 million related to cash held in escrow pending the closing of the wind energy facilities acquisition, which was completed on January 30, 2014 (see Note 4. Acquisition).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426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2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7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26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$61.1</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76"/>
        </w:trPr>
        <w:tc>
          <w:tcPr>
            <w:tcW w:w="792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9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93.4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3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Liabilities</w:t>
            </w:r>
          </w:p>
        </w:tc>
        <w:tc>
          <w:tcPr>
            <w:tcW w:w="2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$234.5</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Presentation of an Unrecognized Tax Benefit When a Net Operating Loss Carryforward, a Similar Tax Loss, or a Tax Credit Carryforward Exists.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an NOL carryforward, a similar tax loss, or a tax credit carryforward. To the extent an NOL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was adopted in the first quarter of 2014, and did not have a material impact on our consolidated financial position, results of operations, or cash flows.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Reporting Discontinued Operations and Disclosures of Disposals of Components of an Entity</w:t>
      </w:r>
      <w:r>
        <w:rPr>
          <w:rFonts w:ascii="Arial" w:cs="Arial" w:eastAsia="Arial" w:hAnsi="Arial"/>
          <w:sz w:val="18"/>
          <w:szCs w:val="18"/>
          <w:color w:val="auto"/>
        </w:rPr>
        <w:t>. In April 2014, the FASB issued an accounting standard update</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will be effective beginning in the first quarter of 2015, and applies prospectively to new disposals and new classifications of disposal groups as held for sale after the effective date. This guidance is not expected to have a material impact on our consolidated financial position, results of operations or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amended revenue recognition guidance to clarify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is effective for the Company beginning in the first quarter of 2017 using one of two prescribed retrospective methods. Early adoption is not permitted for public companies. The Company is evaluating the impact of the amended revenue recognition guidance on the Company’s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which acquired three wind energy facilities in January 2014, and is aimed at developing or acquiring capital projects that create energy solutions via wind, solar, biomass, midstream gas and oil infrastructure, among other energy-related projects. This segment also includes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5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Regulated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5960" w:type="dxa"/>
            <w:vAlign w:val="bottom"/>
          </w:tcPr>
          <w:p>
            <w:pPr>
              <w:spacing w:after="0"/>
              <w:rPr>
                <w:sz w:val="20"/>
                <w:szCs w:val="20"/>
                <w:color w:val="auto"/>
              </w:rPr>
            </w:pPr>
          </w:p>
        </w:tc>
        <w:tc>
          <w:tcPr>
            <w:tcW w:w="240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2014</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$260.7</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83.6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83.6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115.1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33.8</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29.6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28.2</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310"/>
              <w:spacing w:after="0"/>
              <w:rPr>
                <w:sz w:val="20"/>
                <w:szCs w:val="20"/>
                <w:color w:val="auto"/>
              </w:rPr>
            </w:pPr>
            <w:r>
              <w:rPr>
                <w:rFonts w:ascii="Arial" w:cs="Arial" w:eastAsia="Arial" w:hAnsi="Arial"/>
                <w:sz w:val="18"/>
                <w:szCs w:val="18"/>
                <w:color w:val="auto"/>
              </w:rPr>
              <w:t>(13.5)</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5.2</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21.8</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16.9</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0.1</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$16.8</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9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Regulated</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5960" w:type="dxa"/>
            <w:vAlign w:val="bottom"/>
          </w:tcPr>
          <w:p>
            <w:pPr>
              <w:spacing w:after="0"/>
              <w:rPr>
                <w:sz w:val="20"/>
                <w:szCs w:val="20"/>
                <w:color w:val="auto"/>
              </w:rPr>
            </w:pPr>
          </w:p>
        </w:tc>
        <w:tc>
          <w:tcPr>
            <w:tcW w:w="240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2013</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$235.6</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78.7</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78.7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103.8</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28.7</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27.1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24.4</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310"/>
              <w:spacing w:after="0"/>
              <w:rPr>
                <w:sz w:val="20"/>
                <w:szCs w:val="20"/>
                <w:color w:val="auto"/>
              </w:rPr>
            </w:pPr>
            <w:r>
              <w:rPr>
                <w:rFonts w:ascii="Arial" w:cs="Arial" w:eastAsia="Arial" w:hAnsi="Arial"/>
                <w:sz w:val="18"/>
                <w:szCs w:val="18"/>
                <w:color w:val="auto"/>
              </w:rPr>
              <w:t>(12.8)</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1.5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9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2014</w:t>
            </w:r>
          </w:p>
        </w:tc>
        <w:tc>
          <w:tcPr>
            <w:tcW w:w="2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$557.2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$493.8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179.8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179.8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234.9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66.0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58.4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76.5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(26.3)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64.4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13.7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0.4</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534"/>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$3,895.6</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$3,424.3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$3,020.4</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$2,791.7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$228.7</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$1,288.9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$1,221.1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$341.7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53"/>
        </w:trPr>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2013</w:t>
            </w:r>
          </w:p>
        </w:tc>
        <w:tc>
          <w:tcPr>
            <w:tcW w:w="2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$499.4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$457.2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165.2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165.2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208.5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56.9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53.9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68.8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(25.1)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58.1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11.6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534"/>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2013</w:t>
            </w:r>
          </w:p>
        </w:tc>
        <w:tc>
          <w:tcPr>
            <w:tcW w:w="2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$3,350.9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$2,997.0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$2,397.2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$2,329.6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$1,202.8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$1,143.2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$100.2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$97.2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40" w:top="36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June 30, 2014, our long-term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2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$90.0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(b)</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Investments</w:t>
            </w:r>
          </w:p>
        </w:tc>
        <w:tc>
          <w:tcPr>
            <w:tcW w:w="4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$116.7</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2014, the aggregate amount of available-for-sale corporate debt securities maturing in one year or less was $0.2 million, in one year to less than three years was $2.3 million, in three years to less than five years was $1.8 million, and in five or more years was $6.2 million.</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During the first three months of 2014, cash included in Other Investments was transferred to Cash and Cash Equivalents.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$85.4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296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9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29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85.5</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69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0"/>
        </w:trPr>
        <w:tc>
          <w:tcPr>
            <w:tcW w:w="69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six months ended June 30, 2014 (none for the year ended December 31, 2013).</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As of June 30, 2014, long-term finance receivables were $1.4 million net of an allowance ($1.4 million net of an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2013). Long-term finance receivables are collateralized by property sold, accrue interest at market-based rates and are net of an allowance for doubtful accounts. As of June 30, 2014, we had an allowance for doubtful accounts of $0.6 million ($0.6 million as of December 31, 2013).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8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700" w:type="dxa"/>
            <w:vAlign w:val="bottom"/>
          </w:tcPr>
          <w:p>
            <w:pPr>
              <w:spacing w:after="0"/>
              <w:rPr>
                <w:sz w:val="20"/>
                <w:szCs w:val="20"/>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70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Cost</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Gain</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Loss</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9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2700" w:type="dxa"/>
            <w:vAlign w:val="bottom"/>
            <w:tcBorders>
              <w:bottom w:val="single" w:sz="8" w:color="CCEEFF"/>
            </w:tcBorders>
            <w:shd w:val="clear" w:color="auto" w:fill="CCEEFF"/>
          </w:tcPr>
          <w:p>
            <w:pPr>
              <w:jc w:val="center"/>
              <w:ind w:left="1010"/>
              <w:spacing w:after="0"/>
              <w:rPr>
                <w:sz w:val="20"/>
                <w:szCs w:val="20"/>
                <w:color w:val="auto"/>
              </w:rPr>
            </w:pPr>
            <w:r>
              <w:rPr>
                <w:rFonts w:ascii="Arial" w:cs="Arial" w:eastAsia="Arial" w:hAnsi="Arial"/>
                <w:sz w:val="18"/>
                <w:szCs w:val="18"/>
                <w:color w:val="auto"/>
                <w:w w:val="88"/>
              </w:rPr>
              <w:t>$18.9</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$0.4</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$18.9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2700" w:type="dxa"/>
            <w:vAlign w:val="bottom"/>
          </w:tcPr>
          <w:p>
            <w:pPr>
              <w:jc w:val="center"/>
              <w:ind w:left="1010"/>
              <w:spacing w:after="0"/>
              <w:rPr>
                <w:sz w:val="20"/>
                <w:szCs w:val="20"/>
                <w:color w:val="auto"/>
              </w:rPr>
            </w:pPr>
            <w:r>
              <w:rPr>
                <w:rFonts w:ascii="Arial" w:cs="Arial" w:eastAsia="Arial" w:hAnsi="Arial"/>
                <w:sz w:val="18"/>
                <w:szCs w:val="18"/>
                <w:color w:val="auto"/>
                <w:w w:val="88"/>
              </w:rPr>
              <w:t>$18.3</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640"/>
              <w:spacing w:after="0"/>
              <w:rPr>
                <w:sz w:val="20"/>
                <w:szCs w:val="20"/>
                <w:color w:val="auto"/>
              </w:rPr>
            </w:pPr>
            <w:r>
              <w:rPr>
                <w:rFonts w:ascii="Arial" w:cs="Arial" w:eastAsia="Arial" w:hAnsi="Arial"/>
                <w:sz w:val="18"/>
                <w:szCs w:val="18"/>
                <w:color w:val="auto"/>
              </w:rPr>
              <w:t>$0.6</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$17.7</w:t>
            </w:r>
          </w:p>
        </w:tc>
      </w:tr>
      <w:tr>
        <w:trPr>
          <w:trHeight w:val="27"/>
        </w:trPr>
        <w:tc>
          <w:tcPr>
            <w:tcW w:w="39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NOTE 3. INVESTMENTS (Continued)</w:t>
            </w:r>
          </w:p>
        </w:tc>
        <w:tc>
          <w:tcPr>
            <w:tcW w:w="3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5440" w:type="dxa"/>
            <w:vAlign w:val="bottom"/>
          </w:tcPr>
          <w:p>
            <w:pPr>
              <w:spacing w:after="0"/>
              <w:rPr>
                <w:sz w:val="24"/>
                <w:szCs w:val="24"/>
                <w:color w:val="auto"/>
              </w:rPr>
            </w:pPr>
          </w:p>
        </w:tc>
        <w:tc>
          <w:tcPr>
            <w:tcW w:w="3320" w:type="dxa"/>
            <w:vAlign w:val="bottom"/>
          </w:tcPr>
          <w:p>
            <w:pPr>
              <w:jc w:val="center"/>
              <w:ind w:left="1710"/>
              <w:spacing w:after="0"/>
              <w:rPr>
                <w:sz w:val="20"/>
                <w:szCs w:val="20"/>
                <w:color w:val="auto"/>
              </w:rPr>
            </w:pPr>
            <w:r>
              <w:rPr>
                <w:rFonts w:ascii="Arial" w:cs="Arial" w:eastAsia="Arial" w:hAnsi="Arial"/>
                <w:sz w:val="18"/>
                <w:szCs w:val="18"/>
                <w:b w:val="1"/>
                <w:bCs w:val="1"/>
                <w:color w:val="auto"/>
                <w:w w:val="96"/>
              </w:rPr>
              <w:t>Net</w:t>
            </w:r>
          </w:p>
        </w:tc>
        <w:tc>
          <w:tcPr>
            <w:tcW w:w="2660" w:type="dxa"/>
            <w:vAlign w:val="bottom"/>
            <w:gridSpan w:val="2"/>
          </w:tcPr>
          <w:p>
            <w:pPr>
              <w:ind w:left="720"/>
              <w:spacing w:after="0"/>
              <w:rPr>
                <w:sz w:val="20"/>
                <w:szCs w:val="20"/>
                <w:color w:val="auto"/>
              </w:rPr>
            </w:pPr>
            <w:r>
              <w:rPr>
                <w:rFonts w:ascii="Arial" w:cs="Arial" w:eastAsia="Arial" w:hAnsi="Arial"/>
                <w:sz w:val="18"/>
                <w:szCs w:val="18"/>
                <w:b w:val="1"/>
                <w:bCs w:val="1"/>
                <w:color w:val="auto"/>
              </w:rPr>
              <w:t>Gross Realized</w:t>
            </w: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(Continued)</w:t>
            </w:r>
          </w:p>
        </w:tc>
        <w:tc>
          <w:tcPr>
            <w:tcW w:w="3320" w:type="dxa"/>
            <w:vAlign w:val="bottom"/>
          </w:tcPr>
          <w:p>
            <w:pPr>
              <w:jc w:val="center"/>
              <w:ind w:left="1710"/>
              <w:spacing w:after="0"/>
              <w:rPr>
                <w:sz w:val="20"/>
                <w:szCs w:val="20"/>
                <w:color w:val="auto"/>
              </w:rPr>
            </w:pPr>
            <w:r>
              <w:rPr>
                <w:rFonts w:ascii="Arial" w:cs="Arial" w:eastAsia="Arial" w:hAnsi="Arial"/>
                <w:sz w:val="18"/>
                <w:szCs w:val="18"/>
                <w:b w:val="1"/>
                <w:bCs w:val="1"/>
                <w:color w:val="auto"/>
                <w:w w:val="83"/>
              </w:rPr>
              <w:t>Proceeds</w:t>
            </w:r>
          </w:p>
        </w:tc>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Gain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Loss</w:t>
            </w:r>
          </w:p>
        </w:tc>
      </w:tr>
      <w:tr>
        <w:trPr>
          <w:trHeight w:val="243"/>
        </w:trPr>
        <w:tc>
          <w:tcPr>
            <w:tcW w:w="54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Quarter Ended June 30,</w:t>
            </w:r>
          </w:p>
        </w:tc>
        <w:tc>
          <w:tcPr>
            <w:tcW w:w="3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33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91"/>
              </w:rPr>
              <w:t>$2.1</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2013</w:t>
            </w:r>
          </w:p>
        </w:tc>
        <w:tc>
          <w:tcPr>
            <w:tcW w:w="3320" w:type="dxa"/>
            <w:vAlign w:val="bottom"/>
          </w:tcPr>
          <w:p>
            <w:pPr>
              <w:jc w:val="center"/>
              <w:ind w:left="1710"/>
              <w:spacing w:after="0"/>
              <w:rPr>
                <w:sz w:val="20"/>
                <w:szCs w:val="20"/>
                <w:color w:val="auto"/>
              </w:rPr>
            </w:pPr>
            <w:r>
              <w:rPr>
                <w:rFonts w:ascii="Arial" w:cs="Arial" w:eastAsia="Arial" w:hAnsi="Arial"/>
                <w:sz w:val="18"/>
                <w:szCs w:val="18"/>
                <w:color w:val="auto"/>
                <w:w w:val="91"/>
              </w:rPr>
              <w:t>$0.2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w:t>
            </w:r>
          </w:p>
        </w:tc>
        <w:tc>
          <w:tcPr>
            <w:tcW w:w="3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2014</w:t>
            </w:r>
          </w:p>
        </w:tc>
        <w:tc>
          <w:tcPr>
            <w:tcW w:w="3320" w:type="dxa"/>
            <w:vAlign w:val="bottom"/>
          </w:tcPr>
          <w:p>
            <w:pPr>
              <w:jc w:val="center"/>
              <w:ind w:left="1710"/>
              <w:spacing w:after="0"/>
              <w:rPr>
                <w:sz w:val="20"/>
                <w:szCs w:val="20"/>
                <w:color w:val="auto"/>
              </w:rPr>
            </w:pPr>
            <w:r>
              <w:rPr>
                <w:rFonts w:ascii="Arial" w:cs="Arial" w:eastAsia="Arial" w:hAnsi="Arial"/>
                <w:sz w:val="18"/>
                <w:szCs w:val="18"/>
                <w:color w:val="auto"/>
                <w:w w:val="91"/>
              </w:rPr>
              <w:t>$2.7</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33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91"/>
              </w:rPr>
              <w:t>$8.1</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544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2014, ALLETE Clean Energy acquired wind energy facilities located in Lake Benton, Minnesota (Lake Benton), Storm Lake, Iowa (Storm Lake) and Condon, Oregon (Condon) from The AES Corporation (AES) for $26.9 million.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Lake Benton, Storm Lake and Condon have 104 MW, 77 MW and 50 MW of generating capability, respectively. Lake Benton and Storm Lake began commercial operations in 1998, while Condon began operations in 2002. All three wind energy facilities have PPAs in place for their entire output, which expire in various years between 2019 and 2032 (see Note 15. Commitments, Guarantees and Contingencies). Pursuant to the acquisition agreement, ALLETE Clean Energy has an option to acquire the 101 MW Armenia Mountain wind energy facility in June 2015. Armenia Mountain began operations in 2009.</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ALLETE Clean Energy acquired a controlling interest in the limited liability company (LLC) which owns Lake Benton and Storm Lake, and a controlling interest in the LLC that owns Condon. The acquisition was accounted for as a business combination and the purchase price was allocated based on the estimated fair values of the assets acquired and the liabilities assumed at the date of acquisition, as shown in the table below. During the second quarter of 2014, the Company recorded minor adjustments to certain assets and liabilities. The result of these adjustments had no impact on the results of operations for the period ended June 30, 2014. Fair value measurements were valued primarily using the discounted cash flow method.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ACQUISITION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in 2015, and goodwill of $2.9 million; for tax purposes, the purchase price allocation resulted in no allocation to goodwill.</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$12.4 million related to the current liabilities portion of the Power Purchase Agreements.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of Lake Benton, Storm Lake and Condon at fair value using the discounted cash flow method. The non-controlling interest related to Lake Benton and Storm Lake was subsequently purchased by ALLETE Clean Energy.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incurred $1.4 million after-tax of acquisition-related costs during the first quarter of 2014, which were expensed when incurred and were recorded in Other Expenses on the Consolidated Statement of Income. The results of operations of this business from its acquisition date are included in the Investments and Other segment. The pro forma impact of this acquisition was not significant to the results of the Company for the six months ended June 30, 2014 or June 30, 2013.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11, 2014, ALLETE Clean Energy purchased the non-controlling interest related to Lake Benton and Storm Lake for $6.0 million. This was accounted for as an equity transaction, and no gain or loss was recognized in net income or other comprehensive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two variable-to-fixed interest rate swaps (Swaps), designated as cash flow hedges, in order to manage the interest rate risk associated with a $75.0 million Term Loan which represents approximately 6 percent of the Company’s outstanding long-term debt as of June 30, 2014. (See Note 9. Short-Term and Long-Term Debt.) The Swaps have effective dates of August 25, 2011, and 2014, and mature on August 26, 2014 and August 25, 2015, respectively. The Swaps involve the receipt of the one-month LIBOR in exchange for fixed interest payments over the life of the agreements at 0.825 percent and 0.75 percent without an exchange of the underlying notional amount. Cash flows from the Swaps are expected to be highly effective. If it is determined the Swaps cease to be effective, we will prospectively discontinue hedge accounting. When applicable, we use the shortcut method to assess hedge effectiveness. If the shortcut method is not applicable, we assess effectiveness using the “change-in-variable-cash-flows” method. Our assessments of hedge effectiveness resulted in no ineffectiveness recorded for the quarter and six months ended June 30, 2014. As of June 30, 2014, the fair value of the Swaps was a $0.5 million liability ($0.6 million liability as of December 31, 2013) of which $0.4 million ($0.3 million as of December 31, 2013) was included in Other Non-Current Liabilities and $0.1 million ($0.3 million as of December 31, 2013) was included in Other Current Liabilities on the Consolidated Balance Sheet. Changes in the fair value of the Swaps were recorded in Accumulated Other Comprehensive Loss on the Consolidated Balance Sheet. Cash flows from the Swaps are presented in the same category as the hedged item on the Consolidated Statement of Cash Flows. Amounts recorded in Other Comprehensive Income related to the Swaps will be recorded in earnings when the hedged transactions occur or when it is probable they will not occur. Gains or losses on the interest rate hedging transactions are reflected as a component of Interest Expense on the Consolidated Statement of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2013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2014, and December 31, 2013.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2"/>
              </w:rPr>
              <w:t>Fair Value as of June 30, 2014</w:t>
            </w:r>
          </w:p>
        </w:tc>
        <w:tc>
          <w:tcPr>
            <w:tcW w:w="780" w:type="dxa"/>
            <w:vAlign w:val="bottom"/>
          </w:tcPr>
          <w:p>
            <w:pPr>
              <w:spacing w:after="0"/>
              <w:rPr>
                <w:sz w:val="20"/>
                <w:szCs w:val="20"/>
                <w:color w:val="auto"/>
              </w:rPr>
            </w:pP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1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$10.5</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r>
      <w:tr>
        <w:trPr>
          <w:trHeight w:val="27"/>
        </w:trPr>
        <w:tc>
          <w:tcPr>
            <w:tcW w:w="6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2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$17.8</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$17.8</w:t>
            </w:r>
          </w:p>
        </w:tc>
      </w:tr>
      <w:tr>
        <w:trPr>
          <w:trHeight w:val="27"/>
        </w:trPr>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$18.3</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r>
      <w:tr>
        <w:trPr>
          <w:trHeight w:val="27"/>
        </w:trPr>
        <w:tc>
          <w:tcPr>
            <w:tcW w:w="6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69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6.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94"/>
        </w:trPr>
        <w:tc>
          <w:tcPr>
            <w:tcW w:w="5480" w:type="dxa"/>
            <w:vAlign w:val="bottom"/>
          </w:tcPr>
          <w:p>
            <w:pPr>
              <w:spacing w:after="0"/>
              <w:rPr>
                <w:sz w:val="24"/>
                <w:szCs w:val="24"/>
                <w:color w:val="auto"/>
              </w:rPr>
            </w:pPr>
          </w:p>
        </w:tc>
        <w:tc>
          <w:tcPr>
            <w:tcW w:w="5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2013</w:t>
            </w:r>
          </w:p>
        </w:tc>
        <w:tc>
          <w:tcPr>
            <w:tcW w:w="68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$7.9</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$9.8</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$16.8</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$17.4</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Level 3 during the six months ended June 30, 2014 and 2013.</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policy is to recognize transfers in and transfers out of a given level as of the actual date of the event or of the change in circumstances that caused the transfer. For the six months ended June 30, 2014 and 2013, there were no transfers in or out of Levels 1, 2 or 3.</w:t>
      </w:r>
    </w:p>
    <w:p>
      <w:pPr>
        <w:spacing w:after="0" w:line="16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June 30, 2014</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$1,327.6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$1,428.5</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2013</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$1,110.2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$1,131.7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SWL&amp;P, a wholly-owned subsidiary of ALLETE, is a private utility in Wisconsin and also a customer of Minnesota Power. In April 2014, Minnesota Power amended its formula-based wholesale electric sales contract with the Nashwauk Public Utilities Commission, extending the term through June 30, 2026. The electric service agreements with the remaining 15 Minnesota municipal customers and SWL&amp;P are effective through June 30, 2019. The rates included in these agreements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July 1, 2023. Under the agreements with the remaining 15 municipal customers and SWL&amp;P, no termination notices may be given prior to June 30, 2016.</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The Bison Wind Energy Center in North Dakota currently consists of 292 MW of nameplate capacity and was completed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phases through 2012. Customer billing rates for our Bison Wind Energy Center were approved by the MPUC in a December 2013 order. Construction of Bison 4, a 205 MW wind project in North Dakota, which is an addition to our Bison Wind Energy Center, commenced and is expected to be completed by the end of 2014. The total project investment for Bison 4 is estimated to be approximately $345 million, of which $246.6 million was spent through June 30, 2014.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has also filed a petition on July 3, 2014 with the MPUC seeking cost recovery for investments and expenditures related to the restoration and repair of Thomson which was damaged during 2012. The total project investment for Thomson is estimated to be approximately $90 million, of which $75.5 million was spent through June 30, 2014. (See Note 15. Commitments, Guarantees and Contingencies.)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a November 2013 order,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installation of emissions control technology at Boswell Unit 4, planning for the proposed GNTL, conversion of Laskin from coal to natural gas in 2015 and retiring Taconite Harbor Unit 3 in 2015.</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$300 million. In November 2013, the MPUC issued an order approving the Boswell Unit 4 mercury emissions reduction plan and cost recovery, establishing an environmental improvement rider. Also in November 2013, environmental intervenors filed a petition for reconsideration with the MPUC which was subsequently denied in an order dated January 17, 2014. Intervenors have appealed this order and the Company has filed a response to the appeal. In December 2013, Minnesota Power filed a petition with the MPUC to establish customer billing rates for the approved environmental improvement rider based on actual and estimated investments and expenditures, which was approved in an order dated July 2,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Great Northern Transmission Line (GNTL)</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w:t>
      </w:r>
      <w:r>
        <w:rPr>
          <w:rFonts w:ascii="Arial" w:cs="Arial" w:eastAsia="Arial" w:hAnsi="Arial"/>
          <w:sz w:val="17"/>
          <w:szCs w:val="17"/>
          <w:b w:val="1"/>
          <w:bCs w:val="1"/>
          <w:color w:val="auto"/>
        </w:rPr>
        <w:t xml:space="preserve"> </w:t>
      </w:r>
      <w:r>
        <w:rPr>
          <w:rFonts w:ascii="Arial" w:cs="Arial" w:eastAsia="Arial" w:hAnsi="Arial"/>
          <w:sz w:val="17"/>
          <w:szCs w:val="17"/>
          <w:color w:val="auto"/>
        </w:rPr>
        <w:t>500 kV transmission line, between Manitoba and Minnesota’s Iron Range. The GNTL is subject to various federal and state regulatory approvals. In October 2013, a Certificate of Need application was filed with the MPUC with respect to the GNTL. In an order dated January 8, 2014, the MPUC determined that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the accounting guidance for Regulated Operations. We capitalize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which are probable of recovery in future utility rates as regulatory assets. Regulatory liabilities represent amounts expected to be refunded or credited to customers in rates. No regulatory assets or liabilities are currently earning a return. The recovery, refund or credit to rates for these regulatory assets and liabilities will occur over the periods either specified by the applicable commission or over the corresponding period related to the asset or liability.</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8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8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70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20.3</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161.6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164.1</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17.4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45.7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70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Assets</w:t>
            </w:r>
          </w:p>
        </w:tc>
        <w:tc>
          <w:tcPr>
            <w:tcW w:w="2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270.8</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263.8</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$291.1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64"/>
        </w:trPr>
        <w:tc>
          <w:tcPr>
            <w:tcW w:w="70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$17.3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30.1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Other</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15.7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$100.1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0"/>
        </w:trPr>
        <w:tc>
          <w:tcPr>
            <w:tcW w:w="70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14. Pension and Other Postretirement Benefit Plans).</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 and is recognized in accordance with the accounting standards for alternative revenue programs.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ATC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June 30, 2014, our equity investment in ATC was $118.8 million ($114.6 million at December 31, 2013). In the first six months of 2014, we invested $2.3 million in ATC, and on July 30, 2014, we invested an additional $0.8 million. We expect to make additional investments of approximately $2.7 million in 2014 to maintain our current ownership of ATC.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36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8. INVESTMENT IN ATC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2013</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2014</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ATC’s summarized financial data for the quarter and six months ended June 30, 2014 and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4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3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2013</w:t>
            </w:r>
          </w:p>
        </w:tc>
        <w:tc>
          <w:tcPr>
            <w:tcW w:w="14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47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$152.1</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$323.3</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380" w:type="dxa"/>
            <w:vAlign w:val="bottom"/>
          </w:tcPr>
          <w:p>
            <w:pPr>
              <w:jc w:val="right"/>
              <w:ind w:right="390"/>
              <w:spacing w:after="0"/>
              <w:rPr>
                <w:sz w:val="20"/>
                <w:szCs w:val="20"/>
                <w:color w:val="auto"/>
              </w:rPr>
            </w:pPr>
            <w:r>
              <w:rPr>
                <w:rFonts w:ascii="Arial" w:cs="Arial" w:eastAsia="Arial" w:hAnsi="Arial"/>
                <w:sz w:val="18"/>
                <w:szCs w:val="18"/>
                <w:color w:val="auto"/>
              </w:rPr>
              <w:t>74.4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69.9</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153.0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7"/>
        </w:trPr>
        <w:tc>
          <w:tcPr>
            <w:tcW w:w="4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21.9</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20.9</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43.5</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$63.7</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$61.3</w:t>
            </w:r>
          </w:p>
        </w:tc>
        <w:tc>
          <w:tcPr>
            <w:tcW w:w="14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$126.8</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w:t>
            </w:r>
          </w:p>
        </w:tc>
      </w:tr>
      <w:tr>
        <w:trPr>
          <w:trHeight w:val="27"/>
        </w:trPr>
        <w:tc>
          <w:tcPr>
            <w:tcW w:w="47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33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$5.2</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$10.3</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0"/>
        </w:trPr>
        <w:tc>
          <w:tcPr>
            <w:tcW w:w="476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a group of MISO industrial customer organizations filed a complaint with the FERC requesting, among other things, a reduction in the base return on equity used by MISO transmission owners, including ATC, to 9.15%. ATC's current authorized return on equity is 12.2%. Any change to ATC's return on equity and capital structure could result in lower equity earnings in ATC and dividends from ATC in the future. We own approximately 8 percent of ATC and estimate that for every 50 basis point reduction in ATC’s allowed return on equity our equity earnings in ATC would be impacted annually by approximately $0.5 million on an after-tax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SHORT-TERM AND LONG-TERM DEBT</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June 30, 2014, total short-term debt outstanding was $10.8 million ($27.2 million as of December 31, 2013) and consisted of long-term debt due within one year. Short-term debt as of December 31, 2013, included $18.0 million of long-term debt that matured in January 2014.</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June 30, 2014, total long-term debt outstanding was $1,316.8 million ($1,083.0 million as of December 31, 2013). In conjunction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ALLETE Clean Energy’s January 30, 2014 wind energy facilities acquisition, ALLETE Clean Energy assumed $23.3 million of long-term debt, including $2.2 million due within one year (see Note 4. Acquisition). Subsequent to June 30, 2014, we redeemed $111.0 million of pollution control bonds, at par, which were due on July 1,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six months of 2014, we issued $215.0 million of ALLETE first mortgage bonds (Bonds) in the private placement market in four series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203200</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28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4, 2014</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15, 2024</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color w:val="auto"/>
                <w:w w:val="92"/>
              </w:rPr>
              <w:t>March 4, 2014</w:t>
            </w: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March 15, 2044</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$40 Million</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4.95%</w:t>
            </w:r>
          </w:p>
        </w:tc>
      </w:tr>
      <w:tr>
        <w:trPr>
          <w:trHeight w:val="27"/>
        </w:trPr>
        <w:tc>
          <w:tcPr>
            <w:tcW w:w="2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2022</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$75 Million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color w:val="auto"/>
                <w:w w:val="87"/>
              </w:rPr>
              <w:t>June 26, 2014</w:t>
            </w: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July 15, 2044</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$40 Million</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5.05%</w:t>
            </w:r>
          </w:p>
        </w:tc>
      </w:tr>
      <w:tr>
        <w:trPr>
          <w:trHeight w:val="27"/>
        </w:trPr>
        <w:tc>
          <w:tcPr>
            <w:tcW w:w="28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SHORT-TERM AND LONG-TERM DEBT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the option to prepay all or a portion of the Bonds at its discretion, subject to a make-whole provision; however, each series of bonds is redeemable at par, including, in each case, accrued and unpaid interest, six months prior to the maturity date. The Bonds are subject to additional terms and conditions which are customary for these types of transactions. The Company intends to use the proceeds from the sale of the Bonds to refinance debt, fund utility capital expenditures and/or for general corporate purposes. The Bonds were sold in reliance on an exemption from registration under Section 4(a)(2) of the Securities Act of 1933, as amended, to institutional accredited investors.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27, 2014, we agreed to sell $160.0 million of the Company's first mortgage bonds (September Bonds) to certain institutional buyers in the private placement market. The September Bonds will be sold in reliance on an exemption from registration under Section 4(a)(2) of the Securities Act of 1933, as amended, to institutional accredited investors. The September Bonds will be issued on or about September 16, 2014, in three series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2021</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3.02%</w:t>
            </w:r>
          </w:p>
        </w:tc>
      </w:tr>
      <w:tr>
        <w:trPr>
          <w:trHeight w:val="243"/>
        </w:trPr>
        <w:tc>
          <w:tcPr>
            <w:tcW w:w="3880" w:type="dxa"/>
            <w:vAlign w:val="bottom"/>
          </w:tcPr>
          <w:p>
            <w:pPr>
              <w:jc w:val="center"/>
              <w:spacing w:after="0"/>
              <w:rPr>
                <w:sz w:val="20"/>
                <w:szCs w:val="20"/>
                <w:color w:val="auto"/>
              </w:rPr>
            </w:pPr>
            <w:r>
              <w:rPr>
                <w:rFonts w:ascii="Arial" w:cs="Arial" w:eastAsia="Arial" w:hAnsi="Arial"/>
                <w:sz w:val="18"/>
                <w:szCs w:val="18"/>
                <w:color w:val="auto"/>
                <w:w w:val="88"/>
              </w:rPr>
              <w:t>September 15, 2029</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3.74%</w:t>
            </w:r>
          </w:p>
        </w:tc>
      </w:tr>
      <w:tr>
        <w:trPr>
          <w:trHeight w:val="27"/>
        </w:trPr>
        <w:tc>
          <w:tcPr>
            <w:tcW w:w="3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2044</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4.39%</w:t>
            </w:r>
          </w:p>
        </w:tc>
      </w:tr>
      <w:tr>
        <w:trPr>
          <w:trHeight w:val="20"/>
        </w:trPr>
        <w:tc>
          <w:tcPr>
            <w:tcW w:w="388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option to prepay all or a portion of the September Bonds at its discretion, subject to a make-whole provision; however, each series of bonds is redeemable at par, including, in each case, accrued and unpaid interest, six months prior to the maturity date. The September Bonds are subject to additional terms and conditions which are customary for these types of transactions. The Company intends to use the proceeds from the sale of the September Bonds to fund utility capital expenditures and/or for general corporate purposes.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2014, our ratio was approximately 0.48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2014,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NOTE 10. OTHER INCOME (EXPENSE)</w:t>
            </w:r>
          </w:p>
        </w:tc>
        <w:tc>
          <w:tcPr>
            <w:tcW w:w="3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94"/>
        </w:trPr>
        <w:tc>
          <w:tcPr>
            <w:tcW w:w="5340" w:type="dxa"/>
            <w:vAlign w:val="bottom"/>
          </w:tcPr>
          <w:p>
            <w:pPr>
              <w:spacing w:after="0"/>
              <w:rPr>
                <w:sz w:val="24"/>
                <w:szCs w:val="24"/>
                <w:color w:val="auto"/>
              </w:rPr>
            </w:pPr>
          </w:p>
        </w:tc>
        <w:tc>
          <w:tcPr>
            <w:tcW w:w="40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40" w:type="dxa"/>
            <w:vAlign w:val="bottom"/>
          </w:tcPr>
          <w:p>
            <w:pPr>
              <w:spacing w:after="0"/>
              <w:rPr>
                <w:sz w:val="23"/>
                <w:szCs w:val="23"/>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5340" w:type="dxa"/>
            <w:vAlign w:val="bottom"/>
          </w:tcPr>
          <w:p>
            <w:pPr>
              <w:spacing w:after="0"/>
              <w:rPr>
                <w:sz w:val="23"/>
                <w:szCs w:val="23"/>
                <w:color w:val="auto"/>
              </w:rPr>
            </w:pPr>
          </w:p>
        </w:tc>
        <w:tc>
          <w:tcPr>
            <w:tcW w:w="31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2013</w:t>
            </w: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3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3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312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 (Expense)</w:t>
            </w:r>
          </w:p>
        </w:tc>
        <w:tc>
          <w:tcPr>
            <w:tcW w:w="3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(0.3)</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3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$1.9</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$3.9</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53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36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220" w:type="dxa"/>
            <w:vAlign w:val="bottom"/>
          </w:tcPr>
          <w:p>
            <w:pPr>
              <w:spacing w:after="0"/>
              <w:rPr>
                <w:sz w:val="24"/>
                <w:szCs w:val="24"/>
                <w:color w:val="auto"/>
              </w:rPr>
            </w:pPr>
          </w:p>
        </w:tc>
        <w:tc>
          <w:tcPr>
            <w:tcW w:w="41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20" w:type="dxa"/>
            <w:vAlign w:val="bottom"/>
          </w:tcPr>
          <w:p>
            <w:pPr>
              <w:spacing w:after="0"/>
              <w:rPr>
                <w:sz w:val="23"/>
                <w:szCs w:val="23"/>
                <w:color w:val="auto"/>
              </w:rPr>
            </w:pP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5220" w:type="dxa"/>
            <w:vAlign w:val="bottom"/>
          </w:tcPr>
          <w:p>
            <w:pPr>
              <w:spacing w:after="0"/>
              <w:rPr>
                <w:sz w:val="23"/>
                <w:szCs w:val="23"/>
                <w:color w:val="auto"/>
              </w:rPr>
            </w:pPr>
          </w:p>
        </w:tc>
        <w:tc>
          <w:tcPr>
            <w:tcW w:w="3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2013</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240" w:type="dxa"/>
            <w:vAlign w:val="bottom"/>
          </w:tcPr>
          <w:p>
            <w:pPr>
              <w:jc w:val="right"/>
              <w:ind w:right="450"/>
              <w:spacing w:after="0"/>
              <w:rPr>
                <w:sz w:val="20"/>
                <w:szCs w:val="20"/>
                <w:color w:val="auto"/>
              </w:rPr>
            </w:pPr>
            <w:r>
              <w:rPr>
                <w:rFonts w:ascii="Arial" w:cs="Arial" w:eastAsia="Arial" w:hAnsi="Arial"/>
                <w:sz w:val="18"/>
                <w:szCs w:val="18"/>
                <w:color w:val="auto"/>
              </w:rPr>
              <w:t>$2.9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$9.2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5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24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4.8</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13.6</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$4.9</w:t>
            </w: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$13.7</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six months ended June 30, 2014, the federal and state current tax expense reflected the utilization of NOL carryforwards from prior periods. The federal and state NOLs remaining after utilization in 2014 will be carried forward to offset future taxable income. For the quarter and six months ended June 30, 2013, the federal and state current tax benefit was due to federal and state NOLs which resulted from the bonus depreciation provision of the American Taxpayer Relief Act of 2012.</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2014, the effective tax rate was 21.3 percent (20.0 percent for the six months ended June 30, 2013). The effective tax rate deviated from the statutory rate of approximately 41 percent primarily due to deductions for AFUDC–Equity, investment tax credits, production tax credits and depletion.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2014, we had gross unrecognized tax benefits of $1.2 million ($1.2 million as of December 31, 2013).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$0.2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2010, or state examination for years before 2005.</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U.S. Treasury issued final regulations addressing the tax consequences associated with the acquisition, production and improvement of tangible property. The regulations are generally effective for tax years beginning January 1, 2014. As ALLETE has adopted certain utility-specific guidance for deductible repairs previously issued by the IRS, the final regulation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for the quarters ended June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3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Unrealized Gains and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Gains and Losses</w:t>
            </w:r>
          </w:p>
        </w:tc>
        <w:tc>
          <w:tcPr>
            <w:tcW w:w="96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32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Losses on Available-for-sale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on Cash Flow</w:t>
            </w:r>
          </w:p>
        </w:tc>
        <w:tc>
          <w:tcPr>
            <w:tcW w:w="96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23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Securities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Hedge</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June 30, 2014</w:t>
            </w:r>
          </w:p>
        </w:tc>
        <w:tc>
          <w:tcPr>
            <w:tcW w:w="2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$(16.4)</w:t>
            </w:r>
          </w:p>
        </w:tc>
        <w:tc>
          <w:tcPr>
            <w:tcW w:w="1600" w:type="dxa"/>
            <w:vAlign w:val="bottom"/>
          </w:tcPr>
          <w:p>
            <w:pPr>
              <w:ind w:left="740"/>
              <w:spacing w:after="0"/>
              <w:rPr>
                <w:sz w:val="20"/>
                <w:szCs w:val="20"/>
                <w:color w:val="auto"/>
              </w:rPr>
            </w:pPr>
            <w:r>
              <w:rPr>
                <w:rFonts w:ascii="Arial" w:cs="Arial" w:eastAsia="Arial" w:hAnsi="Arial"/>
                <w:sz w:val="18"/>
                <w:szCs w:val="18"/>
                <w:color w:val="auto"/>
              </w:rPr>
              <w:t>$(0.3)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$(16.8)</w:t>
            </w:r>
          </w:p>
        </w:tc>
      </w:tr>
      <w:tr>
        <w:trPr>
          <w:trHeight w:val="27"/>
        </w:trPr>
        <w:tc>
          <w:tcPr>
            <w:tcW w:w="4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29"/>
        </w:trPr>
        <w:tc>
          <w:tcPr>
            <w:tcW w:w="4840" w:type="dxa"/>
            <w:vAlign w:val="bottom"/>
          </w:tcPr>
          <w:p>
            <w:pPr>
              <w:ind w:left="4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840" w:type="dxa"/>
            <w:vAlign w:val="bottom"/>
          </w:tcPr>
          <w:p>
            <w:pPr>
              <w:ind w:left="200"/>
              <w:spacing w:after="0"/>
              <w:rPr>
                <w:sz w:val="20"/>
                <w:szCs w:val="20"/>
                <w:color w:val="auto"/>
              </w:rPr>
            </w:pPr>
            <w:r>
              <w:rPr>
                <w:rFonts w:ascii="Arial" w:cs="Arial" w:eastAsia="Arial" w:hAnsi="Arial"/>
                <w:sz w:val="18"/>
                <w:szCs w:val="18"/>
                <w:color w:val="auto"/>
              </w:rPr>
              <w:t>Income (Loss)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8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Other Comprehensive Income</w:t>
            </w:r>
          </w:p>
        </w:tc>
        <w:tc>
          <w:tcPr>
            <w:tcW w:w="2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Accumulated Other Comprehensive Income (Loss)</w:t>
            </w:r>
          </w:p>
        </w:tc>
        <w:tc>
          <w:tcPr>
            <w:tcW w:w="2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$(16.1)</w:t>
            </w:r>
          </w:p>
        </w:tc>
        <w:tc>
          <w:tcPr>
            <w:tcW w:w="16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$(0.3)</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$(16.3)</w:t>
            </w:r>
          </w:p>
        </w:tc>
      </w:tr>
      <w:tr>
        <w:trPr>
          <w:trHeight w:val="27"/>
        </w:trPr>
        <w:tc>
          <w:tcPr>
            <w:tcW w:w="48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484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2013</w:t>
            </w:r>
          </w:p>
        </w:tc>
        <w:tc>
          <w:tcPr>
            <w:tcW w:w="2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$(21.2)</w:t>
            </w:r>
          </w:p>
        </w:tc>
        <w:tc>
          <w:tcPr>
            <w:tcW w:w="16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$(0.3)</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4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2"/>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6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37"/>
        </w:trPr>
        <w:tc>
          <w:tcPr>
            <w:tcW w:w="48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0.5</w:t>
            </w:r>
          </w:p>
        </w:tc>
        <w:tc>
          <w:tcPr>
            <w:tcW w:w="160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r>
      <w:tr>
        <w:trPr>
          <w:trHeight w:val="27"/>
        </w:trPr>
        <w:tc>
          <w:tcPr>
            <w:tcW w:w="48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6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$(0.3)</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r>
      <w:tr>
        <w:trPr>
          <w:trHeight w:val="20"/>
        </w:trPr>
        <w:tc>
          <w:tcPr>
            <w:tcW w:w="48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income (loss) for the quarters ended June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Income (Loss)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70"/>
        </w:trPr>
        <w:tc>
          <w:tcPr>
            <w:tcW w:w="726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91"/>
        </w:trPr>
        <w:tc>
          <w:tcPr>
            <w:tcW w:w="72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$0.7</w:t>
            </w: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(0.5)</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(5.1)</w:t>
            </w:r>
          </w:p>
        </w:tc>
      </w:tr>
      <w:tr>
        <w:trPr>
          <w:trHeight w:val="27"/>
        </w:trPr>
        <w:tc>
          <w:tcPr>
            <w:tcW w:w="7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$(3.1)</w:t>
            </w:r>
          </w:p>
        </w:tc>
      </w:tr>
      <w:tr>
        <w:trPr>
          <w:trHeight w:val="27"/>
        </w:trPr>
        <w:tc>
          <w:tcPr>
            <w:tcW w:w="7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r>
      <w:tr>
        <w:trPr>
          <w:trHeight w:val="20"/>
        </w:trPr>
        <w:tc>
          <w:tcPr>
            <w:tcW w:w="72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benefit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for the six months ended June 30, 2014 and 2013,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Unrealized Gains and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Gains and Losses</w:t>
            </w:r>
          </w:p>
        </w:tc>
        <w:tc>
          <w:tcPr>
            <w:tcW w:w="10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on Cash Flow</w:t>
            </w:r>
          </w:p>
        </w:tc>
        <w:tc>
          <w:tcPr>
            <w:tcW w:w="104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Hedge</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2014</w:t>
            </w:r>
          </w:p>
        </w:tc>
        <w:tc>
          <w:tcPr>
            <w:tcW w:w="20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0.3</w:t>
            </w:r>
          </w:p>
        </w:tc>
        <w:tc>
          <w:tcPr>
            <w:tcW w:w="1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w:t>
            </w:r>
          </w:p>
        </w:tc>
        <w:tc>
          <w:tcPr>
            <w:tcW w:w="2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r>
      <w:tr>
        <w:trPr>
          <w:trHeight w:val="237"/>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Income (Loss)</w:t>
            </w:r>
          </w:p>
        </w:tc>
        <w:tc>
          <w:tcPr>
            <w:tcW w:w="20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8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$(16.1)</w:t>
            </w:r>
          </w:p>
        </w:tc>
        <w:tc>
          <w:tcPr>
            <w:tcW w:w="1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$(0.3)</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$(16.3)</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2013</w:t>
            </w:r>
          </w:p>
        </w:tc>
        <w:tc>
          <w:tcPr>
            <w:tcW w:w="2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1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2"/>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20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(0.5)</w:t>
            </w:r>
          </w:p>
        </w:tc>
        <w:tc>
          <w:tcPr>
            <w:tcW w:w="1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6.3</w:t>
            </w:r>
          </w:p>
        </w:tc>
        <w:tc>
          <w:tcPr>
            <w:tcW w:w="1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r>
      <w:tr>
        <w:trPr>
          <w:trHeight w:val="237"/>
        </w:trPr>
        <w:tc>
          <w:tcPr>
            <w:tcW w:w="4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0.1</w:t>
            </w:r>
          </w:p>
        </w:tc>
        <w:tc>
          <w:tcPr>
            <w:tcW w:w="1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0.8</w:t>
            </w: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1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r>
      <w:tr>
        <w:trPr>
          <w:trHeight w:val="20"/>
        </w:trPr>
        <w:tc>
          <w:tcPr>
            <w:tcW w:w="48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income (loss) for the six months ended June 30,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Income (Loss)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70"/>
        </w:trPr>
        <w:tc>
          <w:tcPr>
            <w:tcW w:w="704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0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70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r>
      <w:tr>
        <w:trPr>
          <w:trHeight w:val="291"/>
        </w:trPr>
        <w:tc>
          <w:tcPr>
            <w:tcW w:w="704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$1.2</w:t>
            </w:r>
          </w:p>
        </w:tc>
      </w:tr>
      <w:tr>
        <w:trPr>
          <w:trHeight w:val="27"/>
        </w:trPr>
        <w:tc>
          <w:tcPr>
            <w:tcW w:w="7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(11.5)</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w:t>
            </w:r>
          </w:p>
        </w:tc>
        <w:tc>
          <w:tcPr>
            <w:tcW w:w="2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(10.3)</w:t>
            </w:r>
          </w:p>
        </w:tc>
      </w:tr>
      <w:tr>
        <w:trPr>
          <w:trHeight w:val="27"/>
        </w:trPr>
        <w:tc>
          <w:tcPr>
            <w:tcW w:w="7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2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$(0.6)</w:t>
            </w:r>
          </w:p>
        </w:tc>
        <w:tc>
          <w:tcPr>
            <w:tcW w:w="21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$(6.3)</w:t>
            </w:r>
          </w:p>
        </w:tc>
      </w:tr>
      <w:tr>
        <w:trPr>
          <w:trHeight w:val="27"/>
        </w:trPr>
        <w:tc>
          <w:tcPr>
            <w:tcW w:w="70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w:t>
            </w:r>
          </w:p>
        </w:tc>
      </w:tr>
      <w:tr>
        <w:trPr>
          <w:trHeight w:val="20"/>
        </w:trPr>
        <w:tc>
          <w:tcPr>
            <w:tcW w:w="70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benefit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quarters and six months ended June 30, 2014 and 2013, zero options to purchase shares of common stock were excluded from the computation of diluted earnings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42.1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39.4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$0.40</w:t>
            </w: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$0.36</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$50.3</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$46.5</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41.7</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Forward Sale Agreement and Issuance of Common Stock. </w:t>
      </w:r>
      <w:r>
        <w:rPr>
          <w:rFonts w:ascii="Arial" w:cs="Arial" w:eastAsia="Arial" w:hAnsi="Arial"/>
          <w:sz w:val="18"/>
          <w:szCs w:val="18"/>
          <w:color w:val="auto"/>
        </w:rPr>
        <w:t>On February 26, 2014, ALLETE entered into a confirmation of forward sale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forward counterparty in connection with a public offering of 2.8 million shares of ALLETE common stock. The use of an equity forward transaction substantially eliminates future equity market price risk by fixing a common equity offering sales price under the then existing market conditions, while mitigating immediate share dilution resulting from the offering by postponing the actual issuance of common stock until funds are needed in accordance with our capital investment strategy.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Agreement, the forward counterparty (or its affiliate) borrowed 2.8 million shares of ALLETE common stock (borrowed shares) from third parties and sold them to the underwriters. ALLETE has the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expects to physically settle the Agreement in its entirety by delivering 2.8 million shares of its common stock. As of June 30, 2014, the Agreement has not been settled in whole or in part.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forward transaction was reflected in ALLETE’s diluted earnings per share using the treasury stock method, which resulted in no material dilutive impact to ALLETE’s diluted earnings per share for the quarter or six months ended June 30, 2014. Prior to a settlement date, any dilutive effect of the Agreement on our earnings per share would only occur during periods when the average market price per share of our common stock is above the per share adjusted forward sales price described above.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equity forward transaction has no initial fair value since it was entered into at the then market price of the common stock. ALLETE will not receive any proceeds with respect to the borrowed shares until the equity forward transaction is settled, and at that time the proceeds, if any, will be recorded in equity. The equity forward transaction is accounted for as an equity instrument in accordance with the accounting guidance for distinguishing liabilities from equity and the guidance for derivatives. Under the accounting guidance, the transaction qualifies for an exception from derivative accounting because the forward sale transaction is indexed to ALLETE’s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Contributions to Pension. </w:t>
      </w:r>
      <w:r>
        <w:rPr>
          <w:rFonts w:ascii="Arial" w:cs="Arial" w:eastAsia="Arial" w:hAnsi="Arial"/>
          <w:sz w:val="18"/>
          <w:szCs w:val="18"/>
          <w:color w:val="auto"/>
        </w:rPr>
        <w:t>On January 10, 2014, ALLETE contributed 0.4 million shares of ALLETE common stock to its pension plan. These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ALLETE common stock were contributed in reliance upon an exemption available pursuant to Section 4(a)(2) of the Securities Act of 1933, as amended, and had an aggregate value of $19.5 million when contributed.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14.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2013</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7.5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Credits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$3.6</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$5.6</w:t>
            </w:r>
          </w:p>
        </w:tc>
        <w:tc>
          <w:tcPr>
            <w:tcW w:w="12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66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$4.2</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14.9</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13.0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10.7</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$7.2</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$11.2</w:t>
            </w:r>
          </w:p>
        </w:tc>
        <w:tc>
          <w:tcPr>
            <w:tcW w:w="12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$(0.8)</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six months ended June 30, 2014, $19.5 million of ALLETE common stock was contributed to our defined benefit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plan (no contributions for the six months ended June 30, 2013). For the six months ended June 30, 2014, we made no contributions to our other postretirement benefit plan ($10.8 million for the six months ended June 30, 2013). We do not expect to make any additional contributions to our defined benefit pension plan in 2014, and we do not expect to make any contributions to our other postretirement benefit plan in 2014.</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June 30, 2014, Square Butte had total debt outstanding of $405.7 million. Annual debt service for Square Butte is expected to be approximately $44 million in each of the years 2014 through 2018, of which Minnesota Power’s obligation is 50 percent. Fuel expenses are recoverable through our fuel adjustment clause and include the cost of coal purchased from BNI Coal, under a long-term contract.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six months ended June 30, 2014, was $29.8 million ($33.0 million for the six months ended June 30, 2013). This reflects Minnesota Power’s pro rata share of total Square Butte costs based on the 50 percent output entitlement. Included in this amount was Minnesota Power’s pro rata share of interest expense of $5.2 million during the six months ended June 30, 2014 ($5.3 million for the six months ended June 30, 2013).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December 2009, Minnesota Power entered into a power sales agreement with Minnkota Power. Under the power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 This sales agreement commenced June 1,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292 MW Bison Wind Energy Center, located in North Dakota, was completed in various phases through 2012. Customer billing rates for our Bison Wind Energy Center were approved by the MPUC in a December 2013 order.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Construction of Bison 4, a 205 MW wind project in North Dakota which is an addition to our Bison Wind Energy Center, has commenced and is expected to be completed by the end of 2014. The total project investment for Bison 4 is estimated to be approximately $345 million, of which $246.6 million was spent through June 30, 2014.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Hydro Operations. </w:t>
      </w:r>
      <w:r>
        <w:rPr>
          <w:rFonts w:ascii="Arial" w:cs="Arial" w:eastAsia="Arial" w:hAnsi="Arial"/>
          <w:sz w:val="17"/>
          <w:szCs w:val="17"/>
          <w:color w:val="auto"/>
        </w:rPr>
        <w:t>In June 2012, record rainfall and flooding occurred near Duluth, Minnesota and surrounding areas. The flooding impacted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Power’s St. Louis River hydro system, particularly Thomson, which had damage to the forebay canal and flooding at the facility. Minnesota Power worked closely with the appropriate regulatory bodies which oversee the hydro system operations, including dams and reservoirs, to restore Thomson and to rebuild the forebay embankment. Minnesota Power continues restoration and upgrade work at the Thomson facility and completed rebuilding the forebay embankment. Minnesota Power anticipates partial generation at Thomson in the third quarter of 2014. Work is ongoing towards returning to full generation late in 2014 and improving the spillway capacity at the Thomson dam in 2015. Total project costs are estimated to be approximately $90 million, of which $75.5 million was spent through June 30, 2014. A request seeking cost recovery of investments and expenditures related to the restoration and repair of Thomson through a renewable resources rider was filed with the MPUC on July 3, 2014.</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December 2015. We also have coal transportation agreements in place for the delivery of a significant portion of our coal requirements with expiration dates through December 2015. Currently, Minnesota Power is in discussions regarding the extension of our coal supply and transportation contracts beyond 2015. Our minimum annual payment obligation under these supply and transportation agreements is $17.7 million for the remainder of 2014 and $4.0 million for 2015.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2021. The aggregate amount of minimum lease payments for all operating leases is $12.1 million in 2014, $11.5 million in 2015, $9.5 million in 2016, $8.7 million in 2017, $7.4 million in 2018 and $29.2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$91.0 million was spent through June 30,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Total project cost in the U.S., including substation work, is estimated to be between $500 million and $650 million, depending on the final route of the line. Minnesota Power is expected to have majority ownership of the transmission 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New Source Review (NSR). </w:t>
      </w:r>
      <w:r>
        <w:rPr>
          <w:rFonts w:ascii="Arial" w:cs="Arial" w:eastAsia="Arial" w:hAnsi="Arial"/>
          <w:sz w:val="18"/>
          <w:szCs w:val="18"/>
          <w:color w:val="auto"/>
        </w:rPr>
        <w:t>In August 2008, Minnesota Power received a Notice of Violation (NOV) from the EPA asserting violations of the NSR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Clean Air Act at Boswell Units 1, 2, 3 and 4 and Laskin Unit 2. The NOV asserts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Minnesota Power reached a settlement with the EPA regarding these NOVs and entered into a Consent Decree which was filed with the U.S. District Court for the District of Minnesota (Court) on July 16, 2014 and notice of the Consent Decree was published in the Federal Register July 22, 2014. Before it becomes effective, the Consent Decree must be approved by the Court after a 30-day public comment period that will end on August 21, 2014. The Consent Decree covers Minnesota Power’s Boswell, Laskin, Taconite Harbor, and Rapids Energy Centers. The Consent Decree provides for more stringent emissions limits at all affected units, and the option of refueling, retrofits, or retirements at some units. It also includes the addition of 200 megawatts of wind energy. Minnesota Power will also be required to spend $4.2 million on environmental mitigation projects over the next five years. Under the terms of the Consent Decree, Minnesota Power will also pay a $1.4 million civil penalty. In the second quarter of 2014, the Company recorded a liability and corresponding expense associated with the environmental mitigation projects. A liability for the civil penalty was recognized in 2013.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2005, the Company has, and will, invest more than $600 million to reduce sulfur dioxide, nitrogen oxide, mercury and particulate matters emissions at its thermal generation facilities, and in 2012 placed in service over 200 MW of renewable wind energy, which fulfills certain obligations under the Consent Decree. In addition, Minnesota Power’s EnergyForward plan also addresses many of the requirements included in the Consent Decree. Under the EnergyForward plan Minnesota Power intends to: 1) retire Taconite Harbor Unit 3, 2) convert Laskin from coal to natural gas, and 3) install emission controls at Boswell Unit 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Consent Decree further requires that, by no later than December 31, 2018, Boswell Units 1 and 2 must be retired, refueled, repowered, or emissions rerouted to an existing Boswell scrubber. Minnesota Power estimates that if the Units are not retired, capital expenditures could range between $20 million to $40 million. We are evaluating our options with regard to the future course of action at our Boswell Units 1 and 2 facilities to comply with the Consent Decree, as well as future anticipated environmental regulations. We are required to inform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In July 2011, the EPA issued the CSAPR, to address long-range transport of particulate matter and ozone by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reductions in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from electric generating companies in the eastern half of the United States, including Minnesota. However, in August 2012, the U.S. Court of Appeals for the District of Columbia Circuit (Circuit Court of Appeals) vacated the CSAPR, ordering that the CAIR remain in effect while a CSAPR replacement rule was promulgated. That decision was appealed and, in April 2014, the U.S. Supreme Court reversed the decision, remanding the case to the Circuit Court of Appeals for further proceedings consistent with the U.S. Supreme Court decision. On June 25, 2014, the EPA made a motion to the Circuit Court of Appeals to have the court’s stay of the CSAPR lifted and further asking the court to delay the CSAPR compliance deadlines by three years.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 The CSAPR requirements, if the stay is lifted and the EPA’s motion to toll compliance deadlines is granted, would go into effect in 2015 (Phase I) and 2017 (Phase 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long as the Circuit Court of Appeals’ stay of the CSAPR remains in effect, the CAIR regulations continue to apply. Like the CSAPR, the CAIR regulations are intended to address long-range transport of particulate matter and ozone by means of an emissions trading program. Minnesota participation in the CAIR was stayed by EPA administrative action while the EPA promulgated a replacement rule. If the Circuit Court of Appeals lifts its stay of the CSAPR or otherwise upholds the CSAPR on remand, the CSAPR will likely become effective for Minnesota, but compliance deadlines may be extended to allow time for the State of Minnesota to develop its compliance plan.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2013. We are unable to predict any additional compliance costs we might incur as a result of the CSAPR.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Regional Haze. </w:t>
      </w:r>
      <w:r>
        <w:rPr>
          <w:rFonts w:ascii="Arial" w:cs="Arial" w:eastAsia="Arial" w:hAnsi="Arial"/>
          <w:sz w:val="18"/>
          <w:szCs w:val="18"/>
          <w:color w:val="auto"/>
        </w:rPr>
        <w:t>The federal Regional Haze Rule requires states to submit SIPs to the EPA to address regional haze visibility impairment in 156 federally-protected parks and wilderness areas. Under the first phase of the Regional Haze Rule, certain large stationary sources, built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legal challenges at both the state and federal levels, there is currently no applicable compliance deadline for the Regional Haze Rule. If additional regional haze related controls are ultimately required, Minnesota Power will have up to five years from the final rule promulgation date to bring Taconite Harbor Unit 3 into compliance. As part of our 2013 Integrated Resource Plan, which was approved by the MPUC in November 2013, we plan to retire Taconite Harbor Unit 3 in 2015. We believe that the Taconite Harbor Unit 3 retirement will be accomplished before any compliance deadline takes effect.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$300 million through 2016, of which $102.3 million was spent through June 30, 2014. Our minimum payment obligation for the environmental upgrade is $104.7 million for 2014 and $72.5 million for 2015. Our “EnergyForward” plan, which was approved as part of our 2013 Integrated Resource Plan by the MPUC in an order dated November 12, 2013, also includes the conversion of Laskin Units 1 and 2 to natural gas in 2015, to position the Company for MATS compliance. On January 9, 2014, the MPCA approved Minnesota Power’s application to extend the deadline for Taconite Harbor Unit 3 to comply with MATS to June 1, 2015, in order to align the Unit 3 retirement with MISO’s resource planning year.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Minnesota Mercury Emissions Reduction Act. </w:t>
      </w:r>
      <w:r>
        <w:rPr>
          <w:rFonts w:ascii="Arial" w:cs="Arial" w:eastAsia="Arial" w:hAnsi="Arial"/>
          <w:sz w:val="17"/>
          <w:szCs w:val="17"/>
          <w:color w:val="auto"/>
        </w:rPr>
        <w:t>In order to comply with the 2006 Minnesota Mercury Emissions Reduction Act, Minnesota Power must</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 Costs to implement the Boswell Unit 4 mercury emissions reduction plan are included in the estimated capital expenditures required for compliance with the MATS rule discussed above (see Mercury and Air Toxics Standards (MATS) Rule).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late 2014 or beyond. Consequently, the costs for complying with the final ozone NAAQS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September 2006. Since then, the EPA has established more stringent 24-hour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and annual PM</w:t>
      </w:r>
      <w:r>
        <w:rPr>
          <w:rFonts w:ascii="Arial" w:cs="Arial" w:eastAsia="Arial" w:hAnsi="Arial"/>
          <w:sz w:val="12"/>
          <w:szCs w:val="12"/>
          <w:color w:val="auto"/>
        </w:rPr>
        <w:t>2.5</w:t>
      </w:r>
      <w:r>
        <w:rPr>
          <w:rFonts w:ascii="Arial" w:cs="Arial" w:eastAsia="Arial" w:hAnsi="Arial"/>
          <w:sz w:val="18"/>
          <w:szCs w:val="18"/>
          <w:color w:val="auto"/>
        </w:rPr>
        <w:t xml:space="preserve"> standards; the 24-hour coarse particulate matter standard has remained unchanged. The District of Columbia Circuit Court of Appeals remanded the annual PM</w:t>
      </w:r>
      <w:r>
        <w:rPr>
          <w:rFonts w:ascii="Arial" w:cs="Arial" w:eastAsia="Arial" w:hAnsi="Arial"/>
          <w:sz w:val="12"/>
          <w:szCs w:val="12"/>
          <w:color w:val="auto"/>
        </w:rPr>
        <w:t>2.5</w:t>
      </w:r>
      <w:r>
        <w:rPr>
          <w:rFonts w:ascii="Arial" w:cs="Arial" w:eastAsia="Arial" w:hAnsi="Arial"/>
          <w:sz w:val="18"/>
          <w:szCs w:val="18"/>
          <w:color w:val="auto"/>
        </w:rPr>
        <w:t xml:space="preserve"> standard to the EPA, requiring consideration of lower annual standard values. The EPA proposed new PM</w:t>
      </w:r>
      <w:r>
        <w:rPr>
          <w:rFonts w:ascii="Arial" w:cs="Arial" w:eastAsia="Arial" w:hAnsi="Arial"/>
          <w:sz w:val="12"/>
          <w:szCs w:val="12"/>
          <w:color w:val="auto"/>
        </w:rPr>
        <w:t>2.5</w:t>
      </w:r>
      <w:r>
        <w:rPr>
          <w:rFonts w:ascii="Arial" w:cs="Arial" w:eastAsia="Arial" w:hAnsi="Arial"/>
          <w:sz w:val="18"/>
          <w:szCs w:val="18"/>
          <w:color w:val="auto"/>
        </w:rPr>
        <w:t xml:space="preserve"> standards in June 2012.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believes that most U.S. counties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in 2013 and has been delayed.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Climate change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(Clean Power Plan or CPP). The EPA intends to finalize such rules by June 1, 2015. In the Clean Power Plan, the EPA proposes to set state-specific rate-based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that the EPA maintains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plants efficiency, 2) increased reliance on low-emitting power sources by generating more electricity from existing natural gas combined cycle units, 3) building more or preserving existing zero- and low-emitting power sources, including renewables and nuclear energy and 4) more efficient electricity use by consumers.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then established state goals, expressed as a carbon intensity target in CO</w:t>
      </w:r>
      <w:r>
        <w:rPr>
          <w:rFonts w:ascii="Arial" w:cs="Arial" w:eastAsia="Arial" w:hAnsi="Arial"/>
          <w:sz w:val="12"/>
          <w:szCs w:val="12"/>
          <w:color w:val="auto"/>
        </w:rPr>
        <w:t>2</w:t>
      </w:r>
      <w:r>
        <w:rPr>
          <w:rFonts w:ascii="Arial" w:cs="Arial" w:eastAsia="Arial" w:hAnsi="Arial"/>
          <w:sz w:val="18"/>
          <w:szCs w:val="18"/>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intended to achieve the state carbon intensity goals.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is currently evaluating the CPP as it relates to the State of Minnesota and its potential impact on the Company. Comments to the EPA on the CPP are due in October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has already initiated several measures consistent with those called for under the CAP and CPP. Minnesota Power has also announced its “EnergyForward” strategic plan that provides for significant emission reductions and diversifying its electricity generation mix to include more renewable and natural gas energy (see Regulated Operations -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On April 14,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State officials have appealed the decision.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Clean Water Act - Aquatic Organisms. </w:t>
      </w:r>
      <w:r>
        <w:rPr>
          <w:rFonts w:ascii="Arial" w:cs="Arial" w:eastAsia="Arial" w:hAnsi="Arial"/>
          <w:sz w:val="16"/>
          <w:szCs w:val="16"/>
          <w:color w:val="auto"/>
        </w:rPr>
        <w:t>In April 2011, the EPA announced proposed regulations under Section 316(b) of the Clean Water Act that set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final pre-Federal Register publication of the Section 316(b) rule was issued on May 19, 2014 with Federal Register publication still pending. As it stands, the Section 316(b) standards will be implemented through NPDES permits issued to the covered facilities with compliance timing dependent on individual NPDES renewal schedules. We are in the process of assessing the compliance costs and there remains the possibility they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with public comments due in September 2013. The EPA has agreed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The EPA has committed to determine whether or not a final rule will be issued under Subtitle D of Resource Conservation and Recovery Act (RCRA) (non-hazardous) or Subtitle C of RCRA (hazardous) by December 19, 2014, and may publish the final rule at that time, or announce its schedule for such publication. We are unable to predict the compliance costs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2014, BNI Coal had surety bonds outstanding of $47.5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for an additional $2.6 million to provide for BNI Coal’s total reclamation liability, which is currently estimated at $49.3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January 2014, ALLETE Clean Energy acquired three wind energy facilities–Lake Benton, Storm Lake and Condon–from AES.</w:t>
      </w:r>
      <w:r>
        <w:rPr>
          <w:rFonts w:ascii="Arial" w:cs="Arial" w:eastAsia="Arial" w:hAnsi="Arial"/>
          <w:sz w:val="16"/>
          <w:szCs w:val="16"/>
          <w:b w:val="1"/>
          <w:bCs w:val="1"/>
          <w:color w:val="auto"/>
        </w:rPr>
        <w:t xml:space="preserve"> </w:t>
      </w:r>
      <w:r>
        <w:rPr>
          <w:rFonts w:ascii="Arial" w:cs="Arial" w:eastAsia="Arial" w:hAnsi="Arial"/>
          <w:sz w:val="16"/>
          <w:szCs w:val="16"/>
          <w:color w:val="auto"/>
        </w:rPr>
        <w:t>All three wind energy facilities have PPAs in place for their entire output, which expire in various years between 2019 and 2032. (See Note 4. Acquisition.)</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Bonneville Power Administration (Bonneville). </w:t>
      </w:r>
      <w:r>
        <w:rPr>
          <w:rFonts w:ascii="Arial" w:cs="Arial" w:eastAsia="Arial" w:hAnsi="Arial"/>
          <w:sz w:val="18"/>
          <w:szCs w:val="18"/>
          <w:color w:val="auto"/>
        </w:rPr>
        <w:t>Condon has entered into a long-term PPA with Bonneville. Under this agreement, Bonneville has the right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to purchase the output of the facility through September 2022. The agreement contains a fixed price per MWh which is adjusted annually for inflation.</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Northern States Power Company (NSP). </w:t>
      </w:r>
      <w:r>
        <w:rPr>
          <w:rFonts w:ascii="Arial" w:cs="Arial" w:eastAsia="Arial" w:hAnsi="Arial"/>
          <w:sz w:val="17"/>
          <w:szCs w:val="17"/>
          <w:color w:val="auto"/>
        </w:rPr>
        <w:t>Lake Benton has entered into a long-term PPA with NSP where NSP purchases the output and capacity of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June 2028. The agreement includes a fixed price per MWh, subject to a curtailment provision and scheduled price changes.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Interstate Power and Light Company (IPL). </w:t>
      </w:r>
      <w:r>
        <w:rPr>
          <w:rFonts w:ascii="Arial" w:cs="Arial" w:eastAsia="Arial" w:hAnsi="Arial"/>
          <w:sz w:val="17"/>
          <w:szCs w:val="17"/>
          <w:color w:val="auto"/>
        </w:rPr>
        <w:t>Storm Lake has entered into two long-term PPAs with IPL through April 2019 and June 2032,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these agreements, IPL purchases approximately 219,000 and 26,000 MWh of energy, respectively, which in the aggregate is the expected annual output of the facility. Both PPAs have fixed prices per MWh throughout the contract terms, subject to scheduled price changes.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2014,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June 30, 2014, we owned 73 percent of the assessable land in the Town Center District (73 percent at December 31, 2013) and 93 percent of the assessable land in the Palm Coast Park District (93 percent at December 31, 2013).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In response to a Motion for Summary Judgment by Minnesota Power, the Sixth Judicial District for the State of Minnesota dismissed all of plaintiffs’ claims in an August 2013 order. In October 2013, the plaintiffs appealed the decision to the Minnesota Court of Appeals. The Company has filed a response to the appeal and the appeal was heard by the Minnesota Court of Appeals on May 21, 2014. A decision is expected in the third quarter of 2014. As of June 30, 2014, a potential loss is not currently probable or reasonably estimable.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June 30, 2014, because a potential loss is not currently probable or reasonably estimable.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6 and “Risk Factors” located in Part I, Item 1A, beginning on page 28 of our 2013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2013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Clean Energy, our business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three wind energy facilities in January 2014, and is aimed at developing or acquiring capital projects that create energy solutions via wind, solar, biomass, midstream gas and oil infrastructure, among other energy-related projects, and ALLETE Properties, our Florida real estate investment. This segment also includes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2014,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2014, to the six months ended June 30, 2013.</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income attributable to ALLETE for the six months ended June 30, 2014, was $50.3 million, or $1.20 per diluted share, compared to $46.5 million, or $1.18 per diluted share, for the same period of 2013. Net income for 2014 reflected $1.4 million after-tax expense, or $0.03 per share, of acquisition costs for ALLETE Clean Energy’s wind energy facilities acquisition which closed on January 30, 2014 (see Note 4. Acquisition). In addition, net income for 2014 reflected a $2.5 million after-tax expense, or $0.06 per share, reflecting a liability associated with environmental mitigation projects required as part of the EPA NOV Consent Decree settlement (see Note 15. Commitments, Guarantees and Contingencies). Net income for 2014 reflected higher cost recovery rider revenue, transmission revenues, kWh sales, gas sales and earnings from ALLETE Clean Energy’s wind energy facilities acquisition which closed in January 2014. These increases were partially offset by higher operating and maintenance, depreciation and interest expenses. Earnings per share dilution was $0.08 due to additional shares of common stock outstanding as of June 30, 2014.</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$51.4 million for the six months ended June 30, 2014, compared to $48.4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of 2013. Net income for 2014 reflected a $2.5 million after-tax expense, or $0.06 per share, reflecting a liability associated with environmental mitigation projects required as part of the EPA NOV Consent Decree settlement. Net income for 2014 reflected higher cost recovery rider revenue, transmission revenues, kWh sales, and gas sales, partially offset by higher operating and maintenance, depreciation and interest expenses.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loss attributable to ALLETE was $1.1 million for the six months ended June 30, 2014, compared to a net loss of $1.9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2013. The net loss for 2014 reflected $1.4 million after-tax expense, or $0.03 per share, of acquisition costs for ALLETE Clean Energy’s wind energy facilities acquisition. Earnings from ALLETE Clean Energy’s wind energy facilities acquisition were partially offset by gains on sales of investments in 2013. ALLETE Properties recorded a net loss of $1.8 million for the six months ended June 30, 2014 (net loss of $1.9 million for the six months ended June 30, 2013). BNI Coal recorded net income of $2.6 million for the six months ended June 30, 2014 ($2.8 million for the six months ended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JUNE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$13.8 million, or 6 percent, from 2013 primarily due to higher cost recovery rider revenue, fuel adjustment clause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recoveries, transmission revenue, and gas sales.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$6.8 million primarily due to higher capital expenditures related to our Bison projects and our Boswell Unit 4 environmental upgrade.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$3.9 million due to higher purchased power costs attributable to our retail and municipal customers.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increased $1.8 million primarily due to higher MISO related revenues.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from gas sales at SWL&amp;P increased $1.4 million primarily due to higher purchased gas prices attributable to our gas customers. (</w:t>
      </w:r>
      <w:r>
        <w:rPr>
          <w:rFonts w:ascii="Arial" w:cs="Arial" w:eastAsia="Arial" w:hAnsi="Arial"/>
          <w:sz w:val="18"/>
          <w:szCs w:val="18"/>
          <w:i w:val="1"/>
          <w:iCs w:val="1"/>
          <w:color w:val="auto"/>
        </w:rPr>
        <w:t>See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Revenue from Regulated Operations kWh sales were comparable to 2013. The decrease in sales to our municipal customers reflects a wholesale customer contract expiration effective December 31, 2013. Sales to Other Power Suppliers are sold at market-based prices into the MISO market on a daily basis or through bilateral agreements of various durations, and were 3.4 percent higher in 2014 due to more energy available for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THE QUARTERS ENDED JUNE 30,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333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1,788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198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2,568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631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3,199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taconite/iron concentrate customers accounted for 23 percent of consolidated operating revenue in 2014 (26 percent in 2013). Revenue from electric sales to paper and pulp mills accounted for 7 percent of consolidated operating revenue in 2014 (8 percent in 2013). Revenue from electric sales to pipelines and other industrials accounted for 7 percent of consolidated operating revenue in 2014 (7 percent in 2013).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$13.6 million, or 7 percent, from 2013.</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$4.9 million, or 6 percent, from 2013 primarily due lower company generation and an outage at Square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Butte resulting in increased purchased power expense. Fuel and purchased power expense related to our retail and municipal customers is recovered through the fuel adjustment clause. </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Operating Revenue.)</w:t>
      </w:r>
    </w:p>
    <w:p>
      <w:pPr>
        <w:spacing w:after="0" w:line="18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increased $6.2 million, or 7 percent, from 2013. In the second quarter of 2014, a $4.2 million expense was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reflect a liability associated with environmental mitigation projects required as part of the EPA NOV Consent Decree settlement. Operating and maintenance expense was also higher due to higher purchased gas and transmission expense, partially offset by lower benefit expense. Purchased gas expense increased due to higher gas sales in 2014; purchased gas expenses are recovered from our customers through a purchased gas adjustment clause (see </w:t>
      </w:r>
      <w:r>
        <w:rPr>
          <w:rFonts w:ascii="Arial" w:cs="Arial" w:eastAsia="Arial" w:hAnsi="Arial"/>
          <w:sz w:val="17"/>
          <w:szCs w:val="17"/>
          <w:i w:val="1"/>
          <w:iCs w:val="1"/>
          <w:color w:val="auto"/>
        </w:rPr>
        <w:t>Operating Revenue</w:t>
      </w:r>
      <w:r>
        <w:rPr>
          <w:rFonts w:ascii="Arial" w:cs="Arial" w:eastAsia="Arial" w:hAnsi="Arial"/>
          <w:sz w:val="17"/>
          <w:szCs w:val="17"/>
          <w:color w:val="auto"/>
        </w:rPr>
        <w:t>). Transmission expense increased primarily due to higher MISO related expenses. Benefit expense was lower due to higher discount rates for 2014 attributable to our defined benefit pension and other postretirement benefit plans.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$2.5 million, or 9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$1.0 million, or 10 percent, from 2013 primarily due to higher average long-term debt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$11.3 million, or 57 percent, from 2013 primarily due to a $8.7 million increase in revenue generated at ALLETE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 due to the acquisition of three wind energy facilities in the first quarter of 2014. Also contributing to the increase was a $1.9 million increase in revenue at BNI Coal. BNI Coal, which operates under a cost plus fixed fee contract, recorded higher revenue primarily as a result of higher expenses in 2014. (See </w:t>
      </w:r>
      <w:r>
        <w:rPr>
          <w:rFonts w:ascii="Arial" w:cs="Arial" w:eastAsia="Arial" w:hAnsi="Arial"/>
          <w:sz w:val="18"/>
          <w:szCs w:val="18"/>
          <w:i w:val="1"/>
          <w:iCs w:val="1"/>
          <w:color w:val="auto"/>
        </w:rPr>
        <w:t>Operating Expense</w:t>
      </w:r>
      <w:r>
        <w:rPr>
          <w:rFonts w:ascii="Arial" w:cs="Arial" w:eastAsia="Arial" w:hAnsi="Arial"/>
          <w:sz w:val="18"/>
          <w:szCs w:val="18"/>
          <w:color w:val="auto"/>
        </w:rPr>
        <w:t>.)</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$7.7 million, or 34 percent, from 2013 primarily due to higher operating and depreciation expenses of $5.4 million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of the ALLETE Clean Energy wind energy facilities acquisition in the first quarter of 2014. Also contributing to the increase were higher expenses of $2.0 million at BNI Coal primarily due to higher fuel costs and repair expenses, which are recovered through the cost-plus contract.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quarter ended June 30, 2014, the effective tax rate was 22.5 percent (22.7 percent for the quarter ended June 30, 2013). The effective tax rate deviated from the statutory rate of approximately 41 percent primarily due to deductions for AFUDC-Equity, investment tax credits, production tax credits and depletion. (See Note 11. Income Tax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40" w:top="36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SIX MONTHS ENDED JUNE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$36.6 million, or 8 percent, from 2013 primarily due to a 1.8 percent increase in kilowatt-hour sales, and higher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recovery rider revenue, gas sales, fuel adjustment clause recoveries, and transmission revenue.</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Regulated Operations increased $13.5 million from 2013 due to a 1.8 percent increase in total kWh sales. The increase was due primarily to a 10.8 percent increase in kWh sales to Other Power Suppliers. Sales to Other Power Suppliers are sold at market-based prices into the MISO market on a daily basis or through bilateral agreements of various durations, and were higher in 2014 due to more energy available for sale. Also contributing to the increase was higher sales to residential and commercial customers primarily due to unseasonably cold temperatures during the first four months of 2014 compared to the same period in 2013. In the first four months of 2014, heating degree days in Duluth, Minnesota were approximately 13 percent higher than the same period in 2013. The decrease in sales to our municipal customers reflects a wholesale customer contract expiration effective December 31, 2013.</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647</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728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3,604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440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5,419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1,331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1,201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10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6,750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6,631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23 percent of consolidated operating revenue in 2014 (25 percent percent in 2013). Revenue from electric sales to paper and pulp mills accounted for 7 percent of consolidated operating revenue in 2014 (8 percent in 2013). Revenue from electric sales to pipelines and other industrials accounted for 6 percent of consolidated operating revenue in 2014 (6 percent in 2013).</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$8.5 million primarily due to higher capital expenditures related to our Bison projects and our Boswell Unit 4 environmental upgrade.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$5.9 million as a result of the unseasonably cold weather during the first four months of 2014. (See </w:t>
      </w:r>
      <w:r>
        <w:rPr>
          <w:rFonts w:ascii="Arial" w:cs="Arial" w:eastAsia="Arial" w:hAnsi="Arial"/>
          <w:sz w:val="18"/>
          <w:szCs w:val="18"/>
          <w:i w:val="1"/>
          <w:iCs w:val="1"/>
          <w:color w:val="auto"/>
        </w:rPr>
        <w:t>Operating 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$5.9 million due to higher purchased power expense attributable to our retail and municipal customers.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Expenses - Fuel and Purchased Power Expense.)</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$4.9 million from 2013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City of Nashwauk</w:t>
      </w:r>
      <w:r>
        <w:rPr>
          <w:rFonts w:ascii="Arial" w:cs="Arial" w:eastAsia="Arial" w:hAnsi="Arial"/>
          <w:sz w:val="18"/>
          <w:szCs w:val="18"/>
          <w:color w:val="auto"/>
        </w:rPr>
        <w:t>) and higher MISO related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$33.3 million, or 9 percent, from 2013.</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increased $14.6 million, or 9 percent, from 2013 due to lower company generation and an outage at Square Butte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in more purchased power expense. In addition, prices for purchased power were higher in 2014 than 2013. Fuel and purchased power expense related to our retail and municipal customers is recovered through the fuel adjustment clause. </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Operating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SIX MONTHS ENDED JUNE 30,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$14.2 million, or 9 percent, from 2013. In the second quarter of 2013, a $4.2 million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recorded to reflect a liability associated with environmental mitigation projects required as part of the EPA NOV Consent Decree settlement. Operating and maintenance expense was also higher due to higher purchased gas and transmission expense, partially offset by lower benefit expense. Purchased gas expense increased due to higher gas sales in 2014; purchased gas expenses are recovered from our customers through a purchased gas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 Transmission expense increased primarily due to higher MISO related expense. Benefit expense was lower due to higher discount rates in 2014.</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$4.5 million, or 8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$1.8 million, or 9 percent, from 2013 primarily due to higher average long-term debt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$1.6 million, or 73 percent, from 2013 primarily due to higher AFUDC -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$21.2 million, or 50 percent, from 2013 primarily due to a $15.8 million increase in revenue generated at ALLETE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 due to the acquisition of three wind energy facilities in the first quarter of 2014. Also contributing to the increase was a $3.2 million increase in revenue at BNI Coal. BNI Coal, which operates under a cost plus fixed fee contract, recorded higher revenue primarily as a result of higher expenses in 2014. (See </w:t>
      </w:r>
      <w:r>
        <w:rPr>
          <w:rFonts w:ascii="Arial" w:cs="Arial" w:eastAsia="Arial" w:hAnsi="Arial"/>
          <w:sz w:val="18"/>
          <w:szCs w:val="18"/>
          <w:i w:val="1"/>
          <w:iCs w:val="1"/>
          <w:color w:val="auto"/>
        </w:rPr>
        <w:t>Operating Expense</w:t>
      </w:r>
      <w:r>
        <w:rPr>
          <w:rFonts w:ascii="Arial" w:cs="Arial" w:eastAsia="Arial" w:hAnsi="Arial"/>
          <w:sz w:val="18"/>
          <w:szCs w:val="18"/>
          <w:color w:val="auto"/>
        </w:rPr>
        <w:t>.)</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$16.8 million, or 36 percent, from 2013 primarily due to higher operating and depreciation expenses of $11.3 million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of the ALLETE Clean Energy wind energy facilities acquisition in the first quarter of 2014. Also contributing to the increase were higher expenses of $2.9 million at BNI Coal primarily due to higher fuel costs and repair expenses, which are recovered through the cost-plus contract.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$1.9 million from 2013 primarily due to gains on sales of investments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six months ended June 30, 2014, the effective tax rate was 21.3 percent (20.0 percent for the six months ended June 30, 2013). The effective tax rate deviated from the statutory rate of approximately 41 percent primarily due to deductions for AFUDC-Equity, investment tax credits, production tax credits and depletion. (See Note 11.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2013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2013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2013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and balance our exposure to global business cycles and changing demand. The new energy-centric pursuits will be in renewable energy, energy transmission and other energy-related infrastructure or infrastructure services.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adding another 205 MW at the Bison Wind Energy Center (see Regulated Operations – </w:t>
      </w:r>
      <w:r>
        <w:rPr>
          <w:rFonts w:ascii="Arial" w:cs="Arial" w:eastAsia="Arial" w:hAnsi="Arial"/>
          <w:sz w:val="17"/>
          <w:szCs w:val="17"/>
          <w:i w:val="1"/>
          <w:iCs w:val="1"/>
          <w:color w:val="auto"/>
        </w:rPr>
        <w:t>Renewable Energy</w:t>
      </w:r>
      <w:r>
        <w:rPr>
          <w:rFonts w:ascii="Arial" w:cs="Arial" w:eastAsia="Arial" w:hAnsi="Arial"/>
          <w:sz w:val="17"/>
          <w:szCs w:val="17"/>
          <w:color w:val="auto"/>
        </w:rPr>
        <w:t>). In addition, in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In January 2014, ALLETE Clean Energy acquired three wind energy facilities with existing long-term PPAs.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plan to make investments in transmission opportunities that strengthen or enhance the transmission grid or take advantage of our geographical location between sources of renewable energy and end users. This includes the GNTL, the CapX2020 initiative,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Minnesota Power will not earn its allowed rate of return in 2014.</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or the PSCW. See 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our Minnesota, FERC, and Wisconsin jurisdictions.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53 percent of our Regulated Utility kWh sales in the six months ended June 30, 2014 (54 percent in the six months ended June 30, 2013) were made to our industrial customers in these industries.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2014 will be similar to 2013. The American Iron and Steel Institute (AISI), an association of North American steel producers, reported that U.S. raw steel production operated at approximately 77 percent of capacity during the first six months of 2014, compared to 77 percent in 2013. Based on these projections, 2014 taconite production levels in Minnesota are expected to be similar to 2013.</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Prospective Additional Load. </w:t>
      </w:r>
      <w:r>
        <w:rPr>
          <w:rFonts w:ascii="Arial" w:cs="Arial" w:eastAsia="Arial" w:hAnsi="Arial"/>
          <w:sz w:val="16"/>
          <w:szCs w:val="16"/>
          <w:color w:val="auto"/>
        </w:rPr>
        <w:t>Minnesota Power is pursuing new wholesale and retail loads in and around its service territory. Currently, several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Essar Steel Minnesota LLC (Essar), PolyMet, Mesabi Nugget Delaware, LLC, USS Corporation’s Keewatin taconite expansion and Magnetation, LLC. We cannot predict the outcome of these projects, but if these projects are constructed, Minnesota Power could serve up to approximately 500 MW of new retail or wholesale load.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Nashwauk Public Utilities Commission. </w:t>
      </w:r>
      <w:r>
        <w:rPr>
          <w:rFonts w:ascii="Arial" w:cs="Arial" w:eastAsia="Arial" w:hAnsi="Arial"/>
          <w:sz w:val="18"/>
          <w:szCs w:val="18"/>
          <w:color w:val="auto"/>
        </w:rPr>
        <w:t>In April 2014, the Company amended its formula-based wholesale electric sales agreement with the Nashwauk</w:t>
      </w:r>
      <w:r>
        <w:rPr>
          <w:rFonts w:ascii="Arial" w:cs="Arial" w:eastAsia="Arial" w:hAnsi="Arial"/>
          <w:sz w:val="18"/>
          <w:szCs w:val="18"/>
          <w:i w:val="1"/>
          <w:iCs w:val="1"/>
          <w:color w:val="auto"/>
        </w:rPr>
        <w:t xml:space="preserve"> </w:t>
      </w:r>
      <w:r>
        <w:rPr>
          <w:rFonts w:ascii="Arial" w:cs="Arial" w:eastAsia="Arial" w:hAnsi="Arial"/>
          <w:sz w:val="18"/>
          <w:szCs w:val="18"/>
          <w:color w:val="auto"/>
        </w:rPr>
        <w:t>Public Utilities Commission for all of its electric service requirements, extending the term through June 30, 2026. A new Essar taconite facility is currently under construction in the City of Nashwauk, and the Nashwauk Public Utilities Commission also amended and extended its electric service agreement with Essar. Upon completion, this facility would result in approximately 110 MW of additional load for Minnesota Power. In April 2014, Essar updated its plans for start-up of the new facility, now indicating that initial commissioning is expected to begin in the second quarter of 2015, transitioning to full production capacity levels by the first quarter of 2016. Expansions for additional pellet production, production of direct reduced iron and production of steel slabs are also being considered by Essar for future years.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PolyMet</w:t>
      </w:r>
      <w:r>
        <w:rPr>
          <w:rFonts w:ascii="Arial" w:cs="Arial" w:eastAsia="Arial" w:hAnsi="Arial"/>
          <w:sz w:val="17"/>
          <w:szCs w:val="17"/>
          <w:color w:val="auto"/>
        </w:rPr>
        <w:t>. Minnesota Power has executed a long-term contract with PolyMet, a new industrial customer planning to start a copper-nickel and precious metal</w:t>
      </w:r>
      <w:r>
        <w:rPr>
          <w:rFonts w:ascii="Arial" w:cs="Arial" w:eastAsia="Arial" w:hAnsi="Arial"/>
          <w:sz w:val="17"/>
          <w:szCs w:val="17"/>
          <w:i w:val="1"/>
          <w:iCs w:val="1"/>
          <w:color w:val="auto"/>
        </w:rPr>
        <w:t xml:space="preserve"> </w:t>
      </w:r>
      <w:r>
        <w:rPr>
          <w:rFonts w:ascii="Arial" w:cs="Arial" w:eastAsia="Arial" w:hAnsi="Arial"/>
          <w:sz w:val="17"/>
          <w:szCs w:val="17"/>
          <w:color w:val="auto"/>
        </w:rPr>
        <w:t>(non-ferrous) mining operation in northeastern Minnesota. PolyMet began work on a Supplemental Draft Environmental Impact Statement (SDEIS) in 2010. The SDEIS addressed environmental issues, including those dealing with the land exchange between PolyMet and the U.S. Forest Service (USFS), which is critical to the mine site development. In December 2013, the Minnesota DNR released PolyMet’s SDEIS. A 90-day comment period ended March 13, 2014. Assuming successful completion of the SDEIS process, permits could be issued during the latter part of 2014. Construction could commence immediately upon issuance of permits and Minnesota Power could begin to supply between 45 MW and 50 MW of load initially as early as 2016 through a 10-year power supply contract period that would begin upon start-up of the mining operations.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Magnetation. </w:t>
      </w:r>
      <w:r>
        <w:rPr>
          <w:rFonts w:ascii="Arial" w:cs="Arial" w:eastAsia="Arial" w:hAnsi="Arial"/>
          <w:sz w:val="18"/>
          <w:szCs w:val="18"/>
          <w:color w:val="auto"/>
        </w:rPr>
        <w:t>Magnetation produces iron ore concentrate from low-grade natural ore tailing basins, already mined stockpiles and newly mined iron</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formations. Magnetation’s facility near Taconite, Minnesota is fully operational. Construction is underway at their newest concentrate facility near Coleraine, Minnesota, with production expected to commence by the end of 2014. On January 27, 2014, Minnesota Power and Magnetation entered into a new ten-year electric service agreement, which was approved by the MPUC on May 1, 2014, for its facility near Coleraine, Minnesota. This agreement is effective through at least December 31, 2025. In addition, a transmission service extension is required to be constructed by Minnesota Power and is expected to be complete in the fourth quarter of 2014. On June 19, 2014, Minnesota Power received MPUC approval of a transmission route for the service extension, and permits were received on July 2, 2014. Minnesota Power expects to supply approximately 20 MW of power to this new facility, making it a Large Power Customer of Minnesota Power. The new facility is expected to supply iron ore concentrate to Magnetation’s new pellet plant that is under construction in Reynolds, Indiana. The Reynolds pellet plant is expected to come on line in fourth quarter of 2014 and will produce about 3 million tons of taconite pellets annually for AK Steel.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has 292 MW of nameplate capacity with an additional 205 MW under construction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Planned installation of approximately $300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Laskin from coal to natural gas in the second quarter of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the second quarter of 2015.</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“EnergyForward” initiatives were included in Minnesota Power’s 2013 Integrated Resource Plan, which was approved by the MPUC in a November 2013 order.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Boswell Mercury Emissions Reduction Plan. </w:t>
      </w:r>
      <w:r>
        <w:rPr>
          <w:rFonts w:ascii="Arial" w:cs="Arial" w:eastAsia="Arial" w:hAnsi="Arial"/>
          <w:sz w:val="16"/>
          <w:szCs w:val="16"/>
          <w:color w:val="auto"/>
        </w:rPr>
        <w:t>Minnesota Power is implementing a mercury emissions reduction project for Boswell Unit 4 in order to comply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$300 million, of which $102.3 million was spent through June 30, 2014. In November 2013, the MPUC issued an order approving the Boswell Unit 4 mercury emissions reduction plan and cost recovery, establishing an environmental improvement rider. In November 2013, environmental intervenors filed a petition for reconsideration with the MPUC which was subsequently denied in an order dated January 17, 2014. Intervenors have appealed this order and the Company has filed a response to the appeal. In December 2013, Minnesota Power filed a petition with the MPUC to establish customer billing rates for the approved environmental improvement rider based on actual and estimated investments and expenditures, which was approved in an order dated July 2, 2014.</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Renewable Energy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February 2007, Minnesota enacted a law requiring 25 percent of Minnesota Power’s total retail and municipal energy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 November 2013 order, included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expect 19 percent of the Company’s total retail and municipal energy sales will be supplied by renewable energy sources in 2014.</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Wind Energy. </w:t>
      </w:r>
      <w:r>
        <w:rPr>
          <w:rFonts w:ascii="Arial" w:cs="Arial" w:eastAsia="Arial" w:hAnsi="Arial"/>
          <w:sz w:val="16"/>
          <w:szCs w:val="16"/>
          <w:color w:val="auto"/>
        </w:rPr>
        <w:t>Our wind energy facilities consist of the 292 MW Bison Wind Energy Center located in North Dakota and the 25 MW Taconite Ridge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Center located in northeastern Minnesota. We also have two long-term wind PPAs with an affiliate of NextEra Energy, Inc. to purchase the output from Oliver Wind I (50 MW) and Oliver Wind II (48 MW) located in North Dakota. We have also commenced construction of Bison 4, a 205 MW wind project in North Dakota, which is an addition to our Bison Wind Energy Center. The total project investment for Bison 4 is estimated to be approximately $345 million, of which $246.6 million was spent through June 30, 2014. The Bison 4 wind project is expected to be completed by the end of 2014.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billing rates for our Bison Wind Energy Center were approved by the MPUC in a December 2013 order.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Hydro Operations. </w:t>
      </w:r>
      <w:r>
        <w:rPr>
          <w:rFonts w:ascii="Arial" w:cs="Arial" w:eastAsia="Arial" w:hAnsi="Arial"/>
          <w:sz w:val="17"/>
          <w:szCs w:val="17"/>
          <w:color w:val="auto"/>
        </w:rPr>
        <w:t>In June 2012, record rainfall and flooding occurred near Duluth, Minnesota and surrounding areas. The flooding impacted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St. Louis River hydro system, particularly Thomson, which had damage to the forebay canal and flooding at the facility. Minnesota Power worked closely with the appropriate regulatory bodies which oversee the hydro system operations, including dams and reservoirs, to restore Thomson and to rebuild the forebay embankment. Minnesota Power continues restoration and upgrade work at the Thomson facility and completed rebuilding the forebay embankment. Minnesota Power anticipates partial generation at Thomson in the third quarter of 2014. Work is ongoing towards returning to full generation late in 2014 and improving the spillway capacity at the Thomson dam in 2015. Total project costs are estimated to be approximately $90 million, of which $75.5 million was spent through June 30, 2014. A request seeking cost recovery of capital expenditures related to the restoration and repair of Thomson through a renewable resources rider was filed with the MPUC on July 3, 2014.</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Mandate. </w:t>
      </w:r>
      <w:r>
        <w:rPr>
          <w:rFonts w:ascii="Arial" w:cs="Arial" w:eastAsia="Arial" w:hAnsi="Arial"/>
          <w:sz w:val="16"/>
          <w:szCs w:val="16"/>
          <w:color w:val="auto"/>
        </w:rPr>
        <w:t>In May 2013, legislation was enacted by the state of Minnesota requiring at least 1.5 percent of total retail electric sales,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investment is expected to be recovered in customer rates.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Transmission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CapX2020. </w:t>
      </w:r>
      <w:r>
        <w:rPr>
          <w:rFonts w:ascii="Arial" w:cs="Arial" w:eastAsia="Arial" w:hAnsi="Arial"/>
          <w:sz w:val="16"/>
          <w:szCs w:val="16"/>
          <w:color w:val="auto"/>
        </w:rPr>
        <w:t>Minnesota Power is a participant in the CapX2020 initiative which represents an effort to ensure electric transmission and distribution reliability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$91.0 million was spent through June 30,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GNTL is subject to various federal and state regulatory approvals. Before a large energy facility can be sited or constructed in Minnesota, the MPUC requires a Certificate of Need, which was filed in October 2013.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Total project cost in the U.S., including substation work, is estimated to be between $500 million and $650 million, depending on the final route of the line. Minnesota Power is expected to have majority ownership of the transmission line.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As of June 30, 2014, our equity investment in ATC was $118.8 million, representing an approximate 8 percent ownership interest. ATC</w:t>
      </w:r>
      <w:r>
        <w:rPr>
          <w:rFonts w:ascii="Arial" w:cs="Arial" w:eastAsia="Arial" w:hAnsi="Arial"/>
          <w:sz w:val="17"/>
          <w:szCs w:val="17"/>
          <w:i w:val="1"/>
          <w:iCs w:val="1"/>
          <w:color w:val="auto"/>
        </w:rPr>
        <w:t xml:space="preserve"> </w:t>
      </w:r>
      <w:r>
        <w:rPr>
          <w:rFonts w:ascii="Arial" w:cs="Arial" w:eastAsia="Arial" w:hAnsi="Arial"/>
          <w:sz w:val="17"/>
          <w:szCs w:val="17"/>
          <w:color w:val="auto"/>
        </w:rPr>
        <w:t>rates are based on a FERC approved 12.2 percent return on common equity dedicated to utility plant. In September 2013, ATC updated its 10-year transmission assessment covering the years 2013 through 2022 which identifies a need for between $3.0 and $3.6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six months of 2014, we invested $2.3 million in ATC, and on July 30, 2014, we invested an additional $0.8 million. We expect to make additional investments of approximately $2.7 million in 2014 to maintain our current ownership of ATC. (See Note 8. Investment in ATC.)</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a group of MISO industrial customer organizations filed a complaint with the FERC requesting, among other things, a reduction in the base return on equity used by MISO transmission owners, including ATC, to 9.15%. ATC's current authorized return on equity is 12.2%. Any change to ATC's return on equity and capital structure could result in lower equity earnings in ATC and dividends from ATC in the future. We own approximately 8 percent of ATC and estimate that for every 50 basis point reduction in ATC’s allowed return on equity our equity earnings in ATC would be impacted annually by approximately $0.5 million on an after-tax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4.0 million tons of coal in 2014 (3.7 million tons were sold in 2013) and has sold 1.8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2014 (2.0 million tons were sold as of June 30, 2013). BNI Coal operates under cost plus fixed fee agreements extending to May 1, 2027. On April 22, 2014, BNI Coal extended these agreements through December 31, 2037.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 aims to develop or acquire capital projects that create energy solutions via wind, solar, biomass,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oil infrastructure, among other energy-related projects. On January 30, 2014, ALLETE Clean Energy acquired wind energy facilities located in Lake Benton, Minnesota (Lake Benton), Storm Lake, Iowa (Storm Lake) and Condon, Oregon (Condon) from The AES Corporation (AES) for $26.9 million.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Lake Benton, Storm Lake and Condon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 (See Note 4. Acquisition.)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Florida real estate investment. Our current strategy for the assets is to complete and maintain key</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entitlements and infrastructure improvements without requiring significant additional investment, sell the portfolio when opportunities arise and reinvest the proceeds in our growth initiatives. Market conditions can impact land sales and could result in our inability to cover our operating expenses and fixed carrying costs such as community development district assessments and property taxes. ALLETE does not intend to acquire additional Florida real estate.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20" w:type="dxa"/>
            <w:vAlign w:val="bottom"/>
          </w:tcPr>
          <w:p>
            <w:pPr>
              <w:jc w:val="right"/>
              <w:ind w:right="1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964</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2,485</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2,236,700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3,777</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3,554</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4,741</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6,039</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5,333,500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56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2,914</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2,950</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3,044</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10,699</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8,989</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1,714 acres of other land available-for-sale.</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2014.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21 percent for 2014. We also expect that our effective tax rate will be lower than the statutory rate over the next ten years due to production tax credits attributable to our wind generation. (See Note 11. Income Tax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2014,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$83.6 million, $401 million in available consolidated lines of credit and a debt-to-capital ratio of 48 percent.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0"/>
        </w:trPr>
        <w:tc>
          <w:tcPr>
            <w:tcW w:w="5600" w:type="dxa"/>
            <w:vAlign w:val="bottom"/>
          </w:tcPr>
          <w:p>
            <w:pPr>
              <w:spacing w:after="0"/>
              <w:rPr>
                <w:sz w:val="24"/>
                <w:szCs w:val="24"/>
                <w:color w:val="auto"/>
              </w:rPr>
            </w:pPr>
          </w:p>
        </w:tc>
        <w:tc>
          <w:tcPr>
            <w:tcW w:w="2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4"/>
                <w:szCs w:val="24"/>
                <w:color w:val="auto"/>
              </w:rPr>
            </w:pPr>
          </w:p>
        </w:tc>
      </w:tr>
      <w:tr>
        <w:trPr>
          <w:trHeight w:val="234"/>
        </w:trPr>
        <w:tc>
          <w:tcPr>
            <w:tcW w:w="5600" w:type="dxa"/>
            <w:vAlign w:val="bottom"/>
          </w:tcPr>
          <w:p>
            <w:pPr>
              <w:spacing w:after="0"/>
              <w:rPr>
                <w:sz w:val="20"/>
                <w:szCs w:val="20"/>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$1,416.0</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$1,342.9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26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1,327.6</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1,110.2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560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$2,745.1</w:t>
            </w:r>
          </w:p>
        </w:tc>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$2,453.1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126.1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43"/>
        </w:trPr>
        <w:tc>
          <w:tcPr>
            <w:tcW w:w="848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(323.4)</w:t>
            </w:r>
          </w:p>
        </w:tc>
        <w:tc>
          <w:tcPr>
            <w:tcW w:w="106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7"/>
        </w:trPr>
        <w:tc>
          <w:tcPr>
            <w:tcW w:w="8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183.6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37"/>
        </w:trPr>
        <w:tc>
          <w:tcPr>
            <w:tcW w:w="84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8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$83.6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84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$126.1 million for the six months ended June 30, 2014 ($111.1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2013). Cash from operating activities was higher in 2014 primarily due to cash contributions of $10.8 million in 2013 to other postretirement benefit plans and higher receipts on accounts receivable, which were partially offset by increased fuel inventory purchases.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for investing activities was $323.4 million for the six months ended June 30, 2014 ($125.2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2013). The increase in cash used for investing activities was primarily due to higher capital expenditures in 2014, and the ALLETE Clean Energy wind energy facilities acquisition in January 2014, partially offset by a transfer of cash in Other Investments to Cash and Cash Equivalents.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from financing activities was $183.6 million for the six months ended June 30, 2014 ($78.3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2013). The increase in cash from financing activities was primarily due to proceeds from the issuance of long-term debt in March and June 2014.</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paper. As of June 30, 2014, we had available consolidated bank lines of credit aggregating $401.0 million ($400.7 million available as of June 30, 2013), the majority of which expire in November 2018. In addition, as of June 30, 2014, we had 2.3 million original issue shares of our common stock available for issuance through Invest Direct, our direct stock purchase and dividend reinvestment plan, 3.0 million original issue shares of common stock available for issuance through a distribution agreement with Lampert Capital Markets, Inc. and 2.8 million original issue shares of common stock available for issuance under a forward sale agreement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February 2008, as amended most recently in May 2014,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issuance and sale of up to an aggregate of 9.6 million shares of our common stock, without par value, of which 3.0 million remain available for issuance. For the six months ended June 30, 2014, 0.2 million shares of common stock were issued under this agreement, resulting in net proceeds of $8.2 million (0.3 million shares were issued for the six months ended June 30, 2013, resulting in net proceeds of $11.7 million). The shares sold in 2013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2014, we issued 0.2 million shares of common stock through Invest Direct, the Employee Stock Purchase Plan, and the Retirement Savings and Stock Ownership Plan, resulting in net proceeds of $10.5 million (0.4 million shares were issued for net proceeds of $21.6 million during the six months ended June 30, 2013). These shares of common stock were registered under Registration Statement Nos. 333-188315, 333-183051 and 333-162890.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ALLETE contributed 0.4 million shares of ALLETE common stock to its pension plan. These shares of ALLETE common stock were contributed in reliance upon an exemption available pursuant to Section 4(a)(2) of the Securities Act of 1933 and had an aggregate value of $19.5 million when contributed.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26,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ALLETE has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expects to physically settle the Agreement in its entirety by delivering 2.8 million shares of its common stock. As of June 30, 2014, the Agreement has not been settled in whole or in part.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first six months of 2014, we issued $215.0 million of ALLETE first mortgage bonds (Bonds) in the private placement market in four series. The Company intends to use the proceeds from the sale of the Bonds to refinance debt, fund utility capital expenditures and/or for general corporate purposes. (See Note 9. Short-Term and Long-Term Debt.)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27, 2014, we agreed to sell $160.0 million of the Company’s first mortgage bonds (September Bonds) to certain institutional buyers in the private placement market in three series on, or around, September 16, 2014. The Company intends to use the proceeds from the sale of the September Bonds to fund utility capital expenditures and/or for general corporate purposes. (See Note 9. Short-Term and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2014, we redeemed $111.0 million of pollution control bonds, at par, which were due on July 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9. Short-Term and Long-Term Debt for information regarding our financial 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Pension and Other Postretirement Benefit Plans</w:t>
      </w:r>
      <w:r>
        <w:rPr>
          <w:rFonts w:ascii="Arial" w:cs="Arial" w:eastAsia="Arial" w:hAnsi="Arial"/>
          <w:sz w:val="17"/>
          <w:szCs w:val="17"/>
          <w:color w:val="auto"/>
        </w:rPr>
        <w:t>. 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On January 10, 2014, we contributed $19.5 million to our defined benefit pension plan, all of which was contributed in shares of ALLETE common stock. We do not expect to make additional contributions to our defined benefit pension plan in 2014, and we do not expect to make any contributions to our other postretirement benefit plan in 2014. (See Note 14. Pension and Other Postretirement Benefit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2013 Form 10-K, with additional disclosure in Note 15. 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for 2014 are expected to be approximately $640 million. For the six months ended June 30, 2014, capital expenditures totaled $341.7 million ($100.2 million for the six months ended June 30, 2013). The expenditures were primarily made in the Regulated Operations segment.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2014 projected capital expenditures include significant investments in environmental upgrades (see Outlook – Boswell Mercury Emissions Reduction Plan) and renewable energy (see Outlook – Renewable Energy – Wind Energy). Our 2014 capital expenditures are expected to be incurred ratably over the four quarters of 2014. We are well positioned to meet our financing needs due to adequate operating cash flows, available additional working capital, and access to capital markets. We will finance capital expenditures from a combination of internally generated funds and debt and equity issuance proceeds. We intend to maintain a capital structure with capital ratios near current levels. (See Liquidity and Capital Resources </w:t>
      </w:r>
      <w:r>
        <w:rPr>
          <w:rFonts w:ascii="Arial" w:cs="Arial" w:eastAsia="Arial" w:hAnsi="Arial"/>
          <w:sz w:val="14"/>
          <w:szCs w:val="14"/>
          <w:i w:val="1"/>
          <w:iCs w:val="1"/>
          <w:color w:val="auto"/>
        </w:rPr>
        <w:t>–</w:t>
      </w:r>
      <w:r>
        <w:rPr>
          <w:rFonts w:ascii="Arial" w:cs="Arial" w:eastAsia="Arial" w:hAnsi="Arial"/>
          <w:sz w:val="16"/>
          <w:szCs w:val="16"/>
          <w:color w:val="auto"/>
        </w:rPr>
        <w:t xml:space="preserve"> Capital Structure.)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2013 Form 10-K, with additional disclosure in Note 15.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620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173 employees, of which 124 are members of IBEW Local 1593. The current labor agreement with IBEW Local 1593 expires on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June 30, 2014, our available-for-sale securities portfolio consisted primarily of securities established to fund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June 30, 2014,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June 30, 2014.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2014,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2013 Form 10-K and Note 7. Regulatory Matters and Note 15. Commitments, Guarantees and Contingencies herein. Such information is incorporated herein by reference.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In response to a Motion for Summary Judgment by Minnesota Power, the Sixth Judicial District for the State of Minnesota dismissed all of plaintiffs’ claims in a August 2013 order. In October 2013, the plaintiffs’ appealed the decision to the Minnesota Court of Appeals. The Company has filed a response to the appeal and the appeal was heard by the Minnesota Court of Appeals on May 21, 2014. An accrual related to this lawsuit has not been recorded as of June 30, 2014, because a potential loss is not currently probable or reasonably estimable.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June 30, 2014, because a potential loss is not currently probable or reasonably estimable.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2013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spacing w:after="0" w:line="29" w:lineRule="exact"/>
        <w:rPr>
          <w:sz w:val="20"/>
          <w:szCs w:val="20"/>
          <w:color w:val="auto"/>
        </w:rPr>
      </w:pPr>
    </w:p>
    <w:p>
      <w:pPr>
        <w:ind w:left="1300" w:right="120" w:hanging="463"/>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Thirty-sixth Supplemental Indenture, dated as of June 1, 2014, between ALLETE, Inc. and The Bank of New York Mellon, as corporate trustee, and Philip L. Watson, as co-trustee.</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140" w:hanging="55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40" w:hanging="554"/>
        <w:spacing w:after="0" w:line="30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1, 2014, announcing 2014 second quarter earnings. </w:t>
      </w:r>
      <w:r>
        <w:rPr>
          <w:rFonts w:ascii="Arial" w:cs="Arial" w:eastAsia="Arial" w:hAnsi="Arial"/>
          <w:sz w:val="16"/>
          <w:szCs w:val="16"/>
          <w:b w:val="1"/>
          <w:bCs w:val="1"/>
          <w:color w:val="auto"/>
        </w:rPr>
        <w:t>(This exhibit has been furnished and shall</w:t>
      </w:r>
      <w:r>
        <w:rPr>
          <w:rFonts w:ascii="Arial" w:cs="Arial" w:eastAsia="Arial" w:hAnsi="Arial"/>
          <w:sz w:val="16"/>
          <w:szCs w:val="16"/>
          <w:color w:val="auto"/>
        </w:rPr>
        <w:t xml:space="preserve"> </w:t>
      </w:r>
      <w:r>
        <w:rPr>
          <w:rFonts w:ascii="Arial" w:cs="Arial" w:eastAsia="Arial" w:hAnsi="Arial"/>
          <w:sz w:val="16"/>
          <w:szCs w:val="16"/>
          <w:b w:val="1"/>
          <w:bCs w:val="1"/>
          <w:color w:val="auto"/>
        </w:rPr>
        <w:t>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101.CAL</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August 1, 2014</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August 1, 2014</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Arial" w:cs="Arial" w:eastAsia="Arial" w:hAnsi="Arial"/>
                <w:sz w:val="14"/>
                <w:szCs w:val="14"/>
                <w:color w:val="auto"/>
              </w:rPr>
              <w:t>ALLETE, Inc. Second Quarter 2014 Form 10-Q</w:t>
            </w:r>
          </w:p>
        </w:tc>
      </w:tr>
    </w:tbl>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478790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8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and formerly Minnesota Power, Inc.)</w:t>
      </w:r>
    </w:p>
    <w:p>
      <w:pPr>
        <w:spacing w:after="0" w:line="10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(formerly The Bank of New York</w:t>
      </w: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PHILIP L. WATSON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(successor to Richard H. West, J. A. Austin, E. J. McCabe,</w:t>
      </w:r>
    </w:p>
    <w:p>
      <w:pPr>
        <w:spacing w:after="0" w:line="8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 W. May, J. A. Vaughan, W. T. Cunningham, Douglas J. MacInnes and Ming Ryan)</w:t>
      </w:r>
    </w:p>
    <w:p>
      <w:pPr>
        <w:spacing w:after="0" w:line="131" w:lineRule="exact"/>
        <w:rPr>
          <w:sz w:val="20"/>
          <w:szCs w:val="20"/>
          <w:color w:val="auto"/>
        </w:rPr>
      </w:pPr>
    </w:p>
    <w:p>
      <w:pPr>
        <w:ind w:left="2700" w:right="20"/>
        <w:spacing w:after="0" w:line="267" w:lineRule="auto"/>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Thirty-sixth Supplemental Indenture</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Providing, among other things, for</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3.40% Series due July 15, 2022</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(Fiftieth Series)</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5.05% Series due July 15, 2044</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(Fifty-first Series)</w:t>
      </w: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Arial" w:cs="Arial" w:eastAsia="Arial" w:hAnsi="Arial"/>
          <w:sz w:val="20"/>
          <w:szCs w:val="20"/>
          <w:b w:val="1"/>
          <w:bCs w:val="1"/>
          <w:i w:val="1"/>
          <w:iCs w:val="1"/>
          <w:color w:val="auto"/>
        </w:rPr>
        <w:t>Dated as of June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THIRTY-FIFTH SUPPLEMENTAL INDENTURE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THIS INDENTURE, </w:t>
      </w:r>
      <w:r>
        <w:rPr>
          <w:rFonts w:ascii="Arial" w:cs="Arial" w:eastAsia="Arial" w:hAnsi="Arial"/>
          <w:sz w:val="18"/>
          <w:szCs w:val="18"/>
          <w:color w:val="auto"/>
        </w:rPr>
        <w:t>dated as of June 1, 2014, by and between ALLETE, Inc. (formerly Minnesota Power &amp; Light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PHILIP L. WATSON (successor to Richard H. West, J. A. Austin, E. J. McCabe, D. W. May, J. A. Vaughan, W. T. Cunningham, Douglas J. MacInnes and Ming Ryan), whose post office address is c/o The Bank of New York Mellon, 101 Barclay Street, New York, New York 10286 (said Philip L. Watson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“Thirty-sixth Supplemental Indenture”) being supplemental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4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90"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ectPr>
          <w:pgSz w:w="11900" w:h="16838" w:orient="portrait"/>
          <w:cols w:equalWidth="0" w:num="1">
            <w:col w:w="11420"/>
          </w:cols>
          <w:pgMar w:left="240" w:top="873" w:right="239" w:bottom="1440" w:gutter="0" w:footer="0" w:header="0"/>
        </w:sectPr>
      </w:pPr>
    </w:p>
    <w:bookmarkStart w:id="56" w:name="page57"/>
    <w:bookmarkEnd w:id="56"/>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33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2014</w:t>
            </w:r>
          </w:p>
        </w:tc>
      </w:tr>
    </w:tbl>
    <w:p>
      <w:pPr>
        <w:spacing w:after="0" w:line="200" w:lineRule="exact"/>
        <w:rPr>
          <w:sz w:val="20"/>
          <w:szCs w:val="20"/>
          <w:color w:val="auto"/>
        </w:rPr>
      </w:pPr>
    </w:p>
    <w:p>
      <w:pPr>
        <w:sectPr>
          <w:pgSz w:w="11900" w:h="16838" w:orient="portrait"/>
          <w:cols w:equalWidth="0" w:num="1">
            <w:col w:w="11420"/>
          </w:cols>
          <w:pgMar w:left="240" w:top="366"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6"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100" w:type="dxa"/>
            <w:vAlign w:val="bottom"/>
            <w:gridSpan w:val="3"/>
          </w:tcPr>
          <w:p>
            <w:pPr>
              <w:jc w:val="center"/>
              <w:ind w:left="142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$26,000,000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23,000,000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1,150,000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13,500,000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3,600,000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8"/>
              </w:rPr>
              <w:t>111,000,000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35,000,000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20,000,000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42,000,000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15,000,000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35,000,000</w:t>
            </w:r>
          </w:p>
        </w:tc>
      </w:tr>
    </w:tbl>
    <w:p>
      <w:pPr>
        <w:spacing w:after="0" w:line="200" w:lineRule="exact"/>
        <w:rPr>
          <w:sz w:val="20"/>
          <w:szCs w:val="20"/>
          <w:color w:val="auto"/>
        </w:rPr>
      </w:pPr>
    </w:p>
    <w:p>
      <w:pPr>
        <w:sectPr>
          <w:pgSz w:w="11900" w:h="16838" w:orient="portrait"/>
          <w:cols w:equalWidth="0" w:num="1">
            <w:col w:w="11400"/>
          </w:cols>
          <w:pgMar w:left="240" w:top="366"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66" w:right="259" w:bottom="1440" w:gutter="0" w:footer="0" w:header="0"/>
          <w:type w:val="continuous"/>
        </w:sectPr>
      </w:pPr>
    </w:p>
    <w:bookmarkStart w:id="58" w:name="page59"/>
    <w:bookmarkEnd w:id="58"/>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38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3.20%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4.08%</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85,000,000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85,000,000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1.83%</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3.30%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4.21%</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3.69%</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4.95%</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Forty-ninth Series, respectively; and</w:t>
      </w: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210"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69"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WHEREAS, the execution and delivery by the Company of this Thirty-sixth Supplemental Indenture, and the terms of the bonds of the Fiftieth Series and the Fifty-first Series, hereinafter referred to, have been duly authorized by the Board of Directors of the Company by appropriate resolutions of said Board of Directors;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1" w:right="239" w:bottom="1440" w:gutter="0" w:footer="0" w:header="0"/>
        </w:sectPr>
      </w:pPr>
    </w:p>
    <w:bookmarkStart w:id="59" w:name="page60"/>
    <w:bookmarkEnd w:id="59"/>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29"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Philip L. Watson,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Thirty-sixth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73"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208"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60" w:name="page61"/>
    <w:bookmarkEnd w:id="60"/>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Thirty-sixth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Thirty-sixth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89" w:lineRule="exact"/>
        <w:rPr>
          <w:sz w:val="20"/>
          <w:szCs w:val="20"/>
          <w:color w:val="auto"/>
        </w:rPr>
      </w:pPr>
    </w:p>
    <w:p>
      <w:pPr>
        <w:jc w:val="both"/>
        <w:ind w:right="20"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200" w:lineRule="exact"/>
        <w:rPr>
          <w:sz w:val="20"/>
          <w:szCs w:val="20"/>
          <w:color w:val="auto"/>
        </w:rPr>
      </w:pPr>
    </w:p>
    <w:p>
      <w:pPr>
        <w:jc w:val="both"/>
        <w:ind w:firstLine="608"/>
        <w:spacing w:after="0" w:line="386" w:lineRule="auto"/>
        <w:rPr>
          <w:sz w:val="20"/>
          <w:szCs w:val="20"/>
          <w:color w:val="auto"/>
        </w:rPr>
      </w:pPr>
      <w:r>
        <w:rPr>
          <w:rFonts w:ascii="Arial" w:cs="Arial" w:eastAsia="Arial" w:hAnsi="Arial"/>
          <w:sz w:val="16"/>
          <w:szCs w:val="16"/>
          <w:color w:val="auto"/>
        </w:rPr>
        <w:t>IN TRUST NEVERTHELESS, for the same purposes and upon the same terms, trusts and conditions and subject to and with the same provisos and covenants as are set forth in the Mortgage, as supplemented, this Thirty-sixth Supplemental Indenture being supplemental thereto.</w:t>
      </w:r>
    </w:p>
    <w:p>
      <w:pPr>
        <w:spacing w:after="0" w:line="97"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Fiftieth Series of Bonds</w:t>
      </w:r>
    </w:p>
    <w:p>
      <w:pPr>
        <w:spacing w:after="0" w:line="213"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“3.40% Series due July 15, 2022” (herein sometimes referred to as the “Fiftieth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Fiftieth Series shall be dated as in Section 10 of the Mortgage provided, mature on July 15, 2022 (the “Fiftieth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June 26, 2014 (computed on the basis of a 360-day year of twelve thirty-day months) at the rate of 3.40% per annum, payable semi-annually on January 15 and July 15 of each year, commencing January 15, 2015,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88"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Fiftieth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Fiftieth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121"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January 15, 2022 (six months prior to the Fiftieth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Fiftieth Series at 100% of the principal amount so prepaid, and the Make-Whole Amount determined for the Settlement Date specified by the Company in such notice with respect to such principal amount. The Company will give each registered owner of bonds of the Fiftieth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Fiftieth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Fiftieth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At any time on or after January 15, 2022, the bonds of the Fiftieth series will be redeemable at the option of the Company, in whole or in part, on not less than 30 nor more than 60 days’ notice prior to the Settlement Date, at a redemption price equal to 100% of the principal amount of the bonds of the Fiftieth Series to be redeemed, plus accrued and unpaid interest thereon to the Settlement Date. The bonds of the Fiftieth Series are not otherwise subject to voluntary or optional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0" w:right="239" w:bottom="1440" w:gutter="0" w:footer="0" w:header="0"/>
        </w:sectPr>
      </w:pPr>
    </w:p>
    <w:bookmarkStart w:id="62" w:name="page63"/>
    <w:bookmarkEnd w:id="62"/>
    <w:p>
      <w:pPr>
        <w:jc w:val="both"/>
        <w:ind w:firstLine="616"/>
        <w:spacing w:after="0" w:line="248" w:lineRule="auto"/>
        <w:tabs>
          <w:tab w:leader="none" w:pos="1146"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Fiftieth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Fiftieth Series to be prepaid shall be allocated by the Company among all of the bonds of the Fiftieth Series at the time outstanding in proportion, as nearly as practicable, to the respective unpaid principal amounts thereof not theretofore called for prepayment.</w:t>
      </w:r>
    </w:p>
    <w:p>
      <w:pPr>
        <w:spacing w:after="0" w:line="183" w:lineRule="exact"/>
        <w:rPr>
          <w:rFonts w:ascii="Arial" w:cs="Arial" w:eastAsia="Arial" w:hAnsi="Arial"/>
          <w:sz w:val="20"/>
          <w:szCs w:val="20"/>
          <w:color w:val="auto"/>
        </w:rPr>
      </w:pPr>
    </w:p>
    <w:p>
      <w:pPr>
        <w:jc w:val="both"/>
        <w:ind w:firstLine="656"/>
        <w:spacing w:after="0" w:line="306" w:lineRule="auto"/>
        <w:tabs>
          <w:tab w:leader="none" w:pos="1207"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Fiftieth Series pursuant to this section, if</w:t>
      </w:r>
      <w:r>
        <w:rPr>
          <w:rFonts w:ascii="Arial" w:cs="Arial" w:eastAsia="Arial" w:hAnsi="Arial"/>
          <w:sz w:val="16"/>
          <w:szCs w:val="16"/>
          <w:b w:val="1"/>
          <w:bCs w:val="1"/>
          <w:color w:val="auto"/>
        </w:rPr>
        <w:t xml:space="preserve"> </w:t>
      </w:r>
      <w:r>
        <w:rPr>
          <w:rFonts w:ascii="Arial" w:cs="Arial" w:eastAsia="Arial" w:hAnsi="Arial"/>
          <w:sz w:val="16"/>
          <w:szCs w:val="16"/>
          <w:color w:val="auto"/>
        </w:rPr>
        <w:t>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Fiftieth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3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Fiftieth Series, an amount equal to the excess, if any, of the Discounted Value of the Remaining Scheduled Payments with respect to the Called Principal of such bond of the Fiftieth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Fiftieth Series, the principal of such bond that is to be prepaid pursuant to subsection (I) of this section.</w:t>
      </w:r>
    </w:p>
    <w:p>
      <w:pPr>
        <w:spacing w:after="0" w:line="177"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“Discounted Value” means, with respect to the Called Principal of any bond of the Fiftieth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Fiftieth Series is payable) equal to the Reinvestment Yield with respect to such Called Principal.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63" w:name="page64"/>
    <w:bookmarkEnd w:id="63"/>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Fiftieth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Fiftieth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Fiftieth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Fiftieth Series, then the amount of the next succeeding scheduled interest payment will be reduced by the amount of interest accrued to such Settlement Date and required to be paid on such Settlement Date pursuant to subsection (I) of this section.</w:t>
      </w:r>
    </w:p>
    <w:p>
      <w:pPr>
        <w:spacing w:after="0" w:line="197"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Fiftieth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Fiftieth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Fiftieth Series shall be transferable (subject to the provisions of Section 12 of the Mortgage) at the office or agency of the Company in the Borough of Manhattan, The City of New York. The Company shall not be required to make transfers or exchanges of bonds of the Fiftieth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64" w:name="page65"/>
    <w:bookmarkEnd w:id="64"/>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Fiftieth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Fiftieth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Thirty-sixth Supplemental Indenture and upon compliance with the applicable provisions of the Mortgage and receipt of consideration therefor by the Company, there shall be an initial issue of bonds of the Fiftieth Series for the aggregate principal amount of $75,000,000.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Fifty-first Series of Bonds</w:t>
      </w:r>
    </w:p>
    <w:p>
      <w:pPr>
        <w:spacing w:after="0" w:line="213"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“5.05% Series due July 15, 2044” (herein sometimes referred to as the “Fifty-first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Fifty-first Series shall be dated as in Section 10 of the Mortgage provided, mature on July 15, 2044 (the “Fifty-first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June 26, 2014 (computed on the basis of a 360-day year of twelve thirty-day months) at the rate of 5.05% per annum, payable semi-annually on January 15 and July 15 of each year, commencing January 15, 2015,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88"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Fifty-first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Fifty-first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65" w:name="page66"/>
    <w:bookmarkEnd w:id="65"/>
    <w:p>
      <w:pPr>
        <w:jc w:val="both"/>
        <w:ind w:firstLine="616"/>
        <w:spacing w:after="0" w:line="26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January 15, 2044 (six months prior to the Fifty-first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Fifty-first Series at 100% of the principal amount so prepaid, and the Make-Whole Amount determined for the Settlement Date specified by the Company in such notice with respect to such principal amount. The Company will give each registered owner of bonds of the Fifty-first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Fifty-first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Fifty-first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January 15, 2044, the bonds of the Fifty-first series will be redeemable at the option of the Company, in whole or in part, on not less than 30 nor more than 60 days’ notice prior to the Settlement Date, at a redemption price equal to 100% of the principal amount of the bonds of the Fifty-first Series to be redeemed, plus accrued and unpaid interest thereon to the Settlement Date. The bonds of the Fifty-first Series are not otherwise subject to voluntary or optional prepayment.</w:t>
      </w:r>
    </w:p>
    <w:p>
      <w:pPr>
        <w:spacing w:after="0" w:line="171" w:lineRule="exact"/>
        <w:rPr>
          <w:sz w:val="20"/>
          <w:szCs w:val="20"/>
          <w:color w:val="auto"/>
        </w:rPr>
      </w:pPr>
    </w:p>
    <w:p>
      <w:pPr>
        <w:jc w:val="both"/>
        <w:ind w:firstLine="656"/>
        <w:spacing w:after="0" w:line="248" w:lineRule="auto"/>
        <w:tabs>
          <w:tab w:leader="none" w:pos="1146"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Fifty-first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Fifty-first Series to be prepaid shall be allocated by the Company among all of the bonds of the Fifty-first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0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Fifty-first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Fifty-first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0" w:right="239" w:bottom="1440" w:gutter="0" w:footer="0" w:header="0"/>
        </w:sectPr>
      </w:pPr>
    </w:p>
    <w:bookmarkStart w:id="66" w:name="page67"/>
    <w:bookmarkEnd w:id="66"/>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35"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Fifty-first Series, an amount equal to the excess, if any, of the Discounted Value of the Remaining Scheduled Payments with respect to the Called Principal of such bond of the Fifty-first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Fifty-first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Fifty-first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Fifty-first Series is payable) equal to the Reinvestment Yield with respect to such Called Principal.</w:t>
      </w:r>
    </w:p>
    <w:p>
      <w:pPr>
        <w:spacing w:after="0" w:line="195"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Fifty-first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Fifty-first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Fifty-first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Fifty-first Series, then the amount of the next succeeding scheduled interest payment will be reduced by the amount of interest accrued to such Settlement Date and required to be paid on such Settlement Date pursuant to subsection (I) of this section.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0" w:right="239" w:bottom="1440" w:gutter="0" w:footer="0" w:header="0"/>
        </w:sectPr>
      </w:pPr>
    </w:p>
    <w:bookmarkStart w:id="67" w:name="page68"/>
    <w:bookmarkEnd w:id="67"/>
    <w:p>
      <w:pPr>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Fifty-first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1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Fifty-first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Fifty-first Series shall be transferable (subject to the provisions of Section 12 of the Mortgage) at the office or agency of the Company in the Borough of Manhattan, The City of New York. The Company shall not be required to make transfers or exchanges of bonds of the Fifty-first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Fifty-first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Fifty-first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Thirty-sixth Supplemental Indenture and upon compliance with the applicable provisions of the Mortgage and receipt of consideration therefor by the Company, there shall be an initial issue of bonds of the Fifty-first Series for the aggregate principal amount of $40,000,000.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13"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Fiftieth Series and the Fifty-first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13"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1. The Company reserves the right, without any vote, consent or other action by the holders of bonds of the Fiftieth Series, the Fifty-first Series or any subsequent series, to amend the Mortgage, as herein or heretofore supplemented as follows:</w:t>
      </w:r>
    </w:p>
    <w:p>
      <w:pPr>
        <w:spacing w:after="0" w:line="166" w:lineRule="exact"/>
        <w:rPr>
          <w:sz w:val="20"/>
          <w:szCs w:val="20"/>
          <w:color w:val="auto"/>
        </w:rPr>
      </w:pPr>
    </w:p>
    <w:p>
      <w:pPr>
        <w:ind w:firstLine="1305"/>
        <w:spacing w:after="0" w:line="260" w:lineRule="auto"/>
        <w:tabs>
          <w:tab w:leader="none" w:pos="1629" w:val="left"/>
        </w:tabs>
        <w:numPr>
          <w:ilvl w:val="0"/>
          <w:numId w:val="27"/>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20"/>
          <w:szCs w:val="20"/>
          <w:color w:val="auto"/>
        </w:rPr>
        <w:t>(B) By adding the following at the end of the first sentence of Section 101:</w:t>
      </w:r>
    </w:p>
    <w:p>
      <w:pPr>
        <w:spacing w:after="0" w:line="229"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1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July 15, 2022 and July 15, 2044” after the words “and March 15, 2024 and March 15, 2044.”</w:t>
      </w:r>
    </w:p>
    <w:p>
      <w:pPr>
        <w:spacing w:after="0" w:line="190"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Thirty-sixth Supplemental Indenture, the terms defined in the Mortgage, as heretofore supplemented, shall, for all purposes of this Thirty-sixth Supplemental Indenture, have the meanings specified in the Mortgage, as heretofore supplemented.</w:t>
      </w:r>
    </w:p>
    <w:p>
      <w:pPr>
        <w:spacing w:after="0" w:line="18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SECTION 3. The holders of bonds of the Fiftieth Series and the Fifty-first Series consent that the Company may, but shall not be obligated to, fix a record date for the purpose of determining the holders of bonds of the Fiftieth Series and the Fifty-first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96"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Thirty-sixth Supplemental Indenture or for or in respect of the recitals contained herein, all of which recitals are made by the Company solely. In general, each and every term and condition contained in Article XVII of the Mortgage shall apply to and form part of this Thirty-sixth Supplemental Indenture with the same force and effect as if the same were herein set forth in full with such omissions, variations and insertions, if any, as may be appropriate to make the same conform to the provisions of this Thirty-sixth Supplemental Indenture.</w:t>
      </w:r>
    </w:p>
    <w:p>
      <w:pPr>
        <w:spacing w:after="0" w:line="181"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Thirty-sixth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Thirty-sixth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5"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9"/>
          <w:szCs w:val="19"/>
          <w:color w:val="auto"/>
        </w:rPr>
        <w:t>SECTION 6. Nothing in this Thirty-sixth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Thirty-sixth Supplemental Indenture or any covenant, condition, stipulation, promise or agreement hereof, and all the covenants, conditions, stipulations, promises and agreements in this Thirty-sixth Supplemental Indenture contained by and on behalf of the Company shall be for the sole and exclusive benefit of the parties hereto, and of the holders of the bonds and of the coupons Outstanding under the Mortgage.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69" w:name="page70"/>
    <w:bookmarkEnd w:id="69"/>
    <w:p>
      <w:pPr>
        <w:ind w:firstLine="608"/>
        <w:spacing w:after="0" w:line="260" w:lineRule="auto"/>
        <w:rPr>
          <w:sz w:val="20"/>
          <w:szCs w:val="20"/>
          <w:color w:val="auto"/>
        </w:rPr>
      </w:pPr>
      <w:r>
        <w:rPr>
          <w:rFonts w:ascii="Arial" w:cs="Arial" w:eastAsia="Arial" w:hAnsi="Arial"/>
          <w:sz w:val="20"/>
          <w:szCs w:val="20"/>
          <w:color w:val="auto"/>
        </w:rPr>
        <w:t>SECTION 7. This Thirty-sixth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ind w:firstLine="608"/>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Thirty-sixth Supplemental Indenture.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70" w:name="page71"/>
    <w:bookmarkEnd w:id="70"/>
    <w:p>
      <w:pPr>
        <w:jc w:val="both"/>
        <w:ind w:firstLine="648"/>
        <w:spacing w:after="0" w:line="276"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Philip L. Watson has hereunto set his hand and affixed his seal, all in The City of New York,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394" w:lineRule="exact"/>
        <w:rPr>
          <w:sz w:val="20"/>
          <w:szCs w:val="20"/>
          <w:color w:val="auto"/>
        </w:rPr>
      </w:pPr>
    </w:p>
    <w:p>
      <w:pPr>
        <w:ind w:left="38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981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President-Business Support</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Deborah A. Amberg</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71" w:name="page72"/>
    <w:bookmarkEnd w:id="71"/>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148"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40"/>
              <w:spacing w:after="0"/>
              <w:rPr>
                <w:sz w:val="20"/>
                <w:szCs w:val="20"/>
                <w:color w:val="auto"/>
              </w:rPr>
            </w:pPr>
            <w:r>
              <w:rPr>
                <w:rFonts w:ascii="Arial" w:cs="Arial" w:eastAsia="Arial" w:hAnsi="Arial"/>
                <w:sz w:val="18"/>
                <w:szCs w:val="18"/>
                <w:color w:val="auto"/>
              </w:rPr>
              <w:t>/s/ Francine Kincaid</w:t>
            </w:r>
          </w:p>
        </w:tc>
      </w:tr>
      <w:tr>
        <w:trPr>
          <w:trHeight w:val="27"/>
        </w:trPr>
        <w:tc>
          <w:tcPr>
            <w:tcW w:w="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Francine Kincaid</w:t>
            </w:r>
          </w:p>
        </w:tc>
      </w:tr>
      <w:tr>
        <w:trPr>
          <w:trHeight w:val="270"/>
        </w:trPr>
        <w:tc>
          <w:tcPr>
            <w:tcW w:w="620" w:type="dxa"/>
            <w:vAlign w:val="bottom"/>
          </w:tcPr>
          <w:p>
            <w:pPr>
              <w:spacing w:after="0"/>
              <w:rPr>
                <w:sz w:val="23"/>
                <w:szCs w:val="23"/>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Laurence J. O'Brien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/s/ Philip L. Watson</w:t>
            </w:r>
          </w:p>
        </w:tc>
        <w:tc>
          <w:tcPr>
            <w:tcW w:w="1460" w:type="dxa"/>
            <w:vAlign w:val="bottom"/>
          </w:tcPr>
          <w:p>
            <w:pPr>
              <w:ind w:left="840"/>
              <w:spacing w:after="0"/>
              <w:rPr>
                <w:sz w:val="20"/>
                <w:szCs w:val="20"/>
                <w:color w:val="auto"/>
              </w:rPr>
            </w:pPr>
            <w:r>
              <w:rPr>
                <w:rFonts w:ascii="Arial" w:cs="Arial" w:eastAsia="Arial" w:hAnsi="Arial"/>
                <w:sz w:val="18"/>
                <w:szCs w:val="18"/>
                <w:color w:val="auto"/>
              </w:rPr>
              <w:t>L.S.</w:t>
            </w:r>
          </w:p>
        </w:tc>
      </w:tr>
      <w:tr>
        <w:trPr>
          <w:trHeight w:val="27"/>
        </w:trPr>
        <w:tc>
          <w:tcPr>
            <w:tcW w:w="2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Arial" w:cs="Arial" w:eastAsia="Arial" w:hAnsi="Arial"/>
                <w:sz w:val="18"/>
                <w:szCs w:val="18"/>
                <w:color w:val="auto"/>
              </w:rPr>
              <w:t>Philip L. Watson</w:t>
            </w: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Philip L. Watson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Thomas 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Jose Alcantara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Thirty-sixth Supplemental Indenture dated as of June 1, 2014</w:t>
      </w:r>
    </w:p>
    <w:p>
      <w:pPr>
        <w:spacing w:after="0" w:line="16" w:lineRule="exact"/>
        <w:rPr>
          <w:sz w:val="20"/>
          <w:szCs w:val="20"/>
          <w:color w:val="auto"/>
        </w:rPr>
      </w:pPr>
    </w:p>
    <w:p>
      <w:pPr>
        <w:jc w:val="right"/>
        <w:ind w:right="2039"/>
        <w:spacing w:after="0"/>
        <w:rPr>
          <w:sz w:val="20"/>
          <w:szCs w:val="20"/>
          <w:color w:val="auto"/>
        </w:rPr>
      </w:pPr>
      <w:r>
        <w:rPr>
          <w:rFonts w:ascii="Arial" w:cs="Arial" w:eastAsia="Arial" w:hAnsi="Arial"/>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Trustees’ Signature Page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825" w:right="1440"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32" w:lineRule="auto"/>
        <w:rPr>
          <w:sz w:val="20"/>
          <w:szCs w:val="20"/>
          <w:color w:val="auto"/>
        </w:rPr>
      </w:pPr>
      <w:r>
        <w:rPr>
          <w:rFonts w:ascii="Arial" w:cs="Arial" w:eastAsia="Arial" w:hAnsi="Arial"/>
          <w:sz w:val="19"/>
          <w:szCs w:val="19"/>
          <w:color w:val="auto"/>
        </w:rPr>
        <w:t>On this 16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June, 2014, the foregoing instrument was acknowledged before me by Steven Q. DeVinck, Chief Financial Officer and Senior Vice President-Business Support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On this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June, 2014, the foregoing instrument was acknowledged before me by Deborah A. Amberg, Senior Vice President, General Counsel and Secretary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825" w:right="39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firstLine="608"/>
        <w:spacing w:after="0" w:line="316" w:lineRule="auto"/>
        <w:rPr>
          <w:sz w:val="20"/>
          <w:szCs w:val="20"/>
          <w:color w:val="auto"/>
        </w:rPr>
      </w:pPr>
      <w:r>
        <w:rPr>
          <w:rFonts w:ascii="Arial" w:cs="Arial" w:eastAsia="Arial" w:hAnsi="Arial"/>
          <w:sz w:val="18"/>
          <w:szCs w:val="18"/>
          <w:color w:val="auto"/>
        </w:rPr>
        <w:t>On this 18th day of June, 2014, the foregoing instrument was acknowledged before me by Francine Kincaid and Laurance O'Brien, the Vice President and Vice President, respectively, of The Bank of New York Mellon, the corporation named in the foregoing instrument.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18th day of June, 2014.</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Christopher J. Traina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058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Christopher J. Traina</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 01TR6297825</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Qualified in Queens County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Commission Expires March 03, 2018</w:t>
      </w:r>
    </w:p>
    <w:p>
      <w:pPr>
        <w:sectPr>
          <w:pgSz w:w="11900" w:h="16838" w:orient="portrait"/>
          <w:cols w:equalWidth="0" w:num="1">
            <w:col w:w="11420"/>
          </w:cols>
          <w:pgMar w:left="240" w:top="3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right="20" w:firstLine="608"/>
        <w:spacing w:after="0" w:line="260" w:lineRule="auto"/>
        <w:rPr>
          <w:sz w:val="20"/>
          <w:szCs w:val="20"/>
          <w:color w:val="auto"/>
        </w:rPr>
      </w:pPr>
      <w:r>
        <w:rPr>
          <w:rFonts w:ascii="Arial" w:cs="Arial" w:eastAsia="Arial" w:hAnsi="Arial"/>
          <w:sz w:val="20"/>
          <w:szCs w:val="20"/>
          <w:color w:val="auto"/>
        </w:rPr>
        <w:t>On this 18th day of June, 2014, the foregoing instrument was acknowledged before me by Philip L. Watson, the person described in and who executed the foregoing instrument.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18th day of June, 2014.</w:t>
      </w:r>
    </w:p>
    <w:p>
      <w:pPr>
        <w:spacing w:after="0" w:line="38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Christopher J. Traina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J. Traina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 01TR6297825</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Qualified in Queens County</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Commission Expires March 03,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 2014</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August 1, 2014</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2014,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2014</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764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2014</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764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quarter ended June 30, 2014, BNI Coal, owner of Center Mine, received no significant and substantial (S&amp;S) citations under Section 104(a) of the Mine Safety Act and received $100 in penalties related to non-S&amp;S violations. In 2013, BNI Coal had a S&amp;S citation under Section 104(a) of the Mine and Safety Act for which the Mine Safety and Health Administration proposed a penalty of $52,500; a hearing case has been filed in relation to this penalty. For the quarter ended June 30, 2014,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78" w:name="page79"/>
    <w:bookmarkEnd w:id="78"/>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845"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1, 2014</w:t>
      </w:r>
    </w:p>
    <w:p>
      <w:pPr>
        <w:spacing w:after="0" w:line="96" w:lineRule="exact"/>
        <w:rPr>
          <w:sz w:val="20"/>
          <w:szCs w:val="20"/>
          <w:color w:val="auto"/>
        </w:rPr>
      </w:pPr>
    </w:p>
    <w:p>
      <w:pPr>
        <w:sectPr>
          <w:pgSz w:w="11900" w:h="16838" w:orient="portrait"/>
          <w:cols w:equalWidth="0" w:num="2">
            <w:col w:w="7940" w:space="720"/>
            <w:col w:w="2740"/>
          </w:cols>
          <w:pgMar w:left="240" w:top="845"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-76835</wp:posOffset>
            </wp:positionV>
            <wp:extent cx="1346200" cy="617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00" w:space="660"/>
            <w:col w:w="2740"/>
          </w:cols>
          <w:pgMar w:left="240" w:top="845"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845" w:right="259" w:bottom="1440" w:gutter="0" w:footer="0" w:header="0"/>
          <w:type w:val="continuous"/>
        </w:sect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Strong revenue growth drives ALLETE’s second quarter results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Full year earnings guidance is reaffirmed</w:t>
      </w:r>
    </w:p>
    <w:p>
      <w:pPr>
        <w:spacing w:after="0" w:line="19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DULUTH, Minn. - ALLETE, Inc. (NYSE:ALE) today reported second quarter 2014 earnings of 40 cents per share on net income of $16.8 million compared to 35 cents per share on net income of $14.0 million during the same period last year. Included in this quarter’s results was a $2.5 million after-tax, or 6 cents per share, non-recurring charge associated with a settlement agreement with the Environmental Protection Agency (EPA).</w:t>
      </w:r>
    </w:p>
    <w:p>
      <w:pPr>
        <w:spacing w:after="0" w:line="1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for the second quarter of 2014 rose by 10.7 percent to $260.7 million versus $235.6 million a year ago. This quarter’s earnings per share included 2 cents per share of dilution due to an increase in common shares year over year.</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Net income at 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and Power and the company’s investment in the American Transmission Co., rose to $17.5 million compared to $16.3 million in the same period of 2013, despite the inclusion of the aforementioned non-recurring charge in this quarter’s results. The net income increase was primarily due to higher cost recovery revenue as a result of ongoing work on the Boswell 4 environmental retrofit and Bison 4 wind energy projects. Electric sales were similar to the second quarter of 2013, and reflected continued strong demand from Minnesota Power’s industrial customers.</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which includes BNI Coal, ALLETE Clean Energy, ALLETE Properties, and miscellaneous corporate income and expense, reported a net loss of $0.7 million for the quarter, an improvement of $1.6 million from the same period in 2013. ALLETE Clean Energy posted a profit from its newly acquired wind energy facilities in Minnesota, Iowa and Oregon. Results at BNI Coal and ALLETE Properties were similar to the second quarter of last year.</w:t>
      </w:r>
    </w:p>
    <w:p>
      <w:pPr>
        <w:spacing w:after="0" w:line="14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“Demand nominations we’ve just received indicate our taconite customers will continue to operate at full demand levels through the remainder of 2014,” said ALLETE Chairman, President and CEO Al Hodnik. “We’re pleased to be on track with the earnings projections we made earlier this year.” Hodnik said the 2014 full year earnings guidance range remains unchanged at $2.75 to $2.95, excluding 3 cents per share of costs recorded in the first quarter associated with an ALLETE Clean Energy acquisition, and this quarter’s non-recurring 6 cents per share charge associated with the EPA settlement.</w:t>
      </w:r>
    </w:p>
    <w:p>
      <w:pPr>
        <w:spacing w:after="0" w:line="1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will host a conference call and webcast at 10 a.m. Eastern time today to discuss details of its quarterly performance. Interested parties may listen live by calling (877) 303-5852, or by accessing the webcast at www.allete.com. A replay of the call will be available through August 3, 2014 by dialing (855) 859-2056, pass code 72262344. The webcast will be accessible for one year at www.allete.com.</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BNI Coal in Center, N.D., ALLETE Clean Energy, based in Duluth, and has an eight percent equity interest in the American Transmission Co. More information about ALLETE is available at </w:t>
      </w:r>
      <w:r>
        <w:rPr>
          <w:rFonts w:ascii="Arial" w:cs="Arial" w:eastAsia="Arial" w:hAnsi="Arial"/>
          <w:sz w:val="18"/>
          <w:szCs w:val="18"/>
          <w:u w:val="single" w:color="auto"/>
          <w:color w:val="auto"/>
        </w:rPr>
        <w:t>www.allete.com</w:t>
      </w:r>
      <w:r>
        <w:rPr>
          <w:rFonts w:ascii="Arial" w:cs="Arial" w:eastAsia="Arial" w:hAnsi="Arial"/>
          <w:sz w:val="18"/>
          <w:szCs w:val="18"/>
          <w:color w:val="auto"/>
        </w:rPr>
        <w:t>.</w:t>
      </w:r>
    </w:p>
    <w:p>
      <w:pPr>
        <w:spacing w:after="0" w:line="14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ectPr>
          <w:pgSz w:w="11900" w:h="16838" w:orient="portrait"/>
          <w:cols w:equalWidth="0" w:num="1">
            <w:col w:w="11400"/>
          </w:cols>
          <w:pgMar w:left="240" w:top="845" w:right="259" w:bottom="1440" w:gutter="0" w:footer="0" w:header="0"/>
          <w:type w:val="continuous"/>
        </w:sectPr>
      </w:pPr>
    </w:p>
    <w:bookmarkStart w:id="79" w:name="page80"/>
    <w:bookmarkEnd w:id="79"/>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665" w:right="2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96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6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r>
      <w:tr>
        <w:trPr>
          <w:trHeight w:val="270"/>
        </w:trPr>
        <w:tc>
          <w:tcPr>
            <w:tcW w:w="5240" w:type="dxa"/>
            <w:vAlign w:val="bottom"/>
          </w:tcPr>
          <w:p>
            <w:pPr>
              <w:spacing w:after="0"/>
              <w:rPr>
                <w:sz w:val="23"/>
                <w:szCs w:val="23"/>
                <w:color w:val="auto"/>
              </w:rPr>
            </w:pPr>
          </w:p>
        </w:tc>
        <w:tc>
          <w:tcPr>
            <w:tcW w:w="19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$260.7</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$235.6</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$557.2</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$499.4</w:t>
            </w:r>
          </w:p>
        </w:tc>
      </w:tr>
      <w:tr>
        <w:trPr>
          <w:trHeight w:val="237"/>
        </w:trPr>
        <w:tc>
          <w:tcPr>
            <w:tcW w:w="5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9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83.6</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78.7</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179.8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165.2</w:t>
            </w:r>
          </w:p>
        </w:tc>
      </w:tr>
      <w:tr>
        <w:trPr>
          <w:trHeight w:val="27"/>
        </w:trPr>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115.1</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103.8</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234.9</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208.5</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33.8</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28.7</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66.0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56.9</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232.5</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211.2</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480.7</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430.6</w:t>
            </w:r>
          </w:p>
        </w:tc>
      </w:tr>
      <w:tr>
        <w:trPr>
          <w:trHeight w:val="243"/>
        </w:trPr>
        <w:tc>
          <w:tcPr>
            <w:tcW w:w="5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28.2</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24.4</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76.5</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68.8</w:t>
            </w:r>
          </w:p>
        </w:tc>
      </w:tr>
      <w:tr>
        <w:trPr>
          <w:trHeight w:val="237"/>
        </w:trPr>
        <w:tc>
          <w:tcPr>
            <w:tcW w:w="5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9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(13.5)</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(12.8)</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(26.3)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(25.1)</w:t>
            </w:r>
          </w:p>
        </w:tc>
      </w:tr>
      <w:tr>
        <w:trPr>
          <w:trHeight w:val="27"/>
        </w:trPr>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5.2</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10.3</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10.2</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1.9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3.9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4.2</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1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(6.4)</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(12.1)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w:t>
            </w:r>
          </w:p>
        </w:tc>
      </w:tr>
      <w:tr>
        <w:trPr>
          <w:trHeight w:val="237"/>
        </w:trPr>
        <w:tc>
          <w:tcPr>
            <w:tcW w:w="5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21.8</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64.4</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4.9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13.7</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11.6</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16.9</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14.0</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50.7</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46.5</w:t>
            </w:r>
          </w:p>
        </w:tc>
      </w:tr>
      <w:tr>
        <w:trPr>
          <w:trHeight w:val="237"/>
        </w:trPr>
        <w:tc>
          <w:tcPr>
            <w:tcW w:w="5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9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0.1</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0.4</w:t>
            </w:r>
          </w:p>
        </w:tc>
        <w:tc>
          <w:tcPr>
            <w:tcW w:w="9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$16.8</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$14.0</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$50.3</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$46.5</w:t>
            </w:r>
          </w:p>
        </w:tc>
      </w:tr>
      <w:tr>
        <w:trPr>
          <w:trHeight w:val="237"/>
        </w:trPr>
        <w:tc>
          <w:tcPr>
            <w:tcW w:w="5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9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Basic</w:t>
            </w:r>
          </w:p>
        </w:tc>
        <w:tc>
          <w:tcPr>
            <w:tcW w:w="1940" w:type="dxa"/>
            <w:vAlign w:val="bottom"/>
          </w:tcPr>
          <w:p>
            <w:pPr>
              <w:jc w:val="right"/>
              <w:ind w:right="630"/>
              <w:spacing w:after="0"/>
              <w:rPr>
                <w:sz w:val="20"/>
                <w:szCs w:val="20"/>
                <w:color w:val="auto"/>
              </w:rPr>
            </w:pPr>
            <w:r>
              <w:rPr>
                <w:rFonts w:ascii="Arial" w:cs="Arial" w:eastAsia="Arial" w:hAnsi="Arial"/>
                <w:sz w:val="18"/>
                <w:szCs w:val="18"/>
                <w:color w:val="auto"/>
              </w:rPr>
              <w:t>42.1</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39.4</w:t>
            </w:r>
          </w:p>
        </w:tc>
        <w:tc>
          <w:tcPr>
            <w:tcW w:w="1680" w:type="dxa"/>
            <w:vAlign w:val="bottom"/>
          </w:tcPr>
          <w:p>
            <w:pPr>
              <w:jc w:val="right"/>
              <w:ind w:right="670"/>
              <w:spacing w:after="0"/>
              <w:rPr>
                <w:sz w:val="20"/>
                <w:szCs w:val="20"/>
                <w:color w:val="auto"/>
              </w:rPr>
            </w:pPr>
            <w:r>
              <w:rPr>
                <w:rFonts w:ascii="Arial" w:cs="Arial" w:eastAsia="Arial" w:hAnsi="Arial"/>
                <w:sz w:val="18"/>
                <w:szCs w:val="18"/>
                <w:color w:val="auto"/>
              </w:rPr>
              <w:t>41.7</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39.2</w:t>
            </w:r>
          </w:p>
        </w:tc>
      </w:tr>
      <w:tr>
        <w:trPr>
          <w:trHeight w:val="27"/>
        </w:trPr>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9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42.3</w:t>
            </w: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39.6</w:t>
            </w:r>
          </w:p>
        </w:tc>
        <w:tc>
          <w:tcPr>
            <w:tcW w:w="16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41.9</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39.3</w:t>
            </w:r>
          </w:p>
        </w:tc>
      </w:tr>
      <w:tr>
        <w:trPr>
          <w:trHeight w:val="237"/>
        </w:trPr>
        <w:tc>
          <w:tcPr>
            <w:tcW w:w="5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9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$0.40</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$0.36</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$1.21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$1.19</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$0.40</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$0.35</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$1.20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$1.18</w:t>
            </w:r>
          </w:p>
        </w:tc>
      </w:tr>
      <w:tr>
        <w:trPr>
          <w:trHeight w:val="27"/>
        </w:trPr>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$0.49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$0.475</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$0.98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$0.95</w:t>
            </w:r>
          </w:p>
        </w:tc>
      </w:tr>
      <w:tr>
        <w:trPr>
          <w:trHeight w:val="27"/>
        </w:trPr>
        <w:tc>
          <w:tcPr>
            <w:tcW w:w="5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$213.4</w:t>
            </w:r>
          </w:p>
        </w:tc>
        <w:tc>
          <w:tcPr>
            <w:tcW w:w="84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3,020.4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2,576.5</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496.3</w:t>
            </w:r>
          </w:p>
        </w:tc>
        <w:tc>
          <w:tcPr>
            <w:tcW w:w="84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117.0</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1,417.5</w:t>
            </w:r>
          </w:p>
        </w:tc>
        <w:tc>
          <w:tcPr>
            <w:tcW w:w="840" w:type="dxa"/>
            <w:vAlign w:val="bottom"/>
          </w:tcPr>
          <w:p>
            <w:pPr>
              <w:jc w:val="right"/>
              <w:spacing w:after="0"/>
              <w:rPr>
                <w:sz w:val="20"/>
                <w:szCs w:val="20"/>
                <w:color w:val="auto"/>
              </w:rPr>
            </w:pPr>
            <w:r>
              <w:rPr>
                <w:rFonts w:ascii="Arial" w:cs="Arial" w:eastAsia="Arial" w:hAnsi="Arial"/>
                <w:sz w:val="18"/>
                <w:szCs w:val="18"/>
                <w:color w:val="auto"/>
              </w:rPr>
              <w:t>1,342.9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$3,895.6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60" w:top="364" w:right="25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1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Quarter Ended</w:t>
            </w:r>
          </w:p>
        </w:tc>
        <w:tc>
          <w:tcPr>
            <w:tcW w:w="312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6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60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2014</w:t>
            </w:r>
          </w:p>
        </w:tc>
        <w:tc>
          <w:tcPr>
            <w:tcW w:w="1540" w:type="dxa"/>
            <w:vAlign w:val="bottom"/>
          </w:tcPr>
          <w:p>
            <w:pPr>
              <w:jc w:val="right"/>
              <w:ind w:right="970"/>
              <w:spacing w:after="0"/>
              <w:rPr>
                <w:sz w:val="20"/>
                <w:szCs w:val="20"/>
                <w:color w:val="auto"/>
              </w:rPr>
            </w:pPr>
            <w:r>
              <w:rPr>
                <w:rFonts w:ascii="Arial" w:cs="Arial" w:eastAsia="Arial" w:hAnsi="Arial"/>
                <w:sz w:val="18"/>
                <w:szCs w:val="18"/>
                <w:b w:val="1"/>
                <w:bCs w:val="1"/>
                <w:color w:val="auto"/>
              </w:rPr>
              <w:t>2013</w:t>
            </w:r>
          </w:p>
        </w:tc>
        <w:tc>
          <w:tcPr>
            <w:tcW w:w="190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2014</w:t>
            </w: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6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$17.5</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$16.3</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$51.4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$48.4</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600" w:type="dxa"/>
            <w:vAlign w:val="bottom"/>
          </w:tcPr>
          <w:p>
            <w:pPr>
              <w:jc w:val="right"/>
              <w:ind w:right="750"/>
              <w:spacing w:after="0"/>
              <w:rPr>
                <w:sz w:val="20"/>
                <w:szCs w:val="20"/>
                <w:color w:val="auto"/>
              </w:rPr>
            </w:pPr>
            <w:r>
              <w:rPr>
                <w:rFonts w:ascii="Arial" w:cs="Arial" w:eastAsia="Arial" w:hAnsi="Arial"/>
                <w:sz w:val="18"/>
                <w:szCs w:val="18"/>
                <w:color w:val="auto"/>
              </w:rPr>
              <w:t>(0.7)</w:t>
            </w: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(2.3)</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(1.9)</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6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$16.8</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$14.0</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$50.3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$46.5</w:t>
            </w:r>
          </w:p>
        </w:tc>
      </w:tr>
      <w:tr>
        <w:trPr>
          <w:trHeight w:val="237"/>
        </w:trPr>
        <w:tc>
          <w:tcPr>
            <w:tcW w:w="4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$0.40</w:t>
            </w:r>
          </w:p>
        </w:tc>
        <w:tc>
          <w:tcPr>
            <w:tcW w:w="15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$0.35</w:t>
            </w:r>
          </w:p>
        </w:tc>
        <w:tc>
          <w:tcPr>
            <w:tcW w:w="1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$1.20</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$1.18</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High</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$52.54</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$52.25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$52.73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$52.25</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$47.51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$46.85</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$47.51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$41.39</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Close</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$51.35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$49.85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$51.35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$49.85</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$33.22</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$31.12</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$33.22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$31.12</w:t>
            </w:r>
          </w:p>
        </w:tc>
      </w:tr>
      <w:tr>
        <w:trPr>
          <w:trHeight w:val="59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249</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647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605</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333</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335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728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712</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225</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440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499</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1,788</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1,769</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3,604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3,614</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2,568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2,580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5,419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5,430</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631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610</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1,331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1,201</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3,199</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3,190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6,750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6,631</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64</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64</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3,229</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3,223</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6,814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6,695</w:t>
            </w:r>
          </w:p>
        </w:tc>
      </w:tr>
      <w:tr>
        <w:trPr>
          <w:trHeight w:val="588"/>
        </w:trPr>
        <w:tc>
          <w:tcPr>
            <w:tcW w:w="4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6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$65.8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$59.8</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30.9</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29.3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66.0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62.5</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14.5</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31.0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32.4</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108.7</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101.6</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220.1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210.1</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179.8</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171.4</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382.9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364.8</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24.1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22.4</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53.7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44.7</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57.2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47.7</w:t>
            </w:r>
          </w:p>
        </w:tc>
      </w:tr>
      <w:tr>
        <w:trPr>
          <w:trHeight w:val="237"/>
        </w:trPr>
        <w:tc>
          <w:tcPr>
            <w:tcW w:w="4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$229.6</w:t>
            </w:r>
          </w:p>
        </w:tc>
        <w:tc>
          <w:tcPr>
            <w:tcW w:w="1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$215.8</w:t>
            </w:r>
          </w:p>
        </w:tc>
        <w:tc>
          <w:tcPr>
            <w:tcW w:w="19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$493.8</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$457.2</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4"/>
      <w:numFmt w:val="bullet"/>
      <w:start w:val="1"/>
    </w:lvl>
  </w:abstractNum>
  <w:abstractNum w:abstractNumId="17">
    <w:nsid w:val="75A2A8D4"/>
    <w:multiLevelType w:val="hybridMultilevel"/>
    <w:lvl w:ilvl="0">
      <w:lvlJc w:val="left"/>
      <w:lvlText w:val="%1"/>
      <w:numFmt w:val="decimal"/>
      <w:start w:val="32"/>
    </w:lvl>
  </w:abstractNum>
  <w:abstractNum w:abstractNumId="18">
    <w:nsid w:val="8EDBDAB"/>
    <w:multiLevelType w:val="hybridMultilevel"/>
    <w:lvl w:ilvl="0">
      <w:lvlJc w:val="left"/>
      <w:lvlText w:val="%1"/>
      <w:numFmt w:val="decimal"/>
      <w:start w:val="99"/>
    </w:lvl>
  </w:abstractNum>
  <w:abstractNum w:abstractNumId="19">
    <w:nsid w:val="79838CB2"/>
    <w:multiLevelType w:val="hybridMultilevel"/>
    <w:lvl w:ilvl="0">
      <w:lvlJc w:val="left"/>
      <w:lvlText w:val="(%1)"/>
      <w:numFmt w:val="upperLetter"/>
      <w:start w:val="9"/>
    </w:lvl>
  </w:abstractNum>
  <w:abstractNum w:abstractNumId="20">
    <w:nsid w:val="4353D0CD"/>
    <w:multiLevelType w:val="hybridMultilevel"/>
    <w:lvl w:ilvl="0">
      <w:lvlJc w:val="left"/>
      <w:lvlText w:val="(%1)"/>
      <w:numFmt w:val="upperLetter"/>
      <w:start w:val="35"/>
    </w:lvl>
    <w:lvl w:ilvl="1">
      <w:lvlJc w:val="left"/>
      <w:lvlText w:val="(%2)"/>
      <w:numFmt w:val="upperLetter"/>
      <w:start w:val="61"/>
    </w:lvl>
  </w:abstractNum>
  <w:abstractNum w:abstractNumId="21">
    <w:nsid w:val="B03E0C6"/>
    <w:multiLevelType w:val="hybridMultilevel"/>
    <w:lvl w:ilvl="0">
      <w:lvlJc w:val="left"/>
      <w:lvlText w:val="(%1)"/>
      <w:numFmt w:val="upperLetter"/>
      <w:start w:val="22"/>
    </w:lvl>
  </w:abstractNum>
  <w:abstractNum w:abstractNumId="22">
    <w:nsid w:val="189A769B"/>
    <w:multiLevelType w:val="hybridMultilevel"/>
    <w:lvl w:ilvl="0">
      <w:lvlJc w:val="left"/>
      <w:lvlText w:val="(%1)"/>
      <w:numFmt w:val="upperLetter"/>
      <w:start w:val="9"/>
    </w:lvl>
  </w:abstractNum>
  <w:abstractNum w:abstractNumId="23">
    <w:nsid w:val="54E49EB4"/>
    <w:multiLevelType w:val="hybridMultilevel"/>
    <w:lvl w:ilvl="0">
      <w:lvlJc w:val="left"/>
      <w:lvlText w:val="(%1)"/>
      <w:numFmt w:val="upperLetter"/>
      <w:start w:val="35"/>
    </w:lvl>
  </w:abstractNum>
  <w:abstractNum w:abstractNumId="24">
    <w:nsid w:val="71F32454"/>
    <w:multiLevelType w:val="hybridMultilevel"/>
    <w:lvl w:ilvl="0">
      <w:lvlJc w:val="left"/>
      <w:lvlText w:val="(%1)"/>
      <w:numFmt w:val="upperLetter"/>
      <w:start w:val="61"/>
    </w:lvl>
  </w:abstractNum>
  <w:abstractNum w:abstractNumId="25">
    <w:nsid w:val="2CA88611"/>
    <w:multiLevelType w:val="hybridMultilevel"/>
    <w:lvl w:ilvl="0">
      <w:lvlJc w:val="left"/>
      <w:lvlText w:val="(%1)"/>
      <w:numFmt w:val="upperLetter"/>
      <w:start w:val="22"/>
    </w:lvl>
  </w:abstractNum>
  <w:abstractNum w:abstractNumId="26">
    <w:nsid w:val="836C40E"/>
    <w:multiLevelType w:val="hybridMultilevel"/>
    <w:lvl w:ilvl="0">
      <w:lvlJc w:val="left"/>
      <w:lvlText w:val="(%1)"/>
      <w:numFmt w:val="upp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2019-12-05T11:51:56Z</dcterms:created>
  <dcterms:modified xsi:type="dcterms:W3CDTF">2019-12-05T11:51:56Z</dcterms:modified>
</cp:coreProperties>
</file>