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10-Q</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173" w:lineRule="exact"/>
        <w:rPr>
          <w:sz w:val="24"/>
          <w:szCs w:val="24"/>
          <w:color w:val="auto"/>
        </w:rPr>
      </w:pPr>
    </w:p>
    <w:p>
      <w:pPr>
        <w:ind w:left="440" w:right="3339"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/X/</w:t>
        <w:tab/>
        <w:t>Quarterly Report Pursuant to Section 13 or 15(d) of the Securities Exchange Act of 1934</w:t>
      </w:r>
    </w:p>
    <w:p>
      <w:pPr>
        <w:spacing w:after="0" w:line="160"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For the quarterly period ended JUNE 30, 2007</w:t>
      </w:r>
    </w:p>
    <w:p>
      <w:pPr>
        <w:spacing w:after="0" w:line="173"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ind w:left="440" w:right="3339" w:hanging="432"/>
        <w:spacing w:after="0" w:line="255" w:lineRule="auto"/>
        <w:tabs>
          <w:tab w:leader="none" w:pos="18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60"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For the transition period from ______________ to ______________</w:t>
      </w:r>
    </w:p>
    <w:p>
      <w:pPr>
        <w:spacing w:after="0" w:line="338"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Commission File Number 1-3548</w:t>
      </w:r>
    </w:p>
    <w:p>
      <w:pPr>
        <w:spacing w:after="0" w:line="33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173"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MINNESOTA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of incorporation or</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41-0418150</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338" w:lineRule="exact"/>
        <w:rPr>
          <w:sz w:val="24"/>
          <w:szCs w:val="24"/>
          <w:color w:val="auto"/>
        </w:rPr>
      </w:pPr>
    </w:p>
    <w:p>
      <w:pPr>
        <w:sectPr>
          <w:pgSz w:w="11900" w:h="16838" w:orient="portrait"/>
          <w:cols w:equalWidth="0" w:num="2">
            <w:col w:w="4460" w:space="720"/>
            <w:col w:w="5059"/>
          </w:cols>
          <w:pgMar w:left="220" w:top="561" w:right="1440" w:bottom="1440" w:gutter="0" w:footer="0" w:header="0"/>
          <w:type w:val="continuous"/>
        </w:sectPr>
      </w:pPr>
    </w:p>
    <w:p>
      <w:pPr>
        <w:ind w:left="2500"/>
        <w:spacing w:after="0"/>
        <w:rPr>
          <w:sz w:val="20"/>
          <w:szCs w:val="20"/>
          <w:color w:val="auto"/>
        </w:rPr>
      </w:pPr>
      <w:r>
        <w:rPr>
          <w:rFonts w:ascii="Courier New" w:cs="Courier New" w:eastAsia="Courier New" w:hAnsi="Courier New"/>
          <w:sz w:val="14"/>
          <w:szCs w:val="14"/>
          <w:color w:val="auto"/>
        </w:rPr>
        <w:t>30 WEST SUPERIOR STREET</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DULUTH, MINNESOTA 55802-2093</w:t>
      </w:r>
    </w:p>
    <w:p>
      <w:pPr>
        <w:spacing w:after="0" w:line="7"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(218) 279-5000</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(Registrant's telephone number, including area code)</w:t>
      </w:r>
    </w:p>
    <w:p>
      <w:pPr>
        <w:sectPr>
          <w:pgSz w:w="11900" w:h="16838" w:orient="portrait"/>
          <w:cols w:equalWidth="0" w:num="1">
            <w:col w:w="10239"/>
          </w:cols>
          <w:pgMar w:left="220" w:top="561" w:right="1440" w:bottom="1440" w:gutter="0" w:footer="0" w:header="0"/>
          <w:type w:val="continuous"/>
        </w:sectPr>
      </w:pPr>
    </w:p>
    <w:p>
      <w:pPr>
        <w:spacing w:after="0" w:line="338" w:lineRule="exact"/>
        <w:rPr>
          <w:sz w:val="24"/>
          <w:szCs w:val="24"/>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 / No</w:t>
      </w:r>
    </w:p>
    <w:p>
      <w:pPr>
        <w:spacing w:after="0" w:line="165" w:lineRule="exact"/>
        <w:rPr>
          <w:sz w:val="24"/>
          <w:szCs w:val="24"/>
          <w:color w:val="auto"/>
        </w:rPr>
      </w:pPr>
    </w:p>
    <w:p>
      <w:pPr>
        <w:jc w:val="both"/>
        <w:ind w:right="3339"/>
        <w:spacing w:after="0" w:line="253" w:lineRule="auto"/>
        <w:rPr>
          <w:sz w:val="20"/>
          <w:szCs w:val="20"/>
          <w:color w:val="auto"/>
        </w:rPr>
      </w:pPr>
      <w:r>
        <w:rPr>
          <w:rFonts w:ascii="Courier New" w:cs="Courier New" w:eastAsia="Courier New" w:hAnsi="Courier New"/>
          <w:sz w:val="14"/>
          <w:szCs w:val="14"/>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327" w:lineRule="exact"/>
        <w:rPr>
          <w:sz w:val="24"/>
          <w:szCs w:val="24"/>
          <w:color w:val="auto"/>
        </w:rPr>
      </w:pPr>
    </w:p>
    <w:p>
      <w:pPr>
        <w:spacing w:after="0"/>
        <w:tabs>
          <w:tab w:leader="none" w:pos="2580" w:val="left"/>
          <w:tab w:leader="none" w:pos="4720" w:val="left"/>
        </w:tabs>
        <w:rPr>
          <w:sz w:val="20"/>
          <w:szCs w:val="20"/>
          <w:color w:val="auto"/>
        </w:rPr>
      </w:pPr>
      <w:r>
        <w:rPr>
          <w:rFonts w:ascii="Courier New" w:cs="Courier New" w:eastAsia="Courier New" w:hAnsi="Courier New"/>
          <w:sz w:val="14"/>
          <w:szCs w:val="14"/>
          <w:color w:val="auto"/>
        </w:rPr>
        <w:t>Large Accelerated Filer /X/</w:t>
      </w:r>
      <w:r>
        <w:rPr>
          <w:sz w:val="20"/>
          <w:szCs w:val="20"/>
          <w:color w:val="auto"/>
        </w:rPr>
        <w:tab/>
      </w:r>
      <w:r>
        <w:rPr>
          <w:rFonts w:ascii="Courier New" w:cs="Courier New" w:eastAsia="Courier New" w:hAnsi="Courier New"/>
          <w:sz w:val="14"/>
          <w:szCs w:val="14"/>
          <w:color w:val="auto"/>
        </w:rPr>
        <w:t>Accelerated Filer / /</w:t>
      </w:r>
      <w:r>
        <w:rPr>
          <w:sz w:val="20"/>
          <w:szCs w:val="20"/>
          <w:color w:val="auto"/>
        </w:rPr>
        <w:tab/>
      </w:r>
      <w:r>
        <w:rPr>
          <w:rFonts w:ascii="Courier New" w:cs="Courier New" w:eastAsia="Courier New" w:hAnsi="Courier New"/>
          <w:sz w:val="14"/>
          <w:szCs w:val="14"/>
          <w:color w:val="auto"/>
        </w:rPr>
        <w:t>Non-Accelerated Filer / /</w:t>
      </w:r>
    </w:p>
    <w:p>
      <w:pPr>
        <w:spacing w:after="0" w:line="173" w:lineRule="exact"/>
        <w:rPr>
          <w:sz w:val="24"/>
          <w:szCs w:val="24"/>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Indicate by check mark whether the registrant is a shell company (as defined in Rule 12b-2 of the Exchange Act). / / Yes /X/ No</w:t>
      </w:r>
    </w:p>
    <w:p>
      <w:pPr>
        <w:spacing w:after="0" w:line="160"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Common Stock, no par value,</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30,701,629 shares outstanding</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as of June 30, 2007</w:t>
      </w:r>
    </w:p>
    <w:p>
      <w:pPr>
        <w:sectPr>
          <w:pgSz w:w="11900" w:h="16838" w:orient="portrait"/>
          <w:cols w:equalWidth="0" w:num="1">
            <w:col w:w="10239"/>
          </w:cols>
          <w:pgMar w:left="220" w:top="56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20" w:type="dxa"/>
            <w:vAlign w:val="bottom"/>
          </w:tcPr>
          <w:p>
            <w:pPr>
              <w:ind w:left="1460"/>
              <w:spacing w:after="0"/>
              <w:rPr>
                <w:sz w:val="20"/>
                <w:szCs w:val="20"/>
                <w:color w:val="auto"/>
              </w:rPr>
            </w:pPr>
            <w:r>
              <w:rPr>
                <w:rFonts w:ascii="Courier New" w:cs="Courier New" w:eastAsia="Courier New" w:hAnsi="Courier New"/>
                <w:sz w:val="14"/>
                <w:szCs w:val="14"/>
                <w:color w:val="auto"/>
              </w:rPr>
              <w:t>INDEX</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31"/>
        </w:trPr>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Definitions</w:t>
            </w:r>
          </w:p>
        </w:tc>
        <w:tc>
          <w:tcPr>
            <w:tcW w:w="48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331"/>
        </w:trPr>
        <w:tc>
          <w:tcPr>
            <w:tcW w:w="6380" w:type="dxa"/>
            <w:vAlign w:val="bottom"/>
            <w:gridSpan w:val="3"/>
          </w:tcPr>
          <w:p>
            <w:pPr>
              <w:spacing w:after="0"/>
              <w:rPr>
                <w:sz w:val="20"/>
                <w:szCs w:val="20"/>
                <w:color w:val="auto"/>
              </w:rPr>
            </w:pPr>
            <w:r>
              <w:rPr>
                <w:rFonts w:ascii="Courier New" w:cs="Courier New" w:eastAsia="Courier New" w:hAnsi="Courier New"/>
                <w:sz w:val="14"/>
                <w:szCs w:val="14"/>
                <w:color w:val="auto"/>
              </w:rPr>
              <w:t>Safe Harbor Statement Under the Private Securities Litigation Reform Act</w:t>
            </w:r>
          </w:p>
        </w:tc>
        <w:tc>
          <w:tcPr>
            <w:tcW w:w="520" w:type="dxa"/>
            <w:vAlign w:val="bottom"/>
          </w:tcPr>
          <w:p>
            <w:pPr>
              <w:spacing w:after="0"/>
              <w:rPr>
                <w:sz w:val="24"/>
                <w:szCs w:val="24"/>
                <w:color w:val="auto"/>
              </w:rPr>
            </w:pP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of 1995</w:t>
            </w:r>
          </w:p>
        </w:tc>
        <w:tc>
          <w:tcPr>
            <w:tcW w:w="8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Part I.</w:t>
            </w:r>
          </w:p>
        </w:tc>
        <w:tc>
          <w:tcPr>
            <w:tcW w:w="5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Financial Information</w:t>
            </w:r>
          </w:p>
        </w:tc>
        <w:tc>
          <w:tcPr>
            <w:tcW w:w="520" w:type="dxa"/>
            <w:vAlign w:val="bottom"/>
          </w:tcPr>
          <w:p>
            <w:pPr>
              <w:spacing w:after="0"/>
              <w:rPr>
                <w:sz w:val="24"/>
                <w:szCs w:val="24"/>
                <w:color w:val="auto"/>
              </w:rPr>
            </w:pPr>
          </w:p>
        </w:tc>
      </w:tr>
      <w:tr>
        <w:trPr>
          <w:trHeight w:val="331"/>
        </w:trPr>
        <w:tc>
          <w:tcPr>
            <w:tcW w:w="70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Item 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Financial Statements</w:t>
            </w:r>
          </w:p>
        </w:tc>
        <w:tc>
          <w:tcPr>
            <w:tcW w:w="520" w:type="dxa"/>
            <w:vAlign w:val="bottom"/>
          </w:tcPr>
          <w:p>
            <w:pPr>
              <w:spacing w:after="0"/>
              <w:rPr>
                <w:sz w:val="24"/>
                <w:szCs w:val="24"/>
                <w:color w:val="auto"/>
              </w:rPr>
            </w:pPr>
          </w:p>
        </w:tc>
      </w:tr>
      <w:tr>
        <w:trPr>
          <w:trHeight w:val="331"/>
        </w:trPr>
        <w:tc>
          <w:tcPr>
            <w:tcW w:w="700" w:type="dxa"/>
            <w:vAlign w:val="bottom"/>
          </w:tcPr>
          <w:p>
            <w:pPr>
              <w:spacing w:after="0"/>
              <w:rPr>
                <w:sz w:val="24"/>
                <w:szCs w:val="24"/>
                <w:color w:val="auto"/>
              </w:rPr>
            </w:pPr>
          </w:p>
        </w:tc>
        <w:tc>
          <w:tcPr>
            <w:tcW w:w="56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Consolidated Balance Sheet -</w:t>
            </w:r>
          </w:p>
        </w:tc>
        <w:tc>
          <w:tcPr>
            <w:tcW w:w="52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June 30, 2007 and December 31, 2006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331"/>
        </w:trPr>
        <w:tc>
          <w:tcPr>
            <w:tcW w:w="700" w:type="dxa"/>
            <w:vAlign w:val="bottom"/>
          </w:tcPr>
          <w:p>
            <w:pPr>
              <w:spacing w:after="0"/>
              <w:rPr>
                <w:sz w:val="24"/>
                <w:szCs w:val="24"/>
                <w:color w:val="auto"/>
              </w:rPr>
            </w:pPr>
          </w:p>
        </w:tc>
        <w:tc>
          <w:tcPr>
            <w:tcW w:w="56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Consolidated Statement of Income -</w:t>
            </w:r>
          </w:p>
        </w:tc>
        <w:tc>
          <w:tcPr>
            <w:tcW w:w="52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Quarter and Six Months Ended June 30, 2007 and 2006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1"/>
        </w:trPr>
        <w:tc>
          <w:tcPr>
            <w:tcW w:w="700" w:type="dxa"/>
            <w:vAlign w:val="bottom"/>
          </w:tcPr>
          <w:p>
            <w:pPr>
              <w:spacing w:after="0"/>
              <w:rPr>
                <w:sz w:val="24"/>
                <w:szCs w:val="24"/>
                <w:color w:val="auto"/>
              </w:rPr>
            </w:pPr>
          </w:p>
        </w:tc>
        <w:tc>
          <w:tcPr>
            <w:tcW w:w="56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Consolidated Statement of Cash Flows -</w:t>
            </w:r>
          </w:p>
        </w:tc>
        <w:tc>
          <w:tcPr>
            <w:tcW w:w="52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Six Months Ended June 30, 2007 and 2006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331"/>
        </w:trPr>
        <w:tc>
          <w:tcPr>
            <w:tcW w:w="700" w:type="dxa"/>
            <w:vAlign w:val="bottom"/>
          </w:tcPr>
          <w:p>
            <w:pPr>
              <w:spacing w:after="0"/>
              <w:rPr>
                <w:sz w:val="24"/>
                <w:szCs w:val="24"/>
                <w:color w:val="auto"/>
              </w:rPr>
            </w:pPr>
          </w:p>
        </w:tc>
        <w:tc>
          <w:tcPr>
            <w:tcW w:w="56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331"/>
        </w:trPr>
        <w:tc>
          <w:tcPr>
            <w:tcW w:w="70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Item 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Management's Discussion and Analysis of Financial</w:t>
            </w:r>
          </w:p>
        </w:tc>
        <w:tc>
          <w:tcPr>
            <w:tcW w:w="52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Condition and Results of Operations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331"/>
        </w:trPr>
        <w:tc>
          <w:tcPr>
            <w:tcW w:w="70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Item 3.</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Quantitative and Qualitative Disclosures about Market</w:t>
            </w:r>
          </w:p>
        </w:tc>
        <w:tc>
          <w:tcPr>
            <w:tcW w:w="52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Risk</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331"/>
        </w:trPr>
        <w:tc>
          <w:tcPr>
            <w:tcW w:w="70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Item 4.</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Controls and Procedures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331"/>
        </w:trPr>
        <w:tc>
          <w:tcPr>
            <w:tcW w:w="6380" w:type="dxa"/>
            <w:vAlign w:val="bottom"/>
            <w:gridSpan w:val="3"/>
          </w:tcPr>
          <w:p>
            <w:pPr>
              <w:spacing w:after="0"/>
              <w:rPr>
                <w:sz w:val="20"/>
                <w:szCs w:val="20"/>
                <w:color w:val="auto"/>
              </w:rPr>
            </w:pPr>
            <w:r>
              <w:rPr>
                <w:rFonts w:ascii="Courier New" w:cs="Courier New" w:eastAsia="Courier New" w:hAnsi="Courier New"/>
                <w:sz w:val="14"/>
                <w:szCs w:val="14"/>
                <w:color w:val="auto"/>
              </w:rPr>
              <w:t>Part II. Other Information</w:t>
            </w:r>
          </w:p>
        </w:tc>
        <w:tc>
          <w:tcPr>
            <w:tcW w:w="520" w:type="dxa"/>
            <w:vAlign w:val="bottom"/>
          </w:tcPr>
          <w:p>
            <w:pPr>
              <w:spacing w:after="0"/>
              <w:rPr>
                <w:sz w:val="24"/>
                <w:szCs w:val="24"/>
                <w:color w:val="auto"/>
              </w:rPr>
            </w:pPr>
          </w:p>
        </w:tc>
      </w:tr>
      <w:tr>
        <w:trPr>
          <w:trHeight w:val="331"/>
        </w:trPr>
        <w:tc>
          <w:tcPr>
            <w:tcW w:w="70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Item 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Legal Proceedings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70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Item 1A.</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Risk Factors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70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Item 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Unregistered Sales of Equity Securities and Use of</w:t>
            </w:r>
          </w:p>
        </w:tc>
        <w:tc>
          <w:tcPr>
            <w:tcW w:w="52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Proceeds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70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Item 3.</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Defaults Upon Senior Securities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70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Item 4.</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70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Item 5.</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Other Information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331"/>
        </w:trPr>
        <w:tc>
          <w:tcPr>
            <w:tcW w:w="70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Item 6.</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Exhibits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331"/>
        </w:trPr>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Signatures</w:t>
            </w:r>
          </w:p>
        </w:tc>
        <w:tc>
          <w:tcPr>
            <w:tcW w:w="48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497"/>
        </w:trPr>
        <w:tc>
          <w:tcPr>
            <w:tcW w:w="70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860" w:type="dxa"/>
            <w:vAlign w:val="bottom"/>
          </w:tcPr>
          <w:p>
            <w:pPr>
              <w:spacing w:after="0"/>
              <w:rPr>
                <w:sz w:val="24"/>
                <w:szCs w:val="24"/>
                <w:color w:val="auto"/>
              </w:rPr>
            </w:pPr>
          </w:p>
        </w:tc>
        <w:tc>
          <w:tcPr>
            <w:tcW w:w="4820" w:type="dxa"/>
            <w:vAlign w:val="bottom"/>
          </w:tcPr>
          <w:p>
            <w:pPr>
              <w:ind w:left="340"/>
              <w:spacing w:after="0"/>
              <w:rPr>
                <w:sz w:val="20"/>
                <w:szCs w:val="20"/>
                <w:color w:val="auto"/>
              </w:rPr>
            </w:pPr>
            <w:r>
              <w:rPr>
                <w:rFonts w:ascii="Courier New" w:cs="Courier New" w:eastAsia="Courier New" w:hAnsi="Courier New"/>
                <w:sz w:val="14"/>
                <w:szCs w:val="14"/>
                <w:color w:val="auto"/>
              </w:rPr>
              <w:t>ALLETE Second Quarter 2007 Form 10-Q</w:t>
            </w:r>
          </w:p>
        </w:tc>
        <w:tc>
          <w:tcPr>
            <w:tcW w:w="5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 w:name="page3"/>
    <w:bookmarkEnd w:id="2"/>
    <w:p>
      <w:pPr>
        <w:jc w:val="center"/>
        <w:ind w:right="3259"/>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following abbreviations or acronyms are used in the text. References in this report to "we," "us" and "our" are to ALLETE, Inc. and its subsidiaries, collectively.</w:t>
      </w:r>
    </w:p>
    <w:p>
      <w:pPr>
        <w:spacing w:after="0" w:line="163"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ABBREVIATION OR ACRONYM</w:t>
      </w:r>
      <w:r>
        <w:rPr>
          <w:sz w:val="20"/>
          <w:szCs w:val="20"/>
          <w:color w:val="auto"/>
        </w:rPr>
        <w:tab/>
      </w:r>
      <w:r>
        <w:rPr>
          <w:rFonts w:ascii="Courier New" w:cs="Courier New" w:eastAsia="Courier New" w:hAnsi="Courier New"/>
          <w:sz w:val="14"/>
          <w:szCs w:val="14"/>
          <w:color w:val="auto"/>
        </w:rPr>
        <w:t>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2006 Form 10-K</w:t>
      </w:r>
      <w:r>
        <w:rPr>
          <w:sz w:val="20"/>
          <w:szCs w:val="20"/>
          <w:color w:val="auto"/>
        </w:rPr>
        <w:tab/>
      </w:r>
      <w:r>
        <w:rPr>
          <w:rFonts w:ascii="Courier New" w:cs="Courier New" w:eastAsia="Courier New" w:hAnsi="Courier New"/>
          <w:sz w:val="14"/>
          <w:szCs w:val="14"/>
          <w:color w:val="auto"/>
        </w:rPr>
        <w:t>ALLETE's Annual Report on Form 10-K for</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the Year Ended December 31, 2006</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ALLETE</w:t>
      </w:r>
      <w:r>
        <w:rPr>
          <w:sz w:val="20"/>
          <w:szCs w:val="20"/>
          <w:color w:val="auto"/>
        </w:rPr>
        <w:tab/>
      </w:r>
      <w:r>
        <w:rPr>
          <w:rFonts w:ascii="Courier New" w:cs="Courier New" w:eastAsia="Courier New" w:hAnsi="Courier New"/>
          <w:sz w:val="14"/>
          <w:szCs w:val="14"/>
          <w:color w:val="auto"/>
        </w:rPr>
        <w:t>ALLETE, Inc.</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ALLETE Properties</w:t>
      </w:r>
      <w:r>
        <w:rPr>
          <w:sz w:val="20"/>
          <w:szCs w:val="20"/>
          <w:color w:val="auto"/>
        </w:rPr>
        <w:tab/>
      </w:r>
      <w:r>
        <w:rPr>
          <w:rFonts w:ascii="Courier New" w:cs="Courier New" w:eastAsia="Courier New" w:hAnsi="Courier New"/>
          <w:sz w:val="14"/>
          <w:szCs w:val="14"/>
          <w:color w:val="auto"/>
        </w:rPr>
        <w:t>ALLETE Properties, LLC</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AREA</w:t>
      </w:r>
      <w:r>
        <w:rPr>
          <w:sz w:val="20"/>
          <w:szCs w:val="20"/>
          <w:color w:val="auto"/>
        </w:rPr>
        <w:tab/>
      </w:r>
      <w:r>
        <w:rPr>
          <w:rFonts w:ascii="Courier New" w:cs="Courier New" w:eastAsia="Courier New" w:hAnsi="Courier New"/>
          <w:sz w:val="14"/>
          <w:szCs w:val="14"/>
          <w:color w:val="auto"/>
        </w:rPr>
        <w:t>Arrowhead Regional Emission Abatement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Plan</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ATC</w:t>
      </w:r>
      <w:r>
        <w:rPr>
          <w:sz w:val="20"/>
          <w:szCs w:val="20"/>
          <w:color w:val="auto"/>
        </w:rPr>
        <w:tab/>
      </w:r>
      <w:r>
        <w:rPr>
          <w:rFonts w:ascii="Courier New" w:cs="Courier New" w:eastAsia="Courier New" w:hAnsi="Courier New"/>
          <w:sz w:val="14"/>
          <w:szCs w:val="14"/>
          <w:color w:val="auto"/>
        </w:rPr>
        <w:t>American Transmission Company LLC</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BNI Coal</w:t>
      </w:r>
      <w:r>
        <w:rPr>
          <w:sz w:val="20"/>
          <w:szCs w:val="20"/>
          <w:color w:val="auto"/>
        </w:rPr>
        <w:tab/>
      </w:r>
      <w:r>
        <w:rPr>
          <w:rFonts w:ascii="Courier New" w:cs="Courier New" w:eastAsia="Courier New" w:hAnsi="Courier New"/>
          <w:sz w:val="14"/>
          <w:szCs w:val="14"/>
          <w:color w:val="auto"/>
        </w:rPr>
        <w:t>BNI Coal, Ltd.</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Boswell</w:t>
      </w:r>
      <w:r>
        <w:rPr>
          <w:sz w:val="20"/>
          <w:szCs w:val="20"/>
          <w:color w:val="auto"/>
        </w:rPr>
        <w:tab/>
      </w:r>
      <w:r>
        <w:rPr>
          <w:rFonts w:ascii="Courier New" w:cs="Courier New" w:eastAsia="Courier New" w:hAnsi="Courier New"/>
          <w:sz w:val="14"/>
          <w:szCs w:val="14"/>
          <w:color w:val="auto"/>
        </w:rPr>
        <w:t>Boswell Energy Center</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ALLETE, Inc. and its subsidiaries</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DOC</w:t>
      </w:r>
      <w:r>
        <w:rPr>
          <w:sz w:val="20"/>
          <w:szCs w:val="20"/>
          <w:color w:val="auto"/>
        </w:rPr>
        <w:tab/>
      </w:r>
      <w:r>
        <w:rPr>
          <w:rFonts w:ascii="Courier New" w:cs="Courier New" w:eastAsia="Courier New" w:hAnsi="Courier New"/>
          <w:sz w:val="14"/>
          <w:szCs w:val="14"/>
          <w:color w:val="auto"/>
        </w:rPr>
        <w:t>Minnesota Department of Commerce</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EITF</w:t>
      </w:r>
      <w:r>
        <w:rPr>
          <w:sz w:val="20"/>
          <w:szCs w:val="20"/>
          <w:color w:val="auto"/>
        </w:rPr>
        <w:tab/>
      </w:r>
      <w:r>
        <w:rPr>
          <w:rFonts w:ascii="Courier New" w:cs="Courier New" w:eastAsia="Courier New" w:hAnsi="Courier New"/>
          <w:sz w:val="14"/>
          <w:szCs w:val="14"/>
          <w:color w:val="auto"/>
        </w:rPr>
        <w:t>Emerging Issues Task Force Issue No.</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EPA</w:t>
      </w:r>
      <w:r>
        <w:rPr>
          <w:sz w:val="20"/>
          <w:szCs w:val="20"/>
          <w:color w:val="auto"/>
        </w:rPr>
        <w:tab/>
      </w:r>
      <w:r>
        <w:rPr>
          <w:rFonts w:ascii="Courier New" w:cs="Courier New" w:eastAsia="Courier New" w:hAnsi="Courier New"/>
          <w:sz w:val="14"/>
          <w:szCs w:val="14"/>
          <w:color w:val="auto"/>
        </w:rPr>
        <w:t>Environmental Protection Agency</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ESOP</w:t>
      </w:r>
      <w:r>
        <w:rPr>
          <w:sz w:val="20"/>
          <w:szCs w:val="20"/>
          <w:color w:val="auto"/>
        </w:rPr>
        <w:tab/>
      </w:r>
      <w:r>
        <w:rPr>
          <w:rFonts w:ascii="Courier New" w:cs="Courier New" w:eastAsia="Courier New" w:hAnsi="Courier New"/>
          <w:sz w:val="14"/>
          <w:szCs w:val="14"/>
          <w:color w:val="auto"/>
        </w:rPr>
        <w:t>Employee Stock Ownership Plan</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FASB</w:t>
      </w:r>
      <w:r>
        <w:rPr>
          <w:sz w:val="20"/>
          <w:szCs w:val="20"/>
          <w:color w:val="auto"/>
        </w:rPr>
        <w:tab/>
      </w:r>
      <w:r>
        <w:rPr>
          <w:rFonts w:ascii="Courier New" w:cs="Courier New" w:eastAsia="Courier New" w:hAnsi="Courier New"/>
          <w:sz w:val="14"/>
          <w:szCs w:val="14"/>
          <w:color w:val="auto"/>
        </w:rPr>
        <w:t>Financial Accounting Standards Board</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FERC</w:t>
      </w:r>
      <w:r>
        <w:rPr>
          <w:sz w:val="20"/>
          <w:szCs w:val="20"/>
          <w:color w:val="auto"/>
        </w:rPr>
        <w:tab/>
      </w:r>
      <w:r>
        <w:rPr>
          <w:rFonts w:ascii="Courier New" w:cs="Courier New" w:eastAsia="Courier New" w:hAnsi="Courier New"/>
          <w:sz w:val="14"/>
          <w:szCs w:val="14"/>
          <w:color w:val="auto"/>
        </w:rPr>
        <w:t>Federal Energy Regulatory Commission</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FIN</w:t>
      </w:r>
      <w:r>
        <w:rPr>
          <w:sz w:val="20"/>
          <w:szCs w:val="20"/>
          <w:color w:val="auto"/>
        </w:rPr>
        <w:tab/>
      </w:r>
      <w:r>
        <w:rPr>
          <w:rFonts w:ascii="Courier New" w:cs="Courier New" w:eastAsia="Courier New" w:hAnsi="Courier New"/>
          <w:sz w:val="14"/>
          <w:szCs w:val="14"/>
          <w:color w:val="auto"/>
        </w:rPr>
        <w:t>FASB Interpretations</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GAAP</w:t>
      </w:r>
      <w:r>
        <w:rPr>
          <w:sz w:val="20"/>
          <w:szCs w:val="20"/>
          <w:color w:val="auto"/>
        </w:rPr>
        <w:tab/>
      </w:r>
      <w:r>
        <w:rPr>
          <w:rFonts w:ascii="Courier New" w:cs="Courier New" w:eastAsia="Courier New" w:hAnsi="Courier New"/>
          <w:sz w:val="14"/>
          <w:szCs w:val="14"/>
          <w:color w:val="auto"/>
        </w:rPr>
        <w:t>Accounting Principles Generally Accepted</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in the United States of America</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Heating Degree Days</w:t>
      </w:r>
      <w:r>
        <w:rPr>
          <w:sz w:val="20"/>
          <w:szCs w:val="20"/>
          <w:color w:val="auto"/>
        </w:rPr>
        <w:tab/>
      </w:r>
      <w:r>
        <w:rPr>
          <w:rFonts w:ascii="Courier New" w:cs="Courier New" w:eastAsia="Courier New" w:hAnsi="Courier New"/>
          <w:sz w:val="14"/>
          <w:szCs w:val="14"/>
          <w:color w:val="auto"/>
        </w:rPr>
        <w:t>Measure of the extent to which the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average daily temperature is below</w:t>
      </w:r>
    </w:p>
    <w:p>
      <w:pPr>
        <w:spacing w:after="0" w:line="7" w:lineRule="exact"/>
        <w:rPr>
          <w:sz w:val="20"/>
          <w:szCs w:val="20"/>
          <w:color w:val="auto"/>
        </w:rPr>
      </w:pPr>
    </w:p>
    <w:p>
      <w:pPr>
        <w:ind w:left="3880"/>
        <w:spacing w:after="0"/>
        <w:tabs>
          <w:tab w:leader="none" w:pos="4900" w:val="left"/>
        </w:tabs>
        <w:rPr>
          <w:sz w:val="20"/>
          <w:szCs w:val="20"/>
          <w:color w:val="auto"/>
        </w:rPr>
      </w:pPr>
      <w:r>
        <w:rPr>
          <w:rFonts w:ascii="Courier New" w:cs="Courier New" w:eastAsia="Courier New" w:hAnsi="Courier New"/>
          <w:sz w:val="14"/>
          <w:szCs w:val="14"/>
          <w:color w:val="auto"/>
        </w:rPr>
        <w:t>65 degrees</w:t>
        <w:tab/>
        <w:t>Fahrenheit, increasing</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demand for heating</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Laskin</w:t>
      </w:r>
      <w:r>
        <w:rPr>
          <w:sz w:val="20"/>
          <w:szCs w:val="20"/>
          <w:color w:val="auto"/>
        </w:rPr>
        <w:tab/>
      </w:r>
      <w:r>
        <w:rPr>
          <w:rFonts w:ascii="Courier New" w:cs="Courier New" w:eastAsia="Courier New" w:hAnsi="Courier New"/>
          <w:sz w:val="14"/>
          <w:szCs w:val="14"/>
          <w:color w:val="auto"/>
        </w:rPr>
        <w:t>Laskin Energy Center</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Minnesota Power</w:t>
      </w:r>
      <w:r>
        <w:rPr>
          <w:sz w:val="20"/>
          <w:szCs w:val="20"/>
          <w:color w:val="auto"/>
        </w:rPr>
        <w:tab/>
      </w:r>
      <w:r>
        <w:rPr>
          <w:rFonts w:ascii="Courier New" w:cs="Courier New" w:eastAsia="Courier New" w:hAnsi="Courier New"/>
          <w:sz w:val="14"/>
          <w:szCs w:val="14"/>
          <w:color w:val="auto"/>
        </w:rPr>
        <w:t>An operating division of ALLETE, Inc.</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Minnkota Power</w:t>
      </w:r>
      <w:r>
        <w:rPr>
          <w:sz w:val="20"/>
          <w:szCs w:val="20"/>
          <w:color w:val="auto"/>
        </w:rPr>
        <w:tab/>
      </w:r>
      <w:r>
        <w:rPr>
          <w:rFonts w:ascii="Courier New" w:cs="Courier New" w:eastAsia="Courier New" w:hAnsi="Courier New"/>
          <w:sz w:val="14"/>
          <w:szCs w:val="14"/>
          <w:color w:val="auto"/>
        </w:rPr>
        <w:t>Minnkota Power Cooperative, Inc.</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MISO</w:t>
      </w:r>
      <w:r>
        <w:rPr>
          <w:sz w:val="20"/>
          <w:szCs w:val="20"/>
          <w:color w:val="auto"/>
        </w:rPr>
        <w:tab/>
      </w:r>
      <w:r>
        <w:rPr>
          <w:rFonts w:ascii="Courier New" w:cs="Courier New" w:eastAsia="Courier New" w:hAnsi="Courier New"/>
          <w:sz w:val="14"/>
          <w:szCs w:val="14"/>
          <w:color w:val="auto"/>
        </w:rPr>
        <w:t>Midwest Independent Transmission System</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Operator, Inc.</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Moody's</w:t>
      </w:r>
      <w:r>
        <w:rPr>
          <w:sz w:val="20"/>
          <w:szCs w:val="20"/>
          <w:color w:val="auto"/>
        </w:rPr>
        <w:tab/>
      </w:r>
      <w:r>
        <w:rPr>
          <w:rFonts w:ascii="Courier New" w:cs="Courier New" w:eastAsia="Courier New" w:hAnsi="Courier New"/>
          <w:sz w:val="14"/>
          <w:szCs w:val="14"/>
          <w:color w:val="auto"/>
        </w:rPr>
        <w:t>Moody's Investors Service, Inc.</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MPCA</w:t>
      </w:r>
      <w:r>
        <w:rPr>
          <w:sz w:val="20"/>
          <w:szCs w:val="20"/>
          <w:color w:val="auto"/>
        </w:rPr>
        <w:tab/>
      </w:r>
      <w:r>
        <w:rPr>
          <w:rFonts w:ascii="Courier New" w:cs="Courier New" w:eastAsia="Courier New" w:hAnsi="Courier New"/>
          <w:sz w:val="14"/>
          <w:szCs w:val="14"/>
          <w:color w:val="auto"/>
        </w:rPr>
        <w:t>Minnesota Pollution Control Agency</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MPUC</w:t>
      </w:r>
      <w:r>
        <w:rPr>
          <w:sz w:val="20"/>
          <w:szCs w:val="20"/>
          <w:color w:val="auto"/>
        </w:rPr>
        <w:tab/>
      </w:r>
      <w:r>
        <w:rPr>
          <w:rFonts w:ascii="Courier New" w:cs="Courier New" w:eastAsia="Courier New" w:hAnsi="Courier New"/>
          <w:sz w:val="14"/>
          <w:szCs w:val="14"/>
          <w:color w:val="auto"/>
        </w:rPr>
        <w:t>Minnesota Public Utilities Commission</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MW</w:t>
      </w:r>
      <w:r>
        <w:rPr>
          <w:sz w:val="20"/>
          <w:szCs w:val="20"/>
          <w:color w:val="auto"/>
        </w:rPr>
        <w:tab/>
      </w:r>
      <w:r>
        <w:rPr>
          <w:rFonts w:ascii="Courier New" w:cs="Courier New" w:eastAsia="Courier New" w:hAnsi="Courier New"/>
          <w:sz w:val="14"/>
          <w:szCs w:val="14"/>
          <w:color w:val="auto"/>
        </w:rPr>
        <w:t>Megawatt(s)</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Note ___</w:t>
      </w:r>
      <w:r>
        <w:rPr>
          <w:sz w:val="20"/>
          <w:szCs w:val="20"/>
          <w:color w:val="auto"/>
        </w:rPr>
        <w:tab/>
      </w:r>
      <w:r>
        <w:rPr>
          <w:rFonts w:ascii="Courier New" w:cs="Courier New" w:eastAsia="Courier New" w:hAnsi="Courier New"/>
          <w:sz w:val="14"/>
          <w:szCs w:val="14"/>
          <w:color w:val="auto"/>
        </w:rPr>
        <w:t>Note ___ to the consolidated financial</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statements in this Form 10-Q</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NOX</w:t>
      </w:r>
      <w:r>
        <w:rPr>
          <w:sz w:val="20"/>
          <w:szCs w:val="20"/>
          <w:color w:val="auto"/>
        </w:rPr>
        <w:tab/>
      </w:r>
      <w:r>
        <w:rPr>
          <w:rFonts w:ascii="Courier New" w:cs="Courier New" w:eastAsia="Courier New" w:hAnsi="Courier New"/>
          <w:sz w:val="14"/>
          <w:szCs w:val="14"/>
          <w:color w:val="auto"/>
        </w:rPr>
        <w:t>Nitrogen Oxide</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Palm Coast Park</w:t>
      </w:r>
      <w:r>
        <w:rPr>
          <w:sz w:val="20"/>
          <w:szCs w:val="20"/>
          <w:color w:val="auto"/>
        </w:rPr>
        <w:tab/>
      </w:r>
      <w:r>
        <w:rPr>
          <w:rFonts w:ascii="Courier New" w:cs="Courier New" w:eastAsia="Courier New" w:hAnsi="Courier New"/>
          <w:sz w:val="14"/>
          <w:szCs w:val="14"/>
          <w:color w:val="auto"/>
        </w:rPr>
        <w:t>Palm Coast Park development project in</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northeast Florida</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Palm Coast Park District</w:t>
      </w:r>
      <w:r>
        <w:rPr>
          <w:sz w:val="20"/>
          <w:szCs w:val="20"/>
          <w:color w:val="auto"/>
        </w:rPr>
        <w:tab/>
      </w:r>
      <w:r>
        <w:rPr>
          <w:rFonts w:ascii="Courier New" w:cs="Courier New" w:eastAsia="Courier New" w:hAnsi="Courier New"/>
          <w:sz w:val="14"/>
          <w:szCs w:val="14"/>
          <w:color w:val="auto"/>
        </w:rPr>
        <w:t>Palm Coast Park Community Development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District</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PSCW</w:t>
      </w:r>
      <w:r>
        <w:rPr>
          <w:sz w:val="20"/>
          <w:szCs w:val="20"/>
          <w:color w:val="auto"/>
        </w:rPr>
        <w:tab/>
      </w:r>
      <w:r>
        <w:rPr>
          <w:rFonts w:ascii="Courier New" w:cs="Courier New" w:eastAsia="Courier New" w:hAnsi="Courier New"/>
          <w:sz w:val="14"/>
          <w:szCs w:val="14"/>
          <w:color w:val="auto"/>
        </w:rPr>
        <w:t>Public Service Commission of Wisconsin</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Resource Plan</w:t>
      </w:r>
      <w:r>
        <w:rPr>
          <w:sz w:val="20"/>
          <w:szCs w:val="20"/>
          <w:color w:val="auto"/>
        </w:rPr>
        <w:tab/>
      </w:r>
      <w:r>
        <w:rPr>
          <w:rFonts w:ascii="Courier New" w:cs="Courier New" w:eastAsia="Courier New" w:hAnsi="Courier New"/>
          <w:sz w:val="14"/>
          <w:szCs w:val="14"/>
          <w:color w:val="auto"/>
        </w:rPr>
        <w:t>Integrated Resource Plan</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SEC</w:t>
      </w:r>
      <w:r>
        <w:rPr>
          <w:sz w:val="20"/>
          <w:szCs w:val="20"/>
          <w:color w:val="auto"/>
        </w:rPr>
        <w:tab/>
      </w: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SFAS</w:t>
      </w:r>
      <w:r>
        <w:rPr>
          <w:sz w:val="20"/>
          <w:szCs w:val="20"/>
          <w:color w:val="auto"/>
        </w:rPr>
        <w:tab/>
      </w:r>
      <w:r>
        <w:rPr>
          <w:rFonts w:ascii="Courier New" w:cs="Courier New" w:eastAsia="Courier New" w:hAnsi="Courier New"/>
          <w:sz w:val="14"/>
          <w:szCs w:val="14"/>
          <w:color w:val="auto"/>
        </w:rPr>
        <w:t>Statement of Financial Accounting</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Standards No.</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SO2</w:t>
      </w:r>
      <w:r>
        <w:rPr>
          <w:sz w:val="20"/>
          <w:szCs w:val="20"/>
          <w:color w:val="auto"/>
        </w:rPr>
        <w:tab/>
      </w:r>
      <w:r>
        <w:rPr>
          <w:rFonts w:ascii="Courier New" w:cs="Courier New" w:eastAsia="Courier New" w:hAnsi="Courier New"/>
          <w:sz w:val="14"/>
          <w:szCs w:val="14"/>
          <w:color w:val="auto"/>
        </w:rPr>
        <w:t>Sulfur Dioxide</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Square Butte</w:t>
      </w:r>
      <w:r>
        <w:rPr>
          <w:sz w:val="20"/>
          <w:szCs w:val="20"/>
          <w:color w:val="auto"/>
        </w:rPr>
        <w:tab/>
      </w:r>
      <w:r>
        <w:rPr>
          <w:rFonts w:ascii="Courier New" w:cs="Courier New" w:eastAsia="Courier New" w:hAnsi="Courier New"/>
          <w:sz w:val="14"/>
          <w:szCs w:val="14"/>
          <w:color w:val="auto"/>
        </w:rPr>
        <w:t>Square Butte Electric Cooperative</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Standard &amp; Poor's</w:t>
      </w:r>
      <w:r>
        <w:rPr>
          <w:sz w:val="20"/>
          <w:szCs w:val="20"/>
          <w:color w:val="auto"/>
        </w:rPr>
        <w:tab/>
      </w:r>
      <w:r>
        <w:rPr>
          <w:rFonts w:ascii="Courier New" w:cs="Courier New" w:eastAsia="Courier New" w:hAnsi="Courier New"/>
          <w:sz w:val="14"/>
          <w:szCs w:val="14"/>
          <w:color w:val="auto"/>
        </w:rPr>
        <w:t>Standard &amp; Poor's Ratings Group, a</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division of McGraw-Hill Companies</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SWL&amp;P</w:t>
      </w:r>
      <w:r>
        <w:rPr>
          <w:sz w:val="20"/>
          <w:szCs w:val="20"/>
          <w:color w:val="auto"/>
        </w:rPr>
        <w:tab/>
      </w:r>
      <w:r>
        <w:rPr>
          <w:rFonts w:ascii="Courier New" w:cs="Courier New" w:eastAsia="Courier New" w:hAnsi="Courier New"/>
          <w:sz w:val="14"/>
          <w:szCs w:val="14"/>
          <w:color w:val="auto"/>
        </w:rPr>
        <w:t>Superior Water, Light and Power Company</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Taconite Harbor</w:t>
      </w:r>
      <w:r>
        <w:rPr>
          <w:sz w:val="20"/>
          <w:szCs w:val="20"/>
          <w:color w:val="auto"/>
        </w:rPr>
        <w:tab/>
      </w:r>
      <w:r>
        <w:rPr>
          <w:rFonts w:ascii="Courier New" w:cs="Courier New" w:eastAsia="Courier New" w:hAnsi="Courier New"/>
          <w:sz w:val="14"/>
          <w:szCs w:val="14"/>
          <w:color w:val="auto"/>
        </w:rPr>
        <w:t>Taconite Harbor Energy Center</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Town Center</w:t>
      </w:r>
      <w:r>
        <w:rPr>
          <w:sz w:val="20"/>
          <w:szCs w:val="20"/>
          <w:color w:val="auto"/>
        </w:rPr>
        <w:tab/>
      </w:r>
      <w:r>
        <w:rPr>
          <w:rFonts w:ascii="Courier New" w:cs="Courier New" w:eastAsia="Courier New" w:hAnsi="Courier New"/>
          <w:sz w:val="14"/>
          <w:szCs w:val="14"/>
          <w:color w:val="auto"/>
        </w:rPr>
        <w:t>Town Center at Palm Coast development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project in northeast Florida</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Town Center District</w:t>
      </w:r>
      <w:r>
        <w:rPr>
          <w:sz w:val="20"/>
          <w:szCs w:val="20"/>
          <w:color w:val="auto"/>
        </w:rPr>
        <w:tab/>
      </w:r>
      <w:r>
        <w:rPr>
          <w:rFonts w:ascii="Courier New" w:cs="Courier New" w:eastAsia="Courier New" w:hAnsi="Courier New"/>
          <w:sz w:val="14"/>
          <w:szCs w:val="14"/>
          <w:color w:val="auto"/>
        </w:rPr>
        <w:t>Town Center at Palm Coast Community</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Development District</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WDNR</w:t>
      </w:r>
      <w:r>
        <w:rPr>
          <w:sz w:val="20"/>
          <w:szCs w:val="20"/>
          <w:color w:val="auto"/>
        </w:rPr>
        <w:tab/>
      </w:r>
      <w:r>
        <w:rPr>
          <w:rFonts w:ascii="Courier New" w:cs="Courier New" w:eastAsia="Courier New" w:hAnsi="Courier New"/>
          <w:sz w:val="14"/>
          <w:szCs w:val="14"/>
          <w:color w:val="auto"/>
        </w:rPr>
        <w:t>Wisconsin Department of Natural</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Resources</w:t>
      </w:r>
    </w:p>
    <w:p>
      <w:pPr>
        <w:spacing w:after="0" w:line="173" w:lineRule="exact"/>
        <w:rPr>
          <w:sz w:val="20"/>
          <w:szCs w:val="20"/>
          <w:color w:val="auto"/>
        </w:rPr>
      </w:pPr>
    </w:p>
    <w:p>
      <w:pPr>
        <w:ind w:left="1900"/>
        <w:spacing w:after="0"/>
        <w:tabs>
          <w:tab w:leader="none" w:pos="6800" w:val="left"/>
        </w:tabs>
        <w:rPr>
          <w:sz w:val="20"/>
          <w:szCs w:val="20"/>
          <w:color w:val="auto"/>
        </w:rPr>
      </w:pPr>
      <w:r>
        <w:rPr>
          <w:rFonts w:ascii="Courier New" w:cs="Courier New" w:eastAsia="Courier New" w:hAnsi="Courier New"/>
          <w:sz w:val="14"/>
          <w:szCs w:val="14"/>
          <w:color w:val="auto"/>
        </w:rPr>
        <w:t>ALLETE Second Quarter 2007 Form 10-Q</w:t>
      </w:r>
      <w:r>
        <w:rPr>
          <w:sz w:val="20"/>
          <w:szCs w:val="20"/>
          <w:color w:val="auto"/>
        </w:rPr>
        <w:tab/>
      </w:r>
      <w:r>
        <w:rPr>
          <w:rFonts w:ascii="Courier New" w:cs="Courier New" w:eastAsia="Courier New" w:hAnsi="Courier New"/>
          <w:sz w:val="13"/>
          <w:szCs w:val="13"/>
          <w:color w:val="auto"/>
        </w:rPr>
        <w:t>2</w:t>
      </w:r>
    </w:p>
    <w:p>
      <w:pPr>
        <w:sectPr>
          <w:pgSz w:w="11900" w:h="16838" w:orient="portrait"/>
          <w:cols w:equalWidth="0" w:num="1">
            <w:col w:w="10239"/>
          </w:cols>
          <w:pgMar w:left="220" w:top="616" w:right="1440" w:bottom="1440" w:gutter="0" w:footer="0" w:header="0"/>
        </w:sectPr>
      </w:pPr>
    </w:p>
    <w:bookmarkStart w:id="3" w:name="page4"/>
    <w:bookmarkEnd w:id="3"/>
    <w:p>
      <w:pPr>
        <w:jc w:val="center"/>
        <w:ind w:right="3239"/>
        <w:spacing w:after="0"/>
        <w:rPr>
          <w:sz w:val="20"/>
          <w:szCs w:val="20"/>
          <w:color w:val="auto"/>
        </w:rPr>
      </w:pPr>
      <w:r>
        <w:rPr>
          <w:rFonts w:ascii="Courier New" w:cs="Courier New" w:eastAsia="Courier New" w:hAnsi="Courier New"/>
          <w:sz w:val="14"/>
          <w:szCs w:val="14"/>
          <w:color w:val="auto"/>
        </w:rPr>
        <w:t>SAFE HARBOR STATEMENT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UNDER THE PRIVATE SECURITIES LITIGATION REFORM ACT OF 1995</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connection with the safe harbor provisions of the Private Securities Litigation Reform Act of 1995, we are hereby filing cautionary statements identifying important factors that could cause our actual results to differ materially from those projected in forward-looking statements (as such term is defined in the Private Securities Litigation Reform Act of 1995) made by or on behalf of ALLETE in this Quarterly Report on Form 10-Q, in presentations, in response to questions or otherwise. Any statements that express, or involve discussions as to expectations, beliefs, plans, objectives, assumptions, or future events or performance (often, but not always, through the use of words or phrases such as "anticipates," "believes," "estimates," "expects," "intends," "plans," "projects," "will likely result," "will continue," "could," "may," "potential," "target," "outlook" or similar expressions) are not statements of historical facts and may be forward-looking.</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Forward-looking statements involve estimates, assumptions, risks and uncertainties, which are beyond our control and may cause actual results or outcomes to differ materially from those that may be projected. These statements are qualified in their entirety by reference to, and are accompanied by, the following important factors, in addition to any assumptions and other factors referred to specifically:</w:t>
      </w:r>
    </w:p>
    <w:p>
      <w:pPr>
        <w:spacing w:after="0" w:line="164" w:lineRule="exact"/>
        <w:rPr>
          <w:sz w:val="20"/>
          <w:szCs w:val="20"/>
          <w:color w:val="auto"/>
        </w:rPr>
      </w:pPr>
    </w:p>
    <w:p>
      <w:pPr>
        <w:ind w:left="780" w:hanging="427"/>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successfully implement our strategic objectives;</w:t>
      </w:r>
    </w:p>
    <w:p>
      <w:pPr>
        <w:spacing w:after="0" w:line="7"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manage expansion and integrate acquisitions;</w:t>
      </w:r>
    </w:p>
    <w:p>
      <w:pPr>
        <w:spacing w:after="0" w:line="7" w:lineRule="exact"/>
        <w:rPr>
          <w:rFonts w:ascii="Courier New" w:cs="Courier New" w:eastAsia="Courier New" w:hAnsi="Courier New"/>
          <w:sz w:val="14"/>
          <w:szCs w:val="14"/>
          <w:color w:val="auto"/>
        </w:rPr>
      </w:pPr>
    </w:p>
    <w:p>
      <w:pPr>
        <w:jc w:val="both"/>
        <w:ind w:left="780" w:right="3339" w:hanging="427"/>
        <w:spacing w:after="0" w:line="250"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prevailing governmental policies, regulatory actions, and legislation including those of the United States Congress, state legislatures, the FERC, the MPUC, the PSCW, and various local and county regulators, and city administrators, about allowed rates of return, financings, industry and rate structure, acquisition and disposal of assets and facilities, real estate development, operation and construction of plant facilities, recovery of purchased power and capital investments, present or prospective wholesale and retail competition (including but not limited to transmission costs), zoning and permitting of land held for resale and environmental regulation;</w:t>
      </w:r>
    </w:p>
    <w:p>
      <w:pPr>
        <w:spacing w:after="0" w:line="4"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of restructuring initiatives in the electric industry;</w:t>
      </w:r>
    </w:p>
    <w:p>
      <w:pPr>
        <w:spacing w:after="0" w:line="7" w:lineRule="exact"/>
        <w:rPr>
          <w:rFonts w:ascii="Courier New" w:cs="Courier New" w:eastAsia="Courier New" w:hAnsi="Courier New"/>
          <w:sz w:val="14"/>
          <w:szCs w:val="14"/>
          <w:color w:val="auto"/>
        </w:rPr>
      </w:pPr>
    </w:p>
    <w:p>
      <w:pPr>
        <w:ind w:left="780" w:right="3339" w:hanging="427"/>
        <w:spacing w:after="0" w:line="247"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economic and geographic factors, including political and economic risks;</w:t>
      </w:r>
    </w:p>
    <w:p>
      <w:pPr>
        <w:spacing w:after="0" w:line="168"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and compliance with laws and policies;</w:t>
      </w:r>
    </w:p>
    <w:p>
      <w:pPr>
        <w:spacing w:after="0" w:line="7"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weather conditions;</w:t>
      </w:r>
    </w:p>
    <w:p>
      <w:pPr>
        <w:spacing w:after="0" w:line="7"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natural disasters and pandemic diseases;</w:t>
      </w:r>
    </w:p>
    <w:p>
      <w:pPr>
        <w:spacing w:after="0" w:line="7"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 and acts of terrorism;</w:t>
      </w:r>
    </w:p>
    <w:p>
      <w:pPr>
        <w:spacing w:after="0" w:line="7"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wholesale power market conditions;</w:t>
      </w:r>
    </w:p>
    <w:p>
      <w:pPr>
        <w:spacing w:after="0" w:line="7"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population growth rates and demographic patterns;</w:t>
      </w:r>
    </w:p>
    <w:p>
      <w:pPr>
        <w:spacing w:after="0" w:line="7" w:lineRule="exact"/>
        <w:rPr>
          <w:rFonts w:ascii="Courier New" w:cs="Courier New" w:eastAsia="Courier New" w:hAnsi="Courier New"/>
          <w:sz w:val="14"/>
          <w:szCs w:val="14"/>
          <w:color w:val="auto"/>
        </w:rPr>
      </w:pPr>
    </w:p>
    <w:p>
      <w:pPr>
        <w:ind w:left="780" w:right="3339" w:hanging="427"/>
        <w:spacing w:after="0" w:line="250"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of competition, including competition for retail and wholesale customers;</w:t>
      </w:r>
    </w:p>
    <w:p>
      <w:pPr>
        <w:ind w:left="780" w:hanging="427"/>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real estate market;</w:t>
      </w:r>
    </w:p>
    <w:p>
      <w:pPr>
        <w:spacing w:after="0" w:line="7"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pricing and transportation of commodities;</w:t>
      </w:r>
    </w:p>
    <w:p>
      <w:pPr>
        <w:spacing w:after="0" w:line="7"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tax rates or policies or in rates of inflation;</w:t>
      </w:r>
    </w:p>
    <w:p>
      <w:pPr>
        <w:spacing w:after="0" w:line="7"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project delays or changes in project costs;</w:t>
      </w:r>
    </w:p>
    <w:p>
      <w:pPr>
        <w:spacing w:after="0" w:line="7" w:lineRule="exact"/>
        <w:rPr>
          <w:rFonts w:ascii="Courier New" w:cs="Courier New" w:eastAsia="Courier New" w:hAnsi="Courier New"/>
          <w:sz w:val="14"/>
          <w:szCs w:val="14"/>
          <w:color w:val="auto"/>
        </w:rPr>
      </w:pPr>
    </w:p>
    <w:p>
      <w:pPr>
        <w:ind w:left="780" w:right="3339" w:hanging="427"/>
        <w:spacing w:after="0" w:line="250"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availability of construction materials and skilled construction labor for capital projects;</w:t>
      </w:r>
    </w:p>
    <w:p>
      <w:pPr>
        <w:ind w:left="780" w:hanging="427"/>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changes in operating expenses and capital expenditures;</w:t>
      </w:r>
    </w:p>
    <w:p>
      <w:pPr>
        <w:spacing w:after="0" w:line="7"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and domestic economic conditions;</w:t>
      </w:r>
    </w:p>
    <w:p>
      <w:pPr>
        <w:spacing w:after="0" w:line="7"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access capital markets and bank financing;</w:t>
      </w:r>
    </w:p>
    <w:p>
      <w:pPr>
        <w:spacing w:after="0" w:line="7"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interest rates and the performance of the financial markets;</w:t>
      </w:r>
    </w:p>
    <w:p>
      <w:pPr>
        <w:spacing w:after="0" w:line="7" w:lineRule="exact"/>
        <w:rPr>
          <w:rFonts w:ascii="Courier New" w:cs="Courier New" w:eastAsia="Courier New" w:hAnsi="Courier New"/>
          <w:sz w:val="14"/>
          <w:szCs w:val="14"/>
          <w:color w:val="auto"/>
        </w:rPr>
      </w:pPr>
    </w:p>
    <w:p>
      <w:pPr>
        <w:ind w:left="780" w:right="3339" w:hanging="427"/>
        <w:spacing w:after="0" w:line="250"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replace a mature workforce and retain qualified, skilled and experienced personnel; and</w:t>
      </w:r>
    </w:p>
    <w:p>
      <w:pPr>
        <w:jc w:val="both"/>
        <w:ind w:left="780" w:right="3339" w:hanging="427"/>
        <w:spacing w:after="0" w:line="250"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outcome of legal and administrative proceedings (whether civil or criminal) and settlements that affect the business and profitability of</w:t>
      </w: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ALLETE.</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Additional disclosures regarding factors that could cause our results and performance to differ from results or performance anticipated by this report are discussed in Item 1A under the heading "Risk Factors" in Part I of our 2006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advise interested parties of the factors that may affect our business.</w:t>
      </w:r>
    </w:p>
    <w:p>
      <w:pPr>
        <w:spacing w:after="0" w:line="17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ALLETE Second Quarter 2007 Form 10-Q</w:t>
      </w:r>
    </w:p>
    <w:p>
      <w:pPr>
        <w:sectPr>
          <w:pgSz w:w="11900" w:h="16838" w:orient="portrait"/>
          <w:cols w:equalWidth="0" w:num="1">
            <w:col w:w="10239"/>
          </w:cols>
          <w:pgMar w:left="220" w:top="616"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4"/>
          <w:szCs w:val="14"/>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338"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CONSOLIDATED BALANCE SHEET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MILLIONS - UNAUDITED</w:t>
      </w:r>
    </w:p>
    <w:p>
      <w:pPr>
        <w:spacing w:after="0" w:line="173" w:lineRule="exact"/>
        <w:rPr>
          <w:sz w:val="20"/>
          <w:szCs w:val="20"/>
          <w:color w:val="auto"/>
        </w:rPr>
      </w:pPr>
    </w:p>
    <w:tbl>
      <w:tblPr>
        <w:tblLayout w:type="fixed"/>
        <w:tblInd w:w="7240" w:type="dxa"/>
        <w:tblCellMar>
          <w:top w:w="0" w:type="dxa"/>
          <w:left w:w="0" w:type="dxa"/>
          <w:bottom w:w="0" w:type="dxa"/>
          <w:right w:w="0" w:type="dxa"/>
        </w:tblCellMar>
      </w:tblPr>
      <w:tr>
        <w:trPr>
          <w:trHeight w:val="162"/>
        </w:trPr>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JUNE 30,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8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660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37.1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44.8</w:t>
            </w:r>
          </w:p>
        </w:tc>
      </w:tr>
      <w:tr>
        <w:trPr>
          <w:trHeight w:val="166"/>
        </w:trPr>
        <w:tc>
          <w:tcPr>
            <w:tcW w:w="6600" w:type="dxa"/>
            <w:vAlign w:val="bottom"/>
          </w:tcPr>
          <w:p>
            <w:pPr>
              <w:ind w:left="440"/>
              <w:spacing w:after="0"/>
              <w:rPr>
                <w:sz w:val="20"/>
                <w:szCs w:val="20"/>
                <w:color w:val="auto"/>
              </w:rPr>
            </w:pPr>
            <w:r>
              <w:rPr>
                <w:rFonts w:ascii="Courier New" w:cs="Courier New" w:eastAsia="Courier New" w:hAnsi="Courier New"/>
                <w:sz w:val="14"/>
                <w:szCs w:val="14"/>
                <w:color w:val="auto"/>
              </w:rPr>
              <w:t>Short-Term Investments</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121.8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104.5</w:t>
            </w:r>
          </w:p>
        </w:tc>
      </w:tr>
      <w:tr>
        <w:trPr>
          <w:trHeight w:val="166"/>
        </w:trPr>
        <w:tc>
          <w:tcPr>
            <w:tcW w:w="6600" w:type="dxa"/>
            <w:vAlign w:val="bottom"/>
          </w:tcPr>
          <w:p>
            <w:pPr>
              <w:ind w:left="440"/>
              <w:spacing w:after="0"/>
              <w:rPr>
                <w:sz w:val="20"/>
                <w:szCs w:val="20"/>
                <w:color w:val="auto"/>
              </w:rPr>
            </w:pPr>
            <w:r>
              <w:rPr>
                <w:rFonts w:ascii="Courier New" w:cs="Courier New" w:eastAsia="Courier New" w:hAnsi="Courier New"/>
                <w:sz w:val="14"/>
                <w:szCs w:val="14"/>
                <w:color w:val="auto"/>
              </w:rPr>
              <w:t>Accounts Receivable (Less Allowance of $1.1 at June 30, 2007 and</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67.7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70.9</w:t>
            </w:r>
          </w:p>
        </w:tc>
      </w:tr>
      <w:tr>
        <w:trPr>
          <w:trHeight w:val="166"/>
        </w:trPr>
        <w:tc>
          <w:tcPr>
            <w:tcW w:w="6600" w:type="dxa"/>
            <w:vAlign w:val="bottom"/>
          </w:tcPr>
          <w:p>
            <w:pPr>
              <w:ind w:left="2240"/>
              <w:spacing w:after="0"/>
              <w:rPr>
                <w:sz w:val="20"/>
                <w:szCs w:val="20"/>
                <w:color w:val="auto"/>
              </w:rPr>
            </w:pPr>
            <w:r>
              <w:rPr>
                <w:rFonts w:ascii="Courier New" w:cs="Courier New" w:eastAsia="Courier New" w:hAnsi="Courier New"/>
                <w:sz w:val="14"/>
                <w:szCs w:val="14"/>
                <w:color w:val="auto"/>
              </w:rPr>
              <w:t>December 31, 2006)</w:t>
            </w:r>
          </w:p>
        </w:tc>
        <w:tc>
          <w:tcPr>
            <w:tcW w:w="18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6600" w:type="dxa"/>
            <w:vAlign w:val="bottom"/>
          </w:tcPr>
          <w:p>
            <w:pPr>
              <w:ind w:left="440"/>
              <w:spacing w:after="0"/>
              <w:rPr>
                <w:sz w:val="20"/>
                <w:szCs w:val="20"/>
                <w:color w:val="auto"/>
              </w:rPr>
            </w:pPr>
            <w:r>
              <w:rPr>
                <w:rFonts w:ascii="Courier New" w:cs="Courier New" w:eastAsia="Courier New" w:hAnsi="Courier New"/>
                <w:sz w:val="14"/>
                <w:szCs w:val="14"/>
                <w:color w:val="auto"/>
              </w:rPr>
              <w:t>Inventories</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43.4</w:t>
            </w:r>
          </w:p>
        </w:tc>
      </w:tr>
      <w:tr>
        <w:trPr>
          <w:trHeight w:val="166"/>
        </w:trPr>
        <w:tc>
          <w:tcPr>
            <w:tcW w:w="6600" w:type="dxa"/>
            <w:vAlign w:val="bottom"/>
          </w:tcPr>
          <w:p>
            <w:pPr>
              <w:ind w:left="440"/>
              <w:spacing w:after="0"/>
              <w:rPr>
                <w:sz w:val="20"/>
                <w:szCs w:val="20"/>
                <w:color w:val="auto"/>
              </w:rPr>
            </w:pPr>
            <w:r>
              <w:rPr>
                <w:rFonts w:ascii="Courier New" w:cs="Courier New" w:eastAsia="Courier New" w:hAnsi="Courier New"/>
                <w:sz w:val="14"/>
                <w:szCs w:val="14"/>
                <w:color w:val="auto"/>
              </w:rPr>
              <w:t>Prepayments and Other</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33.5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r>
      <w:tr>
        <w:trPr>
          <w:trHeight w:val="166"/>
        </w:trPr>
        <w:tc>
          <w:tcPr>
            <w:tcW w:w="660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ind w:left="780"/>
              <w:spacing w:after="0"/>
              <w:rPr>
                <w:sz w:val="20"/>
                <w:szCs w:val="20"/>
                <w:color w:val="auto"/>
              </w:rPr>
            </w:pPr>
            <w:r>
              <w:rPr>
                <w:rFonts w:ascii="Courier New" w:cs="Courier New" w:eastAsia="Courier New" w:hAnsi="Courier New"/>
                <w:sz w:val="14"/>
                <w:szCs w:val="14"/>
                <w:color w:val="auto"/>
              </w:rPr>
              <w:t>Total Current Assets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307.0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287.7</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977.2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921.6</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207.8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189.1</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137.7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135.0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2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$1,629.7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$1,533.4</w:t>
            </w:r>
          </w:p>
        </w:tc>
      </w:tr>
    </w:tbl>
    <w:p>
      <w:pPr>
        <w:spacing w:after="0" w:line="4"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713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LIABILITIES</w:t>
      </w: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8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47.7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53.5</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Accrued Taxes</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23.3</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Accrued Interest</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Long-Term Debt Due Within One Year</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29.5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29.7</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Deferred Profit on Sales of Real Estate</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Total Current Liabilities</w:t>
            </w:r>
          </w:p>
        </w:tc>
        <w:tc>
          <w:tcPr>
            <w:tcW w:w="3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130.5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143.5</w:t>
            </w:r>
          </w:p>
        </w:tc>
      </w:tr>
      <w:tr>
        <w:trPr>
          <w:trHeight w:val="331"/>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3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409.2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359.8</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3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130.5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130.8</w:t>
            </w:r>
          </w:p>
        </w:tc>
      </w:tr>
      <w:tr>
        <w:trPr>
          <w:trHeight w:val="331"/>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Other Liabilities</w:t>
            </w:r>
          </w:p>
        </w:tc>
        <w:tc>
          <w:tcPr>
            <w:tcW w:w="3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237.4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226.1</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4"/>
                <w:szCs w:val="14"/>
                <w:color w:val="auto"/>
              </w:rPr>
              <w:t>Minority</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Interest</w:t>
            </w:r>
          </w:p>
        </w:tc>
        <w:tc>
          <w:tcPr>
            <w:tcW w:w="3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80"/>
        <w:spacing w:after="0"/>
        <w:tabs>
          <w:tab w:leader="none" w:pos="7480" w:val="left"/>
          <w:tab w:leader="none" w:pos="9120" w:val="left"/>
        </w:tabs>
        <w:rPr>
          <w:sz w:val="20"/>
          <w:szCs w:val="20"/>
          <w:color w:val="auto"/>
        </w:rPr>
      </w:pPr>
      <w:r>
        <w:rPr>
          <w:rFonts w:ascii="Courier New" w:cs="Courier New" w:eastAsia="Courier New" w:hAnsi="Courier New"/>
          <w:sz w:val="14"/>
          <w:szCs w:val="14"/>
          <w:color w:val="auto"/>
        </w:rPr>
        <w:t>Total Liabilities</w:t>
      </w:r>
      <w:r>
        <w:rPr>
          <w:sz w:val="20"/>
          <w:szCs w:val="20"/>
          <w:color w:val="auto"/>
        </w:rPr>
        <w:tab/>
      </w:r>
      <w:r>
        <w:rPr>
          <w:rFonts w:ascii="Courier New" w:cs="Courier New" w:eastAsia="Courier New" w:hAnsi="Courier New"/>
          <w:sz w:val="14"/>
          <w:szCs w:val="14"/>
          <w:color w:val="auto"/>
        </w:rPr>
        <w:t>916.4</w:t>
      </w:r>
      <w:r>
        <w:rPr>
          <w:sz w:val="20"/>
          <w:szCs w:val="20"/>
          <w:color w:val="auto"/>
        </w:rPr>
        <w:tab/>
      </w:r>
      <w:r>
        <w:rPr>
          <w:rFonts w:ascii="Courier New" w:cs="Courier New" w:eastAsia="Courier New" w:hAnsi="Courier New"/>
          <w:sz w:val="14"/>
          <w:szCs w:val="14"/>
          <w:color w:val="auto"/>
        </w:rPr>
        <w:t>867.6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AND CONTINGENCIES</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gridSpan w:val="3"/>
          </w:tcPr>
          <w:p>
            <w:pPr>
              <w:spacing w:after="0"/>
              <w:rPr>
                <w:sz w:val="20"/>
                <w:szCs w:val="20"/>
                <w:color w:val="auto"/>
              </w:rPr>
            </w:pPr>
            <w:r>
              <w:rPr>
                <w:rFonts w:ascii="Courier New" w:cs="Courier New" w:eastAsia="Courier New" w:hAnsi="Courier New"/>
                <w:sz w:val="14"/>
                <w:szCs w:val="14"/>
                <w:color w:val="auto"/>
              </w:rPr>
              <w:t>Common Stock Without Par Value,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43.3</w:t>
            </w:r>
          </w:p>
        </w:tc>
        <w:tc>
          <w:tcPr>
            <w:tcW w:w="2920" w:type="dxa"/>
            <w:vAlign w:val="bottom"/>
          </w:tcPr>
          <w:p>
            <w:pPr>
              <w:spacing w:after="0"/>
              <w:rPr>
                <w:sz w:val="20"/>
                <w:szCs w:val="20"/>
                <w:color w:val="auto"/>
              </w:rPr>
            </w:pPr>
            <w:r>
              <w:rPr>
                <w:rFonts w:ascii="Courier New" w:cs="Courier New" w:eastAsia="Courier New" w:hAnsi="Courier New"/>
                <w:sz w:val="14"/>
                <w:szCs w:val="14"/>
                <w:color w:val="auto"/>
              </w:rPr>
              <w:t>Shares Authorized,</w:t>
            </w:r>
          </w:p>
        </w:tc>
        <w:tc>
          <w:tcPr>
            <w:tcW w:w="2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30.7 and</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30.4 Shares Outstanding</w:t>
            </w:r>
          </w:p>
        </w:tc>
        <w:tc>
          <w:tcPr>
            <w:tcW w:w="2920" w:type="dxa"/>
            <w:vAlign w:val="bottom"/>
          </w:tcPr>
          <w:p>
            <w:pPr>
              <w:spacing w:after="0"/>
              <w:rPr>
                <w:sz w:val="14"/>
                <w:szCs w:val="14"/>
                <w:color w:val="auto"/>
              </w:rPr>
            </w:pPr>
          </w:p>
        </w:tc>
        <w:tc>
          <w:tcPr>
            <w:tcW w:w="2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455.0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438.7</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Unearned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ESOP</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4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(68.2)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(71.9)</w:t>
            </w:r>
          </w:p>
        </w:tc>
      </w:tr>
      <w:tr>
        <w:trPr>
          <w:trHeight w:val="331"/>
        </w:trPr>
        <w:tc>
          <w:tcPr>
            <w:tcW w:w="2720" w:type="dxa"/>
            <w:vAlign w:val="bottom"/>
            <w:gridSpan w:val="3"/>
          </w:tcPr>
          <w:p>
            <w:pPr>
              <w:spacing w:after="0"/>
              <w:rPr>
                <w:sz w:val="20"/>
                <w:szCs w:val="20"/>
                <w:color w:val="auto"/>
              </w:rPr>
            </w:pPr>
            <w:r>
              <w:rPr>
                <w:rFonts w:ascii="Courier New" w:cs="Courier New" w:eastAsia="Courier New" w:hAnsi="Courier New"/>
                <w:sz w:val="14"/>
                <w:szCs w:val="14"/>
                <w:color w:val="auto"/>
              </w:rPr>
              <w:t>Accumulated Other Comprehensive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2920" w:type="dxa"/>
            <w:vAlign w:val="bottom"/>
          </w:tcPr>
          <w:p>
            <w:pPr>
              <w:spacing w:after="0"/>
              <w:rPr>
                <w:sz w:val="24"/>
                <w:szCs w:val="24"/>
                <w:color w:val="auto"/>
              </w:rPr>
            </w:pPr>
          </w:p>
        </w:tc>
        <w:tc>
          <w:tcPr>
            <w:tcW w:w="2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4"/>
                <w:szCs w:val="14"/>
                <w:color w:val="auto"/>
              </w:rPr>
              <w:t>Retained</w:t>
            </w:r>
          </w:p>
        </w:tc>
        <w:tc>
          <w:tcPr>
            <w:tcW w:w="1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Earnings</w:t>
            </w:r>
          </w:p>
        </w:tc>
        <w:tc>
          <w:tcPr>
            <w:tcW w:w="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333.8</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307.8</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80"/>
        <w:spacing w:after="0"/>
        <w:tabs>
          <w:tab w:leader="none" w:pos="7480" w:val="left"/>
          <w:tab w:leader="none" w:pos="9120" w:val="left"/>
        </w:tabs>
        <w:rPr>
          <w:sz w:val="20"/>
          <w:szCs w:val="20"/>
          <w:color w:val="auto"/>
        </w:rPr>
      </w:pPr>
      <w:r>
        <w:rPr>
          <w:rFonts w:ascii="Courier New" w:cs="Courier New" w:eastAsia="Courier New" w:hAnsi="Courier New"/>
          <w:sz w:val="14"/>
          <w:szCs w:val="14"/>
          <w:color w:val="auto"/>
        </w:rPr>
        <w:t>Total Shareholders' Equity</w:t>
      </w:r>
      <w:r>
        <w:rPr>
          <w:sz w:val="20"/>
          <w:szCs w:val="20"/>
          <w:color w:val="auto"/>
        </w:rPr>
        <w:tab/>
      </w:r>
      <w:r>
        <w:rPr>
          <w:rFonts w:ascii="Courier New" w:cs="Courier New" w:eastAsia="Courier New" w:hAnsi="Courier New"/>
          <w:sz w:val="14"/>
          <w:szCs w:val="14"/>
          <w:color w:val="auto"/>
        </w:rPr>
        <w:t>713.3</w:t>
      </w:r>
      <w:r>
        <w:rPr>
          <w:sz w:val="20"/>
          <w:szCs w:val="20"/>
          <w:color w:val="auto"/>
        </w:rPr>
        <w:tab/>
      </w:r>
      <w:r>
        <w:rPr>
          <w:rFonts w:ascii="Courier New" w:cs="Courier New" w:eastAsia="Courier New" w:hAnsi="Courier New"/>
          <w:sz w:val="14"/>
          <w:szCs w:val="14"/>
          <w:color w:val="auto"/>
        </w:rPr>
        <w:t>665.8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220" w:val="left"/>
          <w:tab w:leader="none" w:pos="886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$1,629.7</w:t>
      </w:r>
      <w:r>
        <w:rPr>
          <w:sz w:val="20"/>
          <w:szCs w:val="20"/>
          <w:color w:val="auto"/>
        </w:rPr>
        <w:tab/>
      </w:r>
      <w:r>
        <w:rPr>
          <w:rFonts w:ascii="Courier New" w:cs="Courier New" w:eastAsia="Courier New" w:hAnsi="Courier New"/>
          <w:sz w:val="14"/>
          <w:szCs w:val="14"/>
          <w:color w:val="auto"/>
        </w:rPr>
        <w:t>$1,533.4</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33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2007 Form 10-Q</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bl>
    <w:p>
      <w:pPr>
        <w:sectPr>
          <w:pgSz w:w="11900" w:h="16838" w:orient="portrait"/>
          <w:cols w:equalWidth="0" w:num="1">
            <w:col w:w="10239"/>
          </w:cols>
          <w:pgMar w:left="220" w:top="616" w:right="1440" w:bottom="919" w:gutter="0" w:footer="0" w:header="0"/>
        </w:sectPr>
      </w:pPr>
    </w:p>
    <w:bookmarkStart w:id="5" w:name="page6"/>
    <w:bookmarkEnd w:id="5"/>
    <w:p>
      <w:pPr>
        <w:ind w:left="5260"/>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CONSOLIDATED STATEMENT OF INCOME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MILLIONS EXCEPT PER SHARE AMOUNTS - UNAUDITED</w:t>
      </w:r>
    </w:p>
    <w:p>
      <w:pPr>
        <w:sectPr>
          <w:pgSz w:w="11900" w:h="16838" w:orient="portrait"/>
          <w:cols w:equalWidth="0" w:num="1">
            <w:col w:w="10940"/>
          </w:cols>
          <w:pgMar w:left="220" w:top="782" w:right="739" w:bottom="1440" w:gutter="0" w:footer="0" w:header="0"/>
        </w:sectPr>
      </w:pPr>
    </w:p>
    <w:p>
      <w:pPr>
        <w:spacing w:after="0" w:line="173"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JUNE 30,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680"/>
        <w:spacing w:after="0"/>
        <w:rPr>
          <w:sz w:val="20"/>
          <w:szCs w:val="20"/>
          <w:color w:val="auto"/>
        </w:rPr>
      </w:pPr>
      <w:r>
        <w:rPr>
          <w:rFonts w:ascii="Courier New" w:cs="Courier New" w:eastAsia="Courier New" w:hAnsi="Courier New"/>
          <w:sz w:val="14"/>
          <w:szCs w:val="14"/>
          <w:color w:val="auto"/>
        </w:rPr>
        <w:t>SIX MONTHS ENDED</w:t>
      </w:r>
    </w:p>
    <w:p>
      <w:pPr>
        <w:spacing w:after="0" w:line="7" w:lineRule="exact"/>
        <w:rPr>
          <w:sz w:val="20"/>
          <w:szCs w:val="20"/>
          <w:color w:val="auto"/>
        </w:rPr>
      </w:pPr>
    </w:p>
    <w:p>
      <w:pPr>
        <w:jc w:val="center"/>
        <w:ind w:right="680"/>
        <w:spacing w:after="0"/>
        <w:rPr>
          <w:sz w:val="20"/>
          <w:szCs w:val="20"/>
          <w:color w:val="auto"/>
        </w:rPr>
      </w:pPr>
      <w:r>
        <w:rPr>
          <w:rFonts w:ascii="Courier New" w:cs="Courier New" w:eastAsia="Courier New" w:hAnsi="Courier New"/>
          <w:sz w:val="14"/>
          <w:szCs w:val="14"/>
          <w:color w:val="auto"/>
        </w:rPr>
        <w:t>JUNE 30,</w:t>
      </w:r>
    </w:p>
    <w:p>
      <w:pPr>
        <w:spacing w:after="0" w:line="7" w:lineRule="exact"/>
        <w:rPr>
          <w:sz w:val="20"/>
          <w:szCs w:val="20"/>
          <w:color w:val="auto"/>
        </w:rPr>
      </w:pPr>
    </w:p>
    <w:p>
      <w:pPr>
        <w:sectPr>
          <w:pgSz w:w="11900" w:h="16838" w:orient="portrait"/>
          <w:cols w:equalWidth="0" w:num="2">
            <w:col w:w="8160" w:space="720"/>
            <w:col w:w="2060"/>
          </w:cols>
          <w:pgMar w:left="220" w:top="782" w:right="739" w:bottom="1440" w:gutter="0" w:footer="0" w:header="0"/>
          <w:type w:val="continuous"/>
        </w:sectPr>
      </w:pPr>
    </w:p>
    <w:p>
      <w:pPr>
        <w:ind w:left="5700"/>
        <w:spacing w:after="0"/>
        <w:tabs>
          <w:tab w:leader="none" w:pos="7060" w:val="left"/>
          <w:tab w:leader="none" w:pos="8680" w:val="left"/>
          <w:tab w:leader="none" w:pos="10060" w:val="left"/>
        </w:tabs>
        <w:rPr>
          <w:sz w:val="20"/>
          <w:szCs w:val="20"/>
          <w:color w:val="auto"/>
        </w:rPr>
      </w:pP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p>
    <w:p>
      <w:pPr>
        <w:sectPr>
          <w:pgSz w:w="11900" w:h="16838" w:orient="portrait"/>
          <w:cols w:equalWidth="0" w:num="1">
            <w:col w:w="10940"/>
          </w:cols>
          <w:pgMar w:left="220" w:top="782" w:right="7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30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$ 223.3</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$ 178.3</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$ 428.6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$ 370.8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180" w:type="dxa"/>
            <w:vAlign w:val="bottom"/>
          </w:tcPr>
          <w:p>
            <w:pPr>
              <w:ind w:left="440"/>
              <w:spacing w:after="0"/>
              <w:rPr>
                <w:sz w:val="20"/>
                <w:szCs w:val="20"/>
                <w:color w:val="auto"/>
              </w:rPr>
            </w:pPr>
            <w:r>
              <w:rPr>
                <w:rFonts w:ascii="Courier New" w:cs="Courier New" w:eastAsia="Courier New" w:hAnsi="Courier New"/>
                <w:sz w:val="14"/>
                <w:szCs w:val="14"/>
                <w:color w:val="auto"/>
              </w:rPr>
              <w:t>Fuel and Purchased Power</w:t>
            </w:r>
          </w:p>
        </w:tc>
        <w:tc>
          <w:tcPr>
            <w:tcW w:w="2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92.9</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63.0</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170.6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132.4</w:t>
            </w:r>
          </w:p>
        </w:tc>
      </w:tr>
      <w:tr>
        <w:trPr>
          <w:trHeight w:val="166"/>
        </w:trPr>
        <w:tc>
          <w:tcPr>
            <w:tcW w:w="4180" w:type="dxa"/>
            <w:vAlign w:val="bottom"/>
          </w:tcPr>
          <w:p>
            <w:pPr>
              <w:ind w:left="440"/>
              <w:spacing w:after="0"/>
              <w:rPr>
                <w:sz w:val="20"/>
                <w:szCs w:val="20"/>
                <w:color w:val="auto"/>
              </w:rPr>
            </w:pPr>
            <w:r>
              <w:rPr>
                <w:rFonts w:ascii="Courier New" w:cs="Courier New" w:eastAsia="Courier New" w:hAnsi="Courier New"/>
                <w:sz w:val="14"/>
                <w:szCs w:val="14"/>
                <w:color w:val="auto"/>
              </w:rPr>
              <w:t>Operating and Maintenance</w:t>
            </w:r>
          </w:p>
        </w:tc>
        <w:tc>
          <w:tcPr>
            <w:tcW w:w="2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84.6</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76.8</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159.2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151.3</w:t>
            </w:r>
          </w:p>
        </w:tc>
      </w:tr>
      <w:tr>
        <w:trPr>
          <w:trHeight w:val="166"/>
        </w:trPr>
        <w:tc>
          <w:tcPr>
            <w:tcW w:w="4180" w:type="dxa"/>
            <w:vAlign w:val="bottom"/>
          </w:tcPr>
          <w:p>
            <w:pPr>
              <w:ind w:left="440"/>
              <w:spacing w:after="0"/>
              <w:rPr>
                <w:sz w:val="20"/>
                <w:szCs w:val="20"/>
                <w:color w:val="auto"/>
              </w:rPr>
            </w:pPr>
            <w:r>
              <w:rPr>
                <w:rFonts w:ascii="Courier New" w:cs="Courier New" w:eastAsia="Courier New" w:hAnsi="Courier New"/>
                <w:sz w:val="14"/>
                <w:szCs w:val="14"/>
                <w:color w:val="auto"/>
              </w:rPr>
              <w:t>Depreciation</w:t>
            </w:r>
          </w:p>
        </w:tc>
        <w:tc>
          <w:tcPr>
            <w:tcW w:w="2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11.9</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12.2</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2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189.4</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152.0</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353.4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308.1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OPERATING INCOME FROM CONTINUING OPERATIONS</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33.9</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26.3</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Interest Expense</w:t>
            </w:r>
          </w:p>
        </w:tc>
        <w:tc>
          <w:tcPr>
            <w:tcW w:w="2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(6.1)</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(6.4)</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(12.8)</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7.3</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3.4</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Total Other Income (Expense)</w:t>
            </w:r>
          </w:p>
        </w:tc>
        <w:tc>
          <w:tcPr>
            <w:tcW w:w="2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(3.0)</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BEFORE</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MINORITY INTEREST AND INCOME TAXES</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35.1</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23.3</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77.6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55.0</w:t>
            </w:r>
          </w:p>
        </w:tc>
      </w:tr>
      <w:tr>
        <w:trPr>
          <w:trHeight w:val="331"/>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MINORITY INTEREST</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0.8</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2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BEFORE</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33.8</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22.5</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76.2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52.9</w:t>
            </w:r>
          </w:p>
        </w:tc>
      </w:tr>
      <w:tr>
        <w:trPr>
          <w:trHeight w:val="331"/>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INCOME TAX EXPENSE</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11.2</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8.9</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INCOME FROM CONTINUING</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OPERATIONS</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22.6</w:t>
            </w: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13.6</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48.9</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32.4</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LOSS FROM DISCONTINUED</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OPERATIONS</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(0.4)</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w w:val="95"/>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3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22.6</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13.2</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48.9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32.0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AVERAGE SHARES OF COMMON STOCK</w:t>
            </w:r>
          </w:p>
        </w:tc>
        <w:tc>
          <w:tcPr>
            <w:tcW w:w="2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8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2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27.7</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27.6</w:t>
            </w:r>
          </w:p>
        </w:tc>
      </w:tr>
      <w:tr>
        <w:trPr>
          <w:trHeight w:val="166"/>
        </w:trPr>
        <w:tc>
          <w:tcPr>
            <w:tcW w:w="418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2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28.3</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27.9</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BASIC EARNINGS PER SHARE OF COMMON STOCK</w:t>
            </w: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$0.80</w:t>
            </w:r>
          </w:p>
        </w:tc>
        <w:tc>
          <w:tcPr>
            <w:tcW w:w="1600" w:type="dxa"/>
            <w:vAlign w:val="bottom"/>
          </w:tcPr>
          <w:p>
            <w:pPr>
              <w:ind w:left="480"/>
              <w:spacing w:after="0"/>
              <w:rPr>
                <w:sz w:val="20"/>
                <w:szCs w:val="20"/>
                <w:color w:val="auto"/>
              </w:rPr>
            </w:pPr>
            <w:r>
              <w:rPr>
                <w:rFonts w:ascii="Courier New" w:cs="Courier New" w:eastAsia="Courier New" w:hAnsi="Courier New"/>
                <w:sz w:val="14"/>
                <w:szCs w:val="14"/>
                <w:color w:val="auto"/>
              </w:rPr>
              <w:t>$0.50</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$1.74</w:t>
            </w:r>
          </w:p>
        </w:tc>
        <w:tc>
          <w:tcPr>
            <w:tcW w:w="980" w:type="dxa"/>
            <w:vAlign w:val="bottom"/>
          </w:tcPr>
          <w:p>
            <w:pPr>
              <w:ind w:left="480"/>
              <w:spacing w:after="0"/>
              <w:rPr>
                <w:sz w:val="20"/>
                <w:szCs w:val="20"/>
                <w:color w:val="auto"/>
              </w:rPr>
            </w:pPr>
            <w:r>
              <w:rPr>
                <w:rFonts w:ascii="Courier New" w:cs="Courier New" w:eastAsia="Courier New" w:hAnsi="Courier New"/>
                <w:sz w:val="14"/>
                <w:szCs w:val="14"/>
                <w:color w:val="auto"/>
              </w:rPr>
              <w:t>$1.18</w:t>
            </w: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480"/>
              <w:spacing w:after="0"/>
              <w:rPr>
                <w:sz w:val="20"/>
                <w:szCs w:val="20"/>
                <w:color w:val="auto"/>
              </w:rPr>
            </w:pPr>
            <w:r>
              <w:rPr>
                <w:rFonts w:ascii="Courier New" w:cs="Courier New" w:eastAsia="Courier New" w:hAnsi="Courier New"/>
                <w:sz w:val="14"/>
                <w:szCs w:val="14"/>
                <w:color w:val="auto"/>
              </w:rPr>
              <w:t>(0.02)</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480"/>
              <w:spacing w:after="0"/>
              <w:rPr>
                <w:sz w:val="20"/>
                <w:szCs w:val="20"/>
                <w:color w:val="auto"/>
              </w:rPr>
            </w:pPr>
            <w:r>
              <w:rPr>
                <w:rFonts w:ascii="Courier New" w:cs="Courier New" w:eastAsia="Courier New" w:hAnsi="Courier New"/>
                <w:sz w:val="14"/>
                <w:szCs w:val="14"/>
                <w:color w:val="auto"/>
                <w:w w:val="95"/>
              </w:rPr>
              <w:t>(0.02)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700"/>
        <w:spacing w:after="0"/>
        <w:tabs>
          <w:tab w:leader="none" w:pos="7060" w:val="left"/>
          <w:tab w:leader="none" w:pos="8780" w:val="left"/>
          <w:tab w:leader="none" w:pos="10160" w:val="left"/>
        </w:tabs>
        <w:rPr>
          <w:sz w:val="20"/>
          <w:szCs w:val="20"/>
          <w:color w:val="auto"/>
        </w:rPr>
      </w:pPr>
      <w:r>
        <w:rPr>
          <w:rFonts w:ascii="Courier New" w:cs="Courier New" w:eastAsia="Courier New" w:hAnsi="Courier New"/>
          <w:sz w:val="14"/>
          <w:szCs w:val="14"/>
          <w:color w:val="auto"/>
        </w:rPr>
        <w:t>$0.80</w:t>
      </w:r>
      <w:r>
        <w:rPr>
          <w:sz w:val="20"/>
          <w:szCs w:val="20"/>
          <w:color w:val="auto"/>
        </w:rPr>
        <w:tab/>
      </w:r>
      <w:r>
        <w:rPr>
          <w:rFonts w:ascii="Courier New" w:cs="Courier New" w:eastAsia="Courier New" w:hAnsi="Courier New"/>
          <w:sz w:val="14"/>
          <w:szCs w:val="14"/>
          <w:color w:val="auto"/>
        </w:rPr>
        <w:t>$0.48</w:t>
      </w:r>
      <w:r>
        <w:rPr>
          <w:sz w:val="20"/>
          <w:szCs w:val="20"/>
          <w:color w:val="auto"/>
        </w:rPr>
        <w:tab/>
      </w:r>
      <w:r>
        <w:rPr>
          <w:rFonts w:ascii="Courier New" w:cs="Courier New" w:eastAsia="Courier New" w:hAnsi="Courier New"/>
          <w:sz w:val="14"/>
          <w:szCs w:val="14"/>
          <w:color w:val="auto"/>
        </w:rPr>
        <w:t>$1.74</w:t>
      </w:r>
      <w:r>
        <w:rPr>
          <w:sz w:val="20"/>
          <w:szCs w:val="20"/>
          <w:color w:val="auto"/>
        </w:rPr>
        <w:tab/>
      </w:r>
      <w:r>
        <w:rPr>
          <w:rFonts w:ascii="Courier New" w:cs="Courier New" w:eastAsia="Courier New" w:hAnsi="Courier New"/>
          <w:sz w:val="14"/>
          <w:szCs w:val="14"/>
          <w:color w:val="auto"/>
        </w:rPr>
        <w:t>$1.16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jc w:val="right"/>
              <w:spacing w:after="0"/>
              <w:rPr>
                <w:sz w:val="20"/>
                <w:szCs w:val="20"/>
                <w:color w:val="auto"/>
              </w:rPr>
            </w:pPr>
            <w:r>
              <w:rPr>
                <w:rFonts w:ascii="Courier New" w:cs="Courier New" w:eastAsia="Courier New" w:hAnsi="Courier New"/>
                <w:sz w:val="14"/>
                <w:szCs w:val="14"/>
                <w:color w:val="auto"/>
              </w:rPr>
              <w:t>DILUTED EARNINGS PER SHARE</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OF COMMON STOCK</w:t>
            </w:r>
          </w:p>
        </w:tc>
        <w:tc>
          <w:tcPr>
            <w:tcW w:w="1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300" w:type="dxa"/>
            <w:vAlign w:val="bottom"/>
          </w:tcPr>
          <w:p>
            <w:pPr>
              <w:jc w:val="right"/>
              <w:spacing w:after="0"/>
              <w:rPr>
                <w:sz w:val="20"/>
                <w:szCs w:val="20"/>
                <w:color w:val="auto"/>
              </w:rPr>
            </w:pPr>
            <w:r>
              <w:rPr>
                <w:rFonts w:ascii="Courier New" w:cs="Courier New" w:eastAsia="Courier New" w:hAnsi="Courier New"/>
                <w:sz w:val="14"/>
                <w:szCs w:val="14"/>
                <w:color w:val="auto"/>
              </w:rPr>
              <w:t>Continuing Operations</w:t>
            </w:r>
          </w:p>
        </w:tc>
        <w:tc>
          <w:tcPr>
            <w:tcW w:w="2360" w:type="dxa"/>
            <w:vAlign w:val="bottom"/>
          </w:tcPr>
          <w:p>
            <w:pPr>
              <w:spacing w:after="0"/>
              <w:rPr>
                <w:sz w:val="14"/>
                <w:szCs w:val="14"/>
                <w:color w:val="auto"/>
              </w:rPr>
            </w:pPr>
          </w:p>
        </w:tc>
        <w:tc>
          <w:tcPr>
            <w:tcW w:w="1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$0.80</w:t>
            </w:r>
          </w:p>
        </w:tc>
        <w:tc>
          <w:tcPr>
            <w:tcW w:w="1600" w:type="dxa"/>
            <w:vAlign w:val="bottom"/>
          </w:tcPr>
          <w:p>
            <w:pPr>
              <w:ind w:left="480"/>
              <w:spacing w:after="0"/>
              <w:rPr>
                <w:sz w:val="20"/>
                <w:szCs w:val="20"/>
                <w:color w:val="auto"/>
              </w:rPr>
            </w:pPr>
            <w:r>
              <w:rPr>
                <w:rFonts w:ascii="Courier New" w:cs="Courier New" w:eastAsia="Courier New" w:hAnsi="Courier New"/>
                <w:sz w:val="14"/>
                <w:szCs w:val="14"/>
                <w:color w:val="auto"/>
              </w:rPr>
              <w:t>$0.49</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$1.73</w:t>
            </w:r>
          </w:p>
        </w:tc>
        <w:tc>
          <w:tcPr>
            <w:tcW w:w="980" w:type="dxa"/>
            <w:vAlign w:val="bottom"/>
          </w:tcPr>
          <w:p>
            <w:pPr>
              <w:ind w:left="480"/>
              <w:spacing w:after="0"/>
              <w:rPr>
                <w:sz w:val="20"/>
                <w:szCs w:val="20"/>
                <w:color w:val="auto"/>
              </w:rPr>
            </w:pPr>
            <w:r>
              <w:rPr>
                <w:rFonts w:ascii="Courier New" w:cs="Courier New" w:eastAsia="Courier New" w:hAnsi="Courier New"/>
                <w:sz w:val="14"/>
                <w:szCs w:val="14"/>
                <w:color w:val="auto"/>
              </w:rPr>
              <w:t>$1.17</w:t>
            </w:r>
          </w:p>
        </w:tc>
      </w:tr>
      <w:tr>
        <w:trPr>
          <w:trHeight w:val="0"/>
        </w:trPr>
        <w:tc>
          <w:tcPr>
            <w:tcW w:w="4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480"/>
              <w:spacing w:after="0"/>
              <w:rPr>
                <w:sz w:val="20"/>
                <w:szCs w:val="20"/>
                <w:color w:val="auto"/>
              </w:rPr>
            </w:pPr>
            <w:r>
              <w:rPr>
                <w:rFonts w:ascii="Courier New" w:cs="Courier New" w:eastAsia="Courier New" w:hAnsi="Courier New"/>
                <w:sz w:val="14"/>
                <w:szCs w:val="14"/>
                <w:color w:val="auto"/>
              </w:rPr>
              <w:t>(0.02)</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480"/>
              <w:spacing w:after="0"/>
              <w:rPr>
                <w:sz w:val="20"/>
                <w:szCs w:val="20"/>
                <w:color w:val="auto"/>
              </w:rPr>
            </w:pPr>
            <w:r>
              <w:rPr>
                <w:rFonts w:ascii="Courier New" w:cs="Courier New" w:eastAsia="Courier New" w:hAnsi="Courier New"/>
                <w:sz w:val="14"/>
                <w:szCs w:val="14"/>
                <w:color w:val="auto"/>
                <w:w w:val="95"/>
              </w:rPr>
              <w:t>(0.02)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700"/>
        <w:spacing w:after="0"/>
        <w:tabs>
          <w:tab w:leader="none" w:pos="7060" w:val="left"/>
          <w:tab w:leader="none" w:pos="8780" w:val="left"/>
          <w:tab w:leader="none" w:pos="10160" w:val="left"/>
        </w:tabs>
        <w:rPr>
          <w:sz w:val="20"/>
          <w:szCs w:val="20"/>
          <w:color w:val="auto"/>
        </w:rPr>
      </w:pPr>
      <w:r>
        <w:rPr>
          <w:rFonts w:ascii="Courier New" w:cs="Courier New" w:eastAsia="Courier New" w:hAnsi="Courier New"/>
          <w:sz w:val="14"/>
          <w:szCs w:val="14"/>
          <w:color w:val="auto"/>
        </w:rPr>
        <w:t>$0.80</w:t>
      </w:r>
      <w:r>
        <w:rPr>
          <w:sz w:val="20"/>
          <w:szCs w:val="20"/>
          <w:color w:val="auto"/>
        </w:rPr>
        <w:tab/>
      </w:r>
      <w:r>
        <w:rPr>
          <w:rFonts w:ascii="Courier New" w:cs="Courier New" w:eastAsia="Courier New" w:hAnsi="Courier New"/>
          <w:sz w:val="14"/>
          <w:szCs w:val="14"/>
          <w:color w:val="auto"/>
        </w:rPr>
        <w:t>$0.47</w:t>
      </w:r>
      <w:r>
        <w:rPr>
          <w:sz w:val="20"/>
          <w:szCs w:val="20"/>
          <w:color w:val="auto"/>
        </w:rPr>
        <w:tab/>
      </w:r>
      <w:r>
        <w:rPr>
          <w:rFonts w:ascii="Courier New" w:cs="Courier New" w:eastAsia="Courier New" w:hAnsi="Courier New"/>
          <w:sz w:val="14"/>
          <w:szCs w:val="14"/>
          <w:color w:val="auto"/>
        </w:rPr>
        <w:t>$1.73</w:t>
      </w:r>
      <w:r>
        <w:rPr>
          <w:sz w:val="20"/>
          <w:szCs w:val="20"/>
          <w:color w:val="auto"/>
        </w:rPr>
        <w:tab/>
      </w:r>
      <w:r>
        <w:rPr>
          <w:rFonts w:ascii="Courier New" w:cs="Courier New" w:eastAsia="Courier New" w:hAnsi="Courier New"/>
          <w:sz w:val="14"/>
          <w:szCs w:val="14"/>
          <w:color w:val="auto"/>
        </w:rPr>
        <w:t>$1.15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5500" w:val="left"/>
          <w:tab w:leader="none" w:pos="6880" w:val="left"/>
          <w:tab w:leader="none" w:pos="8600" w:val="left"/>
          <w:tab w:leader="none" w:pos="9980" w:val="left"/>
        </w:tabs>
        <w:rPr>
          <w:sz w:val="20"/>
          <w:szCs w:val="20"/>
          <w:color w:val="auto"/>
        </w:rPr>
      </w:pPr>
      <w:r>
        <w:rPr>
          <w:rFonts w:ascii="Courier New" w:cs="Courier New" w:eastAsia="Courier New" w:hAnsi="Courier New"/>
          <w:sz w:val="14"/>
          <w:szCs w:val="14"/>
          <w:color w:val="auto"/>
        </w:rPr>
        <w:t>DIVIDENDS PER SHARE OF COMMON STOCK</w:t>
      </w:r>
      <w:r>
        <w:rPr>
          <w:sz w:val="20"/>
          <w:szCs w:val="20"/>
          <w:color w:val="auto"/>
        </w:rPr>
        <w:tab/>
      </w:r>
      <w:r>
        <w:rPr>
          <w:rFonts w:ascii="Courier New" w:cs="Courier New" w:eastAsia="Courier New" w:hAnsi="Courier New"/>
          <w:sz w:val="14"/>
          <w:szCs w:val="14"/>
          <w:color w:val="auto"/>
        </w:rPr>
        <w:t>$0.4100</w:t>
      </w:r>
      <w:r>
        <w:rPr>
          <w:sz w:val="20"/>
          <w:szCs w:val="20"/>
          <w:color w:val="auto"/>
        </w:rPr>
        <w:tab/>
      </w:r>
      <w:r>
        <w:rPr>
          <w:rFonts w:ascii="Courier New" w:cs="Courier New" w:eastAsia="Courier New" w:hAnsi="Courier New"/>
          <w:sz w:val="14"/>
          <w:szCs w:val="14"/>
          <w:color w:val="auto"/>
        </w:rPr>
        <w:t>$0.3625</w:t>
      </w:r>
      <w:r>
        <w:rPr>
          <w:sz w:val="20"/>
          <w:szCs w:val="20"/>
          <w:color w:val="auto"/>
        </w:rPr>
        <w:tab/>
      </w:r>
      <w:r>
        <w:rPr>
          <w:rFonts w:ascii="Courier New" w:cs="Courier New" w:eastAsia="Courier New" w:hAnsi="Courier New"/>
          <w:sz w:val="14"/>
          <w:szCs w:val="14"/>
          <w:color w:val="auto"/>
        </w:rPr>
        <w:t>$0.8200</w:t>
      </w:r>
      <w:r>
        <w:rPr>
          <w:sz w:val="20"/>
          <w:szCs w:val="20"/>
          <w:color w:val="auto"/>
        </w:rPr>
        <w:tab/>
      </w:r>
      <w:r>
        <w:rPr>
          <w:rFonts w:ascii="Courier New" w:cs="Courier New" w:eastAsia="Courier New" w:hAnsi="Courier New"/>
          <w:sz w:val="14"/>
          <w:szCs w:val="14"/>
          <w:color w:val="auto"/>
        </w:rPr>
        <w:t>$0.7250</w:t>
      </w:r>
    </w:p>
    <w:p>
      <w:pPr>
        <w:spacing w:after="0" w:line="7"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33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ALLETE Second Quarter 2007 Form 10-Q</w:t>
      </w:r>
    </w:p>
    <w:p>
      <w:pPr>
        <w:sectPr>
          <w:pgSz w:w="11900" w:h="16838" w:orient="portrait"/>
          <w:cols w:equalWidth="0" w:num="1">
            <w:col w:w="10940"/>
          </w:cols>
          <w:pgMar w:left="220" w:top="782" w:right="739" w:bottom="1440" w:gutter="0" w:footer="0" w:header="0"/>
          <w:type w:val="continuous"/>
        </w:sectPr>
      </w:pPr>
    </w:p>
    <w:bookmarkStart w:id="6" w:name="page7"/>
    <w:bookmarkEnd w:id="6"/>
    <w:p>
      <w:pPr>
        <w:ind w:left="4740"/>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MILLIONS - UNAUDITED</w:t>
      </w:r>
    </w:p>
    <w:p>
      <w:pPr>
        <w:spacing w:after="0" w:line="173" w:lineRule="exact"/>
        <w:rPr>
          <w:sz w:val="20"/>
          <w:szCs w:val="20"/>
          <w:color w:val="auto"/>
        </w:rPr>
      </w:pPr>
    </w:p>
    <w:p>
      <w:pPr>
        <w:jc w:val="center"/>
        <w:ind w:left="5440"/>
        <w:spacing w:after="0"/>
        <w:rPr>
          <w:sz w:val="20"/>
          <w:szCs w:val="20"/>
          <w:color w:val="auto"/>
        </w:rPr>
      </w:pPr>
      <w:r>
        <w:rPr>
          <w:rFonts w:ascii="Courier New" w:cs="Courier New" w:eastAsia="Courier New" w:hAnsi="Courier New"/>
          <w:sz w:val="14"/>
          <w:szCs w:val="14"/>
          <w:color w:val="auto"/>
        </w:rPr>
        <w:t>SIX MONTHS ENDED</w:t>
      </w:r>
    </w:p>
    <w:p>
      <w:pPr>
        <w:spacing w:after="0" w:line="7" w:lineRule="exact"/>
        <w:rPr>
          <w:sz w:val="20"/>
          <w:szCs w:val="20"/>
          <w:color w:val="auto"/>
        </w:rPr>
      </w:pPr>
    </w:p>
    <w:p>
      <w:pPr>
        <w:jc w:val="center"/>
        <w:ind w:left="5440"/>
        <w:spacing w:after="0"/>
        <w:rPr>
          <w:sz w:val="20"/>
          <w:szCs w:val="20"/>
          <w:color w:val="auto"/>
        </w:rPr>
      </w:pPr>
      <w:r>
        <w:rPr>
          <w:rFonts w:ascii="Courier New" w:cs="Courier New" w:eastAsia="Courier New" w:hAnsi="Courier New"/>
          <w:sz w:val="14"/>
          <w:szCs w:val="14"/>
          <w:color w:val="auto"/>
        </w:rPr>
        <w:t>JUNE 30,</w:t>
      </w:r>
    </w:p>
    <w:p>
      <w:pPr>
        <w:spacing w:after="0" w:line="7" w:lineRule="exact"/>
        <w:rPr>
          <w:sz w:val="20"/>
          <w:szCs w:val="20"/>
          <w:color w:val="auto"/>
        </w:rPr>
      </w:pPr>
    </w:p>
    <w:p>
      <w:pPr>
        <w:ind w:left="7420"/>
        <w:spacing w:after="0"/>
        <w:tabs>
          <w:tab w:leader="none" w:pos="9040" w:val="left"/>
        </w:tabs>
        <w:rPr>
          <w:sz w:val="20"/>
          <w:szCs w:val="20"/>
          <w:color w:val="auto"/>
        </w:rPr>
      </w:pP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2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$ 48.9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$ 32.0</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Loss from Discontinued Operations</w:t>
            </w:r>
          </w:p>
        </w:tc>
        <w:tc>
          <w:tcPr>
            <w:tcW w:w="2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Income from Equity Investments</w:t>
            </w:r>
          </w:p>
        </w:tc>
        <w:tc>
          <w:tcPr>
            <w:tcW w:w="2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Gain on Sale of Assets</w:t>
            </w:r>
          </w:p>
        </w:tc>
        <w:tc>
          <w:tcPr>
            <w:tcW w:w="2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Depreciation</w:t>
            </w:r>
          </w:p>
        </w:tc>
        <w:tc>
          <w:tcPr>
            <w:tcW w:w="2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2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Minority Interest</w:t>
            </w:r>
          </w:p>
        </w:tc>
        <w:tc>
          <w:tcPr>
            <w:tcW w:w="2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Stock Compensation Expense</w:t>
            </w:r>
          </w:p>
        </w:tc>
        <w:tc>
          <w:tcPr>
            <w:tcW w:w="2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Bad Debt Expense</w:t>
            </w:r>
          </w:p>
        </w:tc>
        <w:tc>
          <w:tcPr>
            <w:tcW w:w="2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120" w:type="dxa"/>
            <w:vAlign w:val="bottom"/>
          </w:tcPr>
          <w:p>
            <w:pPr>
              <w:ind w:left="780"/>
              <w:spacing w:after="0"/>
              <w:rPr>
                <w:sz w:val="20"/>
                <w:szCs w:val="20"/>
                <w:color w:val="auto"/>
              </w:rPr>
            </w:pPr>
            <w:r>
              <w:rPr>
                <w:rFonts w:ascii="Courier New" w:cs="Courier New" w:eastAsia="Courier New" w:hAnsi="Courier New"/>
                <w:sz w:val="14"/>
                <w:szCs w:val="14"/>
                <w:color w:val="auto"/>
              </w:rPr>
              <w:t>Accounts Receivable</w:t>
            </w:r>
          </w:p>
        </w:tc>
        <w:tc>
          <w:tcPr>
            <w:tcW w:w="2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w:t>
            </w:r>
          </w:p>
        </w:tc>
      </w:tr>
      <w:tr>
        <w:trPr>
          <w:trHeight w:val="166"/>
        </w:trPr>
        <w:tc>
          <w:tcPr>
            <w:tcW w:w="6120" w:type="dxa"/>
            <w:vAlign w:val="bottom"/>
          </w:tcPr>
          <w:p>
            <w:pPr>
              <w:ind w:left="780"/>
              <w:spacing w:after="0"/>
              <w:rPr>
                <w:sz w:val="20"/>
                <w:szCs w:val="20"/>
                <w:color w:val="auto"/>
              </w:rPr>
            </w:pPr>
            <w:r>
              <w:rPr>
                <w:rFonts w:ascii="Courier New" w:cs="Courier New" w:eastAsia="Courier New" w:hAnsi="Courier New"/>
                <w:sz w:val="14"/>
                <w:szCs w:val="14"/>
                <w:color w:val="auto"/>
              </w:rPr>
              <w:t>Inventories</w:t>
            </w:r>
          </w:p>
        </w:tc>
        <w:tc>
          <w:tcPr>
            <w:tcW w:w="2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6120" w:type="dxa"/>
            <w:vAlign w:val="bottom"/>
          </w:tcPr>
          <w:p>
            <w:pPr>
              <w:ind w:left="780"/>
              <w:spacing w:after="0"/>
              <w:rPr>
                <w:sz w:val="20"/>
                <w:szCs w:val="20"/>
                <w:color w:val="auto"/>
              </w:rPr>
            </w:pPr>
            <w:r>
              <w:rPr>
                <w:rFonts w:ascii="Courier New" w:cs="Courier New" w:eastAsia="Courier New" w:hAnsi="Courier New"/>
                <w:sz w:val="14"/>
                <w:szCs w:val="14"/>
                <w:color w:val="auto"/>
              </w:rPr>
              <w:t>Prepayments and Other</w:t>
            </w:r>
          </w:p>
        </w:tc>
        <w:tc>
          <w:tcPr>
            <w:tcW w:w="2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r>
      <w:tr>
        <w:trPr>
          <w:trHeight w:val="166"/>
        </w:trPr>
        <w:tc>
          <w:tcPr>
            <w:tcW w:w="6120" w:type="dxa"/>
            <w:vAlign w:val="bottom"/>
          </w:tcPr>
          <w:p>
            <w:pPr>
              <w:ind w:left="780"/>
              <w:spacing w:after="0"/>
              <w:rPr>
                <w:sz w:val="20"/>
                <w:szCs w:val="20"/>
                <w:color w:val="auto"/>
              </w:rPr>
            </w:pPr>
            <w:r>
              <w:rPr>
                <w:rFonts w:ascii="Courier New" w:cs="Courier New" w:eastAsia="Courier New" w:hAnsi="Courier New"/>
                <w:sz w:val="14"/>
                <w:szCs w:val="14"/>
                <w:color w:val="auto"/>
              </w:rPr>
              <w:t>Accounts Payable</w:t>
            </w:r>
          </w:p>
        </w:tc>
        <w:tc>
          <w:tcPr>
            <w:tcW w:w="2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r>
        <w:trPr>
          <w:trHeight w:val="166"/>
        </w:trPr>
        <w:tc>
          <w:tcPr>
            <w:tcW w:w="6120" w:type="dxa"/>
            <w:vAlign w:val="bottom"/>
          </w:tcPr>
          <w:p>
            <w:pPr>
              <w:ind w:left="780"/>
              <w:spacing w:after="0"/>
              <w:rPr>
                <w:sz w:val="20"/>
                <w:szCs w:val="20"/>
                <w:color w:val="auto"/>
              </w:rPr>
            </w:pPr>
            <w:r>
              <w:rPr>
                <w:rFonts w:ascii="Courier New" w:cs="Courier New" w:eastAsia="Courier New" w:hAnsi="Courier New"/>
                <w:sz w:val="14"/>
                <w:szCs w:val="14"/>
                <w:color w:val="auto"/>
              </w:rPr>
              <w:t>Other Current Liabilities</w:t>
            </w:r>
          </w:p>
        </w:tc>
        <w:tc>
          <w:tcPr>
            <w:tcW w:w="2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Other Assets</w:t>
            </w:r>
          </w:p>
        </w:tc>
        <w:tc>
          <w:tcPr>
            <w:tcW w:w="2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Other Liabilities</w:t>
            </w:r>
          </w:p>
        </w:tc>
        <w:tc>
          <w:tcPr>
            <w:tcW w:w="2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Net Operating Activities for Discontinued Operations</w:t>
            </w:r>
          </w:p>
        </w:tc>
        <w:tc>
          <w:tcPr>
            <w:tcW w:w="2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Cash from Operating Activities</w:t>
            </w:r>
          </w:p>
        </w:tc>
        <w:tc>
          <w:tcPr>
            <w:tcW w:w="30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52.3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3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34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 of</w:t>
            </w:r>
          </w:p>
        </w:tc>
        <w:tc>
          <w:tcPr>
            <w:tcW w:w="3860" w:type="dxa"/>
            <w:vAlign w:val="bottom"/>
          </w:tcPr>
          <w:p>
            <w:pPr>
              <w:spacing w:after="0"/>
              <w:rPr>
                <w:sz w:val="20"/>
                <w:szCs w:val="20"/>
                <w:color w:val="auto"/>
              </w:rPr>
            </w:pPr>
            <w:r>
              <w:rPr>
                <w:rFonts w:ascii="Courier New" w:cs="Courier New" w:eastAsia="Courier New" w:hAnsi="Courier New"/>
                <w:sz w:val="14"/>
                <w:szCs w:val="14"/>
                <w:color w:val="auto"/>
              </w:rPr>
              <w:t>Available-For-Sale Securities</w:t>
            </w:r>
          </w:p>
        </w:tc>
        <w:tc>
          <w:tcPr>
            <w:tcW w:w="2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187.2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410.6</w:t>
            </w:r>
          </w:p>
        </w:tc>
      </w:tr>
      <w:tr>
        <w:trPr>
          <w:trHeight w:val="166"/>
        </w:trPr>
        <w:tc>
          <w:tcPr>
            <w:tcW w:w="2340" w:type="dxa"/>
            <w:vAlign w:val="bottom"/>
          </w:tcPr>
          <w:p>
            <w:pPr>
              <w:ind w:left="440"/>
              <w:spacing w:after="0"/>
              <w:rPr>
                <w:sz w:val="20"/>
                <w:szCs w:val="20"/>
                <w:color w:val="auto"/>
              </w:rPr>
            </w:pPr>
            <w:r>
              <w:rPr>
                <w:rFonts w:ascii="Courier New" w:cs="Courier New" w:eastAsia="Courier New" w:hAnsi="Courier New"/>
                <w:sz w:val="14"/>
                <w:szCs w:val="14"/>
                <w:color w:val="auto"/>
              </w:rPr>
              <w:t>Payments for Purchase</w:t>
            </w:r>
          </w:p>
        </w:tc>
        <w:tc>
          <w:tcPr>
            <w:tcW w:w="3860" w:type="dxa"/>
            <w:vAlign w:val="bottom"/>
          </w:tcPr>
          <w:p>
            <w:pPr>
              <w:spacing w:after="0"/>
              <w:rPr>
                <w:sz w:val="20"/>
                <w:szCs w:val="20"/>
                <w:color w:val="auto"/>
              </w:rPr>
            </w:pPr>
            <w:r>
              <w:rPr>
                <w:rFonts w:ascii="Courier New" w:cs="Courier New" w:eastAsia="Courier New" w:hAnsi="Courier New"/>
                <w:sz w:val="14"/>
                <w:szCs w:val="14"/>
                <w:color w:val="auto"/>
              </w:rPr>
              <w:t>of Available-For-Sale Securities</w:t>
            </w:r>
          </w:p>
        </w:tc>
        <w:tc>
          <w:tcPr>
            <w:tcW w:w="22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(204.5)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(414.1)</w:t>
            </w:r>
          </w:p>
        </w:tc>
      </w:tr>
      <w:tr>
        <w:trPr>
          <w:trHeight w:val="166"/>
        </w:trPr>
        <w:tc>
          <w:tcPr>
            <w:tcW w:w="2340" w:type="dxa"/>
            <w:vAlign w:val="bottom"/>
          </w:tcPr>
          <w:p>
            <w:pPr>
              <w:ind w:left="440"/>
              <w:spacing w:after="0"/>
              <w:rPr>
                <w:sz w:val="20"/>
                <w:szCs w:val="20"/>
                <w:color w:val="auto"/>
              </w:rPr>
            </w:pPr>
            <w:r>
              <w:rPr>
                <w:rFonts w:ascii="Courier New" w:cs="Courier New" w:eastAsia="Courier New" w:hAnsi="Courier New"/>
                <w:sz w:val="14"/>
                <w:szCs w:val="14"/>
                <w:color w:val="auto"/>
              </w:rPr>
              <w:t>Changes to Investments</w:t>
            </w:r>
          </w:p>
        </w:tc>
        <w:tc>
          <w:tcPr>
            <w:tcW w:w="3860" w:type="dxa"/>
            <w:vAlign w:val="bottom"/>
          </w:tcPr>
          <w:p>
            <w:pPr>
              <w:spacing w:after="0"/>
              <w:rPr>
                <w:sz w:val="14"/>
                <w:szCs w:val="14"/>
                <w:color w:val="auto"/>
              </w:rPr>
            </w:pPr>
          </w:p>
        </w:tc>
        <w:tc>
          <w:tcPr>
            <w:tcW w:w="22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(17.8)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(11.2)</w:t>
            </w:r>
          </w:p>
        </w:tc>
      </w:tr>
      <w:tr>
        <w:trPr>
          <w:trHeight w:val="166"/>
        </w:trPr>
        <w:tc>
          <w:tcPr>
            <w:tcW w:w="62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Additions to Property, Plant and Equipment</w:t>
            </w:r>
          </w:p>
        </w:tc>
        <w:tc>
          <w:tcPr>
            <w:tcW w:w="22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(70.1)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(35.3)</w:t>
            </w:r>
          </w:p>
        </w:tc>
      </w:tr>
      <w:tr>
        <w:trPr>
          <w:trHeight w:val="166"/>
        </w:trPr>
        <w:tc>
          <w:tcPr>
            <w:tcW w:w="234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 of</w:t>
            </w:r>
          </w:p>
        </w:tc>
        <w:tc>
          <w:tcPr>
            <w:tcW w:w="38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3860" w:type="dxa"/>
            <w:vAlign w:val="bottom"/>
          </w:tcPr>
          <w:p>
            <w:pPr>
              <w:spacing w:after="0"/>
              <w:rPr>
                <w:sz w:val="14"/>
                <w:szCs w:val="14"/>
                <w:color w:val="auto"/>
              </w:rPr>
            </w:pPr>
          </w:p>
        </w:tc>
        <w:tc>
          <w:tcPr>
            <w:tcW w:w="2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r>
      <w:tr>
        <w:trPr>
          <w:trHeight w:val="166"/>
        </w:trPr>
        <w:tc>
          <w:tcPr>
            <w:tcW w:w="62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Net Investing Activities from Discontinued Operations</w:t>
            </w:r>
          </w:p>
        </w:tc>
        <w:tc>
          <w:tcPr>
            <w:tcW w:w="2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Courier New" w:cs="Courier New" w:eastAsia="Courier New" w:hAnsi="Courier New"/>
                <w:sz w:val="14"/>
                <w:szCs w:val="14"/>
                <w:color w:val="auto"/>
              </w:rPr>
              <w:t>Cash for Investing Activities</w:t>
            </w:r>
          </w:p>
        </w:tc>
        <w:tc>
          <w:tcPr>
            <w:tcW w:w="3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(102.3)</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(45.3)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16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6860" w:type="dxa"/>
            <w:vAlign w:val="bottom"/>
          </w:tcPr>
          <w:p>
            <w:pPr>
              <w:ind w:left="440"/>
              <w:spacing w:after="0"/>
              <w:rPr>
                <w:sz w:val="20"/>
                <w:szCs w:val="20"/>
                <w:color w:val="auto"/>
              </w:rPr>
            </w:pPr>
            <w:r>
              <w:rPr>
                <w:rFonts w:ascii="Courier New" w:cs="Courier New" w:eastAsia="Courier New" w:hAnsi="Courier New"/>
                <w:sz w:val="14"/>
                <w:szCs w:val="14"/>
                <w:color w:val="auto"/>
              </w:rPr>
              <w:t>Issuance of Common Stock</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15.4</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w:t>
            </w:r>
          </w:p>
        </w:tc>
      </w:tr>
      <w:tr>
        <w:trPr>
          <w:trHeight w:val="166"/>
        </w:trPr>
        <w:tc>
          <w:tcPr>
            <w:tcW w:w="6860" w:type="dxa"/>
            <w:vAlign w:val="bottom"/>
          </w:tcPr>
          <w:p>
            <w:pPr>
              <w:ind w:left="440"/>
              <w:spacing w:after="0"/>
              <w:rPr>
                <w:sz w:val="20"/>
                <w:szCs w:val="20"/>
                <w:color w:val="auto"/>
              </w:rPr>
            </w:pPr>
            <w:r>
              <w:rPr>
                <w:rFonts w:ascii="Courier New" w:cs="Courier New" w:eastAsia="Courier New" w:hAnsi="Courier New"/>
                <w:sz w:val="14"/>
                <w:szCs w:val="14"/>
                <w:color w:val="auto"/>
              </w:rPr>
              <w:t>Issuance of Debt</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110.2</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6860" w:type="dxa"/>
            <w:vAlign w:val="bottom"/>
          </w:tcPr>
          <w:p>
            <w:pPr>
              <w:ind w:left="440"/>
              <w:spacing w:after="0"/>
              <w:rPr>
                <w:sz w:val="20"/>
                <w:szCs w:val="20"/>
                <w:color w:val="auto"/>
              </w:rPr>
            </w:pPr>
            <w:r>
              <w:rPr>
                <w:rFonts w:ascii="Courier New" w:cs="Courier New" w:eastAsia="Courier New" w:hAnsi="Courier New"/>
                <w:sz w:val="14"/>
                <w:szCs w:val="14"/>
                <w:color w:val="auto"/>
              </w:rPr>
              <w:t>Payments of Long-Term Debt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(61.0)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(52.0)</w:t>
            </w:r>
          </w:p>
        </w:tc>
      </w:tr>
      <w:tr>
        <w:trPr>
          <w:trHeight w:val="166"/>
        </w:trPr>
        <w:tc>
          <w:tcPr>
            <w:tcW w:w="6860" w:type="dxa"/>
            <w:vAlign w:val="bottom"/>
          </w:tcPr>
          <w:p>
            <w:pPr>
              <w:ind w:left="440"/>
              <w:spacing w:after="0"/>
              <w:rPr>
                <w:sz w:val="20"/>
                <w:szCs w:val="20"/>
                <w:color w:val="auto"/>
              </w:rPr>
            </w:pPr>
            <w:r>
              <w:rPr>
                <w:rFonts w:ascii="Courier New" w:cs="Courier New" w:eastAsia="Courier New" w:hAnsi="Courier New"/>
                <w:sz w:val="14"/>
                <w:szCs w:val="14"/>
                <w:color w:val="auto"/>
              </w:rPr>
              <w:t>Dividends on Common Stock and Distributions to Minority Shareholders</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(22.3)</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(21.3)</w:t>
            </w:r>
          </w:p>
        </w:tc>
      </w:tr>
      <w:tr>
        <w:trPr>
          <w:trHeight w:val="166"/>
        </w:trPr>
        <w:tc>
          <w:tcPr>
            <w:tcW w:w="6860" w:type="dxa"/>
            <w:vAlign w:val="bottom"/>
          </w:tcPr>
          <w:p>
            <w:pPr>
              <w:ind w:left="440"/>
              <w:spacing w:after="0"/>
              <w:rPr>
                <w:sz w:val="20"/>
                <w:szCs w:val="20"/>
                <w:color w:val="auto"/>
              </w:rPr>
            </w:pPr>
            <w:r>
              <w:rPr>
                <w:rFonts w:ascii="Courier New" w:cs="Courier New" w:eastAsia="Courier New" w:hAnsi="Courier New"/>
                <w:sz w:val="14"/>
                <w:szCs w:val="14"/>
                <w:color w:val="auto"/>
              </w:rPr>
              <w:t>Net Decrease in Book Overdrafts</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from (for) Financing Activities</w:t>
            </w:r>
          </w:p>
        </w:tc>
        <w:tc>
          <w:tcPr>
            <w:tcW w:w="2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(17.9)</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7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gridSpan w:val="7"/>
          </w:tcPr>
          <w:p>
            <w:pPr>
              <w:spacing w:after="0"/>
              <w:rPr>
                <w:sz w:val="20"/>
                <w:szCs w:val="20"/>
                <w:color w:val="auto"/>
              </w:rPr>
            </w:pPr>
            <w:r>
              <w:rPr>
                <w:rFonts w:ascii="Courier New" w:cs="Courier New" w:eastAsia="Courier New" w:hAnsi="Courier New"/>
                <w:sz w:val="14"/>
                <w:szCs w:val="14"/>
                <w:color w:val="auto"/>
              </w:rPr>
              <w:t>CHANGE IN CASH AND CASH EQUIVALENTS</w:t>
            </w:r>
          </w:p>
        </w:tc>
        <w:tc>
          <w:tcPr>
            <w:tcW w:w="27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(7.7)</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(26.8)</w:t>
            </w:r>
          </w:p>
        </w:tc>
      </w:tr>
      <w:tr>
        <w:trPr>
          <w:trHeight w:val="331"/>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BEGINNING OF PERIOD</w:t>
            </w:r>
          </w:p>
        </w:tc>
        <w:tc>
          <w:tcPr>
            <w:tcW w:w="27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44.8</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7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END OF PERIOD</w:t>
            </w:r>
          </w:p>
        </w:tc>
        <w:tc>
          <w:tcPr>
            <w:tcW w:w="27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$ 37.1</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$ 62.8</w:t>
            </w:r>
          </w:p>
        </w:tc>
      </w:tr>
    </w:tbl>
    <w:p>
      <w:pPr>
        <w:spacing w:after="0" w:line="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33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2007 Form 10-Q</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bl>
    <w:p>
      <w:pPr>
        <w:sectPr>
          <w:pgSz w:w="11900" w:h="16838" w:orient="portrait"/>
          <w:cols w:equalWidth="0" w:num="1">
            <w:col w:w="10239"/>
          </w:cols>
          <w:pgMar w:left="220" w:top="782" w:right="1440" w:bottom="1440" w:gutter="0" w:footer="0" w:header="0"/>
        </w:sectPr>
      </w:pPr>
    </w:p>
    <w:bookmarkStart w:id="7" w:name="page8"/>
    <w:bookmarkEnd w:id="7"/>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accompanying unaudited consolidated financial statements and notes should be read in conjunction with our 2006 Form 10-K. In our opinion, all adjustments necessary for a fair statement of the results for the interim periods have been made and have occurred in the normal course of business. The results of operations for an interim period are not necessarily indicative of the results to be expected for the full year.</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OPERATIONS AND SIGNIFICANT ACCOUNTING POLICIES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INVENTORIES. Inventories are stated at the lower of cost or market. Cost is determined by the average cost method.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4220" w:type="dxa"/>
            <w:vAlign w:val="bottom"/>
          </w:tcPr>
          <w:p>
            <w:pPr>
              <w:jc w:val="center"/>
              <w:ind w:left="2688"/>
              <w:spacing w:after="0"/>
              <w:rPr>
                <w:sz w:val="20"/>
                <w:szCs w:val="20"/>
                <w:color w:val="auto"/>
              </w:rPr>
            </w:pPr>
            <w:r>
              <w:rPr>
                <w:rFonts w:ascii="Courier New" w:cs="Courier New" w:eastAsia="Courier New" w:hAnsi="Courier New"/>
                <w:sz w:val="14"/>
                <w:szCs w:val="14"/>
                <w:color w:val="auto"/>
              </w:rPr>
              <w:t>JUNE 30,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4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Fuel</w:t>
            </w:r>
          </w:p>
        </w:tc>
        <w:tc>
          <w:tcPr>
            <w:tcW w:w="3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$18.9</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Materials and Supplies</w:t>
            </w:r>
          </w:p>
        </w:tc>
        <w:tc>
          <w:tcPr>
            <w:tcW w:w="3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Total Inventories</w:t>
            </w:r>
          </w:p>
        </w:tc>
        <w:tc>
          <w:tcPr>
            <w:tcW w:w="4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$46.9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ASSET RETIREMENT OBLIGATION (ARO). At June 30, 2007, our ARO balance was $35.9 million, ($27.2 million at December 31, 2006). This increase is primarily due to the establishment of an ARO for our Taconite Harbor facility resulting from the MPUC's approval of our decommissioning estimate.</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SUPPLEMENTAL STATEMENT OF CASH FLOWS INFORMATION. Amount presented for June 30, 2006, which was $19.4 million has been revised to eliminate intercompany interest payments of $7.0 million from cash paid during the period for Interest - - Net of Amounts Capitalized.</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CONSOLIDATED STATEMENT OF CASH FLOWS</w:t>
            </w:r>
          </w:p>
        </w:tc>
        <w:tc>
          <w:tcPr>
            <w:tcW w:w="3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SUPPLEMENTAL DISCLOSURE</w:t>
            </w:r>
          </w:p>
        </w:tc>
        <w:tc>
          <w:tcPr>
            <w:tcW w:w="3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FOR THE SIX MONTHS ENDED JUNE 30,</w:t>
            </w:r>
          </w:p>
        </w:tc>
        <w:tc>
          <w:tcPr>
            <w:tcW w:w="31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gridSpan w:val="2"/>
          </w:tcPr>
          <w:p>
            <w:pPr>
              <w:spacing w:after="0"/>
              <w:rPr>
                <w:sz w:val="20"/>
                <w:szCs w:val="20"/>
                <w:color w:val="auto"/>
              </w:rPr>
            </w:pPr>
            <w:r>
              <w:rPr>
                <w:rFonts w:ascii="Courier New" w:cs="Courier New" w:eastAsia="Courier New" w:hAnsi="Courier New"/>
                <w:sz w:val="14"/>
                <w:szCs w:val="14"/>
                <w:color w:val="auto"/>
              </w:rPr>
              <w:t>Cash Paid During the Period for</w:t>
            </w:r>
          </w:p>
        </w:tc>
        <w:tc>
          <w:tcPr>
            <w:tcW w:w="27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Interest - Net of Amounts Capitalized</w:t>
            </w:r>
          </w:p>
        </w:tc>
        <w:tc>
          <w:tcPr>
            <w:tcW w:w="2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Income Taxes</w:t>
            </w:r>
          </w:p>
        </w:tc>
        <w:tc>
          <w:tcPr>
            <w:tcW w:w="4180" w:type="dxa"/>
            <w:vAlign w:val="bottom"/>
          </w:tcPr>
          <w:p>
            <w:pPr>
              <w:spacing w:after="0"/>
              <w:rPr>
                <w:sz w:val="14"/>
                <w:szCs w:val="14"/>
                <w:color w:val="auto"/>
              </w:rPr>
            </w:pPr>
          </w:p>
        </w:tc>
        <w:tc>
          <w:tcPr>
            <w:tcW w:w="2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$31.1</w:t>
            </w:r>
          </w:p>
        </w:tc>
      </w:tr>
      <w:tr>
        <w:trPr>
          <w:trHeight w:val="331"/>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Noncash Investing</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Accounts Payable for Capital Additions to</w:t>
            </w:r>
          </w:p>
        </w:tc>
        <w:tc>
          <w:tcPr>
            <w:tcW w:w="27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Property</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Plant and Equipment</w:t>
            </w:r>
          </w:p>
        </w:tc>
        <w:tc>
          <w:tcPr>
            <w:tcW w:w="2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NEW ACCOUNTING STANDARDS. SFAS 157. In September 2006, the FASB issued SFAS 157, "Fair Value Measurements," to increase consistency and comparability in fair value measurements by defining fair value, establishing a framework for measuring fair value in generally accepted accounting principles, and expanding disclosures about fair value measurements. SFAS 157 emphasizes that fair value is a market-based measurement, not an entity-specific measurement. It clarifies the extent to which fair value is used to measure recognized assets and liabilities, the inputs used to develop the measurements, and the effect of certain measurements on earnings for the period. SFAS 157 is effective for financial statements issued for fiscal years beginning after November 15, 2007, and is applied on a prospective basis. We are currently evaluating the impact that the adoption of SFAS 157 would have on our consolidated financial position, results of operations and cash flows.</w:t>
      </w:r>
    </w:p>
    <w:p>
      <w:pPr>
        <w:spacing w:after="0" w:line="329"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SFAS 159. In February 2007, the FASB issued SFAS 159, "The Fair Value Option for Financial Assets and Financial Liabilities," which is an elective, irrevocable election to measure eligible financial instruments and certain other assets and liabilities at fair value on an instrument-by-instrument basis. The election may only be applied at specified election dates and to instruments in their entirety rather than to portions of instruments. Upon initial election, the entity reports the difference between the instruments' carrying value and their fair value as a cumulative-effect adjustment to the opening balance of retained earnings. At each subsequent reporting date, an entity shall report in earnings, unrealized gains and losses on items for which the fair value option has been elected. SFAS 159 is effective for financial statements issued for fiscal years beginning after November 15, 2007, and is applied on a prospective basis. Early adoption of SFAS 159 is permitted provided the entity also elects to adopt the provisions of SFAS 157 as of the early adoption date selected for SFAS 159. We are currently evaluating the impact that the adoption of SFAS 159 would have on our consolidated financial position, results of operations and cash flows.</w:t>
      </w:r>
    </w:p>
    <w:p>
      <w:pPr>
        <w:spacing w:after="0" w:line="17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ALLETE Second Quarter 2007 Form 10-Q</w:t>
      </w:r>
    </w:p>
    <w:p>
      <w:pPr>
        <w:sectPr>
          <w:pgSz w:w="11900" w:h="16838" w:orient="portrait"/>
          <w:cols w:equalWidth="0" w:num="1">
            <w:col w:w="10239"/>
          </w:cols>
          <w:pgMar w:left="220" w:top="616" w:right="1440" w:bottom="922" w:gutter="0" w:footer="0" w:header="0"/>
        </w:sectPr>
      </w:pPr>
    </w:p>
    <w:bookmarkStart w:id="8" w:name="page9"/>
    <w:bookmarkEnd w:id="8"/>
    <w:p>
      <w:pPr>
        <w:spacing w:after="0"/>
        <w:tabs>
          <w:tab w:leader="none" w:pos="102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BUSINESS SEGMENTS</w:t>
      </w:r>
    </w:p>
    <w:p>
      <w:pPr>
        <w:spacing w:after="0" w:line="200" w:lineRule="exact"/>
        <w:rPr>
          <w:sz w:val="20"/>
          <w:szCs w:val="20"/>
          <w:color w:val="auto"/>
        </w:rPr>
      </w:pPr>
    </w:p>
    <w:p>
      <w:pPr>
        <w:spacing w:after="0" w:line="304"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ENERGY</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NONREGULATED</w:t>
      </w:r>
    </w:p>
    <w:p>
      <w:pPr>
        <w:spacing w:after="0" w:line="7" w:lineRule="exact"/>
        <w:rPr>
          <w:sz w:val="20"/>
          <w:szCs w:val="20"/>
          <w:color w:val="auto"/>
        </w:rPr>
      </w:pPr>
    </w:p>
    <w:p>
      <w:pPr>
        <w:ind w:left="4740"/>
        <w:spacing w:after="0"/>
        <w:tabs>
          <w:tab w:leader="none" w:pos="5940" w:val="left"/>
          <w:tab w:leader="none" w:pos="6960" w:val="left"/>
          <w:tab w:leader="none" w:pos="8340" w:val="left"/>
        </w:tabs>
        <w:rPr>
          <w:sz w:val="20"/>
          <w:szCs w:val="20"/>
          <w:color w:val="auto"/>
        </w:rPr>
      </w:pPr>
      <w:r>
        <w:rPr>
          <w:rFonts w:ascii="Courier New" w:cs="Courier New" w:eastAsia="Courier New" w:hAnsi="Courier New"/>
          <w:sz w:val="14"/>
          <w:szCs w:val="14"/>
          <w:color w:val="auto"/>
        </w:rPr>
        <w:t>REGULATED</w:t>
      </w:r>
      <w:r>
        <w:rPr>
          <w:sz w:val="20"/>
          <w:szCs w:val="20"/>
          <w:color w:val="auto"/>
        </w:rPr>
        <w:tab/>
      </w:r>
      <w:r>
        <w:rPr>
          <w:rFonts w:ascii="Courier New" w:cs="Courier New" w:eastAsia="Courier New" w:hAnsi="Courier New"/>
          <w:sz w:val="14"/>
          <w:szCs w:val="14"/>
          <w:color w:val="auto"/>
        </w:rPr>
        <w:t>ENERGY</w:t>
      </w:r>
      <w:r>
        <w:rPr>
          <w:sz w:val="20"/>
          <w:szCs w:val="20"/>
          <w:color w:val="auto"/>
        </w:rPr>
        <w:tab/>
      </w:r>
      <w:r>
        <w:rPr>
          <w:rFonts w:ascii="Courier New" w:cs="Courier New" w:eastAsia="Courier New" w:hAnsi="Courier New"/>
          <w:sz w:val="14"/>
          <w:szCs w:val="14"/>
          <w:color w:val="auto"/>
        </w:rPr>
        <w:t>INVESTMENT</w:t>
      </w:r>
      <w:r>
        <w:rPr>
          <w:sz w:val="20"/>
          <w:szCs w:val="20"/>
          <w:color w:val="auto"/>
        </w:rPr>
        <w:tab/>
      </w:r>
      <w:r>
        <w:rPr>
          <w:rFonts w:ascii="Courier New" w:cs="Courier New" w:eastAsia="Courier New" w:hAnsi="Courier New"/>
          <w:sz w:val="14"/>
          <w:szCs w:val="14"/>
          <w:color w:val="auto"/>
        </w:rPr>
        <w:t>REAL</w:t>
      </w:r>
    </w:p>
    <w:p>
      <w:pPr>
        <w:spacing w:after="0" w:line="7" w:lineRule="exact"/>
        <w:rPr>
          <w:sz w:val="20"/>
          <w:szCs w:val="20"/>
          <w:color w:val="auto"/>
        </w:rPr>
      </w:pPr>
    </w:p>
    <w:p>
      <w:pPr>
        <w:ind w:left="3280"/>
        <w:spacing w:after="0"/>
        <w:tabs>
          <w:tab w:leader="none" w:pos="4820" w:val="left"/>
          <w:tab w:leader="none" w:pos="5760" w:val="left"/>
          <w:tab w:leader="none" w:pos="7140" w:val="left"/>
          <w:tab w:leader="none" w:pos="8260" w:val="left"/>
          <w:tab w:leader="none" w:pos="9380" w:val="left"/>
        </w:tabs>
        <w:rPr>
          <w:sz w:val="20"/>
          <w:szCs w:val="20"/>
          <w:color w:val="auto"/>
        </w:rPr>
      </w:pP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UTILITY</w:t>
      </w:r>
      <w:r>
        <w:rPr>
          <w:sz w:val="20"/>
          <w:szCs w:val="20"/>
          <w:color w:val="auto"/>
        </w:rPr>
        <w:tab/>
      </w: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IN ATC</w:t>
      </w:r>
      <w:r>
        <w:rPr>
          <w:sz w:val="20"/>
          <w:szCs w:val="20"/>
          <w:color w:val="auto"/>
        </w:rPr>
        <w:tab/>
      </w:r>
      <w:r>
        <w:rPr>
          <w:rFonts w:ascii="Courier New" w:cs="Courier New" w:eastAsia="Courier New" w:hAnsi="Courier New"/>
          <w:sz w:val="14"/>
          <w:szCs w:val="14"/>
          <w:color w:val="auto"/>
        </w:rPr>
        <w:t>ESTATE</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FOR THE QUARTER ENDED JUNE 30, 2007</w:t>
            </w: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$223.3</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$179.0</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$16.2</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$ 28.0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$ 0.1</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92.9</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92.9</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84.6</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61.2</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14.9</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11.9</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10.7</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Operating Income (Loss) from</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060" w:type="dxa"/>
            <w:vAlign w:val="bottom"/>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33.9</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14.2</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0.2</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(0.2)</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and Income Taxes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35.1</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33.8</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9.9</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11.2</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6.1</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$ 0.6</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Loss from</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Discontinued Operations -</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3280" w:type="dxa"/>
            <w:vAlign w:val="bottom"/>
          </w:tcPr>
          <w:p>
            <w:pPr>
              <w:ind w:left="700"/>
              <w:spacing w:after="0"/>
              <w:rPr>
                <w:sz w:val="20"/>
                <w:szCs w:val="20"/>
                <w:color w:val="auto"/>
              </w:rPr>
            </w:pPr>
            <w:r>
              <w:rPr>
                <w:rFonts w:ascii="Courier New" w:cs="Courier New" w:eastAsia="Courier New" w:hAnsi="Courier New"/>
                <w:sz w:val="14"/>
                <w:szCs w:val="14"/>
                <w:color w:val="auto"/>
              </w:rPr>
              <w:t>Net of Tax</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45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$ 22.6</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45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6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FOR THE QUARTER ENDED JUNE 30, 2006</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$178.3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$146.5</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$ 16.5</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76.8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57.2</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14.1</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w:t>
            </w:r>
          </w:p>
        </w:tc>
        <w:tc>
          <w:tcPr>
            <w:tcW w:w="420" w:type="dxa"/>
            <w:vAlign w:val="bottom"/>
          </w:tcPr>
          <w:p>
            <w:pPr>
              <w:spacing w:after="0"/>
              <w:rPr>
                <w:sz w:val="14"/>
                <w:szCs w:val="14"/>
                <w:color w:val="auto"/>
              </w:rPr>
            </w:pP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Operating Income (Loss) from</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60" w:type="dxa"/>
            <w:vAlign w:val="bottom"/>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26.3</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15.2</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(0.5)</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and Income Taxes</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23.3</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10.8</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0.9</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22.5</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10.8</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8.9</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from Continuing Operations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1100" w:val="left"/>
          <w:tab w:leader="none" w:pos="1360" w:val="left"/>
          <w:tab w:leader="none" w:pos="2120" w:val="left"/>
          <w:tab w:leader="none" w:pos="2380" w:val="left"/>
          <w:tab w:leader="none" w:pos="3760" w:val="left"/>
          <w:tab w:leader="none" w:pos="4540" w:val="left"/>
          <w:tab w:leader="none" w:pos="4800" w:val="left"/>
          <w:tab w:leader="none" w:pos="5660" w:val="left"/>
        </w:tabs>
        <w:rPr>
          <w:sz w:val="20"/>
          <w:szCs w:val="20"/>
          <w:color w:val="auto"/>
        </w:rPr>
      </w:pPr>
      <w:r>
        <w:rPr>
          <w:rFonts w:ascii="Courier New" w:cs="Courier New" w:eastAsia="Courier New" w:hAnsi="Courier New"/>
          <w:sz w:val="14"/>
          <w:szCs w:val="14"/>
          <w:color w:val="auto"/>
        </w:rPr>
        <w:t>13.6</w:t>
      </w:r>
      <w:r>
        <w:rPr>
          <w:sz w:val="20"/>
          <w:szCs w:val="20"/>
          <w:color w:val="auto"/>
        </w:rPr>
        <w:tab/>
      </w:r>
      <w:r>
        <w:rPr>
          <w:rFonts w:ascii="Courier New" w:cs="Courier New" w:eastAsia="Courier New" w:hAnsi="Courier New"/>
          <w:sz w:val="14"/>
          <w:szCs w:val="14"/>
          <w:color w:val="auto"/>
        </w:rPr>
        <w:t>$</w:t>
        <w:tab/>
        <w:t>6.8</w:t>
      </w:r>
      <w:r>
        <w:rPr>
          <w:sz w:val="20"/>
          <w:szCs w:val="20"/>
          <w:color w:val="auto"/>
        </w:rPr>
        <w:tab/>
      </w:r>
      <w:r>
        <w:rPr>
          <w:rFonts w:ascii="Courier New" w:cs="Courier New" w:eastAsia="Courier New" w:hAnsi="Courier New"/>
          <w:sz w:val="14"/>
          <w:szCs w:val="14"/>
          <w:color w:val="auto"/>
        </w:rPr>
        <w:t>$</w:t>
        <w:tab/>
        <w:t>0.9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5.6</w:t>
      </w:r>
      <w:r>
        <w:rPr>
          <w:sz w:val="20"/>
          <w:szCs w:val="20"/>
          <w:color w:val="auto"/>
        </w:rPr>
        <w:tab/>
      </w:r>
      <w:r>
        <w:rPr>
          <w:rFonts w:ascii="Courier New" w:cs="Courier New" w:eastAsia="Courier New" w:hAnsi="Courier New"/>
          <w:sz w:val="13"/>
          <w:szCs w:val="13"/>
          <w:color w:val="auto"/>
        </w:rPr>
        <w:t>$ 0.3</w:t>
      </w:r>
    </w:p>
    <w:p>
      <w:pPr>
        <w:spacing w:after="0" w:line="7"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3000" w:space="720"/>
            <w:col w:w="65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Loss from</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Discontinued Operations -</w:t>
      </w:r>
    </w:p>
    <w:p>
      <w:pPr>
        <w:spacing w:after="0" w:line="7" w:lineRule="exact"/>
        <w:rPr>
          <w:sz w:val="20"/>
          <w:szCs w:val="20"/>
          <w:color w:val="auto"/>
        </w:rPr>
      </w:pPr>
    </w:p>
    <w:p>
      <w:pPr>
        <w:ind w:left="700"/>
        <w:spacing w:after="0"/>
        <w:tabs>
          <w:tab w:leader="none" w:pos="3700" w:val="left"/>
        </w:tabs>
        <w:rPr>
          <w:sz w:val="20"/>
          <w:szCs w:val="20"/>
          <w:color w:val="auto"/>
        </w:rPr>
      </w:pPr>
      <w:r>
        <w:rPr>
          <w:rFonts w:ascii="Courier New" w:cs="Courier New" w:eastAsia="Courier New" w:hAnsi="Courier New"/>
          <w:sz w:val="14"/>
          <w:szCs w:val="14"/>
          <w:color w:val="auto"/>
        </w:rPr>
        <w:t>Net of Tax</w:t>
      </w:r>
      <w:r>
        <w:rPr>
          <w:sz w:val="20"/>
          <w:szCs w:val="20"/>
          <w:color w:val="auto"/>
        </w:rPr>
        <w:tab/>
      </w:r>
      <w:r>
        <w:rPr>
          <w:rFonts w:ascii="Courier New" w:cs="Courier New" w:eastAsia="Courier New" w:hAnsi="Courier New"/>
          <w:sz w:val="14"/>
          <w:szCs w:val="14"/>
          <w:color w:val="auto"/>
        </w:rPr>
        <w:t>(0.4)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$ 13.2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jc w:val="center"/>
        <w:ind w:left="800"/>
        <w:spacing w:after="0"/>
        <w:rPr>
          <w:sz w:val="20"/>
          <w:szCs w:val="20"/>
          <w:color w:val="auto"/>
        </w:rPr>
      </w:pPr>
      <w:r>
        <w:rPr>
          <w:rFonts w:ascii="Courier New" w:cs="Courier New" w:eastAsia="Courier New" w:hAnsi="Courier New"/>
          <w:sz w:val="14"/>
          <w:szCs w:val="14"/>
          <w:color w:val="auto"/>
        </w:rPr>
        <w:t>ALLETE Second Quarter 2007 Form 10-Q</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2">
            <w:col w:w="6100" w:space="720"/>
            <w:col w:w="3419"/>
          </w:cols>
          <w:pgMar w:left="220" w:top="616" w:right="1440" w:bottom="1440" w:gutter="0" w:footer="0" w:header="0"/>
          <w:type w:val="continuous"/>
        </w:sectPr>
      </w:pPr>
    </w:p>
    <w:bookmarkStart w:id="9" w:name="page10"/>
    <w:bookmarkEnd w:id="9"/>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SEGMENTS (CONTINUED)</w:t>
      </w:r>
    </w:p>
    <w:p>
      <w:pPr>
        <w:spacing w:after="0" w:line="200" w:lineRule="exact"/>
        <w:rPr>
          <w:sz w:val="20"/>
          <w:szCs w:val="20"/>
          <w:color w:val="auto"/>
        </w:rPr>
      </w:pPr>
    </w:p>
    <w:p>
      <w:pPr>
        <w:sectPr>
          <w:pgSz w:w="11900" w:h="16880" w:orient="portrait"/>
          <w:cols w:equalWidth="0" w:num="2">
            <w:col w:w="620" w:space="420"/>
            <w:col w:w="9300"/>
          </w:cols>
          <w:pgMar w:left="220" w:top="616" w:right="1339" w:bottom="0" w:gutter="0" w:footer="0" w:header="0"/>
        </w:sectPr>
      </w:pPr>
    </w:p>
    <w:p>
      <w:pPr>
        <w:spacing w:after="0" w:line="138"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ENERGY</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NONREGULATED</w:t>
      </w:r>
    </w:p>
    <w:p>
      <w:pPr>
        <w:spacing w:after="0" w:line="7" w:lineRule="exact"/>
        <w:rPr>
          <w:sz w:val="20"/>
          <w:szCs w:val="20"/>
          <w:color w:val="auto"/>
        </w:rPr>
      </w:pPr>
    </w:p>
    <w:p>
      <w:pPr>
        <w:ind w:left="4920"/>
        <w:spacing w:after="0"/>
        <w:tabs>
          <w:tab w:leader="none" w:pos="6100" w:val="left"/>
          <w:tab w:leader="none" w:pos="7140" w:val="left"/>
          <w:tab w:leader="none" w:pos="8520" w:val="left"/>
        </w:tabs>
        <w:rPr>
          <w:sz w:val="20"/>
          <w:szCs w:val="20"/>
          <w:color w:val="auto"/>
        </w:rPr>
      </w:pPr>
      <w:r>
        <w:rPr>
          <w:rFonts w:ascii="Courier New" w:cs="Courier New" w:eastAsia="Courier New" w:hAnsi="Courier New"/>
          <w:sz w:val="14"/>
          <w:szCs w:val="14"/>
          <w:color w:val="auto"/>
        </w:rPr>
        <w:t>REGULATED</w:t>
      </w:r>
      <w:r>
        <w:rPr>
          <w:sz w:val="20"/>
          <w:szCs w:val="20"/>
          <w:color w:val="auto"/>
        </w:rPr>
        <w:tab/>
      </w:r>
      <w:r>
        <w:rPr>
          <w:rFonts w:ascii="Courier New" w:cs="Courier New" w:eastAsia="Courier New" w:hAnsi="Courier New"/>
          <w:sz w:val="14"/>
          <w:szCs w:val="14"/>
          <w:color w:val="auto"/>
        </w:rPr>
        <w:t>ENERGY</w:t>
      </w:r>
      <w:r>
        <w:rPr>
          <w:sz w:val="20"/>
          <w:szCs w:val="20"/>
          <w:color w:val="auto"/>
        </w:rPr>
        <w:tab/>
      </w:r>
      <w:r>
        <w:rPr>
          <w:rFonts w:ascii="Courier New" w:cs="Courier New" w:eastAsia="Courier New" w:hAnsi="Courier New"/>
          <w:sz w:val="14"/>
          <w:szCs w:val="14"/>
          <w:color w:val="auto"/>
        </w:rPr>
        <w:t>INVESTMENT</w:t>
      </w:r>
      <w:r>
        <w:rPr>
          <w:sz w:val="20"/>
          <w:szCs w:val="20"/>
          <w:color w:val="auto"/>
        </w:rPr>
        <w:tab/>
      </w:r>
      <w:r>
        <w:rPr>
          <w:rFonts w:ascii="Courier New" w:cs="Courier New" w:eastAsia="Courier New" w:hAnsi="Courier New"/>
          <w:sz w:val="14"/>
          <w:szCs w:val="14"/>
          <w:color w:val="auto"/>
        </w:rPr>
        <w:t>REAL</w:t>
      </w:r>
    </w:p>
    <w:p>
      <w:pPr>
        <w:spacing w:after="0" w:line="7" w:lineRule="exact"/>
        <w:rPr>
          <w:sz w:val="20"/>
          <w:szCs w:val="20"/>
          <w:color w:val="auto"/>
        </w:rPr>
      </w:pPr>
    </w:p>
    <w:p>
      <w:pPr>
        <w:ind w:left="3460"/>
        <w:spacing w:after="0"/>
        <w:tabs>
          <w:tab w:leader="none" w:pos="4980" w:val="left"/>
          <w:tab w:leader="none" w:pos="5940" w:val="left"/>
          <w:tab w:leader="none" w:pos="7300" w:val="left"/>
          <w:tab w:leader="none" w:pos="8420" w:val="left"/>
          <w:tab w:leader="none" w:pos="9540" w:val="left"/>
        </w:tabs>
        <w:rPr>
          <w:sz w:val="20"/>
          <w:szCs w:val="20"/>
          <w:color w:val="auto"/>
        </w:rPr>
      </w:pP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UTILITY</w:t>
      </w:r>
      <w:r>
        <w:rPr>
          <w:sz w:val="20"/>
          <w:szCs w:val="20"/>
          <w:color w:val="auto"/>
        </w:rPr>
        <w:tab/>
      </w: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IN ATC</w:t>
      </w:r>
      <w:r>
        <w:rPr>
          <w:sz w:val="20"/>
          <w:szCs w:val="20"/>
          <w:color w:val="auto"/>
        </w:rPr>
        <w:tab/>
      </w:r>
      <w:r>
        <w:rPr>
          <w:rFonts w:ascii="Courier New" w:cs="Courier New" w:eastAsia="Courier New" w:hAnsi="Courier New"/>
          <w:sz w:val="14"/>
          <w:szCs w:val="14"/>
          <w:color w:val="auto"/>
        </w:rPr>
        <w:t>ESTATE</w:t>
      </w:r>
      <w:r>
        <w:rPr>
          <w:sz w:val="20"/>
          <w:szCs w:val="20"/>
          <w:color w:val="auto"/>
        </w:rPr>
        <w:tab/>
      </w:r>
      <w:r>
        <w:rPr>
          <w:rFonts w:ascii="Courier New" w:cs="Courier New" w:eastAsia="Courier New" w:hAnsi="Courier New"/>
          <w:sz w:val="14"/>
          <w:szCs w:val="14"/>
          <w:color w:val="auto"/>
        </w:rPr>
        <w:t>OTHER</w:t>
      </w:r>
    </w:p>
    <w:p>
      <w:pPr>
        <w:sectPr>
          <w:pgSz w:w="11900" w:h="16880" w:orient="portrait"/>
          <w:cols w:equalWidth="0" w:num="1">
            <w:col w:w="10340"/>
          </w:cols>
          <w:pgMar w:left="220" w:top="616" w:right="1339" w:bottom="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FOR THE SIX MONTHS ENDED JUNE 30, 2007</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$428.6</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$359.2</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$33.0</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$ 36.2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$ 0.2</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170.6</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170.6</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159.2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118.1</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29.3</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23.6</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Operating Income (Loss) from</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75.2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(12.4)</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14.8</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36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360" w:type="dxa"/>
            <w:vAlign w:val="bottom"/>
          </w:tcPr>
          <w:p>
            <w:pPr>
              <w:ind w:left="360"/>
              <w:spacing w:after="0"/>
              <w:rPr>
                <w:sz w:val="20"/>
                <w:szCs w:val="20"/>
                <w:color w:val="auto"/>
              </w:rPr>
            </w:pPr>
            <w:r>
              <w:rPr>
                <w:rFonts w:ascii="Courier New" w:cs="Courier New" w:eastAsia="Courier New" w:hAnsi="Courier New"/>
                <w:sz w:val="14"/>
                <w:szCs w:val="14"/>
                <w:color w:val="auto"/>
              </w:rPr>
              <w:t>and Income Taxes</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3.4</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3.4</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23.9</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27.3</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15.3</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0.6</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$ 24.9</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$ 2.9</w:t>
            </w:r>
          </w:p>
        </w:tc>
      </w:tr>
      <w:tr>
        <w:trPr>
          <w:trHeight w:val="166"/>
        </w:trPr>
        <w:tc>
          <w:tcPr>
            <w:tcW w:w="3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5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Loss from</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420" w:type="dxa"/>
            <w:vAlign w:val="bottom"/>
          </w:tcPr>
          <w:p>
            <w:pPr>
              <w:ind w:left="360"/>
              <w:spacing w:after="0"/>
              <w:rPr>
                <w:sz w:val="20"/>
                <w:szCs w:val="20"/>
                <w:color w:val="auto"/>
              </w:rPr>
            </w:pPr>
            <w:r>
              <w:rPr>
                <w:rFonts w:ascii="Courier New" w:cs="Courier New" w:eastAsia="Courier New" w:hAnsi="Courier New"/>
                <w:sz w:val="14"/>
                <w:szCs w:val="14"/>
                <w:color w:val="auto"/>
              </w:rPr>
              <w:t>Discontinued Operations -</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420" w:type="dxa"/>
            <w:vAlign w:val="bottom"/>
          </w:tcPr>
          <w:p>
            <w:pPr>
              <w:ind w:left="700"/>
              <w:spacing w:after="0"/>
              <w:rPr>
                <w:sz w:val="20"/>
                <w:szCs w:val="20"/>
                <w:color w:val="auto"/>
              </w:rPr>
            </w:pPr>
            <w:r>
              <w:rPr>
                <w:rFonts w:ascii="Courier New" w:cs="Courier New" w:eastAsia="Courier New" w:hAnsi="Courier New"/>
                <w:sz w:val="14"/>
                <w:szCs w:val="14"/>
                <w:color w:val="auto"/>
              </w:rPr>
              <w:t>Net of Tax</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$ 48.9</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497"/>
        </w:trPr>
        <w:tc>
          <w:tcPr>
            <w:tcW w:w="3420" w:type="dxa"/>
            <w:vAlign w:val="bottom"/>
          </w:tcPr>
          <w:p>
            <w:pPr>
              <w:spacing w:after="0"/>
              <w:rPr>
                <w:sz w:val="20"/>
                <w:szCs w:val="20"/>
                <w:color w:val="auto"/>
              </w:rPr>
            </w:pPr>
            <w:r>
              <w:rPr>
                <w:rFonts w:ascii="Courier New" w:cs="Courier New" w:eastAsia="Courier New" w:hAnsi="Courier New"/>
                <w:sz w:val="14"/>
                <w:szCs w:val="14"/>
                <w:color w:val="auto"/>
              </w:rPr>
              <w:t>AT JUNE 30, 2007</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$1,629.7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$1,218.9</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$178.6</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$977.2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$925.2</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$833.6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$790.7</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$70.4</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497"/>
        </w:trPr>
        <w:tc>
          <w:tcPr>
            <w:tcW w:w="3420" w:type="dxa"/>
            <w:vAlign w:val="bottom"/>
          </w:tcPr>
          <w:p>
            <w:pPr>
              <w:spacing w:after="0"/>
              <w:rPr>
                <w:sz w:val="20"/>
                <w:szCs w:val="20"/>
                <w:color w:val="auto"/>
              </w:rPr>
            </w:pPr>
            <w:r>
              <w:rPr>
                <w:rFonts w:ascii="Courier New" w:cs="Courier New" w:eastAsia="Courier New" w:hAnsi="Courier New"/>
                <w:sz w:val="14"/>
                <w:szCs w:val="14"/>
                <w:color w:val="auto"/>
              </w:rPr>
              <w:t>FOR THE SIX MONTHS ENDED JUNE 30, 2006</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$370.8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$308.9</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$ 32.8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$ 28.9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$ 0.2</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132.4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132.4</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151.3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28.2</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Operating Income (Loss) from</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41.3</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0.3</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36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360" w:type="dxa"/>
            <w:vAlign w:val="bottom"/>
          </w:tcPr>
          <w:p>
            <w:pPr>
              <w:ind w:left="360"/>
              <w:spacing w:after="0"/>
              <w:rPr>
                <w:sz w:val="20"/>
                <w:szCs w:val="20"/>
                <w:color w:val="auto"/>
              </w:rPr>
            </w:pPr>
            <w:r>
              <w:rPr>
                <w:rFonts w:ascii="Courier New" w:cs="Courier New" w:eastAsia="Courier New" w:hAnsi="Courier New"/>
                <w:sz w:val="14"/>
                <w:szCs w:val="14"/>
                <w:color w:val="auto"/>
              </w:rPr>
              <w:t>and Income Taxes</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55.0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31.8</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52.9</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31.8</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$ 19.8</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1.8</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$ 10.6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$ 0.2</w:t>
            </w:r>
          </w:p>
        </w:tc>
      </w:tr>
      <w:tr>
        <w:trPr>
          <w:trHeight w:val="166"/>
        </w:trPr>
        <w:tc>
          <w:tcPr>
            <w:tcW w:w="3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Loss from</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Discontinued Operations -</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80" w:type="dxa"/>
            <w:vAlign w:val="bottom"/>
          </w:tcPr>
          <w:p>
            <w:pPr>
              <w:ind w:left="700"/>
              <w:spacing w:after="0"/>
              <w:rPr>
                <w:sz w:val="20"/>
                <w:szCs w:val="20"/>
                <w:color w:val="auto"/>
              </w:rPr>
            </w:pPr>
            <w:r>
              <w:rPr>
                <w:rFonts w:ascii="Courier New" w:cs="Courier New" w:eastAsia="Courier New" w:hAnsi="Courier New"/>
                <w:sz w:val="14"/>
                <w:szCs w:val="14"/>
                <w:color w:val="auto"/>
              </w:rPr>
              <w:t>Net of Tax</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w:t>
            </w: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$ 32.0</w:t>
            </w: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497"/>
        </w:trPr>
        <w:tc>
          <w:tcPr>
            <w:tcW w:w="3280" w:type="dxa"/>
            <w:vAlign w:val="bottom"/>
          </w:tcPr>
          <w:p>
            <w:pPr>
              <w:spacing w:after="0"/>
              <w:rPr>
                <w:sz w:val="20"/>
                <w:szCs w:val="20"/>
                <w:color w:val="auto"/>
              </w:rPr>
            </w:pPr>
            <w:r>
              <w:rPr>
                <w:rFonts w:ascii="Courier New" w:cs="Courier New" w:eastAsia="Courier New" w:hAnsi="Courier New"/>
                <w:sz w:val="14"/>
                <w:szCs w:val="14"/>
                <w:color w:val="auto"/>
              </w:rPr>
              <w:t>AT JUNE 30, 2006</w:t>
            </w: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$1,386.1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$995.0</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$104.6</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$214.1</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$871.6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$813.6</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$53.2</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$807.4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$769.4</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$36.4</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$34.5</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ectPr>
          <w:pgSz w:w="11900" w:h="16880" w:orient="portrait"/>
          <w:cols w:equalWidth="0" w:num="1">
            <w:col w:w="10340"/>
          </w:cols>
          <w:pgMar w:left="220" w:top="616" w:right="1339" w:bottom="0" w:gutter="0" w:footer="0" w:header="0"/>
          <w:type w:val="continuous"/>
        </w:sectPr>
      </w:pPr>
    </w:p>
    <w:bookmarkStart w:id="10" w:name="page11"/>
    <w:bookmarkEnd w:id="10"/>
    <w:p>
      <w:pPr>
        <w:spacing w:after="0"/>
        <w:tabs>
          <w:tab w:leader="none" w:pos="1880" w:val="left"/>
        </w:tabs>
        <w:rPr>
          <w:sz w:val="20"/>
          <w:szCs w:val="20"/>
          <w:color w:val="auto"/>
        </w:rPr>
      </w:pP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ALLETE Second Quarter 2007 Form 10-Q</w:t>
      </w:r>
    </w:p>
    <w:p>
      <w:pPr>
        <w:sectPr>
          <w:pgSz w:w="11900" w:h="16838" w:orient="portrait"/>
          <w:cols w:equalWidth="0" w:num="1">
            <w:col w:w="10239"/>
          </w:cols>
          <w:pgMar w:left="220" w:top="638" w:right="1440" w:bottom="1440" w:gutter="0" w:footer="0" w:header="0"/>
        </w:sectPr>
      </w:pPr>
    </w:p>
    <w:bookmarkStart w:id="11" w:name="page12"/>
    <w:bookmarkEnd w:id="11"/>
    <w:p>
      <w:pPr>
        <w:spacing w:after="0"/>
        <w:tabs>
          <w:tab w:leader="none" w:pos="940" w:val="left"/>
        </w:tabs>
        <w:rPr>
          <w:sz w:val="20"/>
          <w:szCs w:val="20"/>
          <w:color w:val="auto"/>
        </w:rPr>
      </w:pPr>
      <w:r>
        <w:rPr>
          <w:rFonts w:ascii="Courier New" w:cs="Courier New" w:eastAsia="Courier New" w:hAnsi="Courier New"/>
          <w:sz w:val="14"/>
          <w:szCs w:val="14"/>
          <w:color w:val="auto"/>
        </w:rPr>
        <w:t>NOTE 3.</w:t>
      </w:r>
      <w:r>
        <w:rPr>
          <w:sz w:val="20"/>
          <w:szCs w:val="20"/>
          <w:color w:val="auto"/>
        </w:rPr>
        <w:tab/>
      </w:r>
      <w:r>
        <w:rPr>
          <w:rFonts w:ascii="Courier New" w:cs="Courier New" w:eastAsia="Courier New" w:hAnsi="Courier New"/>
          <w:sz w:val="14"/>
          <w:szCs w:val="14"/>
          <w:color w:val="auto"/>
        </w:rPr>
        <w:t>INVESTMENTS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SHORT-TERM INVESTMENTS. At June 30, 2007 and December 31, 2006, we held $121.8 million and $104.5 million, respectively, of Short-Term Investments, consisting of auction rate bonds and variable rate demand notes classified as available-for-sale securities. Our investments in these securities are recorded at cost; however, their cost approximates fair value because the variable interest rates for these securities typically reset every 7 to 35 days. Despite the long-term nature of their stated contractual maturities, we have the ability to quickly liquidate these securities. As a result, we had no cumulative gross unrealized holding gains (losses) or gross realized gains (losses) from our short-term investments. All income generated from these short-term investments was recorded as interest income.</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LONG-TERM INVESTMENTS. At June 30, 2007, Investments included the real estate assets of ALLETE Properties, our investment in ATC, debt and equity securities consisting primarily of securities held to fund employee benefits and our emerging technology investments.</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account for our investment in ATC under the equity method of accounting, pursuant to EITF 03-16, "Accounting for Investments in Limited Liability Companies," which requires the use of the equity method of accounting for investments in limited liability companies.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4220" w:type="dxa"/>
            <w:vAlign w:val="bottom"/>
          </w:tcPr>
          <w:p>
            <w:pPr>
              <w:jc w:val="center"/>
              <w:ind w:left="1988"/>
              <w:spacing w:after="0"/>
              <w:rPr>
                <w:sz w:val="20"/>
                <w:szCs w:val="20"/>
                <w:color w:val="auto"/>
              </w:rPr>
            </w:pPr>
            <w:r>
              <w:rPr>
                <w:rFonts w:ascii="Courier New" w:cs="Courier New" w:eastAsia="Courier New" w:hAnsi="Courier New"/>
                <w:sz w:val="14"/>
                <w:szCs w:val="14"/>
                <w:color w:val="auto"/>
              </w:rPr>
              <w:t>JUNE 30,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42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2007</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Real</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Estate Assets</w:t>
            </w:r>
          </w:p>
        </w:tc>
        <w:tc>
          <w:tcPr>
            <w:tcW w:w="34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$ 88.1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$ 89.8</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Equity Securities</w:t>
            </w:r>
          </w:p>
        </w:tc>
        <w:tc>
          <w:tcPr>
            <w:tcW w:w="34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46.3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36.4</w:t>
            </w:r>
          </w:p>
        </w:tc>
      </w:tr>
      <w:tr>
        <w:trPr>
          <w:trHeight w:val="166"/>
        </w:trPr>
        <w:tc>
          <w:tcPr>
            <w:tcW w:w="4660" w:type="dxa"/>
            <w:vAlign w:val="bottom"/>
            <w:gridSpan w:val="3"/>
          </w:tcPr>
          <w:p>
            <w:pPr>
              <w:spacing w:after="0"/>
              <w:rPr>
                <w:sz w:val="20"/>
                <w:szCs w:val="20"/>
                <w:color w:val="auto"/>
              </w:rPr>
            </w:pPr>
            <w:r>
              <w:rPr>
                <w:rFonts w:ascii="Courier New" w:cs="Courier New" w:eastAsia="Courier New" w:hAnsi="Courier New"/>
                <w:sz w:val="14"/>
                <w:szCs w:val="14"/>
                <w:color w:val="auto"/>
              </w:rPr>
              <w:t>Investment in ATC</w:t>
            </w:r>
          </w:p>
        </w:tc>
        <w:tc>
          <w:tcPr>
            <w:tcW w:w="34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64.4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53.7</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Emerging</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Technology Investments</w:t>
            </w:r>
          </w:p>
        </w:tc>
        <w:tc>
          <w:tcPr>
            <w:tcW w:w="34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9.0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Total Investments</w:t>
            </w:r>
          </w:p>
        </w:tc>
        <w:tc>
          <w:tcPr>
            <w:tcW w:w="39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$207.8</w:t>
            </w:r>
          </w:p>
        </w:tc>
        <w:tc>
          <w:tcPr>
            <w:tcW w:w="2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$189.1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920" w:type="dxa"/>
            <w:vAlign w:val="bottom"/>
          </w:tcPr>
          <w:p>
            <w:pPr>
              <w:ind w:left="2500"/>
              <w:spacing w:after="0"/>
              <w:rPr>
                <w:sz w:val="20"/>
                <w:szCs w:val="20"/>
                <w:color w:val="auto"/>
              </w:rPr>
            </w:pPr>
            <w:r>
              <w:rPr>
                <w:rFonts w:ascii="Courier New" w:cs="Courier New" w:eastAsia="Courier New" w:hAnsi="Courier New"/>
                <w:sz w:val="14"/>
                <w:szCs w:val="14"/>
                <w:color w:val="auto"/>
              </w:rPr>
              <w:t>JUNE 30,</w:t>
            </w:r>
          </w:p>
        </w:tc>
        <w:tc>
          <w:tcPr>
            <w:tcW w:w="2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REAL ESTATE ASSETS</w:t>
            </w:r>
          </w:p>
        </w:tc>
        <w:tc>
          <w:tcPr>
            <w:tcW w:w="39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2007</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Land Held for</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Sale Beginning</w:t>
            </w:r>
          </w:p>
        </w:tc>
        <w:tc>
          <w:tcPr>
            <w:tcW w:w="3240" w:type="dxa"/>
            <w:vAlign w:val="bottom"/>
          </w:tcPr>
          <w:p>
            <w:pPr>
              <w:jc w:val="right"/>
              <w:ind w:right="2528"/>
              <w:spacing w:after="0"/>
              <w:rPr>
                <w:sz w:val="20"/>
                <w:szCs w:val="20"/>
                <w:color w:val="auto"/>
              </w:rPr>
            </w:pPr>
            <w:r>
              <w:rPr>
                <w:rFonts w:ascii="Courier New" w:cs="Courier New" w:eastAsia="Courier New" w:hAnsi="Courier New"/>
                <w:sz w:val="14"/>
                <w:szCs w:val="14"/>
                <w:color w:val="auto"/>
              </w:rPr>
              <w:t>Balance</w:t>
            </w:r>
          </w:p>
        </w:tc>
        <w:tc>
          <w:tcPr>
            <w:tcW w:w="24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$58.0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$48.0</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Additions</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during period:</w:t>
            </w:r>
          </w:p>
        </w:tc>
        <w:tc>
          <w:tcPr>
            <w:tcW w:w="32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Capitalized Improvements</w:t>
            </w:r>
          </w:p>
        </w:tc>
        <w:tc>
          <w:tcPr>
            <w:tcW w:w="24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5.6</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w:t>
            </w:r>
          </w:p>
        </w:tc>
      </w:tr>
      <w:tr>
        <w:trPr>
          <w:trHeight w:val="166"/>
        </w:trPr>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40" w:type="dxa"/>
            <w:vAlign w:val="bottom"/>
          </w:tcPr>
          <w:p>
            <w:pPr>
              <w:jc w:val="right"/>
              <w:ind w:right="2268"/>
              <w:spacing w:after="0"/>
              <w:rPr>
                <w:sz w:val="20"/>
                <w:szCs w:val="20"/>
                <w:color w:val="auto"/>
              </w:rPr>
            </w:pPr>
            <w:r>
              <w:rPr>
                <w:rFonts w:ascii="Courier New" w:cs="Courier New" w:eastAsia="Courier New" w:hAnsi="Courier New"/>
                <w:sz w:val="14"/>
                <w:szCs w:val="14"/>
                <w:color w:val="auto"/>
              </w:rPr>
              <w:t>Purchases</w:t>
            </w:r>
          </w:p>
        </w:tc>
        <w:tc>
          <w:tcPr>
            <w:tcW w:w="24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166"/>
        </w:trPr>
        <w:tc>
          <w:tcPr>
            <w:tcW w:w="5700" w:type="dxa"/>
            <w:vAlign w:val="bottom"/>
            <w:gridSpan w:val="3"/>
          </w:tcPr>
          <w:p>
            <w:pPr>
              <w:jc w:val="right"/>
              <w:ind w:right="968"/>
              <w:spacing w:after="0"/>
              <w:rPr>
                <w:sz w:val="20"/>
                <w:szCs w:val="20"/>
                <w:color w:val="auto"/>
              </w:rPr>
            </w:pPr>
            <w:r>
              <w:rPr>
                <w:rFonts w:ascii="Courier New" w:cs="Courier New" w:eastAsia="Courier New" w:hAnsi="Courier New"/>
                <w:sz w:val="14"/>
                <w:szCs w:val="14"/>
                <w:color w:val="auto"/>
              </w:rPr>
              <w:t>Deductions during period: Cost of Real Estate Sold</w:t>
            </w:r>
          </w:p>
        </w:tc>
        <w:tc>
          <w:tcPr>
            <w:tcW w:w="24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Land Held for Sale Ending Balance</w:t>
            </w:r>
          </w:p>
        </w:tc>
        <w:tc>
          <w:tcPr>
            <w:tcW w:w="33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58.6</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58.0</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Long-Term Finance Receivables</w:t>
            </w:r>
          </w:p>
        </w:tc>
        <w:tc>
          <w:tcPr>
            <w:tcW w:w="33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16.0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18.3</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3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13.5</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Real Estate Assets</w:t>
            </w:r>
          </w:p>
        </w:tc>
        <w:tc>
          <w:tcPr>
            <w:tcW w:w="37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$88.1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$89.8</w:t>
            </w:r>
          </w:p>
        </w:tc>
      </w:tr>
    </w:tbl>
    <w:p>
      <w:pPr>
        <w:spacing w:after="0" w:line="4"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Consisted primarily of a shopping center.</w:t>
      </w:r>
    </w:p>
    <w:p>
      <w:pPr>
        <w:spacing w:after="0" w:line="200" w:lineRule="exact"/>
        <w:rPr>
          <w:sz w:val="20"/>
          <w:szCs w:val="20"/>
          <w:color w:val="auto"/>
        </w:rPr>
      </w:pPr>
    </w:p>
    <w:p>
      <w:pPr>
        <w:spacing w:after="0" w:line="30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Finance receivables have maturities ranging up to 7 years, accrue interest at market-based rates and are net of an allowance for doubtful accounts of $0.2 million at June 30, 2007 ($0.2 million at December 31, 2006).</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INVESTMENT IN ATC. In December 2005, we entered into an agreement with Wisconsin Public Service Corporation and WPS Investments, LLC that provides for our Wisconsin subsidiary, Rainy River Energy Corporation - Wisconsin, to invest $60 million in ATC. In the first six months of 2007, we invested an additional $8.7 million ($51.4 million invested through December 31, 2006) in ATC, reaching our approximate $60 million investment commitment. As of June 30, 2007, our equity investment balance in ATC was $64.4 million ($53.7 million at December 31, 2006), representing an 8.3 percent ownership interest.</w:t>
      </w:r>
    </w:p>
    <w:p>
      <w:pPr>
        <w:spacing w:after="0" w:line="164"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Second Quarter 2007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ectPr>
          <w:pgSz w:w="11900" w:h="16838" w:orient="portrait"/>
          <w:cols w:equalWidth="0" w:num="1">
            <w:col w:w="10239"/>
          </w:cols>
          <w:pgMar w:left="220" w:top="616" w:right="1440" w:bottom="1440" w:gutter="0" w:footer="0" w:header="0"/>
        </w:sectPr>
      </w:pPr>
    </w:p>
    <w:bookmarkStart w:id="12" w:name="page13"/>
    <w:bookmarkEnd w:id="12"/>
    <w:p>
      <w:pPr>
        <w:spacing w:after="0"/>
        <w:tabs>
          <w:tab w:leader="none" w:pos="940" w:val="left"/>
        </w:tabs>
        <w:rPr>
          <w:sz w:val="20"/>
          <w:szCs w:val="20"/>
          <w:color w:val="auto"/>
        </w:rPr>
      </w:pPr>
      <w:r>
        <w:rPr>
          <w:rFonts w:ascii="Courier New" w:cs="Courier New" w:eastAsia="Courier New" w:hAnsi="Courier New"/>
          <w:sz w:val="14"/>
          <w:szCs w:val="14"/>
          <w:color w:val="auto"/>
        </w:rPr>
        <w:t>NOTE 4.</w:t>
      </w:r>
      <w:r>
        <w:rPr>
          <w:sz w:val="20"/>
          <w:szCs w:val="20"/>
          <w:color w:val="auto"/>
        </w:rPr>
        <w:tab/>
      </w:r>
      <w:r>
        <w:rPr>
          <w:rFonts w:ascii="Courier New" w:cs="Courier New" w:eastAsia="Courier New" w:hAnsi="Courier New"/>
          <w:sz w:val="14"/>
          <w:szCs w:val="14"/>
          <w:color w:val="auto"/>
        </w:rPr>
        <w:t>SHORT-TERM AND LONG-TERM DEBT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February 1, 2007, we issued $60 million in principal amount of First Mortgage</w:t>
      </w:r>
    </w:p>
    <w:p>
      <w:pPr>
        <w:spacing w:after="0" w:line="7" w:lineRule="exact"/>
        <w:rPr>
          <w:sz w:val="20"/>
          <w:szCs w:val="20"/>
          <w:color w:val="auto"/>
        </w:rPr>
      </w:pPr>
    </w:p>
    <w:p>
      <w:pPr>
        <w:spacing w:after="0"/>
        <w:tabs>
          <w:tab w:leader="none" w:pos="680" w:val="left"/>
          <w:tab w:leader="none" w:pos="1280" w:val="left"/>
          <w:tab w:leader="none" w:pos="2320" w:val="left"/>
          <w:tab w:leader="none" w:pos="3960" w:val="left"/>
          <w:tab w:leader="none" w:pos="5320" w:val="left"/>
          <w:tab w:leader="none" w:pos="6280" w:val="left"/>
        </w:tabs>
        <w:rPr>
          <w:sz w:val="20"/>
          <w:szCs w:val="20"/>
          <w:color w:val="auto"/>
        </w:rPr>
      </w:pPr>
      <w:r>
        <w:rPr>
          <w:rFonts w:ascii="Courier New" w:cs="Courier New" w:eastAsia="Courier New" w:hAnsi="Courier New"/>
          <w:sz w:val="14"/>
          <w:szCs w:val="14"/>
          <w:color w:val="auto"/>
        </w:rPr>
        <w:t>Bonds,</w:t>
        <w:tab/>
        <w:t>5.99%</w:t>
        <w:tab/>
        <w:t>Series due</w:t>
        <w:tab/>
        <w:t>February 1, 2027,</w:t>
        <w:tab/>
        <w:t>in the private</w:t>
        <w:tab/>
        <w:t>placement</w:t>
        <w:tab/>
        <w:t>market.</w:t>
      </w:r>
    </w:p>
    <w:p>
      <w:pPr>
        <w:spacing w:after="0" w:line="7" w:lineRule="exact"/>
        <w:rPr>
          <w:sz w:val="20"/>
          <w:szCs w:val="20"/>
          <w:color w:val="auto"/>
        </w:rPr>
      </w:pPr>
    </w:p>
    <w:p>
      <w:pPr>
        <w:spacing w:after="0"/>
        <w:tabs>
          <w:tab w:leader="none" w:pos="4720" w:val="left"/>
          <w:tab w:leader="none" w:pos="6200" w:val="left"/>
        </w:tabs>
        <w:rPr>
          <w:sz w:val="20"/>
          <w:szCs w:val="20"/>
          <w:color w:val="auto"/>
        </w:rPr>
      </w:pPr>
      <w:r>
        <w:rPr>
          <w:rFonts w:ascii="Courier New" w:cs="Courier New" w:eastAsia="Courier New" w:hAnsi="Courier New"/>
          <w:sz w:val="14"/>
          <w:szCs w:val="14"/>
          <w:color w:val="auto"/>
        </w:rPr>
        <w:t>Proceeds were used to retire $60 million in principal</w:t>
        <w:tab/>
        <w:t>amount of First</w:t>
        <w:tab/>
        <w:t>Mortgage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Bonds, 7% Series due on February 15, 2007.</w:t>
      </w:r>
    </w:p>
    <w:p>
      <w:pPr>
        <w:spacing w:after="0" w:line="173"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On June 8, 2007, we issued $50 million of senior unsecured notes (Notes) in the private placement market. The Notes bear an interest rate of 5.99 percent and will mature on June 1, 2017. The Company has the option to prepay all or a portion of the Notes at its discretion, subject to a make-whole provision. The Company intends to use the proceeds from the sale of the Notes to fund utility capital projects and for general corporate purposes.</w:t>
      </w:r>
    </w:p>
    <w:p>
      <w:pPr>
        <w:spacing w:after="0" w:line="33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NOTE 5.</w:t>
      </w:r>
      <w:r>
        <w:rPr>
          <w:sz w:val="20"/>
          <w:szCs w:val="20"/>
          <w:color w:val="auto"/>
        </w:rPr>
        <w:tab/>
      </w:r>
      <w:r>
        <w:rPr>
          <w:rFonts w:ascii="Courier New" w:cs="Courier New" w:eastAsia="Courier New" w:hAnsi="Courier New"/>
          <w:sz w:val="14"/>
          <w:szCs w:val="14"/>
          <w:color w:val="auto"/>
        </w:rPr>
        <w:t>OTHER INCOME (EXPENSE)</w:t>
      </w:r>
    </w:p>
    <w:p>
      <w:pPr>
        <w:sectPr>
          <w:pgSz w:w="11900" w:h="16838" w:orient="portrait"/>
          <w:cols w:equalWidth="0" w:num="1">
            <w:col w:w="10340"/>
          </w:cols>
          <w:pgMar w:left="220" w:top="616" w:right="1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JUNE 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SIX MONTHS ENDED</w:t>
      </w:r>
    </w:p>
    <w:p>
      <w:pPr>
        <w:spacing w:after="0" w:line="7"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JUNE 30,</w:t>
      </w:r>
    </w:p>
    <w:p>
      <w:pPr>
        <w:spacing w:after="0" w:line="7" w:lineRule="exact"/>
        <w:rPr>
          <w:sz w:val="20"/>
          <w:szCs w:val="20"/>
          <w:color w:val="auto"/>
        </w:rPr>
      </w:pPr>
    </w:p>
    <w:p>
      <w:pPr>
        <w:sectPr>
          <w:pgSz w:w="11900" w:h="16838" w:orient="portrait"/>
          <w:cols w:equalWidth="0" w:num="2">
            <w:col w:w="7820" w:space="720"/>
            <w:col w:w="1800"/>
          </w:cols>
          <w:pgMar w:left="220" w:top="616" w:right="1339" w:bottom="1440" w:gutter="0" w:footer="0" w:header="0"/>
          <w:type w:val="continuous"/>
        </w:sectPr>
      </w:pPr>
    </w:p>
    <w:p>
      <w:pPr>
        <w:ind w:left="6120"/>
        <w:spacing w:after="0"/>
        <w:tabs>
          <w:tab w:leader="none" w:pos="7220" w:val="left"/>
          <w:tab w:leader="none" w:pos="8340" w:val="left"/>
          <w:tab w:leader="none" w:pos="9540" w:val="left"/>
        </w:tabs>
        <w:rPr>
          <w:sz w:val="20"/>
          <w:szCs w:val="20"/>
          <w:color w:val="auto"/>
        </w:rPr>
      </w:pP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p>
    <w:p>
      <w:pPr>
        <w:sectPr>
          <w:pgSz w:w="11900" w:h="16838" w:orient="portrait"/>
          <w:cols w:equalWidth="0" w:num="1">
            <w:col w:w="10340"/>
          </w:cols>
          <w:pgMar w:left="220" w:top="616" w:right="1339" w:bottom="144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Gain (Loss)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Emerging Technology</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Investments</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Investment in ATC (See</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Note 3)</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Investment and</w:t>
            </w: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Other Income</w:t>
            </w:r>
          </w:p>
        </w:tc>
        <w:tc>
          <w:tcPr>
            <w:tcW w:w="2060" w:type="dxa"/>
            <w:vAlign w:val="bottom"/>
          </w:tcPr>
          <w:p>
            <w:pPr>
              <w:spacing w:after="0"/>
              <w:rPr>
                <w:sz w:val="14"/>
                <w:szCs w:val="14"/>
                <w:color w:val="auto"/>
              </w:rPr>
            </w:pP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Total Other Income</w:t>
            </w:r>
          </w:p>
        </w:tc>
        <w:tc>
          <w:tcPr>
            <w:tcW w:w="3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$ 14.8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$ 5.1</w:t>
            </w:r>
          </w:p>
        </w:tc>
      </w:tr>
    </w:tbl>
    <w:p>
      <w:pPr>
        <w:spacing w:after="0" w:line="4"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 6.INCOME TAX EXPENSE</w:t>
      </w:r>
    </w:p>
    <w:p>
      <w:pPr>
        <w:sectPr>
          <w:pgSz w:w="11900" w:h="16838" w:orient="portrait"/>
          <w:cols w:equalWidth="0" w:num="1">
            <w:col w:w="10340"/>
          </w:cols>
          <w:pgMar w:left="220" w:top="616" w:right="1339"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JUNE 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SIX MONTHS ENDED</w:t>
      </w:r>
    </w:p>
    <w:p>
      <w:pPr>
        <w:spacing w:after="0" w:line="7"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JUNE 30,</w:t>
      </w:r>
    </w:p>
    <w:p>
      <w:pPr>
        <w:spacing w:after="0" w:line="7" w:lineRule="exact"/>
        <w:rPr>
          <w:sz w:val="20"/>
          <w:szCs w:val="20"/>
          <w:color w:val="auto"/>
        </w:rPr>
      </w:pPr>
    </w:p>
    <w:p>
      <w:pPr>
        <w:sectPr>
          <w:pgSz w:w="11900" w:h="16838" w:orient="portrait"/>
          <w:cols w:equalWidth="0" w:num="2">
            <w:col w:w="7820" w:space="720"/>
            <w:col w:w="1800"/>
          </w:cols>
          <w:pgMar w:left="220" w:top="616" w:right="1339" w:bottom="1440" w:gutter="0" w:footer="0" w:header="0"/>
          <w:type w:val="continuous"/>
        </w:sectPr>
      </w:pPr>
    </w:p>
    <w:p>
      <w:pPr>
        <w:ind w:left="6120"/>
        <w:spacing w:after="0"/>
        <w:tabs>
          <w:tab w:leader="none" w:pos="7220" w:val="left"/>
          <w:tab w:leader="none" w:pos="8420" w:val="left"/>
          <w:tab w:leader="none" w:pos="9540" w:val="left"/>
        </w:tabs>
        <w:rPr>
          <w:sz w:val="20"/>
          <w:szCs w:val="20"/>
          <w:color w:val="auto"/>
        </w:rPr>
      </w:pP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p>
    <w:p>
      <w:pPr>
        <w:sectPr>
          <w:pgSz w:w="11900" w:h="16838" w:orient="portrait"/>
          <w:cols w:equalWidth="0" w:num="1">
            <w:col w:w="10340"/>
          </w:cols>
          <w:pgMar w:left="220" w:top="616" w:right="1339" w:bottom="144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Current Tax Expense</w:t>
            </w:r>
          </w:p>
        </w:tc>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3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$ 10.1</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$ 9.6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$ 22.0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$ 20.4</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3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220"/>
        <w:spacing w:after="0"/>
        <w:tabs>
          <w:tab w:leader="none" w:pos="7220" w:val="left"/>
          <w:tab w:leader="none" w:pos="8420" w:val="left"/>
          <w:tab w:leader="none" w:pos="9540" w:val="left"/>
        </w:tabs>
        <w:rPr>
          <w:sz w:val="20"/>
          <w:szCs w:val="20"/>
          <w:color w:val="auto"/>
        </w:rPr>
      </w:pPr>
      <w:r>
        <w:rPr>
          <w:rFonts w:ascii="Courier New" w:cs="Courier New" w:eastAsia="Courier New" w:hAnsi="Courier New"/>
          <w:sz w:val="14"/>
          <w:szCs w:val="14"/>
          <w:color w:val="auto"/>
        </w:rPr>
        <w:t>12.6</w:t>
      </w:r>
      <w:r>
        <w:rPr>
          <w:sz w:val="20"/>
          <w:szCs w:val="20"/>
          <w:color w:val="auto"/>
        </w:rPr>
        <w:tab/>
      </w:r>
      <w:r>
        <w:rPr>
          <w:rFonts w:ascii="Courier New" w:cs="Courier New" w:eastAsia="Courier New" w:hAnsi="Courier New"/>
          <w:sz w:val="14"/>
          <w:szCs w:val="14"/>
          <w:color w:val="auto"/>
        </w:rPr>
        <w:t>11.9</w:t>
      </w:r>
      <w:r>
        <w:rPr>
          <w:sz w:val="20"/>
          <w:szCs w:val="20"/>
          <w:color w:val="auto"/>
        </w:rPr>
        <w:tab/>
      </w:r>
      <w:r>
        <w:rPr>
          <w:rFonts w:ascii="Courier New" w:cs="Courier New" w:eastAsia="Courier New" w:hAnsi="Courier New"/>
          <w:sz w:val="14"/>
          <w:szCs w:val="14"/>
          <w:color w:val="auto"/>
        </w:rPr>
        <w:t>28.4</w:t>
      </w:r>
      <w:r>
        <w:rPr>
          <w:sz w:val="20"/>
          <w:szCs w:val="20"/>
          <w:color w:val="auto"/>
        </w:rPr>
        <w:tab/>
      </w:r>
      <w:r>
        <w:rPr>
          <w:rFonts w:ascii="Courier New" w:cs="Courier New" w:eastAsia="Courier New" w:hAnsi="Courier New"/>
          <w:sz w:val="14"/>
          <w:szCs w:val="14"/>
          <w:color w:val="auto"/>
        </w:rPr>
        <w:t>25.2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Deferred Tax Expense (Benefit)</w:t>
            </w:r>
          </w:p>
        </w:tc>
        <w:tc>
          <w:tcPr>
            <w:tcW w:w="2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2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(0.7)</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220"/>
        <w:spacing w:after="0"/>
        <w:tabs>
          <w:tab w:leader="none" w:pos="7220" w:val="left"/>
          <w:tab w:leader="none" w:pos="8420" w:val="left"/>
          <w:tab w:leader="none" w:pos="954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(2.6)</w:t>
      </w:r>
      <w:r>
        <w:rPr>
          <w:sz w:val="20"/>
          <w:szCs w:val="20"/>
          <w:color w:val="auto"/>
        </w:rPr>
        <w:tab/>
      </w:r>
      <w:r>
        <w:rPr>
          <w:rFonts w:ascii="Courier New" w:cs="Courier New" w:eastAsia="Courier New" w:hAnsi="Courier New"/>
          <w:sz w:val="14"/>
          <w:szCs w:val="14"/>
          <w:color w:val="auto"/>
        </w:rPr>
        <w:t>(0.6)</w:t>
      </w:r>
      <w:r>
        <w:rPr>
          <w:sz w:val="20"/>
          <w:szCs w:val="20"/>
          <w:color w:val="auto"/>
        </w:rPr>
        <w:tab/>
      </w:r>
      <w:r>
        <w:rPr>
          <w:rFonts w:ascii="Courier New" w:cs="Courier New" w:eastAsia="Courier New" w:hAnsi="Courier New"/>
          <w:sz w:val="14"/>
          <w:szCs w:val="14"/>
          <w:color w:val="auto"/>
        </w:rPr>
        <w:t>(4.0)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Deferred Tax Credits</w:t>
            </w:r>
          </w:p>
        </w:tc>
        <w:tc>
          <w:tcPr>
            <w:tcW w:w="2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Income Tax</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Expense from</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27.3</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20.5</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Income Tax</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Benefit from</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Discontinued Operations</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2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gridSpan w:val="4"/>
          </w:tcPr>
          <w:p>
            <w:pPr>
              <w:spacing w:after="0"/>
              <w:rPr>
                <w:sz w:val="20"/>
                <w:szCs w:val="20"/>
                <w:color w:val="auto"/>
              </w:rPr>
            </w:pPr>
            <w:r>
              <w:rPr>
                <w:rFonts w:ascii="Courier New" w:cs="Courier New" w:eastAsia="Courier New" w:hAnsi="Courier New"/>
                <w:sz w:val="14"/>
                <w:szCs w:val="14"/>
                <w:color w:val="auto"/>
              </w:rPr>
              <w:t>Total Income Tax Expense</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$ 11.2</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$ 8.6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$ 27.3</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$ 20.2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2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For the six months ended June 30, 2007, the effective tax rate on income from continuing operations before minority interest was 35.1 percent (37.3 percent for six months ended June 30, 2006). The effective rate of 35.1 percent for the six months ended June 30, 2007, deviated from the statutory rate (approximately 40 percent) primarily due to a state income tax audit settlement ($1.5 million), deductions for Medicare health subsidies, domestic manufacturing deduction, allowance for funds used during construction (AFUDC) and depletion.</w:t>
      </w:r>
    </w:p>
    <w:p>
      <w:pPr>
        <w:spacing w:after="0" w:line="16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ALLETE Second Quarter 2007 Form 10-Q</w:t>
      </w:r>
    </w:p>
    <w:p>
      <w:pPr>
        <w:sectPr>
          <w:pgSz w:w="11900" w:h="16838" w:orient="portrait"/>
          <w:cols w:equalWidth="0" w:num="1">
            <w:col w:w="10340"/>
          </w:cols>
          <w:pgMar w:left="220" w:top="616" w:right="1339" w:bottom="144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NOTE 6. INCOME TAX EXPENSE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UNCERTAIN TAX POSITIONS. Effective January 1, 2007, we adopted the provisions of FIN 48, "Accounting for Uncertainty in Income Taxes - an Interpretation of FASB Statement No. 109." As a result of the implementation of FIN 48, we recognized a $1.0 million increase in the liability for unrecognized tax benefits. The adoption of FIN 48 also resulted in a reduction in retained earnings of $0.7 million, a reduction of deferred tax liabilities of $0.8 million and an increase in accrued interest of $0.5 million. Subsequent to the implementation of FIN 48, ALLETE's gross unrecognized tax benefits were $10.4 million. Of this total, $6.8 million (net of federal tax benefit on state issues) represents the amount of unrecognized tax benefits that, if recognized, would favorably affect the effective income tax rate.</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Included in the liability for unrecognized tax benefits balance as of January 1, 2007, are $0.8 million (net of federal tax benefit on state issues) of tax positions for which the ultimate deductibility is highly certain, but for which there is uncertainty about the timing of deductibility. Due to the impact of deferred tax accounting, other than the accounting for interest and penalties, the disallowance of the shorter deductibility period would not affect the annual effective tax rate. The disallowance would, however, accelerate the payment of cash to the taxing authority to an earlier period.</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recognize interest related to unrecognized tax benefits in interest expense and penalties in operating expenses in the Consolidated Statement of Income. As of January 1, 2007, the Company had $1.3 million of accrued interest and no accrued penalties related to unrecognized tax benefits included in the Consolidated Balance Sheet. The liability for the payment of interest is $0.8 million as of June 30, 2007.</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May 2007, we settled a state audit resulting in the recognition of a tax benefit of $1.5 million. After the reversal of unrecognized tax benefits upon the audit settlement, ALLETE's gross unrecognized tax benefits were $4.7 million at June 30, 2007. Of this total, $3.1 million (net of federal benefit on state issues) represented the amount of unrecognized tax benefits that, if recognized, would favorably affect the effective tax rate.</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along with our subsidiaries, file income tax returns in the U.S. federal and various state jurisdictions. With few exceptions, ALLETE is no longer subject to federal examination for years before 2003 or state examinations for years before 2001.</w:t>
      </w:r>
    </w:p>
    <w:p>
      <w:pPr>
        <w:spacing w:after="0" w:line="162" w:lineRule="exact"/>
        <w:rPr>
          <w:sz w:val="20"/>
          <w:szCs w:val="20"/>
          <w:color w:val="auto"/>
        </w:rPr>
      </w:pPr>
    </w:p>
    <w:p>
      <w:pPr>
        <w:jc w:val="both"/>
        <w:ind w:right="3339"/>
        <w:spacing w:after="0" w:line="253" w:lineRule="auto"/>
        <w:rPr>
          <w:sz w:val="20"/>
          <w:szCs w:val="20"/>
          <w:color w:val="auto"/>
        </w:rPr>
      </w:pPr>
      <w:r>
        <w:rPr>
          <w:rFonts w:ascii="Courier New" w:cs="Courier New" w:eastAsia="Courier New" w:hAnsi="Courier New"/>
          <w:sz w:val="14"/>
          <w:szCs w:val="14"/>
          <w:color w:val="auto"/>
        </w:rPr>
        <w:t>We expect that the amount of unrecognized tax benefits as of June 30, 2007, will change in the next 12 months; however, we do not expect the change to have a significant impact on our financial position, results of operations or cash flows.</w:t>
      </w:r>
    </w:p>
    <w:p>
      <w:pPr>
        <w:spacing w:after="0" w:line="200" w:lineRule="exact"/>
        <w:rPr>
          <w:sz w:val="20"/>
          <w:szCs w:val="20"/>
          <w:color w:val="auto"/>
        </w:rPr>
      </w:pPr>
    </w:p>
    <w:p>
      <w:pPr>
        <w:spacing w:after="0" w:line="29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7.</w:t>
      </w:r>
      <w:r>
        <w:rPr>
          <w:sz w:val="20"/>
          <w:szCs w:val="20"/>
          <w:color w:val="auto"/>
        </w:rPr>
        <w:tab/>
      </w:r>
      <w:r>
        <w:rPr>
          <w:rFonts w:ascii="Courier New" w:cs="Courier New" w:eastAsia="Courier New" w:hAnsi="Courier New"/>
          <w:sz w:val="14"/>
          <w:szCs w:val="14"/>
          <w:color w:val="auto"/>
        </w:rPr>
        <w:t>DISCONTINUED OPERATIONS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early 2005, we completed the exit from our Water Services businesses with the sale of our wastewater assets in Georgia, which resulted in an immaterial gain. In 2005, the Florida Public Service Commission approved the transfer of 63 water and wastewater systems from Florida Water Services Corporation to Aqua Utilities Florida, Inc. (Aqua Utilities) and ordered a $1.7 million reduction to plant investment. The Company reserved for the reduction in 2005. On March 15, 2006, the Company paid Aqua Utilities the adjustment refund amount of $1.7 million.</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For the quarter and six months ended June 30, 2007, there were no financial results to report as discontinued operations.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QUARTER</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188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JUNE</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188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JUNE 30,</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SUMMARY INCOME STATEMENT</w:t>
            </w:r>
          </w:p>
        </w:tc>
        <w:tc>
          <w:tcPr>
            <w:tcW w:w="36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2006</w:t>
            </w:r>
          </w:p>
        </w:tc>
        <w:tc>
          <w:tcPr>
            <w:tcW w:w="188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Loss on Disposal</w:t>
            </w:r>
          </w:p>
        </w:tc>
        <w:tc>
          <w:tcPr>
            <w:tcW w:w="37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Water Services</w:t>
            </w:r>
          </w:p>
        </w:tc>
        <w:tc>
          <w:tcPr>
            <w:tcW w:w="3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$(0.7)</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37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Water</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Services</w:t>
            </w:r>
          </w:p>
        </w:tc>
        <w:tc>
          <w:tcPr>
            <w:tcW w:w="37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0.3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5560" w:type="dxa"/>
            <w:vAlign w:val="bottom"/>
          </w:tcPr>
          <w:p>
            <w:pPr>
              <w:ind w:left="640"/>
              <w:spacing w:after="0"/>
              <w:rPr>
                <w:sz w:val="20"/>
                <w:szCs w:val="20"/>
                <w:color w:val="auto"/>
              </w:rPr>
            </w:pPr>
            <w:r>
              <w:rPr>
                <w:rFonts w:ascii="Courier New" w:cs="Courier New" w:eastAsia="Courier New" w:hAnsi="Courier New"/>
                <w:sz w:val="14"/>
                <w:szCs w:val="14"/>
                <w:color w:val="auto"/>
              </w:rPr>
              <w:t>Net Loss on Disposal</w:t>
            </w: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(0.4)</w:t>
            </w: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700" w:type="dxa"/>
            <w:vAlign w:val="bottom"/>
            <w:gridSpan w:val="2"/>
          </w:tcPr>
          <w:p>
            <w:pPr>
              <w:spacing w:after="0"/>
              <w:rPr>
                <w:sz w:val="20"/>
                <w:szCs w:val="20"/>
                <w:color w:val="auto"/>
              </w:rPr>
            </w:pPr>
            <w:r>
              <w:rPr>
                <w:rFonts w:ascii="Courier New" w:cs="Courier New" w:eastAsia="Courier New" w:hAnsi="Courier New"/>
                <w:sz w:val="14"/>
                <w:szCs w:val="14"/>
                <w:color w:val="auto"/>
              </w:rPr>
              <w:t>Loss from Discontinued Operations</w:t>
            </w: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$(0.4)</w:t>
            </w: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40" w:type="dxa"/>
            <w:vAlign w:val="bottom"/>
          </w:tcPr>
          <w:p>
            <w:pPr>
              <w:spacing w:after="0"/>
              <w:rPr>
                <w:sz w:val="24"/>
                <w:szCs w:val="24"/>
                <w:color w:val="auto"/>
              </w:rPr>
            </w:pPr>
          </w:p>
        </w:tc>
        <w:tc>
          <w:tcPr>
            <w:tcW w:w="5560" w:type="dxa"/>
            <w:vAlign w:val="bottom"/>
          </w:tcPr>
          <w:p>
            <w:pPr>
              <w:ind w:left="1760"/>
              <w:spacing w:after="0"/>
              <w:rPr>
                <w:sz w:val="20"/>
                <w:szCs w:val="20"/>
                <w:color w:val="auto"/>
              </w:rPr>
            </w:pPr>
            <w:r>
              <w:rPr>
                <w:rFonts w:ascii="Courier New" w:cs="Courier New" w:eastAsia="Courier New" w:hAnsi="Courier New"/>
                <w:sz w:val="14"/>
                <w:szCs w:val="14"/>
                <w:color w:val="auto"/>
              </w:rPr>
              <w:t>ALLETE Second Quarter 2007 Form 10-Q</w:t>
            </w: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12</w:t>
            </w:r>
          </w:p>
        </w:tc>
        <w:tc>
          <w:tcPr>
            <w:tcW w:w="20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4" w:name="page15"/>
    <w:bookmarkEnd w:id="14"/>
    <w:p>
      <w:pPr>
        <w:spacing w:after="0"/>
        <w:tabs>
          <w:tab w:leader="none" w:pos="940" w:val="left"/>
        </w:tabs>
        <w:rPr>
          <w:sz w:val="20"/>
          <w:szCs w:val="20"/>
          <w:color w:val="auto"/>
        </w:rPr>
      </w:pPr>
      <w:r>
        <w:rPr>
          <w:rFonts w:ascii="Courier New" w:cs="Courier New" w:eastAsia="Courier New" w:hAnsi="Courier New"/>
          <w:sz w:val="14"/>
          <w:szCs w:val="14"/>
          <w:color w:val="auto"/>
        </w:rPr>
        <w:t>NOTE 8.</w:t>
      </w:r>
      <w:r>
        <w:rPr>
          <w:sz w:val="20"/>
          <w:szCs w:val="20"/>
          <w:color w:val="auto"/>
        </w:rPr>
        <w:tab/>
      </w:r>
      <w:r>
        <w:rPr>
          <w:rFonts w:ascii="Courier New" w:cs="Courier New" w:eastAsia="Courier New" w:hAnsi="Courier New"/>
          <w:sz w:val="14"/>
          <w:szCs w:val="14"/>
          <w:color w:val="auto"/>
        </w:rPr>
        <w:t>COMPREHENSIVE INCOME (LOSS)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the quarter ended June 30, 2007, total comprehensive income (loss), net of tax, was $23.9 million ($13.2 million for the quarter ended June 30, 2006). For the six months ended June 30, 2007, total comprehensive income (loss), net of tax, was $50.4 million of comprehensive income ($32.3 million of comprehensive loss, net of tax, for the six months ended June 30, 2006). Total comprehensive income (loss) includes net income (loss), unrealized gains and losses on securities classified as available-for-sale, and our unfunded pension liabilities.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w:t>
            </w:r>
          </w:p>
        </w:tc>
        <w:tc>
          <w:tcPr>
            <w:tcW w:w="2680" w:type="dxa"/>
            <w:vAlign w:val="bottom"/>
          </w:tcPr>
          <w:p>
            <w:pPr>
              <w:spacing w:after="0"/>
              <w:rPr>
                <w:sz w:val="14"/>
                <w:szCs w:val="14"/>
                <w:color w:val="auto"/>
              </w:rPr>
            </w:pPr>
          </w:p>
        </w:tc>
        <w:tc>
          <w:tcPr>
            <w:tcW w:w="20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JUNE 30,</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INCOME (LOSS) - NET OF TAX</w:t>
            </w:r>
          </w:p>
        </w:tc>
        <w:tc>
          <w:tcPr>
            <w:tcW w:w="2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2007</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Unrealized</w:t>
            </w:r>
          </w:p>
        </w:tc>
        <w:tc>
          <w:tcPr>
            <w:tcW w:w="4680" w:type="dxa"/>
            <w:vAlign w:val="bottom"/>
          </w:tcPr>
          <w:p>
            <w:pPr>
              <w:ind w:left="40"/>
              <w:spacing w:after="0"/>
              <w:rPr>
                <w:sz w:val="20"/>
                <w:szCs w:val="20"/>
                <w:color w:val="auto"/>
              </w:rPr>
            </w:pPr>
            <w:r>
              <w:rPr>
                <w:rFonts w:ascii="Courier New" w:cs="Courier New" w:eastAsia="Courier New" w:hAnsi="Courier New"/>
                <w:sz w:val="14"/>
                <w:szCs w:val="14"/>
                <w:color w:val="auto"/>
              </w:rPr>
              <w:t>Gain on Securities</w:t>
            </w:r>
          </w:p>
        </w:tc>
        <w:tc>
          <w:tcPr>
            <w:tcW w:w="24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  5.0</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2.4</w:t>
            </w:r>
          </w:p>
        </w:tc>
      </w:tr>
      <w:tr>
        <w:trPr>
          <w:trHeight w:val="166"/>
        </w:trPr>
        <w:tc>
          <w:tcPr>
            <w:tcW w:w="5600" w:type="dxa"/>
            <w:vAlign w:val="bottom"/>
            <w:gridSpan w:val="2"/>
          </w:tcPr>
          <w:p>
            <w:pPr>
              <w:spacing w:after="0"/>
              <w:rPr>
                <w:sz w:val="20"/>
                <w:szCs w:val="20"/>
                <w:color w:val="auto"/>
              </w:rPr>
            </w:pPr>
            <w:r>
              <w:rPr>
                <w:rFonts w:ascii="Courier New" w:cs="Courier New" w:eastAsia="Courier New" w:hAnsi="Courier New"/>
                <w:sz w:val="14"/>
                <w:szCs w:val="14"/>
                <w:color w:val="auto"/>
              </w:rPr>
              <w:t>Defined Benefit Pension and Other Postretirement Plans</w:t>
            </w:r>
          </w:p>
        </w:tc>
        <w:tc>
          <w:tcPr>
            <w:tcW w:w="24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(12.3)</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0"/>
        </w:trPr>
        <w:tc>
          <w:tcPr>
            <w:tcW w:w="92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4680" w:type="dxa"/>
            <w:vAlign w:val="bottom"/>
          </w:tcPr>
          <w:p>
            <w:pPr>
              <w:ind w:left="40"/>
              <w:spacing w:after="0"/>
              <w:rPr>
                <w:sz w:val="20"/>
                <w:szCs w:val="20"/>
                <w:color w:val="auto"/>
              </w:rPr>
            </w:pPr>
            <w:r>
              <w:rPr>
                <w:rFonts w:ascii="Courier New" w:cs="Courier New" w:eastAsia="Courier New" w:hAnsi="Courier New"/>
                <w:sz w:val="14"/>
                <w:szCs w:val="14"/>
                <w:color w:val="auto"/>
              </w:rPr>
              <w:t>Pension Liability</w:t>
            </w:r>
          </w:p>
        </w:tc>
        <w:tc>
          <w:tcPr>
            <w:tcW w:w="24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(14.9)</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540" w:val="left"/>
          <w:tab w:leader="none" w:pos="8940" w:val="left"/>
        </w:tabs>
        <w:rPr>
          <w:sz w:val="20"/>
          <w:szCs w:val="20"/>
          <w:color w:val="auto"/>
        </w:rPr>
      </w:pPr>
      <w:r>
        <w:rPr>
          <w:rFonts w:ascii="Courier New" w:cs="Courier New" w:eastAsia="Courier New" w:hAnsi="Courier New"/>
          <w:sz w:val="14"/>
          <w:szCs w:val="14"/>
          <w:color w:val="auto"/>
        </w:rPr>
        <w:t>Total Accumulated Other Comprehensive Loss</w:t>
      </w:r>
      <w:r>
        <w:rPr>
          <w:sz w:val="20"/>
          <w:szCs w:val="20"/>
          <w:color w:val="auto"/>
        </w:rPr>
        <w:tab/>
      </w:r>
      <w:r>
        <w:rPr>
          <w:rFonts w:ascii="Courier New" w:cs="Courier New" w:eastAsia="Courier New" w:hAnsi="Courier New"/>
          <w:sz w:val="14"/>
          <w:szCs w:val="14"/>
          <w:color w:val="auto"/>
        </w:rPr>
        <w:t>$ (7.3)</w:t>
      </w:r>
      <w:r>
        <w:rPr>
          <w:sz w:val="20"/>
          <w:szCs w:val="20"/>
          <w:color w:val="auto"/>
        </w:rPr>
        <w:tab/>
      </w:r>
      <w:r>
        <w:rPr>
          <w:rFonts w:ascii="Courier New" w:cs="Courier New" w:eastAsia="Courier New" w:hAnsi="Courier New"/>
          <w:sz w:val="14"/>
          <w:szCs w:val="14"/>
          <w:color w:val="auto"/>
        </w:rPr>
        <w:t>$(12.5)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NOTE 9.</w:t>
      </w:r>
      <w:r>
        <w:rPr>
          <w:sz w:val="20"/>
          <w:szCs w:val="20"/>
          <w:color w:val="auto"/>
        </w:rPr>
        <w:tab/>
      </w: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difference between basic and diluted earnings per share arises from outstanding stock options and performance share awards granted under our Executive and Director Long-Term Incentive Compensation Plans. In accordance with SFAS 128, "Earnings Per Share," for the quarter and six months ended June 30, 2007, 0.1 million options to purchase shares of common stock were excluded from the computation of diluted earnings per share because the option exercise prices were greater than the average market prices, and therefore, their effect would be anti-dilutive. For the quarter and six months ended June 30, 2006, no options to purchase shares of common stock were excluded from the computation of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180"/>
        <w:spacing w:after="0"/>
        <w:tabs>
          <w:tab w:leader="none" w:pos="8260" w:val="left"/>
        </w:tabs>
        <w:rPr>
          <w:sz w:val="20"/>
          <w:szCs w:val="20"/>
          <w:color w:val="auto"/>
        </w:rPr>
      </w:pP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80" w:val="left"/>
          <w:tab w:leader="none" w:pos="8080" w:val="left"/>
        </w:tabs>
        <w:rPr>
          <w:sz w:val="20"/>
          <w:szCs w:val="20"/>
          <w:color w:val="auto"/>
        </w:rPr>
      </w:pPr>
      <w:r>
        <w:rPr>
          <w:rFonts w:ascii="Courier New" w:cs="Courier New" w:eastAsia="Courier New" w:hAnsi="Courier New"/>
          <w:sz w:val="14"/>
          <w:szCs w:val="14"/>
          <w:color w:val="auto"/>
        </w:rPr>
        <w:t>RECONCILIATION OF BASIC AND DILUTED</w:t>
      </w:r>
      <w:r>
        <w:rPr>
          <w:sz w:val="20"/>
          <w:szCs w:val="20"/>
          <w:color w:val="auto"/>
        </w:rPr>
        <w:tab/>
      </w:r>
      <w:r>
        <w:rPr>
          <w:rFonts w:ascii="Courier New" w:cs="Courier New" w:eastAsia="Courier New" w:hAnsi="Courier New"/>
          <w:sz w:val="14"/>
          <w:szCs w:val="14"/>
          <w:color w:val="auto"/>
        </w:rPr>
        <w:t>DILUTIVE</w:t>
      </w:r>
      <w:r>
        <w:rPr>
          <w:sz w:val="20"/>
          <w:szCs w:val="20"/>
          <w:color w:val="auto"/>
        </w:rPr>
        <w:tab/>
      </w:r>
      <w:r>
        <w:rPr>
          <w:rFonts w:ascii="Courier New" w:cs="Courier New" w:eastAsia="Courier New" w:hAnsi="Courier New"/>
          <w:sz w:val="14"/>
          <w:szCs w:val="14"/>
          <w:color w:val="auto"/>
        </w:rPr>
        <w:t>DILUTIVE</w:t>
      </w:r>
    </w:p>
    <w:p>
      <w:pPr>
        <w:spacing w:after="0" w:line="7" w:lineRule="exact"/>
        <w:rPr>
          <w:sz w:val="20"/>
          <w:szCs w:val="20"/>
          <w:color w:val="auto"/>
        </w:rPr>
      </w:pPr>
    </w:p>
    <w:p>
      <w:pPr>
        <w:spacing w:after="0"/>
        <w:tabs>
          <w:tab w:leader="none" w:pos="4200" w:val="left"/>
          <w:tab w:leader="none" w:pos="4900" w:val="left"/>
          <w:tab w:leader="none" w:pos="6100" w:val="left"/>
          <w:tab w:leader="none" w:pos="7300" w:val="left"/>
          <w:tab w:leader="none" w:pos="8000" w:val="left"/>
          <w:tab w:leader="none" w:pos="9200" w:val="left"/>
        </w:tabs>
        <w:rPr>
          <w:sz w:val="20"/>
          <w:szCs w:val="20"/>
          <w:color w:val="auto"/>
        </w:rPr>
      </w:pPr>
      <w:r>
        <w:rPr>
          <w:rFonts w:ascii="Courier New" w:cs="Courier New" w:eastAsia="Courier New" w:hAnsi="Courier New"/>
          <w:sz w:val="14"/>
          <w:szCs w:val="14"/>
          <w:color w:val="auto"/>
        </w:rPr>
        <w:t>EARNINGS PER SHARE</w:t>
      </w:r>
      <w:r>
        <w:rPr>
          <w:sz w:val="20"/>
          <w:szCs w:val="20"/>
          <w:color w:val="auto"/>
        </w:rPr>
        <w:tab/>
      </w:r>
      <w:r>
        <w:rPr>
          <w:rFonts w:ascii="Courier New" w:cs="Courier New" w:eastAsia="Courier New" w:hAnsi="Courier New"/>
          <w:sz w:val="14"/>
          <w:szCs w:val="14"/>
          <w:color w:val="auto"/>
        </w:rPr>
        <w:t>BASIC</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DILUTED</w:t>
      </w:r>
      <w:r>
        <w:rPr>
          <w:sz w:val="20"/>
          <w:szCs w:val="20"/>
          <w:color w:val="auto"/>
        </w:rPr>
        <w:tab/>
      </w:r>
      <w:r>
        <w:rPr>
          <w:rFonts w:ascii="Courier New" w:cs="Courier New" w:eastAsia="Courier New" w:hAnsi="Courier New"/>
          <w:sz w:val="14"/>
          <w:szCs w:val="14"/>
          <w:color w:val="auto"/>
        </w:rPr>
        <w:t>BASIC</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DILUTED</w:t>
      </w:r>
    </w:p>
    <w:p>
      <w:pPr>
        <w:spacing w:after="0" w:line="7"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FOR THE QUARTER ENDED JUNE 30,</w:t>
            </w: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28.2</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28.3</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27.9</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Per Share from Continuing Operations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$0.80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$0.49</w:t>
            </w:r>
          </w:p>
        </w:tc>
      </w:tr>
    </w:tbl>
    <w:p>
      <w:pPr>
        <w:spacing w:after="0" w:line="4"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SIX MONTHS ENDED JUNE 30,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$48.9</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$48.9</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$32.4</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$32.4</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27.6</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27.8</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Per Share from Continuing Operations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ALLETE Second Quarter 2007 Form 10-Q</w:t>
      </w:r>
    </w:p>
    <w:p>
      <w:pPr>
        <w:sectPr>
          <w:pgSz w:w="11900" w:h="16838" w:orient="portrait"/>
          <w:cols w:equalWidth="0" w:num="1">
            <w:col w:w="10239"/>
          </w:cols>
          <w:pgMar w:left="220" w:top="616"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NOTE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PENSION AND OTHER POSTRETIREMENT BENEFIT PLANS</w:t>
      </w:r>
    </w:p>
    <w:p>
      <w:pPr>
        <w:spacing w:after="0" w:line="200" w:lineRule="exact"/>
        <w:rPr>
          <w:sz w:val="20"/>
          <w:szCs w:val="20"/>
          <w:color w:val="auto"/>
        </w:rPr>
      </w:pPr>
    </w:p>
    <w:p>
      <w:pPr>
        <w:sectPr>
          <w:pgSz w:w="11900" w:h="16838" w:orient="portrait"/>
          <w:cols w:equalWidth="0" w:num="2">
            <w:col w:w="700" w:space="340"/>
            <w:col w:w="9199"/>
          </w:cols>
          <w:pgMar w:left="220" w:top="616"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8200"/>
        <w:spacing w:after="0"/>
        <w:rPr>
          <w:sz w:val="20"/>
          <w:szCs w:val="20"/>
          <w:color w:val="auto"/>
        </w:rPr>
      </w:pPr>
      <w:r>
        <w:rPr>
          <w:rFonts w:ascii="Courier New" w:cs="Courier New" w:eastAsia="Courier New" w:hAnsi="Courier New"/>
          <w:sz w:val="14"/>
          <w:szCs w:val="14"/>
          <w:color w:val="auto"/>
        </w:rPr>
        <w:t>POSTRETIREMENT</w:t>
      </w:r>
    </w:p>
    <w:p>
      <w:pPr>
        <w:spacing w:after="0" w:line="7" w:lineRule="exact"/>
        <w:rPr>
          <w:sz w:val="20"/>
          <w:szCs w:val="20"/>
          <w:color w:val="auto"/>
        </w:rPr>
      </w:pPr>
    </w:p>
    <w:p>
      <w:pPr>
        <w:ind w:left="5700"/>
        <w:spacing w:after="0"/>
        <w:tabs>
          <w:tab w:leader="none" w:pos="8180" w:val="left"/>
        </w:tabs>
        <w:rPr>
          <w:sz w:val="20"/>
          <w:szCs w:val="20"/>
          <w:color w:val="auto"/>
        </w:rPr>
      </w:pPr>
      <w:r>
        <w:rPr>
          <w:rFonts w:ascii="Courier New" w:cs="Courier New" w:eastAsia="Courier New" w:hAnsi="Courier New"/>
          <w:sz w:val="14"/>
          <w:szCs w:val="14"/>
          <w:color w:val="auto"/>
        </w:rPr>
        <w:t>PENSION</w:t>
      </w:r>
      <w:r>
        <w:rPr>
          <w:sz w:val="20"/>
          <w:szCs w:val="20"/>
          <w:color w:val="auto"/>
        </w:rPr>
        <w:tab/>
      </w:r>
      <w:r>
        <w:rPr>
          <w:rFonts w:ascii="Courier New" w:cs="Courier New" w:eastAsia="Courier New" w:hAnsi="Courier New"/>
          <w:sz w:val="14"/>
          <w:szCs w:val="14"/>
          <w:color w:val="auto"/>
        </w:rPr>
        <w:t>HEALTH AND LIFE</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080" w:val="left"/>
          <w:tab w:leader="none" w:pos="6440" w:val="left"/>
          <w:tab w:leader="none" w:pos="7920" w:val="left"/>
          <w:tab w:leader="none" w:pos="9300" w:val="left"/>
        </w:tabs>
        <w:rPr>
          <w:sz w:val="20"/>
          <w:szCs w:val="20"/>
          <w:color w:val="auto"/>
        </w:rPr>
      </w:pPr>
      <w:r>
        <w:rPr>
          <w:rFonts w:ascii="Courier New" w:cs="Courier New" w:eastAsia="Courier New" w:hAnsi="Courier New"/>
          <w:sz w:val="14"/>
          <w:szCs w:val="14"/>
          <w:color w:val="auto"/>
        </w:rPr>
        <w:t>COMPONENTS OF NET PERIODIC BENEFIT EXPENSE</w:t>
      </w:r>
      <w:r>
        <w:rPr>
          <w:sz w:val="20"/>
          <w:szCs w:val="20"/>
          <w:color w:val="auto"/>
        </w:rPr>
        <w:tab/>
      </w: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FOR THE QUARTER</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ENDED JUNE 30,</w:t>
            </w:r>
          </w:p>
        </w:tc>
        <w:tc>
          <w:tcPr>
            <w:tcW w:w="1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2760" w:type="dxa"/>
            <w:vAlign w:val="bottom"/>
          </w:tcPr>
          <w:p>
            <w:pPr>
              <w:spacing w:after="0"/>
              <w:rPr>
                <w:sz w:val="24"/>
                <w:szCs w:val="24"/>
                <w:color w:val="auto"/>
              </w:rPr>
            </w:pP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$ 1.3</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2.3</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$ 0.9</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2760" w:type="dxa"/>
            <w:vAlign w:val="bottom"/>
          </w:tcPr>
          <w:p>
            <w:pPr>
              <w:spacing w:after="0"/>
              <w:rPr>
                <w:sz w:val="14"/>
                <w:szCs w:val="14"/>
                <w:color w:val="auto"/>
              </w:rPr>
            </w:pP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Expected Return</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on Plan Assets</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(7.6)</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Prior Service Costs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Net Loss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0.8</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Transition Obligation</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0.6</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Periodic Benefit Expense</w:t>
            </w:r>
          </w:p>
        </w:tc>
        <w:tc>
          <w:tcPr>
            <w:tcW w:w="21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$ 0.3</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2.0</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2.6</w:t>
            </w:r>
          </w:p>
        </w:tc>
      </w:tr>
    </w:tbl>
    <w:p>
      <w:pPr>
        <w:spacing w:after="0" w:line="4"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SIX MONTHS ENDED JUNE 30,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$ 2.6</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4.6</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$ 1.9</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11.1</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(15.3)</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(14.3)</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Amortization of Net Loss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Amortization of Transition Obligation</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Net Periodic Benefit Expense</w:t>
            </w:r>
          </w:p>
        </w:tc>
        <w:tc>
          <w:tcPr>
            <w:tcW w:w="21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$ 0.6</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4.1</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$ 3.9</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5.2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2005, we determined that our postretirement health care plans meet the requirements of the Centers for Medicare and Medicaid Services' (CMS) regulations and enrolled with the CMS to begin recovering the subsidy. We received our first subsidy payment of $0.3 million in 2007 for 2006 credits.</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EMPLOYER CONTRIBUTIONS. For the quarter ended June 30, 2007, no contributions were made to our pension or postretirement health and life plans. For the six months ended june 30, 2007, no contributions were made to our pension plans and $2.8 million of contributions were made to our postretirement health and life plans. We do not expect to make any additional contributions to fund our pension or postretirement health and life plans in 2007.</w:t>
      </w:r>
    </w:p>
    <w:p>
      <w:pPr>
        <w:spacing w:after="0" w:line="16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NOTE 11.</w:t>
      </w:r>
      <w:r>
        <w:rPr>
          <w:sz w:val="20"/>
          <w:szCs w:val="20"/>
          <w:color w:val="auto"/>
        </w:rPr>
        <w:tab/>
      </w:r>
      <w:r>
        <w:rPr>
          <w:rFonts w:ascii="Courier New" w:cs="Courier New" w:eastAsia="Courier New" w:hAnsi="Courier New"/>
          <w:sz w:val="14"/>
          <w:szCs w:val="14"/>
          <w:color w:val="auto"/>
        </w:rPr>
        <w:t>COMMITMENTS, GUARANTEES AND CONTINGENCIES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OFF-BALANCE SHEET ARRANGEMENTS. Square Butte Power Purchase Agreement. Minnesota Power has a power purchase agreement with Square Butte that extends through 2026 (Agreement). It provides a long-term supply of low-cost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329"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Minnesota Power was entitled to approximately 71 percent of the Unit's output under the Agreement prior to 2006. Beginning in 2006, Minnkota Power exercised its option to reduce Minnesota Power's entitlement by approximately 5 percent annually. We received notices from Minnkota Power reducing our output entitlement by approximately 5 percent annually to 60 percent as of January 1, 2007, 55 percent on January 1, 2008, and 50 percent on January 1, 2009, and thereafter. Minnkota Power has no further option to reduce Minnesota Power's entitlement below 50 percent. Minnesota Power is obligated to pay its pro-rata share of Square Butte's costs based on Minnesota Power's entitlement to Unit output. Minnesota Power's payment obligation will be suspended if Square Butte fails to deliver any power, whether produced or purchased, for a period of one year. Square Butte's fixed costs consist primarily of debt service. At June 30, 2007, Square Butte had total debt outstanding of $324.2 million. Total annual debt service for Square Butte is expected to be approximately $26 million in each of the years 2007 through 2011. Variable operating costs include the price of coal purchased from BNI Coal, our subsidiary, under a long-term contract.</w:t>
      </w:r>
    </w:p>
    <w:p>
      <w:pPr>
        <w:spacing w:after="0" w:line="33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Second Quarter 2007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ectPr>
          <w:pgSz w:w="11900" w:h="16838" w:orient="portrait"/>
          <w:cols w:equalWidth="0" w:num="1">
            <w:col w:w="10239"/>
          </w:cols>
          <w:pgMar w:left="220" w:top="616" w:right="1440" w:bottom="1440"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NOTE 11. COMMITMENTS, GUARANTEES AND CONTINGENCIES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LEASING AGREEMENTS. BNI Coal is obligated to make lease payments for a dragline totaling $2.8 million annually for the lease term which expires in 2027. BNI Coal has the option at the end of the lease term to renew the lease at a fair market rental, to purchase the dragline at fair market value, or to surrender the dragline and pay a $3.0 million termination fee. We lease other properties and equipment under operating lease agreements with terms expiring through 2013. The aggregate amount of minimum lease payments for all operating leases is $8.2 million in 2007, $7.6 million in 2008, $7.0 million in 2009, $6.5 million in 2010, $6.0 million in 2011 and $51.2 million thereafter.</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COAL, RAIL AND SHIPPING CONTRACTS. We have three coal supply agreements with various expiration dates ranging from December 2008 to December 2009. We also have rail and shipping agreements for the transportation of all of our coal, with various expiration dates ranging from December 2007 to December 2011. Our minimum annual payment obligations under these coal, rail and shipping agreements are currently $42.0 million in 2007, $16.0 million in 2008, $10.7 million in 2009 and no specific commitments beyond 2009. Our minimum annual payment obligations will increase when annual nominations are made for coal deliveries in future years.</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EMERGING TECHNOLOGY PORTFOLIO. We have investments in emerging technologies through minority investments in venture capital funds structured as limited liability companies, and direct investments in privately-held, start-up companies. We have committed to make additional investments in certain emerging technology venture capital funds. The total future commitment was $1.8 million at June 30, 2007 ($2.5 million at December 31, 2006), and will be invested in 2007. We do not have plans to make any additional investments beyond this commitment.</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ENVIRONMENTAL MATTERS. Our businesses are subject to regulation of environmental matters by various federal, state and local authorities. Due to stricter environmental requirements through legislation and/or rulemaking in the future, we anticipate that potential expenditures for environmental matters will be material and will require significant capital investments.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328"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SWL&amp;P MANUFACTURED GAS PLANT. In May 2001, SWL&amp;P received notice from the WDNR that the City of Superior had found soil contamination on property adjoining a former Manufactured Gas Plant (MGP) site owned and operated by SWL&amp;P from 1889 to 1904. A report submitted in 2003 identified some MGP-like chemicals that were found in the soil near the former plant site. The investigation continued through the fall of 2006. The final Phase II report was issued on June 7, 2007, confirming our understanding of the issues involved. The final Phase II Report and Risk Assessment were sent to the WDNR for review on June 18, 2007. Although it is not possible to quantify the potential clean-up cost until the investigation is completed, a $0.5 million liability was recorded in December 2003 to address the known areas of contamination. The Company has recorded a corresponding dollar amount as a regulatory asset to offset this liability. In May 2005, the PSCW approved the collection through rates of $150,000 of site investigation costs that had been incurred at the time SWL&amp;P filed its 2005 rate request. On December 11, 2006, the PSCW approved the recovery of an additional $186,000 of site investigation costs that were incurred through 2005. ALLETE maintains pollution liability insurance coverage that includes coverage for SWL&amp;P. A claim has been filed with respect to this matter. The insurance carrier has issued a reservation of rights letter and the Company continues to work with the insurer to determine the availability of insurance coverage.</w:t>
      </w:r>
    </w:p>
    <w:p>
      <w:pPr>
        <w:spacing w:after="0" w:line="174"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ALLETE Second Quarter 2007 Form 10-Q</w:t>
      </w:r>
    </w:p>
    <w:p>
      <w:pPr>
        <w:sectPr>
          <w:pgSz w:w="11900" w:h="16838" w:orient="portrait"/>
          <w:cols w:equalWidth="0" w:num="1">
            <w:col w:w="10239"/>
          </w:cols>
          <w:pgMar w:left="220" w:top="616" w:right="1440" w:bottom="1440" w:gutter="0" w:footer="0" w:header="0"/>
        </w:sectPr>
      </w:pPr>
    </w:p>
    <w:bookmarkStart w:id="17" w:name="page18"/>
    <w:bookmarkEnd w:id="17"/>
    <w:p>
      <w:pPr>
        <w:spacing w:after="0"/>
        <w:tabs>
          <w:tab w:leader="none" w:pos="940" w:val="left"/>
        </w:tabs>
        <w:rPr>
          <w:sz w:val="20"/>
          <w:szCs w:val="20"/>
          <w:color w:val="auto"/>
        </w:rPr>
      </w:pPr>
      <w:r>
        <w:rPr>
          <w:rFonts w:ascii="Courier New" w:cs="Courier New" w:eastAsia="Courier New" w:hAnsi="Courier New"/>
          <w:sz w:val="14"/>
          <w:szCs w:val="14"/>
          <w:color w:val="auto"/>
        </w:rPr>
        <w:t>NOTE 11.</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EPA CLEAN AIR INTERSTATE RULE AND CLEAN AIR MERCURY RULE. In March 2005, the EPA announced the final Clean Air Interstate Rule (CAIR) that reduces and permanently caps emissions of SO2 and NOX in the eastern United States. The CAIR includes Minnesota as one of the 28 states it considers as "significantly contributing" to air quality standards non-attainment in other states. The EPA also announced the final Clean Air Mercury Rule (CAMR) that reduces and permanently caps electric utility mercury emissions nationwide. The CAIR and the CAMR regulations have been challenged in the federal court system, which may delay implementation or modify provisions. Minnesota Power is participating in a legal challenge to the CAIR, but is not participating in a challenge to the CAMR. However, if the CAMR and the CAIR do go into effect, Minnesota Power expects to be required to: (1) make emissions reductions; (2) purchase mercury, SO2 and NOX allowances through the EPA's cap-and-trade system; or (3) use a combination of both.</w:t>
      </w:r>
    </w:p>
    <w:p>
      <w:pPr>
        <w:spacing w:after="0" w:line="328"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Minnesota Power petitioned the EPA to review its CAIR determinations affecting Minnesota. In July 2005, Minnesota Power also filed a Petition for Review with the U.S. Court of Appeals for the District of Columbia Circuit (Court of Appeals). In November 2005, the EPA agreed to reconsider certain aspects of the CAIR, including the Minnesota Power petition addressing emissions applied to air quality modeling used to determine Minnesota's inclusion in the CAIR region and our claims about inequities in the SO2 allowance methodology. In March 2006, the EPA announced that it would not make any changes to the CAIR as a result of the petitions for reconsideration. Petitions for Review, including Minnesota Power's, remain pending at the Court of Appeals. If the Petitions for Review filed with the Court of Appeals are successful, we expect to incur significantly lower compliance costs, consistent with the rules applicable to those states determined to not be "significant contributors" to air quality non-attainment as addressed under the CAIR. Resolution of the CAIR Petition for Review with the Court of Appeals is anticipated in 2008.</w:t>
      </w:r>
    </w:p>
    <w:p>
      <w:pPr>
        <w:spacing w:after="0" w:line="172"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COMMUNITY DEVELOPMENT DISTRICT OBLIGATIONS. TOWN CENTER. In March 2005, the Town Center District issued $26.4 million of tax-exempt, 6% Capital Improvement Revenue Bonds, Series 2005, which are payable over 31 years (by May 1, 2036). The bond proceeds (less capitalized interest, a debt service reserve fund and cost of issuance) were used to pay for the construction of a portion of the major infrastructure improvements at Town Center. The bonds are payable from and secured by the revenue derived from assessments imposed, levied and collected by the Town Center District. The assessments represent an allocation of the costs of the improvements, including bond financing costs, to the lands within the Town Center District benefiting from the improvements. The assessments were billed to Town Center landowners beginning in November 2006. To the extent that we still own land at the time of the assessment, in accordance with EITF 91-10, we recognize the cost of our portion of these assessments, based upon our ownership of benefited property. At June 30, 2007, we owned 69 percent of the assessable land in the Town Center District (73 percent at December 31, 2006).</w:t>
      </w:r>
    </w:p>
    <w:p>
      <w:pPr>
        <w:spacing w:after="0" w:line="17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PALM COAST PARK. In May 2006, the Palm Coast Park District issued $31.8 million of tax-exempt, 5.7% Special Assessment Bonds, Series 2006, which are payable over 31 years (by May 1, 2037). The bond proceeds (less capitalized interest, a debt service reserve fund and cost of issuance) are being used to pay for the construction of the major infrastructure improvements at Palm Coast Park and to mitigate traffic and environmental impacts. The bonds are payable from and secured by the revenue derived from assessments imposed, levied and collected by the Palm Coast Park District. The assessments represent an allocation of the costs of the improvements, including bond financing costs, to the lands within the Palm Coast Park District benefiting from the improvements. The assessments will be billed to Palm Coast Park landowners beginning in November 2007. To the extent that we still own land at the time of the assessment, in accordance with EITF 91-10, we will recognize the cost of our portion of these assessments, based upon our ownership of benefited property. At June 30, 2007, we owned 89 percent of the assessable land in the Palm Coast Park District (97 percent at December 31, 2006).</w:t>
      </w:r>
    </w:p>
    <w:p>
      <w:pPr>
        <w:spacing w:after="0" w:line="32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OTHER. 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329" w:lineRule="exact"/>
        <w:rPr>
          <w:sz w:val="20"/>
          <w:szCs w:val="20"/>
          <w:color w:val="auto"/>
        </w:rPr>
      </w:pPr>
    </w:p>
    <w:tbl>
      <w:tblPr>
        <w:tblLayout w:type="fixed"/>
        <w:tblInd w:w="182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2007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bl>
    <w:p>
      <w:pPr>
        <w:sectPr>
          <w:pgSz w:w="11900" w:h="16838" w:orient="portrait"/>
          <w:cols w:equalWidth="0" w:num="1">
            <w:col w:w="10239"/>
          </w:cols>
          <w:pgMar w:left="220" w:top="616" w:right="1440" w:bottom="1440" w:gutter="0" w:footer="0" w:header="0"/>
        </w:sectPr>
      </w:pPr>
    </w:p>
    <w:bookmarkStart w:id="18" w:name="page19"/>
    <w:bookmarkEnd w:id="18"/>
    <w:p>
      <w:pPr>
        <w:spacing w:after="0"/>
        <w:tabs>
          <w:tab w:leader="none" w:pos="840" w:val="left"/>
        </w:tabs>
        <w:rPr>
          <w:sz w:val="20"/>
          <w:szCs w:val="20"/>
          <w:color w:val="auto"/>
        </w:rPr>
      </w:pPr>
      <w:r>
        <w:rPr>
          <w:rFonts w:ascii="Courier New" w:cs="Courier New" w:eastAsia="Courier New" w:hAnsi="Courier New"/>
          <w:sz w:val="14"/>
          <w:szCs w:val="14"/>
          <w:color w:val="auto"/>
        </w:rPr>
        <w:t>ITEM 2.</w:t>
        <w:tab/>
        <w:t>MANAGEMENT'S DISCUSSION AND ANALYSIS OF FINANCIAL</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CONDITION AND RESULTS OF OPERATIONS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The following discussion should be read in conjunction with our consolidated financial statements, notes to those statements, management, discussion and analysis from the 2006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headings: "Safe Harbor Statement Under the Private Securities Litigation Reform Act of 1995" located on page 3 and "Risk Factors" located in Part I, Item 1A, page 24 of our 2006 Form 10-K. The risks and uncertainties described in this Form 10-Q and our 2006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concerns set forth are realized.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SUMMARY</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ALLETE is a diversified company providing fundamental products and services since 1906. This includes our two core businesses--ENERGY and REAL ESTATE, as well as our former operations in the water, paper, telecommunications and automotive industries.</w:t>
      </w:r>
    </w:p>
    <w:p>
      <w:pPr>
        <w:spacing w:after="0" w:line="162"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ENERGY is comprised of Regulated Utility, Nonregulated Energy Operations and Investment in ATC.</w:t>
      </w:r>
    </w:p>
    <w:p>
      <w:pPr>
        <w:spacing w:after="0" w:line="160" w:lineRule="exact"/>
        <w:rPr>
          <w:sz w:val="20"/>
          <w:szCs w:val="20"/>
          <w:color w:val="auto"/>
        </w:rPr>
      </w:pPr>
    </w:p>
    <w:p>
      <w:pPr>
        <w:jc w:val="both"/>
        <w:ind w:left="520" w:right="3339" w:hanging="253"/>
        <w:spacing w:after="0" w:line="252" w:lineRule="auto"/>
        <w:tabs>
          <w:tab w:leader="none" w:pos="5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REGULATED UTILITY includes retail and wholesale rate regulated electric, natural gas and water services in northeastern Minnesota and northwestern Wisconsin under the jurisdiction of state and federal regulatory authorities.</w:t>
      </w:r>
    </w:p>
    <w:p>
      <w:pPr>
        <w:spacing w:after="0" w:line="162" w:lineRule="exact"/>
        <w:rPr>
          <w:rFonts w:ascii="Courier New" w:cs="Courier New" w:eastAsia="Courier New" w:hAnsi="Courier New"/>
          <w:sz w:val="14"/>
          <w:szCs w:val="14"/>
          <w:color w:val="auto"/>
        </w:rPr>
      </w:pPr>
    </w:p>
    <w:p>
      <w:pPr>
        <w:jc w:val="both"/>
        <w:ind w:left="520" w:right="3339" w:hanging="253"/>
        <w:spacing w:after="0" w:line="252" w:lineRule="auto"/>
        <w:tabs>
          <w:tab w:leader="none" w:pos="5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NONREGULATED ENERGY OPERATIONS includes our coal mining activities in North Dakota, approximately 50 MW of nonregulated generation and Minnesota land sales.</w:t>
      </w:r>
    </w:p>
    <w:p>
      <w:pPr>
        <w:spacing w:after="0" w:line="16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IN ATC includes our equity ownership interest in ATC.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includes our Florida real estate operations.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OTHER includes our investments in emerging technologies, and earnings on cash and short-term investments.</w:t>
      </w:r>
    </w:p>
    <w:p>
      <w:pPr>
        <w:spacing w:after="0" w:line="326"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17</w:t>
      </w:r>
      <w:r>
        <w:rPr>
          <w:sz w:val="20"/>
          <w:szCs w:val="20"/>
          <w:color w:val="auto"/>
        </w:rPr>
        <w:tab/>
      </w:r>
      <w:r>
        <w:rPr>
          <w:rFonts w:ascii="Courier New" w:cs="Courier New" w:eastAsia="Courier New" w:hAnsi="Courier New"/>
          <w:sz w:val="14"/>
          <w:szCs w:val="14"/>
          <w:color w:val="auto"/>
        </w:rPr>
        <w:t>ALLETE Second Quarter 2007 Form 10-Q</w:t>
      </w:r>
    </w:p>
    <w:p>
      <w:pPr>
        <w:sectPr>
          <w:pgSz w:w="11900" w:h="16838" w:orient="portrait"/>
          <w:cols w:equalWidth="0" w:num="1">
            <w:col w:w="10239"/>
          </w:cols>
          <w:pgMar w:left="220" w:top="616"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EXECUTIVE SUMMARY (CONTINUED)</w:t>
            </w:r>
          </w:p>
        </w:tc>
        <w:tc>
          <w:tcPr>
            <w:tcW w:w="1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63"/>
        </w:trPr>
        <w:tc>
          <w:tcPr>
            <w:tcW w:w="3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QUARTER ENDED</w:t>
            </w:r>
          </w:p>
        </w:tc>
        <w:tc>
          <w:tcPr>
            <w:tcW w:w="2200" w:type="dxa"/>
            <w:vAlign w:val="bottom"/>
            <w:gridSpan w:val="2"/>
          </w:tcPr>
          <w:p>
            <w:pPr>
              <w:jc w:val="center"/>
              <w:ind w:left="56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3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JUNE 30,</w:t>
            </w:r>
          </w:p>
        </w:tc>
        <w:tc>
          <w:tcPr>
            <w:tcW w:w="980" w:type="dxa"/>
            <w:vAlign w:val="bottom"/>
          </w:tcPr>
          <w:p>
            <w:pPr>
              <w:spacing w:after="0"/>
              <w:rPr>
                <w:sz w:val="14"/>
                <w:szCs w:val="14"/>
                <w:color w:val="auto"/>
              </w:rPr>
            </w:pPr>
          </w:p>
        </w:tc>
        <w:tc>
          <w:tcPr>
            <w:tcW w:w="122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JUNE 30,</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KILOWATTHOURS SOLD</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2007</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2007</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2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400" w:type="dxa"/>
            <w:vAlign w:val="bottom"/>
          </w:tcPr>
          <w:p>
            <w:pPr>
              <w:ind w:left="340"/>
              <w:spacing w:after="0"/>
              <w:rPr>
                <w:sz w:val="20"/>
                <w:szCs w:val="20"/>
                <w:color w:val="auto"/>
              </w:rPr>
            </w:pPr>
            <w:r>
              <w:rPr>
                <w:rFonts w:ascii="Courier New" w:cs="Courier New" w:eastAsia="Courier New" w:hAnsi="Courier New"/>
                <w:sz w:val="14"/>
                <w:szCs w:val="14"/>
                <w:color w:val="auto"/>
              </w:rPr>
              <w:t>Retail and Municipals</w:t>
            </w:r>
          </w:p>
        </w:tc>
        <w:tc>
          <w:tcPr>
            <w:tcW w:w="2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400" w:type="dxa"/>
            <w:vAlign w:val="bottom"/>
          </w:tcPr>
          <w:p>
            <w:pPr>
              <w:ind w:left="780"/>
              <w:spacing w:after="0"/>
              <w:rPr>
                <w:sz w:val="20"/>
                <w:szCs w:val="20"/>
                <w:color w:val="auto"/>
              </w:rPr>
            </w:pPr>
            <w:r>
              <w:rPr>
                <w:rFonts w:ascii="Courier New" w:cs="Courier New" w:eastAsia="Courier New" w:hAnsi="Courier New"/>
                <w:sz w:val="14"/>
                <w:szCs w:val="14"/>
                <w:color w:val="auto"/>
              </w:rPr>
              <w:t>Residential</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231.7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229.1</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573.3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537.1</w:t>
            </w:r>
          </w:p>
        </w:tc>
      </w:tr>
      <w:tr>
        <w:trPr>
          <w:trHeight w:val="166"/>
        </w:trPr>
        <w:tc>
          <w:tcPr>
            <w:tcW w:w="3400" w:type="dxa"/>
            <w:vAlign w:val="bottom"/>
          </w:tcPr>
          <w:p>
            <w:pPr>
              <w:ind w:left="780"/>
              <w:spacing w:after="0"/>
              <w:rPr>
                <w:sz w:val="20"/>
                <w:szCs w:val="20"/>
                <w:color w:val="auto"/>
              </w:rPr>
            </w:pPr>
            <w:r>
              <w:rPr>
                <w:rFonts w:ascii="Courier New" w:cs="Courier New" w:eastAsia="Courier New" w:hAnsi="Courier New"/>
                <w:sz w:val="14"/>
                <w:szCs w:val="14"/>
                <w:color w:val="auto"/>
              </w:rPr>
              <w:t>Commercial</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320.9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315.5</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673.1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644.2</w:t>
            </w:r>
          </w:p>
        </w:tc>
      </w:tr>
      <w:tr>
        <w:trPr>
          <w:trHeight w:val="331"/>
        </w:trPr>
        <w:tc>
          <w:tcPr>
            <w:tcW w:w="3400" w:type="dxa"/>
            <w:vAlign w:val="bottom"/>
          </w:tcPr>
          <w:p>
            <w:pPr>
              <w:ind w:left="780"/>
              <w:spacing w:after="0"/>
              <w:rPr>
                <w:sz w:val="20"/>
                <w:szCs w:val="20"/>
                <w:color w:val="auto"/>
              </w:rPr>
            </w:pPr>
            <w:r>
              <w:rPr>
                <w:rFonts w:ascii="Courier New" w:cs="Courier New" w:eastAsia="Courier New" w:hAnsi="Courier New"/>
                <w:sz w:val="14"/>
                <w:szCs w:val="14"/>
                <w:color w:val="auto"/>
              </w:rPr>
              <w:t>Municipals</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229.2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216.1</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495.6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435.4</w:t>
            </w:r>
          </w:p>
        </w:tc>
      </w:tr>
      <w:tr>
        <w:trPr>
          <w:trHeight w:val="166"/>
        </w:trPr>
        <w:tc>
          <w:tcPr>
            <w:tcW w:w="3400" w:type="dxa"/>
            <w:vAlign w:val="bottom"/>
          </w:tcPr>
          <w:p>
            <w:pPr>
              <w:ind w:left="780"/>
              <w:spacing w:after="0"/>
              <w:rPr>
                <w:sz w:val="20"/>
                <w:szCs w:val="20"/>
                <w:color w:val="auto"/>
              </w:rPr>
            </w:pPr>
            <w:r>
              <w:rPr>
                <w:rFonts w:ascii="Courier New" w:cs="Courier New" w:eastAsia="Courier New" w:hAnsi="Courier New"/>
                <w:sz w:val="14"/>
                <w:szCs w:val="14"/>
                <w:color w:val="auto"/>
              </w:rPr>
              <w:t>Industrial</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1,734.0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1,769.9</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3,439.4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3,592.2</w:t>
            </w:r>
          </w:p>
        </w:tc>
      </w:tr>
      <w:tr>
        <w:trPr>
          <w:trHeight w:val="166"/>
        </w:trPr>
        <w:tc>
          <w:tcPr>
            <w:tcW w:w="3400" w:type="dxa"/>
            <w:vAlign w:val="bottom"/>
          </w:tcPr>
          <w:p>
            <w:pPr>
              <w:ind w:left="780"/>
              <w:spacing w:after="0"/>
              <w:rPr>
                <w:sz w:val="20"/>
                <w:szCs w:val="20"/>
                <w:color w:val="auto"/>
              </w:rPr>
            </w:pPr>
            <w:r>
              <w:rPr>
                <w:rFonts w:ascii="Courier New" w:cs="Courier New" w:eastAsia="Courier New" w:hAnsi="Courier New"/>
                <w:sz w:val="14"/>
                <w:szCs w:val="14"/>
                <w:color w:val="auto"/>
              </w:rPr>
              <w:t>Other</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18.6</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700" w:type="dxa"/>
            <w:vAlign w:val="bottom"/>
          </w:tcPr>
          <w:p>
            <w:pPr>
              <w:ind w:left="780"/>
              <w:spacing w:after="0"/>
              <w:rPr>
                <w:sz w:val="20"/>
                <w:szCs w:val="20"/>
                <w:color w:val="auto"/>
              </w:rPr>
            </w:pPr>
            <w:r>
              <w:rPr>
                <w:rFonts w:ascii="Courier New" w:cs="Courier New" w:eastAsia="Courier New" w:hAnsi="Courier New"/>
                <w:sz w:val="14"/>
                <w:szCs w:val="14"/>
                <w:color w:val="auto"/>
              </w:rPr>
              <w:t>Total Retail and Municipals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2,534.8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2,549.2</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5,222.7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5,247.5</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Other Power Suppliers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513.0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515.5</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1,036.9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1,020.6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4180" w:type="dxa"/>
            <w:vAlign w:val="bottom"/>
          </w:tcPr>
          <w:p>
            <w:pPr>
              <w:ind w:left="1420"/>
              <w:spacing w:after="0"/>
              <w:rPr>
                <w:sz w:val="20"/>
                <w:szCs w:val="20"/>
                <w:color w:val="auto"/>
              </w:rPr>
            </w:pPr>
            <w:r>
              <w:rPr>
                <w:rFonts w:ascii="Courier New" w:cs="Courier New" w:eastAsia="Courier New" w:hAnsi="Courier New"/>
                <w:sz w:val="14"/>
                <w:szCs w:val="14"/>
                <w:color w:val="auto"/>
              </w:rPr>
              <w:t>Total Regulated Utility</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3,047.8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3,064.7</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6,259.6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6,268.1</w:t>
            </w:r>
          </w:p>
        </w:tc>
      </w:tr>
      <w:tr>
        <w:trPr>
          <w:trHeight w:val="166"/>
        </w:trPr>
        <w:tc>
          <w:tcPr>
            <w:tcW w:w="140" w:type="dxa"/>
            <w:vAlign w:val="bottom"/>
          </w:tcPr>
          <w:p>
            <w:pPr>
              <w:spacing w:after="0"/>
              <w:rPr>
                <w:sz w:val="14"/>
                <w:szCs w:val="14"/>
                <w:color w:val="auto"/>
              </w:rPr>
            </w:pPr>
          </w:p>
        </w:tc>
        <w:tc>
          <w:tcPr>
            <w:tcW w:w="4180" w:type="dxa"/>
            <w:vAlign w:val="bottom"/>
          </w:tcPr>
          <w:p>
            <w:pPr>
              <w:ind w:left="300"/>
              <w:spacing w:after="0"/>
              <w:rPr>
                <w:sz w:val="20"/>
                <w:szCs w:val="20"/>
                <w:color w:val="auto"/>
              </w:rPr>
            </w:pPr>
            <w:r>
              <w:rPr>
                <w:rFonts w:ascii="Courier New" w:cs="Courier New" w:eastAsia="Courier New" w:hAnsi="Courier New"/>
                <w:sz w:val="14"/>
                <w:szCs w:val="14"/>
                <w:color w:val="auto"/>
              </w:rPr>
              <w:t>Nonregulated Energy Operations</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55.3</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123.5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120.9</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8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3,107.6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3,120.0</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6,383.1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6,389.0</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8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JUNE 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279"/>
        <w:spacing w:after="0"/>
        <w:rPr>
          <w:sz w:val="20"/>
          <w:szCs w:val="20"/>
          <w:color w:val="auto"/>
        </w:rPr>
      </w:pPr>
      <w:r>
        <w:rPr>
          <w:rFonts w:ascii="Courier New" w:cs="Courier New" w:eastAsia="Courier New" w:hAnsi="Courier New"/>
          <w:sz w:val="14"/>
          <w:szCs w:val="14"/>
          <w:color w:val="auto"/>
        </w:rPr>
        <w:t>SIX MONTHS ENDED</w:t>
      </w:r>
    </w:p>
    <w:p>
      <w:pPr>
        <w:spacing w:after="0" w:line="7" w:lineRule="exact"/>
        <w:rPr>
          <w:sz w:val="20"/>
          <w:szCs w:val="20"/>
          <w:color w:val="auto"/>
        </w:rPr>
      </w:pPr>
    </w:p>
    <w:p>
      <w:pPr>
        <w:jc w:val="center"/>
        <w:ind w:right="1279"/>
        <w:spacing w:after="0"/>
        <w:rPr>
          <w:sz w:val="20"/>
          <w:szCs w:val="20"/>
          <w:color w:val="auto"/>
        </w:rPr>
      </w:pPr>
      <w:r>
        <w:rPr>
          <w:rFonts w:ascii="Courier New" w:cs="Courier New" w:eastAsia="Courier New" w:hAnsi="Courier New"/>
          <w:sz w:val="14"/>
          <w:szCs w:val="14"/>
          <w:color w:val="auto"/>
        </w:rPr>
        <w:t>JUNE 30,</w:t>
      </w:r>
    </w:p>
    <w:p>
      <w:pPr>
        <w:spacing w:after="0" w:line="7" w:lineRule="exact"/>
        <w:rPr>
          <w:sz w:val="20"/>
          <w:szCs w:val="20"/>
          <w:color w:val="auto"/>
        </w:rPr>
      </w:pPr>
    </w:p>
    <w:p>
      <w:pPr>
        <w:sectPr>
          <w:pgSz w:w="11900" w:h="16838" w:orient="portrait"/>
          <w:cols w:equalWidth="0" w:num="2">
            <w:col w:w="6860" w:space="720"/>
            <w:col w:w="2659"/>
          </w:cols>
          <w:pgMar w:left="220" w:top="616" w:right="1440" w:bottom="1440" w:gutter="0" w:footer="0" w:header="0"/>
          <w:type w:val="continuous"/>
        </w:sectPr>
      </w:pPr>
    </w:p>
    <w:p>
      <w:pPr>
        <w:ind w:right="499"/>
        <w:spacing w:after="0" w:line="247" w:lineRule="auto"/>
        <w:rPr>
          <w:sz w:val="20"/>
          <w:szCs w:val="20"/>
          <w:color w:val="auto"/>
        </w:rPr>
      </w:pPr>
      <w:r>
        <w:rPr>
          <w:rFonts w:ascii="Courier New" w:cs="Courier New" w:eastAsia="Courier New" w:hAnsi="Courier New"/>
          <w:sz w:val="14"/>
          <w:szCs w:val="14"/>
          <w:color w:val="auto"/>
        </w:rPr>
        <w:t>REAL ESTATE 2007 2006 2007 2006 REVENUE AND SALES ACTIVITY QTY AMOUNT QTY AMOUNT QTY AMOUNT QTY AMOUNT</w:t>
      </w:r>
    </w:p>
    <w:p>
      <w:pPr>
        <w:sectPr>
          <w:pgSz w:w="11900" w:h="16838" w:orient="portrait"/>
          <w:cols w:equalWidth="0" w:num="1">
            <w:col w:w="10239"/>
          </w:cols>
          <w:pgMar w:left="220" w:top="616" w:right="1440" w:bottom="1440" w:gutter="0" w:footer="0" w:header="0"/>
          <w:type w:val="continuous"/>
        </w:sectPr>
      </w:pPr>
    </w:p>
    <w:p>
      <w:pPr>
        <w:spacing w:after="0" w:line="168"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Town Center Sales</w:t>
            </w:r>
          </w:p>
        </w:tc>
        <w:tc>
          <w:tcPr>
            <w:tcW w:w="1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600" w:type="dxa"/>
            <w:vAlign w:val="bottom"/>
          </w:tcPr>
          <w:p>
            <w:pPr>
              <w:ind w:left="360"/>
              <w:spacing w:after="0"/>
              <w:rPr>
                <w:sz w:val="20"/>
                <w:szCs w:val="20"/>
                <w:color w:val="auto"/>
              </w:rPr>
            </w:pPr>
            <w:r>
              <w:rPr>
                <w:rFonts w:ascii="Courier New" w:cs="Courier New" w:eastAsia="Courier New" w:hAnsi="Courier New"/>
                <w:sz w:val="14"/>
                <w:szCs w:val="14"/>
                <w:color w:val="auto"/>
              </w:rPr>
              <w:t>Commercial Sq. Ft.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435,000</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$ 12.6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170,695</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4.7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435,000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$ 12.6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250,695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$ 6.2</w:t>
            </w:r>
          </w:p>
        </w:tc>
      </w:tr>
      <w:tr>
        <w:trPr>
          <w:trHeight w:val="166"/>
        </w:trPr>
        <w:tc>
          <w:tcPr>
            <w:tcW w:w="2600" w:type="dxa"/>
            <w:vAlign w:val="bottom"/>
          </w:tcPr>
          <w:p>
            <w:pPr>
              <w:ind w:left="360"/>
              <w:spacing w:after="0"/>
              <w:rPr>
                <w:sz w:val="20"/>
                <w:szCs w:val="20"/>
                <w:color w:val="auto"/>
              </w:rPr>
            </w:pPr>
            <w:r>
              <w:rPr>
                <w:rFonts w:ascii="Courier New" w:cs="Courier New" w:eastAsia="Courier New" w:hAnsi="Courier New"/>
                <w:sz w:val="14"/>
                <w:szCs w:val="14"/>
                <w:color w:val="auto"/>
              </w:rPr>
              <w:t>Residential Units</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Palm Coast Park</w:t>
            </w: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2600" w:type="dxa"/>
            <w:vAlign w:val="bottom"/>
          </w:tcPr>
          <w:p>
            <w:pPr>
              <w:ind w:left="360"/>
              <w:spacing w:after="0"/>
              <w:rPr>
                <w:sz w:val="20"/>
                <w:szCs w:val="20"/>
                <w:color w:val="auto"/>
              </w:rPr>
            </w:pPr>
            <w:r>
              <w:rPr>
                <w:rFonts w:ascii="Courier New" w:cs="Courier New" w:eastAsia="Courier New" w:hAnsi="Courier New"/>
                <w:sz w:val="14"/>
                <w:szCs w:val="14"/>
                <w:color w:val="auto"/>
              </w:rPr>
              <w:t>Commercial Sq. Ft.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40,000</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ind w:left="360"/>
              <w:spacing w:after="0"/>
              <w:rPr>
                <w:sz w:val="20"/>
                <w:szCs w:val="20"/>
                <w:color w:val="auto"/>
              </w:rPr>
            </w:pPr>
            <w:r>
              <w:rPr>
                <w:rFonts w:ascii="Courier New" w:cs="Courier New" w:eastAsia="Courier New" w:hAnsi="Courier New"/>
                <w:sz w:val="14"/>
                <w:szCs w:val="14"/>
                <w:color w:val="auto"/>
              </w:rPr>
              <w:t>Residential Units</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406</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406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Other Land Sales</w:t>
            </w: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2600" w:type="dxa"/>
            <w:vAlign w:val="bottom"/>
          </w:tcPr>
          <w:p>
            <w:pPr>
              <w:ind w:left="360"/>
              <w:spacing w:after="0"/>
              <w:rPr>
                <w:sz w:val="20"/>
                <w:szCs w:val="20"/>
                <w:color w:val="auto"/>
              </w:rPr>
            </w:pPr>
            <w:r>
              <w:rPr>
                <w:rFonts w:ascii="Courier New" w:cs="Courier New" w:eastAsia="Courier New" w:hAnsi="Courier New"/>
                <w:sz w:val="14"/>
                <w:szCs w:val="14"/>
                <w:color w:val="auto"/>
              </w:rPr>
              <w:t>Acres</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367</w:t>
            </w:r>
          </w:p>
        </w:tc>
        <w:tc>
          <w:tcPr>
            <w:tcW w:w="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466   15.5</w:t>
            </w:r>
          </w:p>
        </w:tc>
      </w:tr>
      <w:tr>
        <w:trPr>
          <w:trHeight w:val="166"/>
        </w:trPr>
        <w:tc>
          <w:tcPr>
            <w:tcW w:w="2600" w:type="dxa"/>
            <w:vAlign w:val="bottom"/>
          </w:tcPr>
          <w:p>
            <w:pPr>
              <w:ind w:left="360"/>
              <w:spacing w:after="0"/>
              <w:rPr>
                <w:sz w:val="20"/>
                <w:szCs w:val="20"/>
                <w:color w:val="auto"/>
              </w:rPr>
            </w:pPr>
            <w:r>
              <w:rPr>
                <w:rFonts w:ascii="Courier New" w:cs="Courier New" w:eastAsia="Courier New" w:hAnsi="Courier New"/>
                <w:sz w:val="14"/>
                <w:szCs w:val="14"/>
                <w:color w:val="auto"/>
              </w:rPr>
              <w:t>Lots</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Contract Sales</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Price</w:t>
            </w:r>
          </w:p>
        </w:tc>
        <w:tc>
          <w:tcPr>
            <w:tcW w:w="19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27.3</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15.5</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33.3</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27.3</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Revenue Recognized from</w:t>
            </w:r>
          </w:p>
        </w:tc>
        <w:tc>
          <w:tcPr>
            <w:tcW w:w="1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Previously</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Deferred Sales</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Deferred Revenue</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1940" w:type="dxa"/>
            <w:vAlign w:val="bottom"/>
          </w:tcPr>
          <w:p>
            <w:pPr>
              <w:spacing w:after="0"/>
              <w:rPr>
                <w:sz w:val="24"/>
                <w:szCs w:val="24"/>
                <w:color w:val="auto"/>
              </w:rPr>
            </w:pPr>
          </w:p>
        </w:tc>
        <w:tc>
          <w:tcPr>
            <w:tcW w:w="19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(1.4)</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Revenue from Land Sales</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25.2</w:t>
            </w: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13.6</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26.1</w:t>
            </w:r>
          </w:p>
        </w:tc>
      </w:tr>
      <w:tr>
        <w:trPr>
          <w:trHeight w:val="331"/>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Other Revenue</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w:t>
            </w: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$ 28.0</w:t>
            </w: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$ 15.2</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$ 36.2</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Acreage amounts are shown on a gross basis, including wetlands and minority interest.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Reflected total contract sales price on closed land transactions.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Contributed development dollars, which are credited to cost of real estate sold.</w:t>
      </w:r>
    </w:p>
    <w:p>
      <w:pPr>
        <w:spacing w:after="0" w:line="200" w:lineRule="exact"/>
        <w:rPr>
          <w:sz w:val="20"/>
          <w:szCs w:val="20"/>
          <w:color w:val="auto"/>
        </w:rPr>
      </w:pPr>
    </w:p>
    <w:p>
      <w:pPr>
        <w:spacing w:after="0" w:line="304" w:lineRule="exact"/>
        <w:rPr>
          <w:sz w:val="20"/>
          <w:szCs w:val="20"/>
          <w:color w:val="auto"/>
        </w:rPr>
      </w:pPr>
    </w:p>
    <w:tbl>
      <w:tblPr>
        <w:tblLayout w:type="fixed"/>
        <w:tblInd w:w="182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2007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ectPr>
          <w:pgSz w:w="11900" w:h="16838" w:orient="portrait"/>
          <w:cols w:equalWidth="0" w:num="1">
            <w:col w:w="10239"/>
          </w:cols>
          <w:pgMar w:left="220" w:top="616" w:right="1440" w:bottom="1440" w:gutter="0" w:footer="0" w:header="0"/>
          <w:type w:val="continuous"/>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NET INCOME</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following income discussion summarizes, by segment, a comparison of the six months ended June 30, 2007, to the six months ended June 30, 2006.</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REGULATED UTILITY contributed income of $24.9 million in 2007 ($19.8 million in 2006). The increase in earnings for 2007 reflects:</w:t>
      </w:r>
    </w:p>
    <w:p>
      <w:pPr>
        <w:spacing w:after="0" w:line="160" w:lineRule="exact"/>
        <w:rPr>
          <w:sz w:val="20"/>
          <w:szCs w:val="20"/>
          <w:color w:val="auto"/>
        </w:rPr>
      </w:pPr>
    </w:p>
    <w:p>
      <w:pPr>
        <w:jc w:val="both"/>
        <w:ind w:left="520" w:right="3339" w:hanging="253"/>
        <w:spacing w:after="0" w:line="250" w:lineRule="auto"/>
        <w:tabs>
          <w:tab w:leader="none" w:pos="5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electric sales to residential, commercial and municipal customers, as well as increased gas sales at SWL&amp;P due to colder weather in the first quarter of 2007;</w:t>
      </w:r>
    </w:p>
    <w:p>
      <w:pPr>
        <w:spacing w:after="0" w:line="1"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rate increases effective January 1, 2007, at SWL&amp;P;</w:t>
      </w:r>
    </w:p>
    <w:p>
      <w:pPr>
        <w:spacing w:after="0" w:line="7"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sales to other power suppliers under long-term contracts; and</w:t>
      </w:r>
    </w:p>
    <w:p>
      <w:pPr>
        <w:spacing w:after="0" w:line="7" w:lineRule="exact"/>
        <w:rPr>
          <w:rFonts w:ascii="Courier New" w:cs="Courier New" w:eastAsia="Courier New" w:hAnsi="Courier New"/>
          <w:sz w:val="14"/>
          <w:szCs w:val="14"/>
          <w:color w:val="auto"/>
        </w:rPr>
      </w:pPr>
    </w:p>
    <w:p>
      <w:pPr>
        <w:ind w:left="520" w:right="3339" w:hanging="253"/>
        <w:spacing w:after="0" w:line="255" w:lineRule="auto"/>
        <w:tabs>
          <w:tab w:leader="none" w:pos="5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operations and maintenance expense relating to the Boswell Unit 4 outage.</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NONREGULATED ENERGY OPERATIONS reported income of $2.8 million in 2007 ($1.8 million in 2006), reflecting a $1.2 million after tax gain on land sold that was part of our purchase of Taconite Harbor.</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INVESTMENT IN ATC contributed income of $3.7 million in 2007. Our initial investment in ATC was in May 2006.</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REAL ESTATE contributed income of $14.6 million in 2007 ($10.6 million in 2006). Income was higher in 2007 due to the timing and mix of land sale transaction closings. Two large sales closed during the second quarter of 2007. The timing of the closing of real estate sales varies from period to period and impacts comparisons between years.</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OTHER reflected net income of $2.9 million in 2007 ($0.2 million in 2006), due to a state tax audit settlement for $1.5 million and the release from a loan guarantee for Northwest Airlines Corporation of $0.6 million after tax.</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THE QUARTERS ENDED JUNE 30, 2007 AND 2006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 2. Business Segments for financial results by segment.)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w:t>
      </w:r>
    </w:p>
    <w:p>
      <w:pPr>
        <w:spacing w:after="0" w:line="17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OPERATING REVENUE increased $32.5 million, or 22 percent, from 2006 primarily due to increased fuel clause recoveries, increased power marketing prices, and rate increases at SWL&amp;P.</w:t>
      </w:r>
    </w:p>
    <w:p>
      <w:pPr>
        <w:spacing w:after="0" w:line="16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Fuel clause recoveries increased $30.4 million in 2007 primarily as a result of increased purchased power expenses (see Fuel and Purchased Power Expense discussion below).</w:t>
      </w:r>
    </w:p>
    <w:p>
      <w:pPr>
        <w:spacing w:after="0" w:line="16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Revenue from other power suppliers increased $2.3 million, or 11 percent, from 2006 primarily due to an 11 percent increase in the price per kilowatthour.</w:t>
      </w:r>
    </w:p>
    <w:p>
      <w:pPr>
        <w:spacing w:after="0" w:line="16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New rates at SWL&amp;P, which became effective January 1, 2007, reflect a 2.8 percent increase in electric rates, a 1.4 percent increase in gas rates and an 8.6 percent increase in water rates. These rate increases resulted in a $0.3 million increase in operating revenue.</w:t>
      </w:r>
    </w:p>
    <w:p>
      <w:pPr>
        <w:spacing w:after="0" w:line="162"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Revenue from electric sales to taconite customers accounted for 24 percent of consolidated operating revenue in each of 2007 and 2006. Revenue from electric sales to paper and pulp mills accounted for 9 percent of consolidated operating revenue in each of 2007 and 2006. Revenue from electric sales to pipelines accounted for 7 percent of consolidated operating revenue in 2007 (6 percent in 2006).</w:t>
      </w:r>
    </w:p>
    <w:p>
      <w:pPr>
        <w:spacing w:after="0" w:line="164"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Overall kilowatthour sales were similar to 2006. Residential, commercial and municipal kilowatthour sales increased 21.1 million, or 3 percent, from 2006, while industrial kilowatthour sales decreased by 35.9 million, or 2 percent. The increase in residential, commercial and municipal kilowatthour sales was primarily due to two existing municipal customers converting to full-energy requirements. The reduction in industrial kilowatthour sales was primarily due to production scheduling at one of our taconite customers. Minor fluctuations in industrial kilowatthour sales generally do not have a large impact on revenue due to a fixed demand component of revenue that is less sensitive to changes in kilowatthours sales.</w:t>
      </w:r>
    </w:p>
    <w:p>
      <w:pPr>
        <w:spacing w:after="0" w:line="163"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19</w:t>
      </w:r>
      <w:r>
        <w:rPr>
          <w:sz w:val="20"/>
          <w:szCs w:val="20"/>
          <w:color w:val="auto"/>
        </w:rPr>
        <w:tab/>
      </w:r>
      <w:r>
        <w:rPr>
          <w:rFonts w:ascii="Courier New" w:cs="Courier New" w:eastAsia="Courier New" w:hAnsi="Courier New"/>
          <w:sz w:val="14"/>
          <w:szCs w:val="14"/>
          <w:color w:val="auto"/>
        </w:rPr>
        <w:t>ALLETE Second Quarter 2007 Form 10-Q</w:t>
      </w:r>
    </w:p>
    <w:p>
      <w:pPr>
        <w:sectPr>
          <w:pgSz w:w="11900" w:h="16838" w:orient="portrait"/>
          <w:cols w:equalWidth="0" w:num="1">
            <w:col w:w="10239"/>
          </w:cols>
          <w:pgMar w:left="220" w:top="616"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REGULATED UTILITY (CONTINUED)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OPERATING EXPENSES increased $33.5 million, or 26 percent, from 2006.</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FUEL AND PURCHASED POWER EXPENSE increased $29.9 million from 2006 primarily due to a $30.1 million increase in purchased power reflecting a 48 percent increase in kilowatthours purchased. Scheduled outages at Boswell Unit 3 and Taconite Harbor Unit 2, low hydro generation and lower Square Butte entitlement contributed to higher purchased power expenses. The replacement power costs are recovered through the regulated utility fuel adjustment clause in Minnesota.</w:t>
      </w:r>
    </w:p>
    <w:p>
      <w:pPr>
        <w:spacing w:after="0" w:line="164"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Boswell Unit 4 completed generator repairs and returned to service May 13, 2007 as scheduled. The cost of the replacement coils was covered under the original manufacturer's warranty.</w:t>
      </w:r>
    </w:p>
    <w:p>
      <w:pPr>
        <w:spacing w:after="0" w:line="16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OPERATING AND MAINTENANCE EXPENSE increased $4.0 million, or 7 percent, from 2006 due to planned outages at Boswell Unit 3 and Taconite Harbor Unit 2, which resulted in higher plant maintenance.</w:t>
      </w:r>
    </w:p>
    <w:p>
      <w:pPr>
        <w:spacing w:after="0" w:line="16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DEPRECIATION decreased $0.4 million from 2006 primarily due to the life extension of Boswell Unit 3.</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jc w:val="both"/>
        <w:ind w:left="440"/>
        <w:spacing w:after="0" w:line="252" w:lineRule="auto"/>
        <w:rPr>
          <w:sz w:val="20"/>
          <w:szCs w:val="20"/>
          <w:color w:val="auto"/>
        </w:rPr>
      </w:pPr>
      <w:r>
        <w:rPr>
          <w:rFonts w:ascii="Courier New" w:cs="Courier New" w:eastAsia="Courier New" w:hAnsi="Courier New"/>
          <w:sz w:val="14"/>
          <w:szCs w:val="14"/>
          <w:color w:val="auto"/>
        </w:rPr>
        <w:t>OTHER INCOME increased $0.4 million earnings from the capitalization of activity.</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tabs>
          <w:tab w:leader="none" w:pos="940" w:val="left"/>
          <w:tab w:leader="none" w:pos="1880" w:val="left"/>
        </w:tabs>
        <w:rPr>
          <w:sz w:val="20"/>
          <w:szCs w:val="20"/>
          <w:color w:val="auto"/>
        </w:rPr>
      </w:pPr>
      <w:r>
        <w:rPr>
          <w:rFonts w:ascii="Courier New" w:cs="Courier New" w:eastAsia="Courier New" w:hAnsi="Courier New"/>
          <w:sz w:val="14"/>
          <w:szCs w:val="14"/>
          <w:color w:val="auto"/>
        </w:rPr>
        <w:t>from 2006</w:t>
        <w:tab/>
        <w:t>primarily</w:t>
        <w:tab/>
        <w:t>due to higher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AFUDC due to increased construction</w:t>
      </w:r>
    </w:p>
    <w:p>
      <w:pPr>
        <w:spacing w:after="0" w:line="338" w:lineRule="exact"/>
        <w:rPr>
          <w:sz w:val="20"/>
          <w:szCs w:val="20"/>
          <w:color w:val="auto"/>
        </w:rPr>
      </w:pPr>
    </w:p>
    <w:p>
      <w:pPr>
        <w:sectPr>
          <w:pgSz w:w="11900" w:h="16838" w:orient="portrait"/>
          <w:cols w:equalWidth="0" w:num="2">
            <w:col w:w="3720" w:space="160"/>
            <w:col w:w="63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NONREGULATED ENERGY OPERATIONS</w:t>
      </w:r>
    </w:p>
    <w:p>
      <w:pPr>
        <w:spacing w:after="0" w:line="17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OPERATING REVENUE decreased $0.3 million, or 2 percent, from 2006 reflecting a decrease in sales prices due to BNI Coal's cost plus contract.</w:t>
      </w:r>
    </w:p>
    <w:p>
      <w:pPr>
        <w:spacing w:after="0" w:line="160"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OPERATING EXPENSES increased $0.9 million, or 6 percent, from 2006 primarily due to increased property taxes.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IN ATC</w:t>
      </w:r>
    </w:p>
    <w:p>
      <w:pPr>
        <w:spacing w:after="0" w:line="17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OTHER INCOME reflected $3.2 million of income in 2007 resulting from our pro-rata share of ATC's earnings as discussed in Note 3. Our investment in ATC began in May 2006.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increased $12.8 million, or 84 percent, from 2006 due to the timing and mix of land sale transaction closings. Two large sales closed during the second quarter of 2007. Revenue from land sales in 2007 was $25.2 million, which included $1.0 million in previously deferred revenue. In 2006, revenue from land sales was $13.6 million, which included $2.7 million in previously deferred revenue.</w:t>
      </w:r>
    </w:p>
    <w:p>
      <w:pPr>
        <w:spacing w:after="0" w:line="164"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For the quarter ended June 30, 2007, 435,000 commercial square feet sold at Town Center (170,695 in 2006), and 40,000 commercial square feet sold at Palm Coast Park (none in 2006). Town Center sold 130 residential units (186 in 2006) and Palm Coast Park sold 406 residential units (none in 2006). There were no acres of other land sold during the second quarter of 2007 (10 acres in 2006).</w:t>
      </w:r>
    </w:p>
    <w:p>
      <w:pPr>
        <w:spacing w:after="0" w:line="164" w:lineRule="exact"/>
        <w:rPr>
          <w:sz w:val="20"/>
          <w:szCs w:val="20"/>
          <w:color w:val="auto"/>
        </w:rPr>
      </w:pPr>
    </w:p>
    <w:p>
      <w:pPr>
        <w:jc w:val="both"/>
        <w:ind w:left="440" w:right="3339"/>
        <w:spacing w:after="0" w:line="257" w:lineRule="auto"/>
        <w:rPr>
          <w:sz w:val="20"/>
          <w:szCs w:val="20"/>
          <w:color w:val="auto"/>
        </w:rPr>
      </w:pPr>
      <w:r>
        <w:rPr>
          <w:rFonts w:ascii="Courier New" w:cs="Courier New" w:eastAsia="Courier New" w:hAnsi="Courier New"/>
          <w:sz w:val="14"/>
          <w:szCs w:val="14"/>
          <w:color w:val="auto"/>
        </w:rPr>
        <w:t>OPERATING EXPENSES increased $2.9 million, or 59 percent, from 2006 reflecting an increase in selling expenses and the cost of real estate sold.</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the quarter ended June 30, 2007, the effective tax rate on income from continuing operations before minority interest was 31.9 percent (38.2 percent for the quarter ended June 30, 2006). The effective rate of 31.9 percent for the quarter ended June 30, 2007, deviated from the statutory rate (approximately 40 percent) primarily due to a state income tax audit settlement ($1.5 million). Excluding this $1.5 million item, the effective rate would have been 36.1 percent for the quarter ended June 30, 2007. Other items affecting the deviation from the statutory rate include deductions for Medicare health subsidies, domestic manufacturing deduction, AFUDC and depletion.</w:t>
      </w:r>
    </w:p>
    <w:p>
      <w:pPr>
        <w:spacing w:after="0" w:line="164" w:lineRule="exact"/>
        <w:rPr>
          <w:sz w:val="20"/>
          <w:szCs w:val="20"/>
          <w:color w:val="auto"/>
        </w:rPr>
      </w:pPr>
    </w:p>
    <w:tbl>
      <w:tblPr>
        <w:tblLayout w:type="fixed"/>
        <w:tblInd w:w="182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2007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ectPr>
          <w:pgSz w:w="11900" w:h="16838" w:orient="portrait"/>
          <w:cols w:equalWidth="0" w:num="1">
            <w:col w:w="10239"/>
          </w:cols>
          <w:pgMar w:left="220" w:top="616" w:right="1440" w:bottom="1440" w:gutter="0" w:footer="0" w:header="0"/>
          <w:type w:val="continuous"/>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COMPARISON OF THE SIX MONTHS ENDED JUNE 30, 2007 AND 2006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w:t>
      </w:r>
    </w:p>
    <w:p>
      <w:pPr>
        <w:spacing w:after="0" w:line="17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OPERATING REVENUE increased $50.3 million, or 16 percent, from 2006 primarily due to increased fuel clause recoveries, increased kilowatthour sales to residential, commercial and municipal customers, increased power marketing prices, and rate increases at SWL&amp;P.</w:t>
      </w:r>
    </w:p>
    <w:p>
      <w:pPr>
        <w:spacing w:after="0" w:line="162"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Fuel clause recoveries increased $37.7 million in 2007 as a result of increased purchased power expenses (see Fuel and Purchased Power Expense discussion below).</w:t>
      </w:r>
    </w:p>
    <w:p>
      <w:pPr>
        <w:spacing w:after="0" w:line="16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Revenue from other power suppliers increased $4.4 million, or 10 percent, from 2006 primarily due to an 8.3 percent increase in the price per kilowatthour.</w:t>
      </w:r>
    </w:p>
    <w:p>
      <w:pPr>
        <w:spacing w:after="0" w:line="16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New rates at SWL&amp;P, which became effective January 1, 2007, reflect a 2.8 percent increase in electric rates, a 1.4 percent increase in gas rates and an 8.6 percent increase in water rates. These rate increases resulted in a $0.8 million increase in operating revenue.</w:t>
      </w:r>
    </w:p>
    <w:p>
      <w:pPr>
        <w:spacing w:after="0" w:line="162"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Revenue from electric sales to taconite customers accounted for 23 percent of consolidated operating revenue in 2007 (24 percent in 2006). Revenue from electric sales to paper and pulp mills accounted for 9 percent of consolidated operating revenue in each of 2007 and 2006. Revenue from electric sales to pipelines accounted for 7 percent of consolidated operating revenue in 2007 (6 percent in 2006).</w:t>
      </w:r>
    </w:p>
    <w:p>
      <w:pPr>
        <w:spacing w:after="0" w:line="164"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Overall kilowatthour sales were similar to 2006. Residential, commercial and municipal kilowatthour sales increased 125.3 million, or 8 percent, from 2006 while industrial kilowatthour sales decreased by 152.8 million, or 4 percent. The increase in residential, commercial and municipal kilowatthour sales was primarily due to a 12 percent increase in Heating Degree Days (primarily in February) and two existing municipal customers converting to full-energy requirements. The reduction in industrial kilowatthour sales was primarily weather related. Minor fluctuations in industrial kilowatthour sales generally do not have a large impact on revenue due to a fixed demand component of revenue that is less sensitive to changes in kilowatthours sales.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OPERATING EXPENSES increased $42.4 million, or 16 percent, from 2006.</w:t>
      </w:r>
    </w:p>
    <w:p>
      <w:pPr>
        <w:spacing w:after="0" w:line="17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FUEL AND PURCHASED POWER EXPENSE increased $38.2 million from 2006 primarily due to a $38.0 million increase in purchased power reflecting a 60 percent increase in kilowatthours purchased. The increase in purchased power was primarily due to the following outages at our generation units:</w:t>
      </w:r>
    </w:p>
    <w:p>
      <w:pPr>
        <w:spacing w:after="0" w:line="162" w:lineRule="exact"/>
        <w:rPr>
          <w:sz w:val="20"/>
          <w:szCs w:val="20"/>
          <w:color w:val="auto"/>
        </w:rPr>
      </w:pPr>
    </w:p>
    <w:p>
      <w:pPr>
        <w:ind w:left="960" w:right="3339" w:hanging="263"/>
        <w:spacing w:after="0" w:line="247" w:lineRule="auto"/>
        <w:tabs>
          <w:tab w:leader="none" w:pos="9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scheduled outage at Boswell Unit 3 relating to environmental upgrades;</w:t>
      </w:r>
    </w:p>
    <w:p>
      <w:pPr>
        <w:spacing w:after="0" w:line="168" w:lineRule="exact"/>
        <w:rPr>
          <w:rFonts w:ascii="Courier New" w:cs="Courier New" w:eastAsia="Courier New" w:hAnsi="Courier New"/>
          <w:sz w:val="14"/>
          <w:szCs w:val="14"/>
          <w:color w:val="auto"/>
        </w:rPr>
      </w:pPr>
    </w:p>
    <w:p>
      <w:pPr>
        <w:ind w:left="960" w:right="3339" w:hanging="263"/>
        <w:spacing w:after="0" w:line="250" w:lineRule="auto"/>
        <w:tabs>
          <w:tab w:leader="none" w:pos="9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scheduled outages at Laskin Unit 1 and Taconite Harbor Unit 2 relating to AREA plan environmental upgrades; and</w:t>
      </w:r>
    </w:p>
    <w:p>
      <w:pPr>
        <w:ind w:left="960" w:hanging="263"/>
        <w:spacing w:after="0"/>
        <w:tabs>
          <w:tab w:leader="none" w:pos="9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unplanned outages at Boswell Unit 4.</w:t>
      </w:r>
    </w:p>
    <w:p>
      <w:pPr>
        <w:spacing w:after="0" w:line="17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Additionally, low hydro generation and lower Square Butte entitlement contributed to higher purchased power expense. The replacement power costs are recovered through the regulated utility fuel adjustment clause in Minnesota.</w:t>
      </w:r>
    </w:p>
    <w:p>
      <w:pPr>
        <w:spacing w:after="0" w:line="162"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Boswell Unit 4 completed generator repairs and returned to service May 13, 2007 as scheduled. The cost of the replacement coils were covered under the original manufacturer's warranty.</w:t>
      </w:r>
    </w:p>
    <w:p>
      <w:pPr>
        <w:spacing w:after="0" w:line="16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OPERATING AND MAINTENANCE EXPENSE increased $5.1 million, or 5 percent, from 2006 due to a $4.7 million increase in plant maintenance primarily due to planned outages at our generating facilities.</w:t>
      </w:r>
    </w:p>
    <w:p>
      <w:pPr>
        <w:spacing w:after="0" w:line="16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DEPRECIATION decreased $0.9 million from 2006 primarily due to the life extension of Boswell Unit 3.</w:t>
      </w:r>
    </w:p>
    <w:p>
      <w:pPr>
        <w:spacing w:after="0" w:line="160"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OTHER INCOME increased $0.9 million from 2006 primarily due to higher earnings from the capitalization of AFUDC due to increased construction activity.</w:t>
      </w:r>
    </w:p>
    <w:p>
      <w:pPr>
        <w:spacing w:after="0" w:line="163"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ALLETE Second Quarter 2007 Form 10-Q</w:t>
      </w:r>
    </w:p>
    <w:p>
      <w:pPr>
        <w:sectPr>
          <w:pgSz w:w="11900" w:h="16838" w:orient="portrait"/>
          <w:cols w:equalWidth="0" w:num="1">
            <w:col w:w="10239"/>
          </w:cols>
          <w:pgMar w:left="220" w:top="616"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NONREGULATED ENERGY OPERATIONS</w:t>
      </w:r>
    </w:p>
    <w:p>
      <w:pPr>
        <w:spacing w:after="0" w:line="17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OPERATING REVENUE increased $0.2 million, or 1 percent, from 2006 primarily due to increased coal sales at BNI Coal.</w:t>
      </w:r>
    </w:p>
    <w:p>
      <w:pPr>
        <w:spacing w:after="0" w:line="160"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OPERATING EXPENSES increased $1.2 million, or 4 percent, from 2006 due to primarily due to increased property taxes.</w:t>
      </w:r>
    </w:p>
    <w:p>
      <w:pPr>
        <w:spacing w:after="0" w:line="160"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OTHER INCOME increased $2.4 million from 2006 reflecting a $1.9 million gain on land sold which was part of Taconite Harbor purchase.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IN ATC</w:t>
      </w:r>
    </w:p>
    <w:p>
      <w:pPr>
        <w:spacing w:after="0" w:line="17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OTHER INCOME reflected $6.1 million of income in 2007 resulting from our pro-rata share of ATC's earnings as discussed in Note 3. Our investment in ATC began in May 2006.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increased $7.3 million, or 25 percent, from 2006 due to the timing and mix of land sale transaction closings. Two large sales closed during the second quarter of 2007. Revenue from land sales in 2007 was $32.5 million, which included $2.3 million in previously deferred revenue. In 2006, revenue from land sales was $26.1 million which included $4.3 million in previously deferred revenue.</w:t>
      </w:r>
    </w:p>
    <w:p>
      <w:pPr>
        <w:spacing w:after="0" w:line="164"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Through June 30, 2007, 435,000 commercial square feet were sold at Town Center (250,695 in 2006), and 40,000 commercial square feet were sold at Palm Coast Park (none in 2006). Town Center has sold 130 residential units (186 in 2006) and Palm Coast Park has sold 406 residential units (none in 2006). During the first six months of 2007, 367 acres of other land were sold (466 acres in 2006).</w:t>
      </w:r>
    </w:p>
    <w:p>
      <w:pPr>
        <w:spacing w:after="0" w:line="164" w:lineRule="exact"/>
        <w:rPr>
          <w:sz w:val="20"/>
          <w:szCs w:val="20"/>
          <w:color w:val="auto"/>
        </w:rPr>
      </w:pPr>
    </w:p>
    <w:p>
      <w:pPr>
        <w:jc w:val="both"/>
        <w:ind w:left="440" w:right="3339"/>
        <w:spacing w:after="0" w:line="257" w:lineRule="auto"/>
        <w:rPr>
          <w:sz w:val="20"/>
          <w:szCs w:val="20"/>
          <w:color w:val="auto"/>
        </w:rPr>
      </w:pPr>
      <w:r>
        <w:rPr>
          <w:rFonts w:ascii="Courier New" w:cs="Courier New" w:eastAsia="Courier New" w:hAnsi="Courier New"/>
          <w:sz w:val="14"/>
          <w:szCs w:val="14"/>
          <w:color w:val="auto"/>
        </w:rPr>
        <w:t>OPERATING EXPENSES increased $2.4 million, or 29 percent, from 2006 reflecting an increase in selling expenses and the cost of real estate sold.</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OPERATING EXPENSES decreased $0.7 million from 2006 reflecting lower general and administrative expenses.</w:t>
      </w:r>
    </w:p>
    <w:p>
      <w:pPr>
        <w:spacing w:after="0" w:line="160"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OTHER INCOME increased $0.3 million from 2006 primarily due to the release from a loan guarantee for Northwest Airlines Corporation of $1.0 million, partially offset by less investment income.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the six months ended June 30, 2007, the effective tax rate on income from continuing operations before minority interest was 35.1 percent (37.3 percent for six months ended June 30, 2006). The effective rate of 35.1 percent for the six months ended June 30, 2007, deviated from the statutory rate (approximately 40 percent) primarily due to a state income tax audit settlement ($1.5 million). Excluding this $1.5 million item, the effective rate would have been 37.1 percent for the six months ended June 30, 2007. Other items affecting the deviation from the statutory rate include deductions for Medicare health subsidies, domestic manufacturing deduction, AFUDC and depletion.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ESTIMATES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Certain accounting measurements under applicable GAAP involve management's judgment about subjective factors and estimates, the effects of which are inherently uncertain. Accounting measurements that we believe are most critical to our reported results of operations and financial condition include: impairment of long-lived assets, pension and postretirement health and life actuarial assumptions, regulatory accounting, valuation of investments and provisions for environmental remediation. These policies are reviewed with the Audit Committee of our Board of Directors on a regular basis and summarized in Part II, Item 7 of our 2006 Form 10-K.</w:t>
      </w:r>
    </w:p>
    <w:p>
      <w:pPr>
        <w:spacing w:after="0" w:line="164" w:lineRule="exact"/>
        <w:rPr>
          <w:sz w:val="20"/>
          <w:szCs w:val="20"/>
          <w:color w:val="auto"/>
        </w:rPr>
      </w:pPr>
    </w:p>
    <w:tbl>
      <w:tblPr>
        <w:tblLayout w:type="fixed"/>
        <w:tblInd w:w="182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2007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ectPr>
          <w:pgSz w:w="11900" w:h="16838" w:orient="portrait"/>
          <w:cols w:equalWidth="0" w:num="1">
            <w:col w:w="10239"/>
          </w:cols>
          <w:pgMar w:left="220" w:top="616"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OUTLOOK</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EARNINGS GUIDANCE. ALLETE expects that its full-year 2007 earnings performance will be between $3.00 and $3.05 per share in 2007. This guidance assumes lower real estate sales during the second half of 2007 compared to the same period in 2006, normal weather patterns in Minnesota Power's service territory compared to a warmer than normal third quarter in 2006, and higher income from the investment in ATC due to a larger investment balance in 2007. Due to difficult market conditions in Florida, some sales originally anticipated to close in 2007 are now being deferred. As a result of these sales deferrals, total year net income from Real Estate is expected to be less than 2006; net income in 2006 was the largest ever for our real estate business. This earnings guidance does not include an impact from any investment we may make in new growth opportunities.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ENERGY.</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LARGE POWER CUSTOMERS. Electric power is a key component in the mining, paper production and pipeline industries. Sales to our Large Power Customers within these industries represent more than half of Minnesota Power's regulated utility electric sales. On April 25, 2007, the MPUC approved our electric service agreement with PolyMet Mining, Inc. (PolyMet). In 2006, a contract for approximately 70 MW was successfully negotiated with PolyMet, a new industrial customer planning to start a copper, nickel and precious metals (non-ferrous) mining operation in late 2008. If PolyMet's environmental permits are received and start-up is achieved, the contract with PolyMet will run through at least 2018.</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AREA AND BOSWELL 3 EMISSION REDUCTION PLAN. As of June 30, 2007 we have spent $28.6 million of the expected $60 million on the AREA project. On April 15, 2007, Laskin Unit 1 was placed back in service and cost-recovery began May 1, 2007. On June 24, 2007 Taconite Harbor Unit 2 was placed back in service and cost-recovery began July 1, 2007. As of June 30, 2007 we have spent $33.4 million of the expected $200 million on the Boswell Unit 3 emission reduction plan. In late March 2007, the Boswell Unit 3 project received the necessary construction permits. On April 25, 2007, the MPCA issued its assessment of the Boswell Unit 3 emission reduction plan under the Mercury Emissions Reduction Act of 2006. The MPCA found that Minnesota Power's plan meets the statutory requirements, found it cost effective and groundbreaking for the Boswell Unit 3 project occurred on May 9, 2007. On June 8, 2007 the DOC filed comments recommending approval of the cost recovery filing for the Boswell Unit 3 emission reduction plan. An MPUC hearing on the Boswell Unit 3 plan is scheduled for October 2007.</w:t>
      </w:r>
    </w:p>
    <w:p>
      <w:pPr>
        <w:spacing w:after="0" w:line="328"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MINNESOTA FUEL CLAUSE. In June 2003, the MPUC initiated an investigation into the continuing usefulness of the fuel clause as a regulatory tool for electric utilities. Minnesota Power's initial comments on the proposed scope and procedure of the investigation were filed in July 2003. In November 2003, the MPUC approved the initial scope and procedure of the investigation. The investigation's purpose was to focus on whether the fuel clause continues to be an appropriate regulatory tool. Subsequent comments were filed during 2004. The fuel clause docket then became dormant while the MISO Day 2 docket, which held many fuel clause considerations, became very active. In March 2007, the MPUC solicited comments on whether the original fuel clause investigation should continue and, if so, what issues should be pursued. Minnesota Power filed comments in April 2007, suggesting that if the investigation continued, it should focus on remaining key elements of the fuel clause, beyond the purchased power transactions examined in the MISO Day 2 proceeding, such as fuel purchases and outages. Additionally, Minnesota Power's comments suggested that more specialized fuel clause issues be addressed in separate dockets on an as needed basis. The fuel clause investigation docket is awaiting further action by the MPUC.</w:t>
      </w:r>
    </w:p>
    <w:p>
      <w:pPr>
        <w:spacing w:after="0" w:line="339"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ALLETE Second Quarter 2007 Form 10-Q</w:t>
      </w:r>
    </w:p>
    <w:p>
      <w:pPr>
        <w:sectPr>
          <w:pgSz w:w="11900" w:h="16838" w:orient="portrait"/>
          <w:cols w:equalWidth="0" w:num="1">
            <w:col w:w="10239"/>
          </w:cols>
          <w:pgMar w:left="220" w:top="616"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OUTLOOK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ENERGY.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RENEWABLE ENERGY. In February 2007, the Minnesota Legislature enacted a law requiring most electric utilities to generate 25 percent of their energy through renewable energy sources by 2025. Minnesota Power worked with other stakeholders to ensure the legislation included provisions for allowing regulatory assessment of the ratepayer cost for and technical feasibility of individual utilities meeting the 25 percent standard. Minnesota Power was developing and making renewable supply additions as part of its generation planning strategy prior to this legislation and this activity continues.</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December 2006, we began purchasing the output from a 50-MW wind facility, Oliver Wind I, located in North Dakota, under a 25-year power purchase agreement with an affiliate of FPL Energy, LLC.</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May 11, 2007, the MPUC approved a second 25-year wind power purchase agreement to purchase an additional 48-MW of wind energy from Oliver Wind II, an expansion of Oliver Wind I located in North Dakota. The MPUC also allowed immediate recovery of the costs for associated transmission upgrades. The project is expected to be operational by the end of 2007.</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May 29, 2007, the MPUC approved two 20-year Community-Based Energy Development Project power purchase agreements. The 2.5-MW Wing River Wind project, with Wing River Wind, LLC, became operational on July 6, 2007. The 30-MW Bear Creek Wind Partners project, with Bear Creek Wind Partners, LLC, is expected to be operational by the end of 2008.</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the fall of 2007, we intend to begin construction of the $50 million, 25-MW Taconite Ridge Wind Facility, to be located in northeastern Minnesota. On June 14, 2007, the MPUC issued a draft site permit, beginning the regulatory review process. A public meeting was held July 11, 2007. The Taconite Ridge Wind Facility is expected to become operational in mid-2008.</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Minnesota Power continues to investigate additional renewable energy resources including biomass, hydroelectric and wind generation that will help it meet the Minnesota 25 percent renewable energy standard. In particular, Minnesota Power is conducting a feasibility study for construction of a 40 to 50-MW biomass generating unit at its Laskin Energy Center, as well as looking at opportunities to expand biomass energy production at existing facilities. Additionally, Minnesota Power is pursuing a potential 10-MW expansion of its Fond du Lac hydroelectric station. The Company will submit plans regarding the additional renewable energy options currently under study as a part of its Resource Plan filing with the State of Minnesota by November 1, 2007. We will also make specific renewable project filings for regulatory approval as needed.</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INVESTMENT IN ATC. In February 2007, we completed our $60 million investment in ATC. As of June 30, 2007, our equity investment was $64.4 million, representing an 8.3 percent ownership interest. As opportunities arise, we plan to make additional investments in ATC through general capital calls based upon our pro-rata ownership interest in ATC. (See Note 3.)</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REAL ESTATE. In June 2005, we began selling property from our Town Center development project. In August 2006, we began selling property from our Palm Coast Park development project. Since land is being sold before completion of the project infrastructure, revenue and cost of real estate sold are recorded using a percentage-of-completion method. As of June 30, 2007, we had $5.0 million ($6.5 million revenue; $1.2 million cost of real estate sold; $0.3 million selling expense) of deferred profit on sales of real estate, before taxes and minority interest, on our consolidated balance sheet. The majority of deferred profit relates to sales at Town Center.</w:t>
      </w:r>
    </w:p>
    <w:p>
      <w:pPr>
        <w:spacing w:after="0" w:line="164" w:lineRule="exact"/>
        <w:rPr>
          <w:sz w:val="20"/>
          <w:szCs w:val="20"/>
          <w:color w:val="auto"/>
        </w:rPr>
      </w:pPr>
    </w:p>
    <w:tbl>
      <w:tblPr>
        <w:tblLayout w:type="fixed"/>
        <w:tblInd w:w="182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2007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bl>
    <w:p>
      <w:pPr>
        <w:sectPr>
          <w:pgSz w:w="11900" w:h="16838" w:orient="portrait"/>
          <w:cols w:equalWidth="0" w:num="1">
            <w:col w:w="10239"/>
          </w:cols>
          <w:pgMar w:left="220" w:top="616"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OUTLOOK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7" w:lineRule="exact"/>
        <w:rPr>
          <w:sz w:val="20"/>
          <w:szCs w:val="20"/>
          <w:color w:val="auto"/>
        </w:rPr>
      </w:pPr>
    </w:p>
    <w:p>
      <w:pPr>
        <w:spacing w:after="0"/>
        <w:tabs>
          <w:tab w:leader="none" w:pos="8780" w:val="left"/>
        </w:tabs>
        <w:rPr>
          <w:sz w:val="20"/>
          <w:szCs w:val="20"/>
          <w:color w:val="auto"/>
        </w:rPr>
      </w:pPr>
      <w:r>
        <w:rPr>
          <w:rFonts w:ascii="Courier New" w:cs="Courier New" w:eastAsia="Courier New" w:hAnsi="Courier New"/>
          <w:sz w:val="14"/>
          <w:szCs w:val="14"/>
          <w:color w:val="auto"/>
        </w:rPr>
        <w:t>PENDING CONTRACTS</w:t>
      </w:r>
      <w:r>
        <w:rPr>
          <w:sz w:val="20"/>
          <w:szCs w:val="20"/>
          <w:color w:val="auto"/>
        </w:rPr>
        <w:tab/>
      </w:r>
      <w:r>
        <w:rPr>
          <w:rFonts w:ascii="Courier New" w:cs="Courier New" w:eastAsia="Courier New" w:hAnsi="Courier New"/>
          <w:sz w:val="14"/>
          <w:szCs w:val="14"/>
          <w:color w:val="auto"/>
        </w:rPr>
        <w:t>CONTRACT</w:t>
      </w:r>
    </w:p>
    <w:p>
      <w:pPr>
        <w:spacing w:after="0" w:line="7" w:lineRule="exact"/>
        <w:rPr>
          <w:sz w:val="20"/>
          <w:szCs w:val="20"/>
          <w:color w:val="auto"/>
        </w:rPr>
      </w:pPr>
    </w:p>
    <w:p>
      <w:pPr>
        <w:spacing w:after="0"/>
        <w:tabs>
          <w:tab w:leader="none" w:pos="5500" w:val="left"/>
          <w:tab w:leader="none" w:pos="8340" w:val="left"/>
        </w:tabs>
        <w:rPr>
          <w:sz w:val="20"/>
          <w:szCs w:val="20"/>
          <w:color w:val="auto"/>
        </w:rPr>
      </w:pPr>
      <w:r>
        <w:rPr>
          <w:rFonts w:ascii="Courier New" w:cs="Courier New" w:eastAsia="Courier New" w:hAnsi="Courier New"/>
          <w:sz w:val="14"/>
          <w:szCs w:val="14"/>
          <w:color w:val="auto"/>
        </w:rPr>
        <w:t>AT JUNE 30, 2007</w:t>
      </w:r>
      <w:r>
        <w:rPr>
          <w:sz w:val="20"/>
          <w:szCs w:val="20"/>
          <w:color w:val="auto"/>
        </w:rPr>
        <w:tab/>
      </w:r>
      <w:r>
        <w:rPr>
          <w:rFonts w:ascii="Courier New" w:cs="Courier New" w:eastAsia="Courier New" w:hAnsi="Courier New"/>
          <w:sz w:val="14"/>
          <w:szCs w:val="14"/>
          <w:color w:val="auto"/>
        </w:rPr>
        <w:t>QUANTITY</w:t>
      </w:r>
      <w:r>
        <w:rPr>
          <w:sz w:val="20"/>
          <w:szCs w:val="20"/>
          <w:color w:val="auto"/>
        </w:rPr>
        <w:tab/>
      </w:r>
      <w:r>
        <w:rPr>
          <w:rFonts w:ascii="Courier New" w:cs="Courier New" w:eastAsia="Courier New" w:hAnsi="Courier New"/>
          <w:sz w:val="14"/>
          <w:szCs w:val="14"/>
          <w:color w:val="auto"/>
        </w:rPr>
        <w:t>SALES PRICE</w:t>
      </w:r>
    </w:p>
    <w:p>
      <w:pPr>
        <w:spacing w:after="0" w:line="7"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Town Center</w:t>
            </w:r>
          </w:p>
        </w:tc>
        <w:tc>
          <w:tcPr>
            <w:tcW w:w="374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Commercial Sq. Ft.</w:t>
            </w:r>
          </w:p>
        </w:tc>
        <w:tc>
          <w:tcPr>
            <w:tcW w:w="374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442,200</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  15.1</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Residential Units</w:t>
            </w:r>
          </w:p>
        </w:tc>
        <w:tc>
          <w:tcPr>
            <w:tcW w:w="374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910</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14.6</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Palm Coast Park</w:t>
            </w:r>
          </w:p>
        </w:tc>
        <w:tc>
          <w:tcPr>
            <w:tcW w:w="37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Commercial Sq. Ft.</w:t>
            </w:r>
          </w:p>
        </w:tc>
        <w:tc>
          <w:tcPr>
            <w:tcW w:w="374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Residential Units</w:t>
            </w:r>
          </w:p>
        </w:tc>
        <w:tc>
          <w:tcPr>
            <w:tcW w:w="374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1,981</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39.1</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Other Land</w:t>
            </w:r>
          </w:p>
        </w:tc>
        <w:tc>
          <w:tcPr>
            <w:tcW w:w="37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Acres</w:t>
            </w:r>
          </w:p>
        </w:tc>
        <w:tc>
          <w:tcPr>
            <w:tcW w:w="374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220</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8880"/>
        <w:spacing w:after="0"/>
        <w:tabs>
          <w:tab w:leader="none" w:pos="9120" w:val="left"/>
        </w:tabs>
        <w:rPr>
          <w:sz w:val="20"/>
          <w:szCs w:val="20"/>
          <w:color w:val="auto"/>
        </w:rPr>
      </w:pPr>
      <w:r>
        <w:rPr>
          <w:rFonts w:ascii="Courier New" w:cs="Courier New" w:eastAsia="Courier New" w:hAnsi="Courier New"/>
          <w:sz w:val="14"/>
          <w:szCs w:val="14"/>
          <w:color w:val="auto"/>
        </w:rPr>
        <w:t>$</w:t>
        <w:tab/>
        <w:t>79.8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499" w:hanging="344"/>
        <w:spacing w:after="0" w:line="252" w:lineRule="auto"/>
        <w:rPr>
          <w:sz w:val="20"/>
          <w:szCs w:val="20"/>
          <w:color w:val="auto"/>
        </w:rPr>
      </w:pPr>
      <w:r>
        <w:rPr>
          <w:rFonts w:ascii="Courier New" w:cs="Courier New" w:eastAsia="Courier New" w:hAnsi="Courier New"/>
          <w:sz w:val="14"/>
          <w:szCs w:val="14"/>
          <w:color w:val="auto"/>
        </w:rPr>
        <w:t>Acreage amounts</w:t>
      </w:r>
      <w:r>
        <w:rPr>
          <w:sz w:val="20"/>
          <w:szCs w:val="20"/>
          <w:color w:val="auto"/>
        </w:rPr>
        <w:t xml:space="preserve"> </w:t>
      </w:r>
      <w:r>
        <w:rPr>
          <w:rFonts w:ascii="Courier New" w:cs="Courier New" w:eastAsia="Courier New" w:hAnsi="Courier New"/>
          <w:sz w:val="14"/>
          <w:szCs w:val="14"/>
          <w:color w:val="auto"/>
        </w:rPr>
        <w:t>are approximate and shown on a gross basis, including wetlands and minority interest. Acreage amounts may vary due to platting or surveying activity. Wetland amounts vary by property and are often not formally determined prior to sale. Commercial square feet and residential units are estimated and include minority interest. The actual property allocation at full build-out may be different than these estimates.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At June 30, 2007, total pending land sales under contract were $79.8 million ($113.8 million at December 31, 2006) and are anticipated to close at various times through 2012. Pending land sales under contract for properties at Town Center and Palm Coast Park totaled $29.7 million ($40.1 million at December 31, 2006) and $39.1 million ($62.8 million at December 31, 2006), respectively. The decrease in pending land sales under contract is mainly due to two large sales that closed during the second quarter of 2007. In April 2007, Palm Coast Center, LLC and Target Corporation closed for $12.6 million at Town Center and in June 2007, LRCF Palm Coast, LLC (Lowe Enterprises) closed on the first parcel of the Sawmill Creek project at Palm Coast Park for $13.1 million pursuant to revised contract terms. Under the amended contract, the total purchase price under contract was reduced from $52.5 million to $42.0 million. In addition to the base price, the amended contract allows us to receive participation revenue from land sales to third parties if various formula based criteria are achieved. Current contract terms with Lowe Enterprises allow for extensions on the remaining three closings. The final closings will occur through 2011.</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Prices on these contracts range from $20 to $60 per commercial square foot, $8,000 to $30,000 per residential unit and $11,000 to $830,000 per acre for all other properties. Prices per acre are stated on a gross acreage basis and are dependent on the type and location of the properties sold. The majority of the other properties under contract are zoned commercial or mixed use. In addition to minimum-base price contracts, certain contracts, including the amended Lowe Enterprises contract, allow us to receive participation revenue from land sales to third parties if various formula-based criteria are achieved.</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If a purchaser defaults under terms of a contract, our remedies generally include retention of the purchaser's deposit and the ability to remarket the property to other prospective buyers. In many cases, the purchaser has also incurred significant costs in planning, designing and marketing of the property under contract before the contract closes.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Conditions in the Florida real estate market may fluctuate over time. The real estate market has been difficult across the United States, including Florida. The difficult market conditions for Florida real estate have not improved as quickly as we had originally expected, cauing some sales originally planned for 2007 to be deferred. We expect that Florida will continue to experience above average long-term population growth and that current market conditions will improve over time. We believe our entitled inventory of land, most of which is located in one of the fastest growing areas of Florida, will continue to be attractive to buyers.</w:t>
      </w:r>
    </w:p>
    <w:p>
      <w:pPr>
        <w:spacing w:after="0" w:line="329"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ALLETE Second Quarter 2007 Form 10-Q</w:t>
      </w:r>
    </w:p>
    <w:p>
      <w:pPr>
        <w:sectPr>
          <w:pgSz w:w="11900" w:h="16838" w:orient="portrait"/>
          <w:cols w:equalWidth="0" w:num="1">
            <w:col w:w="10239"/>
          </w:cols>
          <w:pgMar w:left="220" w:top="616" w:right="1440" w:bottom="1440" w:gutter="0" w:footer="0" w:header="0"/>
        </w:sectPr>
      </w:pPr>
    </w:p>
    <w:bookmarkStart w:id="27" w:name="page28"/>
    <w:bookmarkEnd w:id="27"/>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DEVELOPMENT PROJECTS</w:t>
      </w:r>
    </w:p>
    <w:p>
      <w:pPr>
        <w:spacing w:after="0" w:line="7" w:lineRule="exact"/>
        <w:rPr>
          <w:sz w:val="20"/>
          <w:szCs w:val="20"/>
          <w:color w:val="auto"/>
        </w:rPr>
      </w:pPr>
    </w:p>
    <w:p>
      <w:pPr>
        <w:spacing w:after="0"/>
        <w:tabs>
          <w:tab w:leader="none" w:pos="5240" w:val="left"/>
          <w:tab w:leader="none" w:pos="6880" w:val="left"/>
          <w:tab w:leader="none" w:pos="8680" w:val="left"/>
        </w:tabs>
        <w:rPr>
          <w:sz w:val="20"/>
          <w:szCs w:val="20"/>
          <w:color w:val="auto"/>
        </w:rPr>
      </w:pPr>
      <w:r>
        <w:rPr>
          <w:rFonts w:ascii="Courier New" w:cs="Courier New" w:eastAsia="Courier New" w:hAnsi="Courier New"/>
          <w:sz w:val="14"/>
          <w:szCs w:val="14"/>
          <w:color w:val="auto"/>
        </w:rPr>
        <w:t>FOR THE SIX MONTHS ENDED</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RESIDENTIAL</w:t>
      </w:r>
      <w:r>
        <w:rPr>
          <w:sz w:val="20"/>
          <w:szCs w:val="20"/>
          <w:color w:val="auto"/>
        </w:rPr>
        <w:tab/>
      </w:r>
      <w:r>
        <w:rPr>
          <w:rFonts w:ascii="Courier New" w:cs="Courier New" w:eastAsia="Courier New" w:hAnsi="Courier New"/>
          <w:sz w:val="14"/>
          <w:szCs w:val="14"/>
          <w:color w:val="auto"/>
        </w:rPr>
        <w:t>COMMERCIAL</w:t>
      </w:r>
    </w:p>
    <w:p>
      <w:pPr>
        <w:spacing w:after="0" w:line="7" w:lineRule="exact"/>
        <w:rPr>
          <w:sz w:val="20"/>
          <w:szCs w:val="20"/>
          <w:color w:val="auto"/>
        </w:rPr>
      </w:pPr>
    </w:p>
    <w:p>
      <w:pPr>
        <w:spacing w:after="0"/>
        <w:tabs>
          <w:tab w:leader="none" w:pos="3440" w:val="left"/>
          <w:tab w:leader="none" w:pos="5160" w:val="left"/>
          <w:tab w:leader="none" w:pos="6700" w:val="left"/>
          <w:tab w:leader="none" w:pos="8080" w:val="left"/>
        </w:tabs>
        <w:rPr>
          <w:sz w:val="20"/>
          <w:szCs w:val="20"/>
          <w:color w:val="auto"/>
        </w:rPr>
      </w:pPr>
      <w:r>
        <w:rPr>
          <w:rFonts w:ascii="Courier New" w:cs="Courier New" w:eastAsia="Courier New" w:hAnsi="Courier New"/>
          <w:sz w:val="14"/>
          <w:szCs w:val="14"/>
          <w:color w:val="auto"/>
        </w:rPr>
        <w:t>JUNE 30, 2007</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ACRES</w:t>
      </w:r>
      <w:r>
        <w:rPr>
          <w:sz w:val="20"/>
          <w:szCs w:val="20"/>
          <w:color w:val="auto"/>
        </w:rPr>
        <w:tab/>
      </w:r>
      <w:r>
        <w:rPr>
          <w:rFonts w:ascii="Courier New" w:cs="Courier New" w:eastAsia="Courier New" w:hAnsi="Courier New"/>
          <w:sz w:val="14"/>
          <w:szCs w:val="14"/>
          <w:color w:val="auto"/>
        </w:rPr>
        <w:t>UNITS</w:t>
      </w:r>
      <w:r>
        <w:rPr>
          <w:sz w:val="20"/>
          <w:szCs w:val="20"/>
          <w:color w:val="auto"/>
        </w:rPr>
        <w:tab/>
      </w:r>
      <w:r>
        <w:rPr>
          <w:rFonts w:ascii="Courier New" w:cs="Courier New" w:eastAsia="Courier New" w:hAnsi="Courier New"/>
          <w:sz w:val="14"/>
          <w:szCs w:val="14"/>
          <w:color w:val="auto"/>
        </w:rPr>
        <w:t>SQ. FT.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Town Center</w:t>
            </w:r>
          </w:p>
        </w:tc>
        <w:tc>
          <w:tcPr>
            <w:tcW w:w="336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80%</w:t>
            </w:r>
          </w:p>
        </w:tc>
        <w:tc>
          <w:tcPr>
            <w:tcW w:w="17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2006</w:t>
            </w:r>
          </w:p>
        </w:tc>
        <w:tc>
          <w:tcPr>
            <w:tcW w:w="33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1,356</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2,222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2,705,310</w:t>
            </w:r>
          </w:p>
        </w:tc>
      </w:tr>
      <w:tr>
        <w:trPr>
          <w:trHeight w:val="166"/>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33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(81)</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(435,000)</w:t>
            </w:r>
          </w:p>
        </w:tc>
      </w:tr>
      <w:tr>
        <w:trPr>
          <w:trHeight w:val="166"/>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Change in Estimate</w:t>
            </w:r>
          </w:p>
        </w:tc>
        <w:tc>
          <w:tcPr>
            <w:tcW w:w="33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17</w:t>
            </w:r>
          </w:p>
        </w:tc>
        <w:tc>
          <w:tcPr>
            <w:tcW w:w="17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177</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72,736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60"/>
        <w:spacing w:after="0"/>
        <w:tabs>
          <w:tab w:leader="none" w:pos="7060" w:val="left"/>
          <w:tab w:leader="none" w:pos="8680" w:val="left"/>
        </w:tabs>
        <w:rPr>
          <w:sz w:val="20"/>
          <w:szCs w:val="20"/>
          <w:color w:val="auto"/>
        </w:rPr>
      </w:pPr>
      <w:r>
        <w:rPr>
          <w:rFonts w:ascii="Courier New" w:cs="Courier New" w:eastAsia="Courier New" w:hAnsi="Courier New"/>
          <w:sz w:val="14"/>
          <w:szCs w:val="14"/>
          <w:color w:val="auto"/>
        </w:rPr>
        <w:t>1,292</w:t>
      </w:r>
      <w:r>
        <w:rPr>
          <w:sz w:val="20"/>
          <w:szCs w:val="20"/>
          <w:color w:val="auto"/>
        </w:rPr>
        <w:tab/>
      </w:r>
      <w:r>
        <w:rPr>
          <w:rFonts w:ascii="Courier New" w:cs="Courier New" w:eastAsia="Courier New" w:hAnsi="Courier New"/>
          <w:sz w:val="14"/>
          <w:szCs w:val="14"/>
          <w:color w:val="auto"/>
        </w:rPr>
        <w:t>2,269</w:t>
      </w:r>
      <w:r>
        <w:rPr>
          <w:sz w:val="20"/>
          <w:szCs w:val="20"/>
          <w:color w:val="auto"/>
        </w:rPr>
        <w:tab/>
      </w:r>
      <w:r>
        <w:rPr>
          <w:rFonts w:ascii="Courier New" w:cs="Courier New" w:eastAsia="Courier New" w:hAnsi="Courier New"/>
          <w:sz w:val="14"/>
          <w:szCs w:val="14"/>
          <w:color w:val="auto"/>
        </w:rPr>
        <w:t>2,343,046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Palm Coast Park</w:t>
            </w:r>
          </w:p>
        </w:tc>
        <w:tc>
          <w:tcPr>
            <w:tcW w:w="3480" w:type="dxa"/>
            <w:vAlign w:val="bottom"/>
          </w:tcPr>
          <w:p>
            <w:pPr>
              <w:jc w:val="right"/>
              <w:ind w:right="2288"/>
              <w:spacing w:after="0"/>
              <w:rPr>
                <w:sz w:val="20"/>
                <w:szCs w:val="20"/>
                <w:color w:val="auto"/>
              </w:rPr>
            </w:pPr>
            <w:r>
              <w:rPr>
                <w:rFonts w:ascii="Courier New" w:cs="Courier New" w:eastAsia="Courier New" w:hAnsi="Courier New"/>
                <w:sz w:val="14"/>
                <w:szCs w:val="14"/>
                <w:color w:val="auto"/>
              </w:rPr>
              <w:t>100%</w:t>
            </w:r>
          </w:p>
        </w:tc>
        <w:tc>
          <w:tcPr>
            <w:tcW w:w="17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2006</w:t>
            </w:r>
          </w:p>
        </w:tc>
        <w:tc>
          <w:tcPr>
            <w:tcW w:w="34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4,337</w:t>
            </w: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3,760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3,156,800</w:t>
            </w: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34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(863)</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Change in Estimate</w:t>
            </w:r>
          </w:p>
        </w:tc>
        <w:tc>
          <w:tcPr>
            <w:tcW w:w="34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112</w:t>
            </w:r>
          </w:p>
        </w:tc>
        <w:tc>
          <w:tcPr>
            <w:tcW w:w="17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60"/>
        <w:spacing w:after="0"/>
        <w:tabs>
          <w:tab w:leader="none" w:pos="7060" w:val="left"/>
          <w:tab w:leader="none" w:pos="8680" w:val="left"/>
        </w:tabs>
        <w:rPr>
          <w:sz w:val="20"/>
          <w:szCs w:val="20"/>
          <w:color w:val="auto"/>
        </w:rPr>
      </w:pPr>
      <w:r>
        <w:rPr>
          <w:rFonts w:ascii="Courier New" w:cs="Courier New" w:eastAsia="Courier New" w:hAnsi="Courier New"/>
          <w:sz w:val="14"/>
          <w:szCs w:val="14"/>
          <w:color w:val="auto"/>
        </w:rPr>
        <w:t>3,586</w:t>
      </w:r>
      <w:r>
        <w:rPr>
          <w:sz w:val="20"/>
          <w:szCs w:val="20"/>
          <w:color w:val="auto"/>
        </w:rPr>
        <w:tab/>
      </w:r>
      <w:r>
        <w:rPr>
          <w:rFonts w:ascii="Courier New" w:cs="Courier New" w:eastAsia="Courier New" w:hAnsi="Courier New"/>
          <w:sz w:val="14"/>
          <w:szCs w:val="14"/>
          <w:color w:val="auto"/>
        </w:rPr>
        <w:t>3,354</w:t>
      </w:r>
      <w:r>
        <w:rPr>
          <w:sz w:val="20"/>
          <w:szCs w:val="20"/>
          <w:color w:val="auto"/>
        </w:rPr>
        <w:tab/>
      </w:r>
      <w:r>
        <w:rPr>
          <w:rFonts w:ascii="Courier New" w:cs="Courier New" w:eastAsia="Courier New" w:hAnsi="Courier New"/>
          <w:sz w:val="14"/>
          <w:szCs w:val="14"/>
          <w:color w:val="auto"/>
        </w:rPr>
        <w:t>3,116,800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Ormond Crossings</w:t>
            </w:r>
          </w:p>
        </w:tc>
        <w:tc>
          <w:tcPr>
            <w:tcW w:w="1520" w:type="dxa"/>
            <w:vAlign w:val="bottom"/>
          </w:tcPr>
          <w:p>
            <w:pPr>
              <w:spacing w:after="0"/>
              <w:rPr>
                <w:sz w:val="14"/>
                <w:szCs w:val="14"/>
                <w:color w:val="auto"/>
              </w:rPr>
            </w:pPr>
          </w:p>
        </w:tc>
        <w:tc>
          <w:tcPr>
            <w:tcW w:w="276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At December</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31, 2006</w:t>
            </w:r>
          </w:p>
        </w:tc>
        <w:tc>
          <w:tcPr>
            <w:tcW w:w="2760" w:type="dxa"/>
            <w:vAlign w:val="bottom"/>
          </w:tcPr>
          <w:p>
            <w:pPr>
              <w:ind w:left="2320"/>
              <w:spacing w:after="0"/>
              <w:rPr>
                <w:sz w:val="20"/>
                <w:szCs w:val="20"/>
                <w:color w:val="auto"/>
              </w:rPr>
            </w:pPr>
            <w:r>
              <w:rPr>
                <w:rFonts w:ascii="Courier New" w:cs="Courier New" w:eastAsia="Courier New" w:hAnsi="Courier New"/>
                <w:sz w:val="14"/>
                <w:szCs w:val="14"/>
                <w:color w:val="auto"/>
                <w:w w:val="99"/>
              </w:rPr>
              <w:t>5,960</w:t>
            </w:r>
          </w:p>
        </w:tc>
      </w:tr>
      <w:tr>
        <w:trPr>
          <w:trHeight w:val="0"/>
        </w:trPr>
        <w:tc>
          <w:tcPr>
            <w:tcW w:w="294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Change in Estimate</w:t>
            </w:r>
          </w:p>
        </w:tc>
        <w:tc>
          <w:tcPr>
            <w:tcW w:w="2760" w:type="dxa"/>
            <w:vAlign w:val="bottom"/>
          </w:tcPr>
          <w:p>
            <w:pPr>
              <w:ind w:left="2320"/>
              <w:spacing w:after="0"/>
              <w:rPr>
                <w:sz w:val="20"/>
                <w:szCs w:val="20"/>
                <w:color w:val="auto"/>
              </w:rPr>
            </w:pPr>
            <w:r>
              <w:rPr>
                <w:rFonts w:ascii="Courier New" w:cs="Courier New" w:eastAsia="Courier New" w:hAnsi="Courier New"/>
                <w:sz w:val="14"/>
                <w:szCs w:val="14"/>
                <w:color w:val="auto"/>
              </w:rPr>
              <w:t>8</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4"/>
          <w:szCs w:val="14"/>
          <w:color w:val="auto"/>
        </w:rPr>
        <w:t>5,968</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180"/>
        <w:spacing w:after="0"/>
        <w:tabs>
          <w:tab w:leader="none" w:pos="7060" w:val="left"/>
          <w:tab w:leader="none" w:pos="8680" w:val="left"/>
        </w:tabs>
        <w:rPr>
          <w:sz w:val="20"/>
          <w:szCs w:val="20"/>
          <w:color w:val="auto"/>
        </w:rPr>
      </w:pPr>
      <w:r>
        <w:rPr>
          <w:rFonts w:ascii="Courier New" w:cs="Courier New" w:eastAsia="Courier New" w:hAnsi="Courier New"/>
          <w:sz w:val="14"/>
          <w:szCs w:val="14"/>
          <w:color w:val="auto"/>
        </w:rPr>
        <w:t>10,846</w:t>
      </w:r>
      <w:r>
        <w:rPr>
          <w:sz w:val="20"/>
          <w:szCs w:val="20"/>
          <w:color w:val="auto"/>
        </w:rPr>
        <w:tab/>
      </w:r>
      <w:r>
        <w:rPr>
          <w:rFonts w:ascii="Courier New" w:cs="Courier New" w:eastAsia="Courier New" w:hAnsi="Courier New"/>
          <w:sz w:val="14"/>
          <w:szCs w:val="14"/>
          <w:color w:val="auto"/>
        </w:rPr>
        <w:t>5,623</w:t>
      </w:r>
      <w:r>
        <w:rPr>
          <w:sz w:val="20"/>
          <w:szCs w:val="20"/>
          <w:color w:val="auto"/>
        </w:rPr>
        <w:tab/>
      </w:r>
      <w:r>
        <w:rPr>
          <w:rFonts w:ascii="Courier New" w:cs="Courier New" w:eastAsia="Courier New" w:hAnsi="Courier New"/>
          <w:sz w:val="14"/>
          <w:szCs w:val="14"/>
          <w:color w:val="auto"/>
        </w:rPr>
        <w:t>5,459,846</w:t>
      </w:r>
    </w:p>
    <w:p>
      <w:pPr>
        <w:spacing w:after="0" w:line="7"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520" w:right="160" w:hanging="34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Acreage amounts are approximate and shown on a gross basis, including wetlands and minority interest. Acreage amounts may vary due to platting or surveying activity. Wetland amounts vary by property and are often not formally determined prior to sale.</w:t>
      </w:r>
    </w:p>
    <w:p>
      <w:pPr>
        <w:spacing w:after="0" w:line="1" w:lineRule="exact"/>
        <w:rPr>
          <w:rFonts w:ascii="Courier New" w:cs="Courier New" w:eastAsia="Courier New" w:hAnsi="Courier New"/>
          <w:sz w:val="14"/>
          <w:szCs w:val="14"/>
          <w:color w:val="auto"/>
        </w:rPr>
      </w:pPr>
    </w:p>
    <w:p>
      <w:pPr>
        <w:ind w:left="520" w:right="520" w:hanging="34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and includes minority interest. The actual property breakdown at full build-out may be different than these estimates.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industrial, office and retail square footage.</w:t>
      </w:r>
    </w:p>
    <w:p>
      <w:pPr>
        <w:spacing w:after="0" w:line="7" w:lineRule="exact"/>
        <w:rPr>
          <w:rFonts w:ascii="Courier New" w:cs="Courier New" w:eastAsia="Courier New" w:hAnsi="Courier New"/>
          <w:sz w:val="14"/>
          <w:szCs w:val="14"/>
          <w:color w:val="auto"/>
        </w:rPr>
      </w:pPr>
    </w:p>
    <w:p>
      <w:pPr>
        <w:jc w:val="both"/>
        <w:ind w:left="520" w:right="160" w:hanging="345"/>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development order approval from the city of Ormond Crossings was received in December 2006, for up to 3,700 residential units and 5 million commercial square feet. A development order from Flagler County is currently under review, and if approved, Ormond Crossings will receive entitlements for up to 700 additional residential units. Actual build-out, however, will consider market demand as well as infrastructure and mitigation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OTHER LAND INVENTORIES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SIX MONTHS ENDED</w:t>
      </w:r>
    </w:p>
    <w:p>
      <w:pPr>
        <w:spacing w:after="0" w:line="7" w:lineRule="exact"/>
        <w:rPr>
          <w:sz w:val="20"/>
          <w:szCs w:val="20"/>
          <w:color w:val="auto"/>
        </w:rPr>
      </w:pPr>
    </w:p>
    <w:p>
      <w:pPr>
        <w:spacing w:after="0"/>
        <w:tabs>
          <w:tab w:leader="none" w:pos="3260" w:val="left"/>
          <w:tab w:leader="none" w:pos="4460" w:val="left"/>
          <w:tab w:leader="none" w:pos="5320" w:val="left"/>
          <w:tab w:leader="none" w:pos="6440" w:val="left"/>
          <w:tab w:leader="none" w:pos="7660" w:val="left"/>
          <w:tab w:leader="none" w:pos="8780" w:val="left"/>
        </w:tabs>
        <w:rPr>
          <w:sz w:val="20"/>
          <w:szCs w:val="20"/>
          <w:color w:val="auto"/>
        </w:rPr>
      </w:pPr>
      <w:r>
        <w:rPr>
          <w:rFonts w:ascii="Courier New" w:cs="Courier New" w:eastAsia="Courier New" w:hAnsi="Courier New"/>
          <w:sz w:val="14"/>
          <w:szCs w:val="14"/>
          <w:color w:val="auto"/>
        </w:rPr>
        <w:t>JUNE 30, 2007</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MIXED USE</w:t>
      </w:r>
      <w:r>
        <w:rPr>
          <w:sz w:val="20"/>
          <w:szCs w:val="20"/>
          <w:color w:val="auto"/>
        </w:rPr>
        <w:tab/>
      </w:r>
      <w:r>
        <w:rPr>
          <w:rFonts w:ascii="Courier New" w:cs="Courier New" w:eastAsia="Courier New" w:hAnsi="Courier New"/>
          <w:sz w:val="14"/>
          <w:szCs w:val="14"/>
          <w:color w:val="auto"/>
        </w:rPr>
        <w:t>RESIDENTIAL</w:t>
      </w:r>
      <w:r>
        <w:rPr>
          <w:sz w:val="20"/>
          <w:szCs w:val="20"/>
          <w:color w:val="auto"/>
        </w:rPr>
        <w:tab/>
      </w:r>
      <w:r>
        <w:rPr>
          <w:rFonts w:ascii="Courier New" w:cs="Courier New" w:eastAsia="Courier New" w:hAnsi="Courier New"/>
          <w:sz w:val="14"/>
          <w:szCs w:val="14"/>
          <w:color w:val="auto"/>
        </w:rPr>
        <w:t>COMMERCIAL</w:t>
      </w:r>
      <w:r>
        <w:rPr>
          <w:sz w:val="20"/>
          <w:szCs w:val="20"/>
          <w:color w:val="auto"/>
        </w:rPr>
        <w:tab/>
      </w:r>
      <w:r>
        <w:rPr>
          <w:rFonts w:ascii="Courier New" w:cs="Courier New" w:eastAsia="Courier New" w:hAnsi="Courier New"/>
          <w:sz w:val="14"/>
          <w:szCs w:val="14"/>
          <w:color w:val="auto"/>
        </w:rPr>
        <w:t>AGRICULTURAL</w:t>
      </w:r>
    </w:p>
    <w:p>
      <w:pPr>
        <w:spacing w:after="0" w:line="7" w:lineRule="exact"/>
        <w:rPr>
          <w:sz w:val="20"/>
          <w:szCs w:val="20"/>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ACRES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Palm Coast Holdings</w:t>
            </w:r>
          </w:p>
        </w:tc>
        <w:tc>
          <w:tcPr>
            <w:tcW w:w="23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80%</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2006</w:t>
            </w:r>
          </w:p>
        </w:tc>
        <w:tc>
          <w:tcPr>
            <w:tcW w:w="2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1,404</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139</w:t>
            </w: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Change in Estimate</w:t>
            </w:r>
          </w:p>
        </w:tc>
        <w:tc>
          <w:tcPr>
            <w:tcW w:w="2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(666)</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(474)</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(244)</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101</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580"/>
        <w:spacing w:after="0"/>
        <w:tabs>
          <w:tab w:leader="none" w:pos="5760" w:val="left"/>
          <w:tab w:leader="none" w:pos="6880" w:val="left"/>
          <w:tab w:leader="none" w:pos="8080" w:val="left"/>
          <w:tab w:leader="none" w:pos="9300" w:val="left"/>
        </w:tabs>
        <w:rPr>
          <w:sz w:val="20"/>
          <w:szCs w:val="20"/>
          <w:color w:val="auto"/>
        </w:rPr>
      </w:pPr>
      <w:r>
        <w:rPr>
          <w:rFonts w:ascii="Courier New" w:cs="Courier New" w:eastAsia="Courier New" w:hAnsi="Courier New"/>
          <w:sz w:val="14"/>
          <w:szCs w:val="14"/>
          <w:color w:val="auto"/>
        </w:rPr>
        <w:t>1,470</w:t>
      </w:r>
      <w:r>
        <w:rPr>
          <w:sz w:val="20"/>
          <w:szCs w:val="20"/>
          <w:color w:val="auto"/>
        </w:rPr>
        <w:tab/>
      </w:r>
      <w:r>
        <w:rPr>
          <w:rFonts w:ascii="Courier New" w:cs="Courier New" w:eastAsia="Courier New" w:hAnsi="Courier New"/>
          <w:sz w:val="14"/>
          <w:szCs w:val="14"/>
          <w:color w:val="auto"/>
        </w:rPr>
        <w:t>930</w:t>
      </w:r>
      <w:r>
        <w:rPr>
          <w:sz w:val="20"/>
          <w:szCs w:val="20"/>
          <w:color w:val="auto"/>
        </w:rPr>
        <w:tab/>
      </w: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348</w:t>
      </w:r>
      <w:r>
        <w:rPr>
          <w:sz w:val="20"/>
          <w:szCs w:val="20"/>
          <w:color w:val="auto"/>
        </w:rPr>
        <w:tab/>
      </w:r>
      <w:r>
        <w:rPr>
          <w:rFonts w:ascii="Courier New" w:cs="Courier New" w:eastAsia="Courier New" w:hAnsi="Courier New"/>
          <w:sz w:val="13"/>
          <w:szCs w:val="13"/>
          <w:color w:val="auto"/>
        </w:rPr>
        <w:t>90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Lehigh</w:t>
            </w:r>
          </w:p>
        </w:tc>
        <w:tc>
          <w:tcPr>
            <w:tcW w:w="244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80%</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2006</w:t>
            </w:r>
          </w:p>
        </w:tc>
        <w:tc>
          <w:tcPr>
            <w:tcW w:w="2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223</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Change in Estimate</w:t>
            </w:r>
          </w:p>
        </w:tc>
        <w:tc>
          <w:tcPr>
            <w:tcW w:w="24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740"/>
        <w:spacing w:after="0"/>
        <w:tabs>
          <w:tab w:leader="none" w:pos="5940" w:val="left"/>
          <w:tab w:leader="none" w:pos="6880" w:val="left"/>
          <w:tab w:leader="none" w:pos="8180" w:val="left"/>
          <w:tab w:leader="none" w:pos="9380" w:val="left"/>
        </w:tabs>
        <w:rPr>
          <w:sz w:val="20"/>
          <w:szCs w:val="20"/>
          <w:color w:val="auto"/>
        </w:rPr>
      </w:pPr>
      <w:r>
        <w:rPr>
          <w:rFonts w:ascii="Courier New" w:cs="Courier New" w:eastAsia="Courier New" w:hAnsi="Courier New"/>
          <w:sz w:val="14"/>
          <w:szCs w:val="14"/>
          <w:color w:val="auto"/>
        </w:rPr>
        <w:t>223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140</w:t>
      </w:r>
      <w:r>
        <w:rPr>
          <w:sz w:val="20"/>
          <w:szCs w:val="20"/>
          <w:color w:val="auto"/>
        </w:rPr>
        <w:tab/>
      </w: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Cape Coral</w:t>
            </w:r>
          </w:p>
        </w:tc>
        <w:tc>
          <w:tcPr>
            <w:tcW w:w="272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2006</w:t>
            </w:r>
          </w:p>
        </w:tc>
        <w:tc>
          <w:tcPr>
            <w:tcW w:w="2720" w:type="dxa"/>
            <w:vAlign w:val="bottom"/>
          </w:tcPr>
          <w:p>
            <w:pPr>
              <w:ind w:left="2040"/>
              <w:spacing w:after="0"/>
              <w:rPr>
                <w:sz w:val="20"/>
                <w:szCs w:val="20"/>
                <w:color w:val="auto"/>
              </w:rPr>
            </w:pPr>
            <w:r>
              <w:rPr>
                <w:rFonts w:ascii="Courier New" w:cs="Courier New" w:eastAsia="Courier New" w:hAnsi="Courier New"/>
                <w:sz w:val="14"/>
                <w:szCs w:val="14"/>
                <w:color w:val="auto"/>
              </w:rPr>
              <w:t>30</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1240" w:type="dxa"/>
            <w:vAlign w:val="bottom"/>
          </w:tcPr>
          <w:p>
            <w:pPr>
              <w:ind w:left="520"/>
              <w:spacing w:after="0"/>
              <w:rPr>
                <w:sz w:val="20"/>
                <w:szCs w:val="20"/>
                <w:color w:val="auto"/>
              </w:rPr>
            </w:pPr>
            <w:r>
              <w:rPr>
                <w:rFonts w:ascii="Courier New" w:cs="Courier New" w:eastAsia="Courier New" w:hAnsi="Courier New"/>
                <w:sz w:val="14"/>
                <w:szCs w:val="14"/>
                <w:color w:val="auto"/>
              </w:rPr>
              <w:t>29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720" w:type="dxa"/>
            <w:vAlign w:val="bottom"/>
          </w:tcPr>
          <w:p>
            <w:pPr>
              <w:ind w:left="20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520"/>
              <w:spacing w:after="0"/>
              <w:rPr>
                <w:sz w:val="20"/>
                <w:szCs w:val="20"/>
                <w:color w:val="auto"/>
              </w:rPr>
            </w:pPr>
            <w:r>
              <w:rPr>
                <w:rFonts w:ascii="Courier New" w:cs="Courier New" w:eastAsia="Courier New" w:hAnsi="Courier New"/>
                <w:sz w:val="14"/>
                <w:szCs w:val="14"/>
                <w:color w:val="auto"/>
              </w:rPr>
              <w:t>(3)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840"/>
        <w:spacing w:after="0"/>
        <w:tabs>
          <w:tab w:leader="none" w:pos="5940" w:val="left"/>
          <w:tab w:leader="none" w:pos="7060" w:val="left"/>
          <w:tab w:leader="none" w:pos="8180" w:val="left"/>
          <w:tab w:leader="none" w:pos="938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26</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700" w:type="dxa"/>
            <w:vAlign w:val="bottom"/>
          </w:tcPr>
          <w:p>
            <w:pPr>
              <w:jc w:val="right"/>
              <w:ind w:right="180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2006</w:t>
            </w:r>
          </w:p>
        </w:tc>
        <w:tc>
          <w:tcPr>
            <w:tcW w:w="2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934</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934</w:t>
            </w: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7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(364)</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(364)</w:t>
            </w:r>
          </w:p>
        </w:tc>
      </w:tr>
      <w:tr>
        <w:trPr>
          <w:trHeight w:val="0"/>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Change in Estimate</w:t>
            </w:r>
          </w:p>
        </w:tc>
        <w:tc>
          <w:tcPr>
            <w:tcW w:w="27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(113)</w:t>
            </w:r>
          </w:p>
        </w:tc>
        <w:tc>
          <w:tcPr>
            <w:tcW w:w="10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740"/>
        <w:spacing w:after="0"/>
        <w:tabs>
          <w:tab w:leader="none" w:pos="5940" w:val="left"/>
          <w:tab w:leader="none" w:pos="7060" w:val="left"/>
          <w:tab w:leader="none" w:pos="8260" w:val="left"/>
          <w:tab w:leader="none" w:pos="9200" w:val="left"/>
        </w:tabs>
        <w:rPr>
          <w:sz w:val="20"/>
          <w:szCs w:val="20"/>
          <w:color w:val="auto"/>
        </w:rPr>
      </w:pPr>
      <w:r>
        <w:rPr>
          <w:rFonts w:ascii="Courier New" w:cs="Courier New" w:eastAsia="Courier New" w:hAnsi="Courier New"/>
          <w:sz w:val="14"/>
          <w:szCs w:val="14"/>
          <w:color w:val="auto"/>
        </w:rPr>
        <w:t>457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580"/>
        <w:spacing w:after="0"/>
        <w:tabs>
          <w:tab w:leader="none" w:pos="5760" w:val="left"/>
          <w:tab w:leader="none" w:pos="6880" w:val="left"/>
          <w:tab w:leader="none" w:pos="8080" w:val="left"/>
          <w:tab w:leader="none" w:pos="9200" w:val="left"/>
        </w:tabs>
        <w:rPr>
          <w:sz w:val="20"/>
          <w:szCs w:val="20"/>
          <w:color w:val="auto"/>
        </w:rPr>
      </w:pPr>
      <w:r>
        <w:rPr>
          <w:rFonts w:ascii="Courier New" w:cs="Courier New" w:eastAsia="Courier New" w:hAnsi="Courier New"/>
          <w:sz w:val="14"/>
          <w:szCs w:val="14"/>
          <w:color w:val="auto"/>
        </w:rPr>
        <w:t>2,177</w:t>
      </w:r>
      <w:r>
        <w:rPr>
          <w:sz w:val="20"/>
          <w:szCs w:val="20"/>
          <w:color w:val="auto"/>
        </w:rPr>
        <w:tab/>
      </w:r>
      <w:r>
        <w:rPr>
          <w:rFonts w:ascii="Courier New" w:cs="Courier New" w:eastAsia="Courier New" w:hAnsi="Courier New"/>
          <w:sz w:val="14"/>
          <w:szCs w:val="14"/>
          <w:color w:val="auto"/>
        </w:rPr>
        <w:t>930</w:t>
      </w:r>
      <w:r>
        <w:rPr>
          <w:sz w:val="20"/>
          <w:szCs w:val="20"/>
          <w:color w:val="auto"/>
        </w:rPr>
        <w:tab/>
      </w:r>
      <w:r>
        <w:rPr>
          <w:rFonts w:ascii="Courier New" w:cs="Courier New" w:eastAsia="Courier New" w:hAnsi="Courier New"/>
          <w:sz w:val="14"/>
          <w:szCs w:val="14"/>
          <w:color w:val="auto"/>
        </w:rPr>
        <w:t>243</w:t>
      </w:r>
      <w:r>
        <w:rPr>
          <w:sz w:val="20"/>
          <w:szCs w:val="20"/>
          <w:color w:val="auto"/>
        </w:rPr>
        <w:tab/>
      </w:r>
      <w:r>
        <w:rPr>
          <w:rFonts w:ascii="Courier New" w:cs="Courier New" w:eastAsia="Courier New" w:hAnsi="Courier New"/>
          <w:sz w:val="14"/>
          <w:szCs w:val="14"/>
          <w:color w:val="auto"/>
        </w:rPr>
        <w:t>448</w:t>
      </w:r>
      <w:r>
        <w:rPr>
          <w:sz w:val="20"/>
          <w:szCs w:val="20"/>
          <w:color w:val="auto"/>
        </w:rPr>
        <w:tab/>
      </w:r>
      <w:r>
        <w:rPr>
          <w:rFonts w:ascii="Courier New" w:cs="Courier New" w:eastAsia="Courier New" w:hAnsi="Courier New"/>
          <w:sz w:val="14"/>
          <w:szCs w:val="14"/>
          <w:color w:val="auto"/>
        </w:rPr>
        <w:t>556</w:t>
      </w:r>
    </w:p>
    <w:p>
      <w:pPr>
        <w:spacing w:after="0" w:line="7" w:lineRule="exact"/>
        <w:rPr>
          <w:sz w:val="20"/>
          <w:szCs w:val="20"/>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520" w:right="680" w:hanging="345"/>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Acreage amounts are approximate and shown on a gross basis, including wetlands and minority interest. Acreage amounts may vary due to platting or surveying activity. Wetland amounts vary by property and are often not</w:t>
      </w:r>
    </w:p>
    <w:p>
      <w:pPr>
        <w:sectPr>
          <w:pgSz w:w="11900" w:h="16890" w:orient="portrait"/>
          <w:cols w:equalWidth="0" w:num="1">
            <w:col w:w="10600"/>
          </w:cols>
          <w:pgMar w:left="220" w:top="616" w:right="1079" w:bottom="0" w:gutter="0" w:footer="0" w:header="0"/>
        </w:sectPr>
      </w:pPr>
    </w:p>
    <w:bookmarkStart w:id="28" w:name="page29"/>
    <w:bookmarkEnd w:id="28"/>
    <w:p>
      <w:pPr>
        <w:ind w:left="340"/>
        <w:spacing w:after="0"/>
        <w:tabs>
          <w:tab w:leader="none" w:pos="1180" w:val="left"/>
          <w:tab w:leader="none" w:pos="2220" w:val="left"/>
          <w:tab w:leader="none" w:pos="3940" w:val="left"/>
        </w:tabs>
        <w:rPr>
          <w:sz w:val="20"/>
          <w:szCs w:val="20"/>
          <w:color w:val="auto"/>
        </w:rPr>
      </w:pPr>
      <w:r>
        <w:rPr>
          <w:rFonts w:ascii="Courier New" w:cs="Courier New" w:eastAsia="Courier New" w:hAnsi="Courier New"/>
          <w:sz w:val="14"/>
          <w:szCs w:val="14"/>
          <w:color w:val="auto"/>
        </w:rPr>
        <w:t>formally</w:t>
        <w:tab/>
        <w:t>determined</w:t>
        <w:tab/>
        <w:t>prior to sale. The</w:t>
        <w:tab/>
        <w:t>actual property allocation at full</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these estimates.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Includes land located in Palm Coast, Florida not included in development projects.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build-out may be different than</w:t>
      </w:r>
    </w:p>
    <w:p>
      <w:pPr>
        <w:spacing w:after="0" w:line="531" w:lineRule="exact"/>
        <w:rPr>
          <w:sz w:val="20"/>
          <w:szCs w:val="20"/>
          <w:color w:val="auto"/>
        </w:rPr>
      </w:pPr>
    </w:p>
    <w:p>
      <w:pPr>
        <w:sectPr>
          <w:pgSz w:w="11900" w:h="16838" w:orient="portrait"/>
          <w:cols w:equalWidth="0" w:num="2">
            <w:col w:w="7060" w:space="0"/>
            <w:col w:w="2999"/>
          </w:cols>
          <w:pgMar w:left="400" w:top="141" w:right="1440" w:bottom="1440" w:gutter="0" w:footer="0" w:header="0"/>
        </w:sectPr>
      </w:pPr>
    </w:p>
    <w:p>
      <w:pPr>
        <w:spacing w:after="0" w:line="304" w:lineRule="exact"/>
        <w:rPr>
          <w:sz w:val="20"/>
          <w:szCs w:val="20"/>
          <w:color w:val="auto"/>
        </w:rPr>
      </w:pPr>
    </w:p>
    <w:p>
      <w:pPr>
        <w:jc w:val="center"/>
        <w:ind w:left="560"/>
        <w:spacing w:after="0"/>
        <w:rPr>
          <w:sz w:val="20"/>
          <w:szCs w:val="20"/>
          <w:color w:val="auto"/>
        </w:rPr>
      </w:pPr>
      <w:r>
        <w:rPr>
          <w:rFonts w:ascii="Courier New" w:cs="Courier New" w:eastAsia="Courier New" w:hAnsi="Courier New"/>
          <w:sz w:val="14"/>
          <w:szCs w:val="14"/>
          <w:color w:val="auto"/>
        </w:rPr>
        <w:t>ALLETE Second Quarter 2007 Form 10-Q</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2">
            <w:col w:w="5820" w:space="720"/>
            <w:col w:w="3519"/>
          </w:cols>
          <w:pgMar w:left="400" w:top="141" w:right="1440" w:bottom="1440" w:gutter="0" w:footer="0" w:header="0"/>
          <w:type w:val="continuous"/>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OUTLOOK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INCOME TAXES. ALLETE's aggregate federal and multi-state statutory tax rate is expected to be approximately 40% for 2007. On an ongoing basis ALLETE, has certain tax credits and other tax adjustments that will reduce the expected effective tax rate to approximately 37% for 2007. These tax credits and adjustments historically have included items such as investment tax credits, depletion allowances, Medicare health subsidies as well as other items. The effective rate will also be impacted by such items as changes in income from operations before minority interest and income taxes, state and federal tax law changes that become effective during the year, business combinations and configuration changes, tax planning initiatives and resolution of prior years' tax matters. Based upon our earnings per share guidance for 2007, we now expect our effective tax rate for 2007 to be approximately 37%.</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 ACTIVITIES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believe our financial condition is strong, as evidenced by cash and cash equivalents and short-term investments of $158.9 million, and a debt to total capital ratio of 38 percent at June 30, 2007.</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OPERATING ACTIVITIES. Cash flows from operating activities were $52.3 million for the six months ended June 30, 2007 ($36.4 million for the six months ended June 30, 2006). Cash from operating activities was higher in 2007, primarily due to increased earnings from continuing operations compared to 2006 and no cash used for discontinued operations in 2007. Cash used for discontinued operations was higher in 2006 due to the payment of $13.0 million of accrued liabilities from 2005. Cash flow from accounts receivable collections in 2006 was higher due to the collection of deferred fuel cost billings related to outages in late 2005. Cash used for prepayments and other is higher in 2007 due to an $11.2 million change in deferred fuel costs yet to be recovered through future billings. The increases in deferred fuel costs are a result of higher purchased power expenses due to generation outages relating to the AREA Plan environmental retrofits, lower hydro generation and lower Square Butte entitlement.</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INVESTING ACTIVITIES. Cash flow used in investing activities was $102.3 million for the six months ended June 30, 2007 ($45.3 million for the six months ended June 30, 2006). Cash used in investing activities was higher in 2007 due to additions to property, plant and equipment and activity within our short-term investment portfolio. Additions to property, plant and equipment were higher in 2007 than 2006 by $34.8 million primarily due to major environmental construction projects. Activity within our short-term investment portfolio reflected increased net purchases of short-term investments of $17.3 million in 2007, while 2006 included $3.5 million of net purchases.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FINANCING ACTIVITIES. Cash flow from financing activities was $42.3 million for the six months ended June 30, 2007 (used for financing activities was $17.9 million for the six months ended June 30, 2006). The increase in cash flows from financing activities is due to $50 million of unsecured notes issued in the private placement market in June 2007. (See Securities below and Note 4.)</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WORKING CAPITAL. Additional working capital, if and when needed, generally is provided by the sale of commercial paper. We have 0.3 million original issue shares of our common stock available for issuance through Invest Direct, our direct stock purchase and dividend reinvestment plan. We have bank lines of credit aggregating $170.0 million, the majority of which expire in January 2012. The amount and timing of future sales of our securities will depend upon market conditions and our specific needs. We may sell securities to meet capital requirements, to provide for the retirement or early redemption of issues of long-term debt, to reduce short-term debt and for other corporate purposes.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June 8, 2007, we issued $50 million of senior unsecured notes (Notes) in the private placement market. The Notes bear an interest rate of 5.99 percent and will mature on June 1, 2017. The Company has the option to prepay all or a portion of the Notes at its discretion, subject to a make-whole provision. The Company intends to use the proceeds from the sale of the Notes to fund utility capital projects and for general corporate purposes.</w:t>
      </w:r>
    </w:p>
    <w:p>
      <w:pPr>
        <w:spacing w:after="0" w:line="164"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ALLETE Second Quarter 2007 Form 10-Q</w:t>
      </w:r>
    </w:p>
    <w:p>
      <w:pPr>
        <w:sectPr>
          <w:pgSz w:w="11900" w:h="16838" w:orient="portrait"/>
          <w:cols w:equalWidth="0" w:num="1">
            <w:col w:w="10239"/>
          </w:cols>
          <w:pgMar w:left="220" w:top="616"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LIQUIDITY AND CAPITAL RESOURCES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ARRANGEMENTS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Off-balance sheet arrangements are summarized in our 2006 Form 10-K, with additional disclosure discussed in Note 11 of this Form 10-Q.</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REQUIREMENTS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For the six months ended June 30, 2007, capital expenditures for continuing operations totaled $71.3 million ($35.3 million in 2006), which were spent in the Regulated Utility segment using a combination of internally generated funds and debt issuances.</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Real estate development expenditures are and will be funded with a revolving development loan, tax-exempt bonds issued by community development districts and internally generated funds. Additional disclosure regarding the Town Center and Palm Coast Park district tax-exempt bonds is included in Note 11 of this Form 10-Q.</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 AND OTHER</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As previously discussed in our Critical Accounting Policies section, our businesses are subject to regulation of environmental matters by various federal, state and local authorities. Due to restrictive environmental requirements through legislation and/or rulemaking in the future, we anticipate that potential expenditures for environmental matters will be material and will require significant capital investments. We are unable to predict the outcome of the matters discussed in Note 11 of this Form 10-Q.</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 are discussed in Note 1.</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INVESTMENTS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AVAILABLE-FOR-SALE SECURITIES. As of June 30, 2007, our available-for-sale securities portfolio consisted of securities in a grantor trust established to fund certain employee benefits included in Investments, and various auction rate bonds and variable rate demand notes included in Short-Term Investments. Our available-for-sale securities portfolio had a fair value of $151.7 million at June 30, 2007 ($130.1 million at December 31, 2006) and a total unrealized after-tax gain of $5.0 million at June 30, 2007 ($4.0 million at December 31, 2006).</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use the specific identification method as the basis for determining the cost of securities sold. Our policy is to review, on a quarterly basis, available-for-sale securities for other than temporary impairment by assessing such factors as share price trends and the impact of overall market conditions. As a result of our periodic assessments, we did not record any impairments on our available-for-sale securities for the quarter ended June 30, 2007.</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EMERGING TECHNOLOGY PORTFOLIO. As part of our emerging technology portfolio, we have several minority investments in venture capital funds and direct investments in privately-held, start-up companies. We account for our investments in venture capital funds under the equity method and account for our direct investments in privately-held companies under the cost method based primarily on our ownership percentages. The total carrying value of our emerging technology portfolio was $9.0 million at June 30, 2007 ($9.2 million at December 31, 2006). Our policy is to review these investments quarterly for impairment by assessing such factors as continued commercial viability of products, cash flow and earnings. Any impairment would reduce the carrying value of the investment. As a result of our periodic assessments, we did not record any impairments on our emerging technology portfolio for the quarter ended June 30, 2007. Our basis in direct investments in privately-held companies included in the emerging technology portfolio was zero at both June 30, 2007 and December 31, 2006.</w:t>
      </w:r>
    </w:p>
    <w:p>
      <w:pPr>
        <w:spacing w:after="0" w:line="162" w:lineRule="exact"/>
        <w:rPr>
          <w:sz w:val="20"/>
          <w:szCs w:val="20"/>
          <w:color w:val="auto"/>
        </w:rPr>
      </w:pPr>
    </w:p>
    <w:tbl>
      <w:tblPr>
        <w:tblLayout w:type="fixed"/>
        <w:tblInd w:w="182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2007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bl>
    <w:p>
      <w:pPr>
        <w:sectPr>
          <w:pgSz w:w="11900" w:h="16838" w:orient="portrait"/>
          <w:cols w:equalWidth="0" w:num="1">
            <w:col w:w="10239"/>
          </w:cols>
          <w:pgMar w:left="220" w:top="616" w:right="1440" w:bottom="1440" w:gutter="0" w:footer="0" w:header="0"/>
        </w:sectPr>
      </w:pPr>
    </w:p>
    <w:bookmarkStart w:id="31" w:name="page32"/>
    <w:bookmarkEnd w:id="31"/>
    <w:p>
      <w:pPr>
        <w:spacing w:after="0"/>
        <w:tabs>
          <w:tab w:leader="none" w:pos="840" w:val="left"/>
        </w:tabs>
        <w:rPr>
          <w:sz w:val="20"/>
          <w:szCs w:val="20"/>
          <w:color w:val="auto"/>
        </w:rPr>
      </w:pPr>
      <w:r>
        <w:rPr>
          <w:rFonts w:ascii="Courier New" w:cs="Courier New" w:eastAsia="Courier New" w:hAnsi="Courier New"/>
          <w:sz w:val="14"/>
          <w:szCs w:val="14"/>
          <w:color w:val="auto"/>
        </w:rPr>
        <w:t>ITEM 3.</w:t>
        <w:tab/>
        <w:t>QUANTITATIVE AND QUALITATIVE DISCLOSURES ABOUT MARKET RISK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COMMODITY PRICE RISK</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resulted in a rate credit. We seek to prudently manage our customers' exposure to price risk by entering into contracts of various durations and terms for the purchase of coal and power (in Minnesota), power and natural gas (in Wisconsin), and related transportation costs.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MARKETING</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power marketing activities consist of (1) purchasing energy in the wholesale market for resale in our regulated service territories when retail energy requirements exceed generation output and (2) selling excess available generation and purchased power.</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From time to time, our utility operations may have excess generation that is temporarily not required by retail and municipal customers in our regulated service territory. We actively sell this generation to the wholesale market to optimize the value of our generating facilities. This generation is typically sold in the MISO market at market prices.</w:t>
      </w:r>
    </w:p>
    <w:p>
      <w:pPr>
        <w:spacing w:after="0" w:line="165"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Approximately 200 MW of generation from our Taconite Harbor facility in northern Minnesota has been sold through various long-term capacity and energy contracts. Long-term, we have entered into two capacity and energy sales contracts totaling 175 MW (201 MW including a 15 percent reserve), which were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a fixed minimum charge or an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exposure. Outages with less than two months notice are subject to an annual duration limitation typical of this type of contract. We also have a 50-MW capacity and energy sales contract that extends through April 2008, with formula pricing based on variable production cost of a combustion-turbine, natural gas unit.</w:t>
      </w:r>
    </w:p>
    <w:p>
      <w:pPr>
        <w:spacing w:after="0" w:line="33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CONTROLS AND PROCEDURES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maintain a system of controls and procedures designed to provide reasonable assurance as to the reliability of the financial statements and other disclosures included in this report, as well as to safeguard assets from unauthorized use or disposition. We evaluated the effectiveness of the design and operation of our disclosure controls and procedures under the supervision and with the participation of management, including our chief executive officer and chief financial officer, as of the end of the period covered by this Form 10-Q. Based upon that evaluation, our chief executive officer and chief financial officer concluded that our disclosure controls and procedures are effective. While we continue to enhance our internal control over financial reporting, 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328"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29</w:t>
      </w:r>
      <w:r>
        <w:rPr>
          <w:sz w:val="20"/>
          <w:szCs w:val="20"/>
          <w:color w:val="auto"/>
        </w:rPr>
        <w:tab/>
      </w:r>
      <w:r>
        <w:rPr>
          <w:rFonts w:ascii="Courier New" w:cs="Courier New" w:eastAsia="Courier New" w:hAnsi="Courier New"/>
          <w:sz w:val="14"/>
          <w:szCs w:val="14"/>
          <w:color w:val="auto"/>
        </w:rPr>
        <w:t>ALLETE Second Quarter 2007 Form 10-Q</w:t>
      </w:r>
    </w:p>
    <w:p>
      <w:pPr>
        <w:sectPr>
          <w:pgSz w:w="11900" w:h="16838" w:orient="portrait"/>
          <w:cols w:equalWidth="0" w:num="1">
            <w:col w:w="10239"/>
          </w:cols>
          <w:pgMar w:left="220" w:top="616" w:right="1440" w:bottom="1440" w:gutter="0" w:footer="0" w:header="0"/>
        </w:sectPr>
      </w:pPr>
    </w:p>
    <w:bookmarkStart w:id="32" w:name="page33"/>
    <w:bookmarkEnd w:id="32"/>
    <w:p>
      <w:pPr>
        <w:spacing w:after="0"/>
        <w:tabs>
          <w:tab w:leader="none" w:pos="940" w:val="left"/>
        </w:tabs>
        <w:rPr>
          <w:sz w:val="20"/>
          <w:szCs w:val="20"/>
          <w:color w:val="auto"/>
        </w:rPr>
      </w:pPr>
      <w:r>
        <w:rPr>
          <w:rFonts w:ascii="Courier New" w:cs="Courier New" w:eastAsia="Courier New" w:hAnsi="Courier New"/>
          <w:sz w:val="14"/>
          <w:szCs w:val="14"/>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Material legal and regulatory proceedings are included in the discussion of Other Information in Part II, Item 5 and/or Note 11 of this Form 10-Q, and are incorporated by reference herein.</w:t>
      </w:r>
    </w:p>
    <w:p>
      <w:pPr>
        <w:spacing w:after="0" w:line="16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1A.</w:t>
      </w:r>
      <w:r>
        <w:rPr>
          <w:sz w:val="20"/>
          <w:szCs w:val="20"/>
          <w:color w:val="auto"/>
        </w:rPr>
        <w:tab/>
      </w:r>
      <w:r>
        <w:rPr>
          <w:rFonts w:ascii="Courier New" w:cs="Courier New" w:eastAsia="Courier New" w:hAnsi="Courier New"/>
          <w:sz w:val="14"/>
          <w:szCs w:val="14"/>
          <w:color w:val="auto"/>
        </w:rPr>
        <w:t>RISK FACTORS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There have been no material changes from the risk factors disclosed under the heading "Risk Factors" in Part I, Item 1A of our 2006 Form 10-K.</w:t>
      </w:r>
    </w:p>
    <w:p>
      <w:pPr>
        <w:spacing w:after="0" w:line="16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UNREGISTERED SALES OF EQUITY SECURITIES AND USE OF PROCEEDS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DEFAULTS UPON SENIOR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left="440" w:hanging="432"/>
        <w:spacing w:after="0"/>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held our Annual Meeting of Shareholders on May 8, 2007.</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(c) below.</w:t>
      </w:r>
    </w:p>
    <w:p>
      <w:pPr>
        <w:spacing w:after="0" w:line="172"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election of directors and the ratification of the appointment of PricewaterhouseCoopers LLP, as the Company's independent registered public accounting firm for 2007, were voted on at the 2007 Annual Meeting of Shareholders.</w:t>
      </w:r>
    </w:p>
    <w:p>
      <w:pPr>
        <w:spacing w:after="0" w:line="16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results were as follows:</w:t>
      </w:r>
    </w:p>
    <w:p>
      <w:pPr>
        <w:spacing w:after="0" w:line="200" w:lineRule="exact"/>
        <w:rPr>
          <w:sz w:val="20"/>
          <w:szCs w:val="20"/>
          <w:color w:val="auto"/>
        </w:rPr>
      </w:pPr>
    </w:p>
    <w:p>
      <w:pPr>
        <w:spacing w:after="0" w:line="304"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VOTES</w:t>
      </w:r>
    </w:p>
    <w:p>
      <w:pPr>
        <w:spacing w:after="0" w:line="7" w:lineRule="exact"/>
        <w:rPr>
          <w:sz w:val="20"/>
          <w:szCs w:val="20"/>
          <w:color w:val="auto"/>
        </w:rPr>
      </w:pPr>
    </w:p>
    <w:p>
      <w:pPr>
        <w:ind w:left="3980"/>
        <w:spacing w:after="0"/>
        <w:tabs>
          <w:tab w:leader="none" w:pos="5680" w:val="left"/>
        </w:tabs>
        <w:rPr>
          <w:sz w:val="20"/>
          <w:szCs w:val="20"/>
          <w:color w:val="auto"/>
        </w:rPr>
      </w:pPr>
      <w:r>
        <w:rPr>
          <w:rFonts w:ascii="Courier New" w:cs="Courier New" w:eastAsia="Courier New" w:hAnsi="Courier New"/>
          <w:sz w:val="14"/>
          <w:szCs w:val="14"/>
          <w:color w:val="auto"/>
        </w:rPr>
        <w:t>VOTES FOR</w:t>
      </w:r>
      <w:r>
        <w:rPr>
          <w:sz w:val="20"/>
          <w:szCs w:val="20"/>
          <w:color w:val="auto"/>
        </w:rPr>
        <w:tab/>
      </w:r>
      <w:r>
        <w:rPr>
          <w:rFonts w:ascii="Courier New" w:cs="Courier New" w:eastAsia="Courier New" w:hAnsi="Courier New"/>
          <w:sz w:val="14"/>
          <w:szCs w:val="14"/>
          <w:color w:val="auto"/>
        </w:rPr>
        <w:t>WITHHELD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1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Kathleen</w:t>
            </w:r>
          </w:p>
        </w:tc>
        <w:tc>
          <w:tcPr>
            <w:tcW w:w="1800" w:type="dxa"/>
            <w:vAlign w:val="bottom"/>
          </w:tcPr>
          <w:p>
            <w:pPr>
              <w:spacing w:after="0"/>
              <w:rPr>
                <w:sz w:val="20"/>
                <w:szCs w:val="20"/>
                <w:color w:val="auto"/>
              </w:rPr>
            </w:pPr>
            <w:r>
              <w:rPr>
                <w:rFonts w:ascii="Courier New" w:cs="Courier New" w:eastAsia="Courier New" w:hAnsi="Courier New"/>
                <w:sz w:val="14"/>
                <w:szCs w:val="14"/>
                <w:color w:val="auto"/>
              </w:rPr>
              <w:t>A. Brekken</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25,871,813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418,468</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Heidi J.</w:t>
            </w:r>
          </w:p>
        </w:tc>
        <w:tc>
          <w:tcPr>
            <w:tcW w:w="1800" w:type="dxa"/>
            <w:vAlign w:val="bottom"/>
          </w:tcPr>
          <w:p>
            <w:pPr>
              <w:spacing w:after="0"/>
              <w:rPr>
                <w:sz w:val="20"/>
                <w:szCs w:val="20"/>
                <w:color w:val="auto"/>
              </w:rPr>
            </w:pPr>
            <w:r>
              <w:rPr>
                <w:rFonts w:ascii="Courier New" w:cs="Courier New" w:eastAsia="Courier New" w:hAnsi="Courier New"/>
                <w:sz w:val="14"/>
                <w:szCs w:val="14"/>
                <w:color w:val="auto"/>
              </w:rPr>
              <w:t>Eddins</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23,456,099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2,834,183</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Sidney W.</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Emery, Jr.</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25,848,429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441,853</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James J.</w:t>
            </w:r>
          </w:p>
        </w:tc>
        <w:tc>
          <w:tcPr>
            <w:tcW w:w="1800" w:type="dxa"/>
            <w:vAlign w:val="bottom"/>
          </w:tcPr>
          <w:p>
            <w:pPr>
              <w:spacing w:after="0"/>
              <w:rPr>
                <w:sz w:val="20"/>
                <w:szCs w:val="20"/>
                <w:color w:val="auto"/>
              </w:rPr>
            </w:pPr>
            <w:r>
              <w:rPr>
                <w:rFonts w:ascii="Courier New" w:cs="Courier New" w:eastAsia="Courier New" w:hAnsi="Courier New"/>
                <w:sz w:val="14"/>
                <w:szCs w:val="14"/>
                <w:color w:val="auto"/>
              </w:rPr>
              <w:t>Hoolihan</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23,331,033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2,959,249</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Madeleine</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W. Ludlow</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23,456,062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2,834,220</w:t>
            </w:r>
          </w:p>
        </w:tc>
      </w:tr>
      <w:tr>
        <w:trPr>
          <w:trHeight w:val="166"/>
        </w:trPr>
        <w:tc>
          <w:tcPr>
            <w:tcW w:w="2580" w:type="dxa"/>
            <w:vAlign w:val="bottom"/>
            <w:gridSpan w:val="2"/>
          </w:tcPr>
          <w:p>
            <w:pPr>
              <w:spacing w:after="0"/>
              <w:rPr>
                <w:sz w:val="20"/>
                <w:szCs w:val="20"/>
                <w:color w:val="auto"/>
              </w:rPr>
            </w:pPr>
            <w:r>
              <w:rPr>
                <w:rFonts w:ascii="Courier New" w:cs="Courier New" w:eastAsia="Courier New" w:hAnsi="Courier New"/>
                <w:sz w:val="14"/>
                <w:szCs w:val="14"/>
                <w:color w:val="auto"/>
              </w:rPr>
              <w:t>George L. Mayer</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23,319,274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2,971,008</w:t>
            </w:r>
          </w:p>
        </w:tc>
      </w:tr>
      <w:tr>
        <w:trPr>
          <w:trHeight w:val="166"/>
        </w:trPr>
        <w:tc>
          <w:tcPr>
            <w:tcW w:w="2580" w:type="dxa"/>
            <w:vAlign w:val="bottom"/>
            <w:gridSpan w:val="2"/>
          </w:tcPr>
          <w:p>
            <w:pPr>
              <w:spacing w:after="0"/>
              <w:rPr>
                <w:sz w:val="20"/>
                <w:szCs w:val="20"/>
                <w:color w:val="auto"/>
              </w:rPr>
            </w:pPr>
            <w:r>
              <w:rPr>
                <w:rFonts w:ascii="Courier New" w:cs="Courier New" w:eastAsia="Courier New" w:hAnsi="Courier New"/>
                <w:sz w:val="14"/>
                <w:szCs w:val="14"/>
                <w:color w:val="auto"/>
              </w:rPr>
              <w:t>Roger D. Peirce</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23,298,748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2,991,533</w:t>
            </w:r>
          </w:p>
        </w:tc>
      </w:tr>
      <w:tr>
        <w:trPr>
          <w:trHeight w:val="166"/>
        </w:trPr>
        <w:tc>
          <w:tcPr>
            <w:tcW w:w="2580" w:type="dxa"/>
            <w:vAlign w:val="bottom"/>
            <w:gridSpan w:val="2"/>
          </w:tcPr>
          <w:p>
            <w:pPr>
              <w:spacing w:after="0"/>
              <w:rPr>
                <w:sz w:val="20"/>
                <w:szCs w:val="20"/>
                <w:color w:val="auto"/>
              </w:rPr>
            </w:pPr>
            <w:r>
              <w:rPr>
                <w:rFonts w:ascii="Courier New" w:cs="Courier New" w:eastAsia="Courier New" w:hAnsi="Courier New"/>
                <w:sz w:val="14"/>
                <w:szCs w:val="14"/>
                <w:color w:val="auto"/>
              </w:rPr>
              <w:t>Jack I. Rajala</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22,694,844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3,595,438</w:t>
            </w:r>
          </w:p>
        </w:tc>
      </w:tr>
      <w:tr>
        <w:trPr>
          <w:trHeight w:val="166"/>
        </w:trPr>
        <w:tc>
          <w:tcPr>
            <w:tcW w:w="2580" w:type="dxa"/>
            <w:vAlign w:val="bottom"/>
            <w:gridSpan w:val="2"/>
          </w:tcPr>
          <w:p>
            <w:pPr>
              <w:spacing w:after="0"/>
              <w:rPr>
                <w:sz w:val="20"/>
                <w:szCs w:val="20"/>
                <w:color w:val="auto"/>
              </w:rPr>
            </w:pPr>
            <w:r>
              <w:rPr>
                <w:rFonts w:ascii="Courier New" w:cs="Courier New" w:eastAsia="Courier New" w:hAnsi="Courier New"/>
                <w:sz w:val="14"/>
                <w:szCs w:val="14"/>
                <w:color w:val="auto"/>
              </w:rPr>
              <w:t>Donald J. Shippar</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23,247,493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3,042,789</w:t>
            </w:r>
          </w:p>
        </w:tc>
      </w:tr>
      <w:tr>
        <w:trPr>
          <w:trHeight w:val="166"/>
        </w:trPr>
        <w:tc>
          <w:tcPr>
            <w:tcW w:w="2580" w:type="dxa"/>
            <w:vAlign w:val="bottom"/>
            <w:gridSpan w:val="2"/>
          </w:tcPr>
          <w:p>
            <w:pPr>
              <w:spacing w:after="0"/>
              <w:rPr>
                <w:sz w:val="20"/>
                <w:szCs w:val="20"/>
                <w:color w:val="auto"/>
              </w:rPr>
            </w:pPr>
            <w:r>
              <w:rPr>
                <w:rFonts w:ascii="Courier New" w:cs="Courier New" w:eastAsia="Courier New" w:hAnsi="Courier New"/>
                <w:sz w:val="14"/>
                <w:szCs w:val="14"/>
                <w:color w:val="auto"/>
              </w:rPr>
              <w:t>Bruce W. Stender</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23,319,884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2,970,398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5860"/>
        <w:spacing w:after="0"/>
        <w:tabs>
          <w:tab w:leader="none" w:pos="9120" w:val="left"/>
        </w:tabs>
        <w:rPr>
          <w:sz w:val="20"/>
          <w:szCs w:val="20"/>
          <w:color w:val="auto"/>
        </w:rPr>
      </w:pPr>
      <w:r>
        <w:rPr>
          <w:rFonts w:ascii="Courier New" w:cs="Courier New" w:eastAsia="Courier New" w:hAnsi="Courier New"/>
          <w:sz w:val="14"/>
          <w:szCs w:val="14"/>
          <w:color w:val="auto"/>
        </w:rPr>
        <w:t>VOTES</w:t>
      </w:r>
      <w:r>
        <w:rPr>
          <w:sz w:val="20"/>
          <w:szCs w:val="20"/>
          <w:color w:val="auto"/>
        </w:rPr>
        <w:tab/>
      </w:r>
      <w:r>
        <w:rPr>
          <w:rFonts w:ascii="Courier New" w:cs="Courier New" w:eastAsia="Courier New" w:hAnsi="Courier New"/>
          <w:sz w:val="14"/>
          <w:szCs w:val="14"/>
          <w:color w:val="auto"/>
        </w:rPr>
        <w:t>BROKER</w:t>
      </w:r>
    </w:p>
    <w:p>
      <w:pPr>
        <w:spacing w:after="0" w:line="7" w:lineRule="exact"/>
        <w:rPr>
          <w:sz w:val="20"/>
          <w:szCs w:val="20"/>
          <w:color w:val="auto"/>
        </w:rPr>
      </w:pPr>
    </w:p>
    <w:p>
      <w:pPr>
        <w:ind w:left="3980"/>
        <w:spacing w:after="0"/>
        <w:tabs>
          <w:tab w:leader="none" w:pos="5760" w:val="left"/>
          <w:tab w:leader="none" w:pos="7220" w:val="left"/>
          <w:tab w:leader="none" w:pos="9040" w:val="left"/>
        </w:tabs>
        <w:rPr>
          <w:sz w:val="20"/>
          <w:szCs w:val="20"/>
          <w:color w:val="auto"/>
        </w:rPr>
      </w:pPr>
      <w:r>
        <w:rPr>
          <w:rFonts w:ascii="Courier New" w:cs="Courier New" w:eastAsia="Courier New" w:hAnsi="Courier New"/>
          <w:sz w:val="14"/>
          <w:szCs w:val="14"/>
          <w:color w:val="auto"/>
        </w:rPr>
        <w:t>VOTES FOR</w:t>
      </w:r>
      <w:r>
        <w:rPr>
          <w:sz w:val="20"/>
          <w:szCs w:val="20"/>
          <w:color w:val="auto"/>
        </w:rPr>
        <w:tab/>
      </w:r>
      <w:r>
        <w:rPr>
          <w:rFonts w:ascii="Courier New" w:cs="Courier New" w:eastAsia="Courier New" w:hAnsi="Courier New"/>
          <w:sz w:val="14"/>
          <w:szCs w:val="14"/>
          <w:color w:val="auto"/>
        </w:rPr>
        <w:t>AGAINST</w:t>
      </w:r>
      <w:r>
        <w:rPr>
          <w:sz w:val="20"/>
          <w:szCs w:val="20"/>
          <w:color w:val="auto"/>
        </w:rPr>
        <w:tab/>
      </w:r>
      <w:r>
        <w:rPr>
          <w:rFonts w:ascii="Courier New" w:cs="Courier New" w:eastAsia="Courier New" w:hAnsi="Courier New"/>
          <w:sz w:val="14"/>
          <w:szCs w:val="14"/>
          <w:color w:val="auto"/>
        </w:rPr>
        <w:t>ABSTENTIONS</w:t>
      </w:r>
      <w:r>
        <w:rPr>
          <w:sz w:val="20"/>
          <w:szCs w:val="20"/>
          <w:color w:val="auto"/>
        </w:rPr>
        <w:tab/>
      </w:r>
      <w:r>
        <w:rPr>
          <w:rFonts w:ascii="Courier New" w:cs="Courier New" w:eastAsia="Courier New" w:hAnsi="Courier New"/>
          <w:sz w:val="14"/>
          <w:szCs w:val="14"/>
          <w:color w:val="auto"/>
        </w:rPr>
        <w:t>NONVOTES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INDEPENDENT REGISTERED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PUBLIC ACCOUNTING FIRM</w:t>
      </w:r>
    </w:p>
    <w:p>
      <w:pPr>
        <w:spacing w:after="0" w:line="173" w:lineRule="exact"/>
        <w:rPr>
          <w:sz w:val="20"/>
          <w:szCs w:val="20"/>
          <w:color w:val="auto"/>
        </w:rPr>
      </w:pPr>
    </w:p>
    <w:p>
      <w:pPr>
        <w:ind w:left="440"/>
        <w:spacing w:after="0"/>
        <w:tabs>
          <w:tab w:leader="none" w:pos="3860" w:val="left"/>
          <w:tab w:leader="none" w:pos="5760" w:val="left"/>
          <w:tab w:leader="none" w:pos="7480" w:val="left"/>
          <w:tab w:leader="none" w:pos="9380" w:val="left"/>
        </w:tabs>
        <w:rPr>
          <w:sz w:val="20"/>
          <w:szCs w:val="20"/>
          <w:color w:val="auto"/>
        </w:rPr>
      </w:pPr>
      <w:r>
        <w:rPr>
          <w:rFonts w:ascii="Courier New" w:cs="Courier New" w:eastAsia="Courier New" w:hAnsi="Courier New"/>
          <w:sz w:val="14"/>
          <w:szCs w:val="14"/>
          <w:color w:val="auto"/>
        </w:rPr>
        <w:t>PricewaterhouseCoopers LLP</w:t>
      </w:r>
      <w:r>
        <w:rPr>
          <w:sz w:val="20"/>
          <w:szCs w:val="20"/>
          <w:color w:val="auto"/>
        </w:rPr>
        <w:tab/>
      </w:r>
      <w:r>
        <w:rPr>
          <w:rFonts w:ascii="Courier New" w:cs="Courier New" w:eastAsia="Courier New" w:hAnsi="Courier New"/>
          <w:sz w:val="14"/>
          <w:szCs w:val="14"/>
          <w:color w:val="auto"/>
        </w:rPr>
        <w:t>25,633,128</w:t>
      </w:r>
      <w:r>
        <w:rPr>
          <w:sz w:val="20"/>
          <w:szCs w:val="20"/>
          <w:color w:val="auto"/>
        </w:rPr>
        <w:tab/>
      </w:r>
      <w:r>
        <w:rPr>
          <w:rFonts w:ascii="Courier New" w:cs="Courier New" w:eastAsia="Courier New" w:hAnsi="Courier New"/>
          <w:sz w:val="14"/>
          <w:szCs w:val="14"/>
          <w:color w:val="auto"/>
        </w:rPr>
        <w:t>516,411</w:t>
      </w:r>
      <w:r>
        <w:rPr>
          <w:sz w:val="20"/>
          <w:szCs w:val="20"/>
          <w:color w:val="auto"/>
        </w:rPr>
        <w:tab/>
      </w:r>
      <w:r>
        <w:rPr>
          <w:rFonts w:ascii="Courier New" w:cs="Courier New" w:eastAsia="Courier New" w:hAnsi="Courier New"/>
          <w:sz w:val="14"/>
          <w:szCs w:val="14"/>
          <w:color w:val="auto"/>
        </w:rPr>
        <w:t>140,740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20"/>
                <w:szCs w:val="20"/>
                <w:color w:val="auto"/>
              </w:rPr>
            </w:pPr>
            <w:r>
              <w:rPr>
                <w:rFonts w:ascii="Courier New" w:cs="Courier New" w:eastAsia="Courier New" w:hAnsi="Courier New"/>
                <w:sz w:val="14"/>
                <w:szCs w:val="14"/>
                <w:color w:val="auto"/>
              </w:rPr>
              <w:t>(d) Not applicable.</w:t>
            </w:r>
          </w:p>
        </w:tc>
        <w:tc>
          <w:tcPr>
            <w:tcW w:w="1040" w:type="dxa"/>
            <w:vAlign w:val="bottom"/>
          </w:tcPr>
          <w:p>
            <w:pPr>
              <w:spacing w:after="0"/>
              <w:rPr>
                <w:sz w:val="14"/>
                <w:szCs w:val="14"/>
                <w:color w:val="auto"/>
              </w:rPr>
            </w:pPr>
          </w:p>
        </w:tc>
      </w:tr>
      <w:tr>
        <w:trPr>
          <w:trHeight w:val="331"/>
        </w:trPr>
        <w:tc>
          <w:tcPr>
            <w:tcW w:w="5860" w:type="dxa"/>
            <w:vAlign w:val="bottom"/>
          </w:tcPr>
          <w:p>
            <w:pPr>
              <w:ind w:left="1900"/>
              <w:spacing w:after="0"/>
              <w:rPr>
                <w:sz w:val="20"/>
                <w:szCs w:val="20"/>
                <w:color w:val="auto"/>
              </w:rPr>
            </w:pPr>
            <w:r>
              <w:rPr>
                <w:rFonts w:ascii="Courier New" w:cs="Courier New" w:eastAsia="Courier New" w:hAnsi="Courier New"/>
                <w:sz w:val="14"/>
                <w:szCs w:val="14"/>
                <w:color w:val="auto"/>
              </w:rPr>
              <w:t>ALLETE Second Quarter 2007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ectPr>
          <w:pgSz w:w="11900" w:h="16838" w:orient="portrait"/>
          <w:cols w:equalWidth="0" w:num="1">
            <w:col w:w="10239"/>
          </w:cols>
          <w:pgMar w:left="220" w:top="616" w:right="1440" w:bottom="1440" w:gutter="0" w:footer="0" w:header="0"/>
        </w:sectPr>
      </w:pPr>
    </w:p>
    <w:bookmarkStart w:id="33" w:name="page34"/>
    <w:bookmarkEnd w:id="33"/>
    <w:p>
      <w:pPr>
        <w:spacing w:after="0"/>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73" w:lineRule="exact"/>
        <w:rPr>
          <w:sz w:val="20"/>
          <w:szCs w:val="20"/>
          <w:color w:val="auto"/>
        </w:rPr>
      </w:pPr>
    </w:p>
    <w:p>
      <w:pPr>
        <w:jc w:val="both"/>
        <w:ind w:right="3360"/>
        <w:spacing w:after="0" w:line="252" w:lineRule="auto"/>
        <w:rPr>
          <w:sz w:val="20"/>
          <w:szCs w:val="20"/>
          <w:color w:val="auto"/>
        </w:rPr>
      </w:pPr>
      <w:r>
        <w:rPr>
          <w:rFonts w:ascii="Courier New" w:cs="Courier New" w:eastAsia="Courier New" w:hAnsi="Courier New"/>
          <w:sz w:val="14"/>
          <w:szCs w:val="14"/>
          <w:color w:val="auto"/>
        </w:rPr>
        <w:t>Reference is made to our 2006 Form 10-K for background information on the following updates. Unless otherwise indicated, cited references are to our 2006 Form 10-K.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17 - Real Estate, First Full Paragraph</w:t>
      </w:r>
    </w:p>
    <w:p>
      <w:pPr>
        <w:spacing w:after="0" w:line="173"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In June 2007, LRCF Palm Coast, LLC (Lowe Enterprises) closed on the first parcel of the Sawmill Creek project at Palm Coast Park for $13.1 million pursuant to revised contract terms. Under the amended contract, the total purchase price under contract was reduced from $52.5 million to $42.0 million. In addition to the base price, the amended contract allows us to receive participation revenue from land sales to third parties if various formula based criteria are achieved. Current contract terms with Lowe Enterprises allow for extensions on the remaining three closings. The final closings will occur through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49 - Contractual Obligations, First Full Paragraph and First Table</w:t>
      </w:r>
    </w:p>
    <w:p>
      <w:pPr>
        <w:spacing w:after="0" w:line="173"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Unconditional purchase obligations represent our Square Butte power purchase agreements, minimum purchase commitments under coal and rail contracts, and have been updated to reflect additional purchase obligations for capital expenditures related to the Taconite Ridge Wind Facility, AREA and Boswell Unit 3 environmental upgrade projects. The amounts included in the less than 1 year column include amounts already paid in 2007.</w:t>
      </w:r>
    </w:p>
    <w:p>
      <w:pPr>
        <w:spacing w:after="0" w:line="200" w:lineRule="exact"/>
        <w:rPr>
          <w:sz w:val="20"/>
          <w:szCs w:val="20"/>
          <w:color w:val="auto"/>
        </w:rPr>
      </w:pPr>
    </w:p>
    <w:p>
      <w:pPr>
        <w:spacing w:after="0" w:line="296"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PAYMENTS DUE BY PERIOD</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160" w:val="left"/>
          <w:tab w:leader="none" w:pos="6700" w:val="left"/>
          <w:tab w:leader="none" w:pos="8000" w:val="left"/>
          <w:tab w:leader="none" w:pos="9460" w:val="left"/>
        </w:tabs>
        <w:rPr>
          <w:sz w:val="20"/>
          <w:szCs w:val="20"/>
          <w:color w:val="auto"/>
        </w:rPr>
      </w:pPr>
      <w:r>
        <w:rPr>
          <w:rFonts w:ascii="Courier New" w:cs="Courier New" w:eastAsia="Courier New" w:hAnsi="Courier New"/>
          <w:sz w:val="14"/>
          <w:szCs w:val="14"/>
          <w:color w:val="auto"/>
        </w:rPr>
        <w:t>CONTRACTUAL OBLIGATIONS</w:t>
      </w:r>
      <w:r>
        <w:rPr>
          <w:sz w:val="20"/>
          <w:szCs w:val="20"/>
          <w:color w:val="auto"/>
        </w:rPr>
        <w:tab/>
      </w:r>
      <w:r>
        <w:rPr>
          <w:rFonts w:ascii="Courier New" w:cs="Courier New" w:eastAsia="Courier New" w:hAnsi="Courier New"/>
          <w:sz w:val="14"/>
          <w:szCs w:val="14"/>
          <w:color w:val="auto"/>
        </w:rPr>
        <w:t>LESS THAN</w:t>
      </w:r>
      <w:r>
        <w:rPr>
          <w:sz w:val="20"/>
          <w:szCs w:val="20"/>
          <w:color w:val="auto"/>
        </w:rPr>
        <w:tab/>
      </w:r>
      <w:r>
        <w:rPr>
          <w:rFonts w:ascii="Courier New" w:cs="Courier New" w:eastAsia="Courier New" w:hAnsi="Courier New"/>
          <w:sz w:val="14"/>
          <w:szCs w:val="14"/>
          <w:color w:val="auto"/>
        </w:rPr>
        <w:t>1 TO 3</w:t>
      </w:r>
      <w:r>
        <w:rPr>
          <w:sz w:val="20"/>
          <w:szCs w:val="20"/>
          <w:color w:val="auto"/>
        </w:rPr>
        <w:tab/>
      </w:r>
      <w:r>
        <w:rPr>
          <w:rFonts w:ascii="Courier New" w:cs="Courier New" w:eastAsia="Courier New" w:hAnsi="Courier New"/>
          <w:sz w:val="14"/>
          <w:szCs w:val="14"/>
          <w:color w:val="auto"/>
        </w:rPr>
        <w:t>4 TO 5</w:t>
      </w:r>
      <w:r>
        <w:rPr>
          <w:sz w:val="20"/>
          <w:szCs w:val="20"/>
          <w:color w:val="auto"/>
        </w:rPr>
        <w:tab/>
      </w:r>
      <w:r>
        <w:rPr>
          <w:rFonts w:ascii="Courier New" w:cs="Courier New" w:eastAsia="Courier New" w:hAnsi="Courier New"/>
          <w:sz w:val="14"/>
          <w:szCs w:val="14"/>
          <w:color w:val="auto"/>
        </w:rPr>
        <w:t>AFTER</w:t>
      </w:r>
    </w:p>
    <w:p>
      <w:pPr>
        <w:spacing w:after="0" w:line="7" w:lineRule="exact"/>
        <w:rPr>
          <w:sz w:val="20"/>
          <w:szCs w:val="20"/>
          <w:color w:val="auto"/>
        </w:rPr>
      </w:pPr>
    </w:p>
    <w:p>
      <w:pPr>
        <w:spacing w:after="0"/>
        <w:tabs>
          <w:tab w:leader="none" w:pos="4040" w:val="left"/>
          <w:tab w:leader="none" w:pos="5240" w:val="left"/>
          <w:tab w:leader="none" w:pos="6800" w:val="left"/>
          <w:tab w:leader="none" w:pos="8080" w:val="left"/>
          <w:tab w:leader="none" w:pos="9380" w:val="left"/>
        </w:tabs>
        <w:rPr>
          <w:sz w:val="20"/>
          <w:szCs w:val="20"/>
          <w:color w:val="auto"/>
        </w:rPr>
      </w:pPr>
      <w:r>
        <w:rPr>
          <w:rFonts w:ascii="Courier New" w:cs="Courier New" w:eastAsia="Courier New" w:hAnsi="Courier New"/>
          <w:sz w:val="14"/>
          <w:szCs w:val="14"/>
          <w:color w:val="auto"/>
        </w:rPr>
        <w:t>AS OF DECEMBER 31, 2006</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 YEAR</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5 YEARS</w:t>
      </w:r>
    </w:p>
    <w:p>
      <w:pPr>
        <w:spacing w:after="0" w:line="7"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02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639.7</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$ 46.7</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$ 65.1</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$31.2</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$496.7</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Operating Lease Obligations</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45.8</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Unconditional</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Purchase Obligations</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487.5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177.9</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183.3</w:t>
            </w:r>
          </w:p>
        </w:tc>
      </w:tr>
      <w:tr>
        <w:trPr>
          <w:trHeight w:val="0"/>
        </w:trPr>
        <w:tc>
          <w:tcPr>
            <w:tcW w:w="1220" w:type="dxa"/>
            <w:vAlign w:val="bottom"/>
          </w:tcPr>
          <w:p>
            <w:pPr>
              <w:spacing w:after="0"/>
              <w:rPr>
                <w:sz w:val="20"/>
                <w:szCs w:val="20"/>
                <w:color w:val="auto"/>
              </w:rPr>
            </w:pPr>
            <w:r>
              <w:rPr>
                <w:rFonts w:ascii="Courier New" w:cs="Courier New" w:eastAsia="Courier New" w:hAnsi="Courier New"/>
                <w:sz w:val="14"/>
                <w:szCs w:val="14"/>
                <w:color w:val="auto"/>
              </w:rPr>
              <w:t>Investment in</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ATC</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880"/>
        <w:spacing w:after="0"/>
        <w:tabs>
          <w:tab w:leader="none" w:pos="5240" w:val="left"/>
          <w:tab w:leader="none" w:pos="6700" w:val="left"/>
          <w:tab w:leader="none" w:pos="8080" w:val="left"/>
          <w:tab w:leader="none" w:pos="9380" w:val="left"/>
        </w:tabs>
        <w:rPr>
          <w:sz w:val="20"/>
          <w:szCs w:val="20"/>
          <w:color w:val="auto"/>
        </w:rPr>
      </w:pPr>
      <w:r>
        <w:rPr>
          <w:rFonts w:ascii="Courier New" w:cs="Courier New" w:eastAsia="Courier New" w:hAnsi="Courier New"/>
          <w:sz w:val="14"/>
          <w:szCs w:val="14"/>
          <w:color w:val="auto"/>
        </w:rPr>
        <w:t>$1,222.3</w:t>
      </w:r>
      <w:r>
        <w:rPr>
          <w:sz w:val="20"/>
          <w:szCs w:val="20"/>
          <w:color w:val="auto"/>
        </w:rPr>
        <w:tab/>
      </w:r>
      <w:r>
        <w:rPr>
          <w:rFonts w:ascii="Courier New" w:cs="Courier New" w:eastAsia="Courier New" w:hAnsi="Courier New"/>
          <w:sz w:val="14"/>
          <w:szCs w:val="14"/>
          <w:color w:val="auto"/>
        </w:rPr>
        <w:t>$241.4</w:t>
      </w:r>
      <w:r>
        <w:rPr>
          <w:sz w:val="20"/>
          <w:szCs w:val="20"/>
          <w:color w:val="auto"/>
        </w:rPr>
        <w:tab/>
      </w:r>
      <w:r>
        <w:rPr>
          <w:rFonts w:ascii="Courier New" w:cs="Courier New" w:eastAsia="Courier New" w:hAnsi="Courier New"/>
          <w:sz w:val="14"/>
          <w:szCs w:val="14"/>
          <w:color w:val="auto"/>
        </w:rPr>
        <w:t>$186.3</w:t>
      </w:r>
      <w:r>
        <w:rPr>
          <w:sz w:val="20"/>
          <w:szCs w:val="20"/>
          <w:color w:val="auto"/>
        </w:rPr>
        <w:tab/>
      </w:r>
      <w:r>
        <w:rPr>
          <w:rFonts w:ascii="Courier New" w:cs="Courier New" w:eastAsia="Courier New" w:hAnsi="Courier New"/>
          <w:sz w:val="14"/>
          <w:szCs w:val="14"/>
          <w:color w:val="auto"/>
        </w:rPr>
        <w:t>$68.8</w:t>
      </w:r>
      <w:r>
        <w:rPr>
          <w:sz w:val="20"/>
          <w:szCs w:val="20"/>
          <w:color w:val="auto"/>
        </w:rPr>
        <w:tab/>
      </w:r>
      <w:r>
        <w:rPr>
          <w:rFonts w:ascii="Courier New" w:cs="Courier New" w:eastAsia="Courier New" w:hAnsi="Courier New"/>
          <w:sz w:val="14"/>
          <w:szCs w:val="14"/>
          <w:color w:val="auto"/>
        </w:rPr>
        <w:t>$725.8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60"/>
          </w:cols>
          <w:pgMar w:left="220" w:top="616" w:right="1419" w:bottom="1440" w:gutter="0" w:footer="0" w:header="0"/>
        </w:sectPr>
      </w:pP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Includes interest and assumes variable interest rate in effect at December 31, 2006,</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remains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constant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through</w:t>
      </w:r>
    </w:p>
    <w:p>
      <w:pPr>
        <w:spacing w:after="0" w:line="7" w:lineRule="exact"/>
        <w:rPr>
          <w:sz w:val="20"/>
          <w:szCs w:val="20"/>
          <w:color w:val="auto"/>
        </w:rPr>
      </w:pPr>
    </w:p>
    <w:p>
      <w:pPr>
        <w:sectPr>
          <w:pgSz w:w="11900" w:h="16838" w:orient="portrait"/>
          <w:cols w:equalWidth="0" w:num="4">
            <w:col w:w="7320" w:space="180"/>
            <w:col w:w="600" w:space="180"/>
            <w:col w:w="680" w:space="180"/>
            <w:col w:w="1120"/>
          </w:cols>
          <w:pgMar w:left="220" w:top="616" w:right="141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remaining term.</w:t>
      </w:r>
    </w:p>
    <w:p>
      <w:pPr>
        <w:sectPr>
          <w:pgSz w:w="11900" w:h="16838" w:orient="portrait"/>
          <w:cols w:equalWidth="0" w:num="1">
            <w:col w:w="10260"/>
          </w:cols>
          <w:pgMar w:left="220" w:top="616"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76 - Fuel Clause Recovery of MISO Day 2 Costs, First Full Paragraph</w:t>
      </w:r>
    </w:p>
    <w:p>
      <w:pPr>
        <w:spacing w:after="0" w:line="173"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On January 8, 2007, the Minnesota Office of Attorney General petitioned for reconsideration of the MPUC's December 20, 2006, order. On February 15, 2007, the MPUC declined to address the Minnesota Office of Attorney General's request for reconsideration. On April 10, 2007, the Minnesota Office of Attorney General filed an appeal with the Minnesota Court of Appeals. The appeal does not alter current cost recovery of MISO charges in accordance with the MPUC's order. Minnesota Power timely responded to the Minnesota Office of Attorney General's notice of filing. On June 25, 2007, the Minnesota Office of Attorney General filed its initial brief. Minnesota Power filed reply briefs on July 30, 2007.</w:t>
      </w:r>
    </w:p>
    <w:p>
      <w:pPr>
        <w:spacing w:after="0" w:line="164"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ALLETE Second Quarter 2007 Form 10-Q</w:t>
      </w:r>
    </w:p>
    <w:p>
      <w:pPr>
        <w:sectPr>
          <w:pgSz w:w="11900" w:h="16838" w:orient="portrait"/>
          <w:cols w:equalWidth="0" w:num="1">
            <w:col w:w="10260"/>
          </w:cols>
          <w:pgMar w:left="220" w:top="616" w:right="1419" w:bottom="1440" w:gutter="0" w:footer="0" w:header="0"/>
          <w:type w:val="continuous"/>
        </w:sectPr>
      </w:pPr>
    </w:p>
    <w:bookmarkStart w:id="34" w:name="page35"/>
    <w:bookmarkEnd w:id="34"/>
    <w:p>
      <w:pPr>
        <w:spacing w:after="0"/>
        <w:tabs>
          <w:tab w:leader="none" w:pos="94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173" w:lineRule="exact"/>
        <w:rPr>
          <w:sz w:val="20"/>
          <w:szCs w:val="20"/>
          <w:color w:val="auto"/>
        </w:rPr>
      </w:pPr>
    </w:p>
    <w:p>
      <w:pPr>
        <w:jc w:val="both"/>
        <w:ind w:left="960" w:right="3339" w:hanging="859"/>
        <w:spacing w:after="0" w:line="252" w:lineRule="auto"/>
        <w:tabs>
          <w:tab w:leader="none" w:pos="940" w:val="left"/>
        </w:tabs>
        <w:rPr>
          <w:sz w:val="20"/>
          <w:szCs w:val="20"/>
          <w:color w:val="auto"/>
        </w:rPr>
      </w:pPr>
      <w:r>
        <w:rPr>
          <w:rFonts w:ascii="Courier New" w:cs="Courier New" w:eastAsia="Courier New" w:hAnsi="Courier New"/>
          <w:sz w:val="14"/>
          <w:szCs w:val="14"/>
          <w:color w:val="auto"/>
        </w:rPr>
        <w:t>10(a)</w:t>
      </w:r>
      <w:r>
        <w:rPr>
          <w:sz w:val="20"/>
          <w:szCs w:val="20"/>
          <w:color w:val="auto"/>
        </w:rPr>
        <w:tab/>
      </w:r>
      <w:r>
        <w:rPr>
          <w:rFonts w:ascii="Courier New" w:cs="Courier New" w:eastAsia="Courier New" w:hAnsi="Courier New"/>
          <w:sz w:val="14"/>
          <w:szCs w:val="14"/>
          <w:color w:val="auto"/>
        </w:rPr>
        <w:t>Note Purchase Agreement, dated as of June 8, 2007, between ALLETE and Thrivent Financial for Lutherans and The Northwestern Mutual Life Insurance Company.</w:t>
      </w:r>
    </w:p>
    <w:p>
      <w:pPr>
        <w:spacing w:after="0" w:line="163" w:lineRule="exact"/>
        <w:rPr>
          <w:sz w:val="20"/>
          <w:szCs w:val="20"/>
          <w:color w:val="auto"/>
        </w:rPr>
      </w:pPr>
    </w:p>
    <w:p>
      <w:pPr>
        <w:ind w:left="100"/>
        <w:spacing w:after="0"/>
        <w:tabs>
          <w:tab w:leader="none" w:pos="940" w:val="left"/>
        </w:tabs>
        <w:rPr>
          <w:sz w:val="20"/>
          <w:szCs w:val="20"/>
          <w:color w:val="auto"/>
        </w:rPr>
      </w:pPr>
      <w:r>
        <w:rPr>
          <w:rFonts w:ascii="Courier New" w:cs="Courier New" w:eastAsia="Courier New" w:hAnsi="Courier New"/>
          <w:sz w:val="14"/>
          <w:szCs w:val="14"/>
          <w:color w:val="auto"/>
        </w:rPr>
        <w:t>31(a)</w:t>
      </w:r>
      <w:r>
        <w:rPr>
          <w:sz w:val="20"/>
          <w:szCs w:val="20"/>
          <w:color w:val="auto"/>
        </w:rPr>
        <w:tab/>
      </w:r>
      <w:r>
        <w:rPr>
          <w:rFonts w:ascii="Courier New" w:cs="Courier New" w:eastAsia="Courier New" w:hAnsi="Courier New"/>
          <w:sz w:val="14"/>
          <w:szCs w:val="14"/>
          <w:color w:val="auto"/>
        </w:rPr>
        <w:t>Rule 13a-14(a)/15d-14(a) Certification by the Chief Executive Officer</w:t>
      </w:r>
    </w:p>
    <w:p>
      <w:pPr>
        <w:spacing w:after="0" w:line="7" w:lineRule="exact"/>
        <w:rPr>
          <w:sz w:val="20"/>
          <w:szCs w:val="20"/>
          <w:color w:val="auto"/>
        </w:rPr>
      </w:pPr>
    </w:p>
    <w:p>
      <w:pPr>
        <w:jc w:val="center"/>
        <w:ind w:right="3239"/>
        <w:spacing w:after="0"/>
        <w:tabs>
          <w:tab w:leader="none" w:pos="160" w:val="left"/>
        </w:tabs>
        <w:rPr>
          <w:sz w:val="20"/>
          <w:szCs w:val="20"/>
          <w:color w:val="auto"/>
        </w:rPr>
      </w:pPr>
      <w:r>
        <w:rPr>
          <w:rFonts w:ascii="Courier New" w:cs="Courier New" w:eastAsia="Courier New" w:hAnsi="Courier New"/>
          <w:sz w:val="14"/>
          <w:szCs w:val="14"/>
          <w:color w:val="auto"/>
        </w:rPr>
        <w:t>Pursuant to Section 302 of the</w:t>
        <w:tab/>
        <w:t>Sarbanes-Oxley Act of 2002.</w:t>
      </w:r>
    </w:p>
    <w:p>
      <w:pPr>
        <w:spacing w:after="0" w:line="173" w:lineRule="exact"/>
        <w:rPr>
          <w:sz w:val="20"/>
          <w:szCs w:val="20"/>
          <w:color w:val="auto"/>
        </w:rPr>
      </w:pPr>
    </w:p>
    <w:p>
      <w:pPr>
        <w:jc w:val="both"/>
        <w:ind w:left="960" w:right="3339" w:hanging="859"/>
        <w:spacing w:after="0" w:line="255" w:lineRule="auto"/>
        <w:tabs>
          <w:tab w:leader="none" w:pos="940" w:val="left"/>
        </w:tabs>
        <w:rPr>
          <w:sz w:val="20"/>
          <w:szCs w:val="20"/>
          <w:color w:val="auto"/>
        </w:rPr>
      </w:pPr>
      <w:r>
        <w:rPr>
          <w:rFonts w:ascii="Courier New" w:cs="Courier New" w:eastAsia="Courier New" w:hAnsi="Courier New"/>
          <w:sz w:val="14"/>
          <w:szCs w:val="14"/>
          <w:color w:val="auto"/>
        </w:rPr>
        <w:t>31(b)</w:t>
      </w:r>
      <w:r>
        <w:rPr>
          <w:sz w:val="20"/>
          <w:szCs w:val="20"/>
          <w:color w:val="auto"/>
        </w:rPr>
        <w:tab/>
      </w:r>
      <w:r>
        <w:rPr>
          <w:rFonts w:ascii="Courier New" w:cs="Courier New" w:eastAsia="Courier New" w:hAnsi="Courier New"/>
          <w:sz w:val="14"/>
          <w:szCs w:val="14"/>
          <w:color w:val="auto"/>
        </w:rPr>
        <w:t>Rule 13a-14(a)/15d-14(a) Certification by the Chief Financial Officer Pursuant to Section 302 of the Sarbanes-Oxley Act of 2002.</w:t>
      </w:r>
    </w:p>
    <w:p>
      <w:pPr>
        <w:spacing w:after="0" w:line="160" w:lineRule="exact"/>
        <w:rPr>
          <w:sz w:val="20"/>
          <w:szCs w:val="20"/>
          <w:color w:val="auto"/>
        </w:rPr>
      </w:pPr>
    </w:p>
    <w:p>
      <w:pPr>
        <w:jc w:val="both"/>
        <w:ind w:left="960" w:right="3339" w:hanging="607"/>
        <w:spacing w:after="0" w:line="252" w:lineRule="auto"/>
        <w:tabs>
          <w:tab w:leader="none" w:pos="9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1350 Certification of Periodic Report by the Chief Executive Officer and Chief Financial Officer Pursuant to Section 906 of the Sarbanes-Oxley Act of 2002.</w:t>
      </w:r>
    </w:p>
    <w:p>
      <w:pPr>
        <w:spacing w:after="0" w:line="16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83"/>
              </w:rPr>
              <w:t>99</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ALLETE</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News</w:t>
            </w:r>
          </w:p>
        </w:tc>
        <w:tc>
          <w:tcPr>
            <w:tcW w:w="3740" w:type="dxa"/>
            <w:vAlign w:val="bottom"/>
          </w:tcPr>
          <w:p>
            <w:pPr>
              <w:jc w:val="right"/>
              <w:spacing w:after="0"/>
              <w:rPr>
                <w:sz w:val="20"/>
                <w:szCs w:val="20"/>
                <w:color w:val="auto"/>
              </w:rPr>
            </w:pPr>
            <w:r>
              <w:rPr>
                <w:rFonts w:ascii="Courier New" w:cs="Courier New" w:eastAsia="Courier New" w:hAnsi="Courier New"/>
                <w:sz w:val="14"/>
                <w:szCs w:val="14"/>
                <w:color w:val="auto"/>
              </w:rPr>
              <w:t>Release dated  July 27, 2007, announcing</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2007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second</w:t>
            </w:r>
          </w:p>
        </w:tc>
      </w:tr>
      <w:tr>
        <w:trPr>
          <w:trHeight w:val="166"/>
        </w:trPr>
        <w:tc>
          <w:tcPr>
            <w:tcW w:w="380" w:type="dxa"/>
            <w:vAlign w:val="bottom"/>
          </w:tcPr>
          <w:p>
            <w:pPr>
              <w:spacing w:after="0"/>
              <w:rPr>
                <w:sz w:val="14"/>
                <w:szCs w:val="14"/>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w w:val="98"/>
              </w:rPr>
              <w:t>quarter</w:t>
            </w:r>
          </w:p>
        </w:tc>
        <w:tc>
          <w:tcPr>
            <w:tcW w:w="4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earnings.  (THIS EXHIBIT HAS BEEN FURNISHED AND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SHALL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NOT BE</w:t>
            </w:r>
          </w:p>
        </w:tc>
      </w:tr>
      <w:tr>
        <w:trPr>
          <w:trHeight w:val="166"/>
        </w:trPr>
        <w:tc>
          <w:tcPr>
            <w:tcW w:w="380" w:type="dxa"/>
            <w:vAlign w:val="bottom"/>
          </w:tcPr>
          <w:p>
            <w:pPr>
              <w:spacing w:after="0"/>
              <w:rPr>
                <w:sz w:val="14"/>
                <w:szCs w:val="14"/>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DEEMED</w:t>
            </w:r>
          </w:p>
        </w:tc>
        <w:tc>
          <w:tcPr>
            <w:tcW w:w="53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"FILED" FOR PURPOSES OF SECTION 18 OF THE SECURITIES  EXCHANGE</w:t>
            </w:r>
          </w:p>
        </w:tc>
      </w:tr>
      <w:tr>
        <w:trPr>
          <w:trHeight w:val="166"/>
        </w:trPr>
        <w:tc>
          <w:tcPr>
            <w:tcW w:w="380" w:type="dxa"/>
            <w:vAlign w:val="bottom"/>
          </w:tcPr>
          <w:p>
            <w:pPr>
              <w:spacing w:after="0"/>
              <w:rPr>
                <w:sz w:val="14"/>
                <w:szCs w:val="14"/>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ACT OF</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1934,</w:t>
            </w:r>
          </w:p>
        </w:tc>
        <w:tc>
          <w:tcPr>
            <w:tcW w:w="4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NOR SHALL IT BE DEEMED  INCORPORATED BY REFERENCE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IN ANY</w:t>
            </w:r>
          </w:p>
        </w:tc>
      </w:tr>
      <w:tr>
        <w:trPr>
          <w:trHeight w:val="166"/>
        </w:trPr>
        <w:tc>
          <w:tcPr>
            <w:tcW w:w="380" w:type="dxa"/>
            <w:vAlign w:val="bottom"/>
          </w:tcPr>
          <w:p>
            <w:pPr>
              <w:spacing w:after="0"/>
              <w:rPr>
                <w:sz w:val="14"/>
                <w:szCs w:val="14"/>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FILING</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UNDER</w:t>
            </w:r>
          </w:p>
        </w:tc>
        <w:tc>
          <w:tcPr>
            <w:tcW w:w="3740" w:type="dxa"/>
            <w:vAlign w:val="bottom"/>
          </w:tcPr>
          <w:p>
            <w:pPr>
              <w:jc w:val="right"/>
              <w:spacing w:after="0"/>
              <w:rPr>
                <w:sz w:val="20"/>
                <w:szCs w:val="20"/>
                <w:color w:val="auto"/>
              </w:rPr>
            </w:pPr>
            <w:r>
              <w:rPr>
                <w:rFonts w:ascii="Courier New" w:cs="Courier New" w:eastAsia="Courier New" w:hAnsi="Courier New"/>
                <w:sz w:val="14"/>
                <w:szCs w:val="14"/>
                <w:color w:val="auto"/>
              </w:rPr>
              <w:t>THE SECURITIES ACT OF 1933, EXCEPT AS SHALL</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 EXPRESSLY</w:t>
            </w:r>
          </w:p>
        </w:tc>
      </w:tr>
      <w:tr>
        <w:trPr>
          <w:trHeight w:val="166"/>
        </w:trPr>
        <w:tc>
          <w:tcPr>
            <w:tcW w:w="38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SET FORTH BY</w:t>
            </w:r>
          </w:p>
        </w:tc>
        <w:tc>
          <w:tcPr>
            <w:tcW w:w="37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SPECIFIC REFERENCE IN SUCH FILING.)</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97"/>
        </w:trPr>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6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ALLETE Second Quarter 2007 Form 10-Q</w:t>
            </w:r>
          </w:p>
        </w:tc>
        <w:tc>
          <w:tcPr>
            <w:tcW w:w="5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bl>
    <w:p>
      <w:pPr>
        <w:sectPr>
          <w:pgSz w:w="11900" w:h="16838" w:orient="portrait"/>
          <w:cols w:equalWidth="0" w:num="1">
            <w:col w:w="10239"/>
          </w:cols>
          <w:pgMar w:left="220" w:top="616" w:right="1440" w:bottom="1440" w:gutter="0" w:footer="0" w:header="0"/>
        </w:sectPr>
      </w:pPr>
    </w:p>
    <w:bookmarkStart w:id="35" w:name="page36"/>
    <w:bookmarkEnd w:id="35"/>
    <w:p>
      <w:pPr>
        <w:ind w:left="3020"/>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0"/>
        <w:spacing w:after="0"/>
        <w:tabs>
          <w:tab w:leader="none" w:pos="920" w:val="left"/>
          <w:tab w:leader="none" w:pos="1620" w:val="left"/>
          <w:tab w:leader="none" w:pos="2220" w:val="left"/>
        </w:tabs>
        <w:rPr>
          <w:sz w:val="20"/>
          <w:szCs w:val="20"/>
          <w:color w:val="auto"/>
        </w:rPr>
      </w:pPr>
      <w:r>
        <w:rPr>
          <w:rFonts w:ascii="Courier New" w:cs="Courier New" w:eastAsia="Courier New" w:hAnsi="Courier New"/>
          <w:sz w:val="14"/>
          <w:szCs w:val="14"/>
          <w:color w:val="auto"/>
        </w:rPr>
        <w:t>Exchange</w:t>
        <w:tab/>
        <w:t>Act of</w:t>
        <w:tab/>
        <w:t>1934,</w:t>
        <w:tab/>
        <w:t>the</w:t>
      </w:r>
    </w:p>
    <w:p>
      <w:pPr>
        <w:spacing w:after="0" w:line="7" w:lineRule="exact"/>
        <w:rPr>
          <w:sz w:val="20"/>
          <w:szCs w:val="20"/>
          <w:color w:val="auto"/>
        </w:rPr>
      </w:pPr>
    </w:p>
    <w:p>
      <w:pPr>
        <w:spacing w:after="0"/>
        <w:tabs>
          <w:tab w:leader="none" w:pos="680" w:val="left"/>
          <w:tab w:leader="none" w:pos="1360" w:val="left"/>
        </w:tabs>
        <w:rPr>
          <w:sz w:val="20"/>
          <w:szCs w:val="20"/>
          <w:color w:val="auto"/>
        </w:rPr>
      </w:pPr>
      <w:r>
        <w:rPr>
          <w:rFonts w:ascii="Courier New" w:cs="Courier New" w:eastAsia="Courier New" w:hAnsi="Courier New"/>
          <w:sz w:val="14"/>
          <w:szCs w:val="14"/>
          <w:color w:val="auto"/>
        </w:rPr>
        <w:t>signed</w:t>
        <w:tab/>
        <w:t>on its</w:t>
        <w:tab/>
        <w:t>behalf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w:t>
      </w:r>
    </w:p>
    <w:p>
      <w:pPr>
        <w:spacing w:after="0" w:line="200" w:lineRule="exact"/>
        <w:rPr>
          <w:sz w:val="20"/>
          <w:szCs w:val="20"/>
          <w:color w:val="auto"/>
        </w:rPr>
      </w:pPr>
    </w:p>
    <w:p>
      <w:pPr>
        <w:sectPr>
          <w:pgSz w:w="11900" w:h="16838" w:orient="portrait"/>
          <w:cols w:equalWidth="0" w:num="2">
            <w:col w:w="4320" w:space="80"/>
            <w:col w:w="5839"/>
          </w:cols>
          <w:pgMar w:left="220" w:top="6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July 26, 2007</w:t>
      </w:r>
      <w:r>
        <w:rPr>
          <w:sz w:val="20"/>
          <w:szCs w:val="20"/>
          <w:color w:val="auto"/>
        </w:rPr>
        <w:tab/>
      </w:r>
      <w:r>
        <w:rPr>
          <w:rFonts w:ascii="Courier New" w:cs="Courier New" w:eastAsia="Courier New" w:hAnsi="Courier New"/>
          <w:sz w:val="14"/>
          <w:szCs w:val="14"/>
          <w:color w:val="auto"/>
        </w:rPr>
        <w:t>Mark A. Schober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Mark A. Schober</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120" w:val="left"/>
        </w:tabs>
        <w:rPr>
          <w:sz w:val="20"/>
          <w:szCs w:val="20"/>
          <w:color w:val="auto"/>
        </w:rPr>
      </w:pPr>
      <w:r>
        <w:rPr>
          <w:rFonts w:ascii="Courier New" w:cs="Courier New" w:eastAsia="Courier New" w:hAnsi="Courier New"/>
          <w:sz w:val="14"/>
          <w:szCs w:val="14"/>
          <w:color w:val="auto"/>
        </w:rPr>
        <w:t>July 26, 2007</w:t>
      </w:r>
      <w:r>
        <w:rPr>
          <w:sz w:val="20"/>
          <w:szCs w:val="20"/>
          <w:color w:val="auto"/>
        </w:rPr>
        <w:tab/>
      </w:r>
      <w:r>
        <w:rPr>
          <w:rFonts w:ascii="Courier New" w:cs="Courier New" w:eastAsia="Courier New" w:hAnsi="Courier New"/>
          <w:sz w:val="14"/>
          <w:szCs w:val="14"/>
          <w:color w:val="auto"/>
        </w:rPr>
        <w:t>Steven Q. DeVinck</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Steven Q. DeVinck</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Controller</w:t>
      </w:r>
    </w:p>
    <w:p>
      <w:pPr>
        <w:sectPr>
          <w:pgSz w:w="11900" w:h="16838" w:orient="portrait"/>
          <w:cols w:equalWidth="0" w:num="1">
            <w:col w:w="10239"/>
          </w:cols>
          <w:pgMar w:left="220" w:top="616" w:right="1440" w:bottom="1440" w:gutter="0" w:footer="0" w:header="0"/>
          <w:type w:val="continuous"/>
        </w:sectPr>
      </w:pPr>
    </w:p>
    <w:bookmarkStart w:id="36" w:name="page37"/>
    <w:bookmarkEnd w:id="36"/>
    <w:p>
      <w:pPr>
        <w:jc w:val="right"/>
        <w:ind w:right="3339"/>
        <w:spacing w:after="0"/>
        <w:rPr>
          <w:sz w:val="20"/>
          <w:szCs w:val="20"/>
          <w:color w:val="auto"/>
        </w:rPr>
      </w:pPr>
      <w:r>
        <w:rPr>
          <w:rFonts w:ascii="Courier New" w:cs="Courier New" w:eastAsia="Courier New" w:hAnsi="Courier New"/>
          <w:sz w:val="14"/>
          <w:szCs w:val="14"/>
          <w:color w:val="auto"/>
        </w:rPr>
        <w:t>EXHIBIT 10(a)</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Second Quarter 2007 Form 10-Q</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ALLETE, INC.</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$50,000,000</w:t>
      </w:r>
    </w:p>
    <w:p>
      <w:pPr>
        <w:spacing w:after="0" w:line="200" w:lineRule="exact"/>
        <w:rPr>
          <w:sz w:val="20"/>
          <w:szCs w:val="20"/>
          <w:color w:val="auto"/>
        </w:rPr>
      </w:pPr>
    </w:p>
    <w:p>
      <w:pPr>
        <w:spacing w:after="0" w:line="304"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5.99% Senior Notes Due June 1, 2017</w:t>
      </w:r>
    </w:p>
    <w:p>
      <w:pPr>
        <w:spacing w:after="0" w:line="200" w:lineRule="exact"/>
        <w:rPr>
          <w:sz w:val="20"/>
          <w:szCs w:val="20"/>
          <w:color w:val="auto"/>
        </w:rPr>
      </w:pPr>
    </w:p>
    <w:p>
      <w:pPr>
        <w:spacing w:after="0" w:line="30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NOTE PURCHASE AGREEMENT</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Dated June 8, 2007</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07" w:right="1440" w:bottom="1440" w:gutter="0" w:footer="0" w:header="0"/>
        </w:sectPr>
      </w:pPr>
    </w:p>
    <w:bookmarkStart w:id="37" w:name="page38"/>
    <w:bookmarkEnd w:id="37"/>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338" w:lineRule="exact"/>
        <w:rPr>
          <w:sz w:val="20"/>
          <w:szCs w:val="20"/>
          <w:color w:val="auto"/>
        </w:rPr>
      </w:pPr>
    </w:p>
    <w:p>
      <w:pPr>
        <w:spacing w:after="0"/>
        <w:tabs>
          <w:tab w:leader="none" w:pos="1020" w:val="left"/>
          <w:tab w:leader="dot" w:pos="6800" w:val="left"/>
        </w:tabs>
        <w:rPr>
          <w:sz w:val="20"/>
          <w:szCs w:val="20"/>
          <w:color w:val="auto"/>
        </w:rPr>
      </w:pPr>
      <w:r>
        <w:rPr>
          <w:rFonts w:ascii="Courier New" w:cs="Courier New" w:eastAsia="Courier New" w:hAnsi="Courier New"/>
          <w:sz w:val="14"/>
          <w:szCs w:val="14"/>
          <w:color w:val="auto"/>
        </w:rPr>
        <w:t>SECTION 1.</w:t>
        <w:tab/>
        <w:t>AUTHORIZATION OF NOTES</w:t>
      </w:r>
      <w:r>
        <w:rPr>
          <w:sz w:val="20"/>
          <w:szCs w:val="20"/>
          <w:color w:val="auto"/>
        </w:rPr>
        <w:tab/>
      </w:r>
      <w:r>
        <w:rPr>
          <w:rFonts w:ascii="Courier New" w:cs="Courier New" w:eastAsia="Courier New" w:hAnsi="Courier New"/>
          <w:sz w:val="13"/>
          <w:szCs w:val="13"/>
          <w:color w:val="auto"/>
        </w:rPr>
        <w:t>1</w:t>
      </w:r>
    </w:p>
    <w:p>
      <w:pPr>
        <w:spacing w:after="0" w:line="338" w:lineRule="exact"/>
        <w:rPr>
          <w:sz w:val="20"/>
          <w:szCs w:val="20"/>
          <w:color w:val="auto"/>
        </w:rPr>
      </w:pPr>
    </w:p>
    <w:p>
      <w:pPr>
        <w:spacing w:after="0"/>
        <w:tabs>
          <w:tab w:leader="none" w:pos="1020" w:val="left"/>
          <w:tab w:leader="dot" w:pos="6800" w:val="left"/>
        </w:tabs>
        <w:rPr>
          <w:sz w:val="20"/>
          <w:szCs w:val="20"/>
          <w:color w:val="auto"/>
        </w:rPr>
      </w:pPr>
      <w:r>
        <w:rPr>
          <w:rFonts w:ascii="Courier New" w:cs="Courier New" w:eastAsia="Courier New" w:hAnsi="Courier New"/>
          <w:sz w:val="14"/>
          <w:szCs w:val="14"/>
          <w:color w:val="auto"/>
        </w:rPr>
        <w:t>SECTION 2.</w:t>
        <w:tab/>
        <w:t>SALE AND PURCHASE OF NOTES</w:t>
      </w:r>
      <w:r>
        <w:rPr>
          <w:sz w:val="20"/>
          <w:szCs w:val="20"/>
          <w:color w:val="auto"/>
        </w:rPr>
        <w:tab/>
      </w:r>
      <w:r>
        <w:rPr>
          <w:rFonts w:ascii="Courier New" w:cs="Courier New" w:eastAsia="Courier New" w:hAnsi="Courier New"/>
          <w:sz w:val="13"/>
          <w:szCs w:val="13"/>
          <w:color w:val="auto"/>
        </w:rPr>
        <w:t>1</w:t>
      </w:r>
    </w:p>
    <w:p>
      <w:pPr>
        <w:spacing w:after="0" w:line="338" w:lineRule="exact"/>
        <w:rPr>
          <w:sz w:val="20"/>
          <w:szCs w:val="20"/>
          <w:color w:val="auto"/>
        </w:rPr>
      </w:pPr>
    </w:p>
    <w:p>
      <w:pPr>
        <w:spacing w:after="0"/>
        <w:tabs>
          <w:tab w:leader="none" w:pos="1020" w:val="left"/>
          <w:tab w:leader="dot" w:pos="6800" w:val="left"/>
        </w:tabs>
        <w:rPr>
          <w:sz w:val="20"/>
          <w:szCs w:val="20"/>
          <w:color w:val="auto"/>
        </w:rPr>
      </w:pPr>
      <w:r>
        <w:rPr>
          <w:rFonts w:ascii="Courier New" w:cs="Courier New" w:eastAsia="Courier New" w:hAnsi="Courier New"/>
          <w:sz w:val="14"/>
          <w:szCs w:val="14"/>
          <w:color w:val="auto"/>
        </w:rPr>
        <w:t>SECTION 3.</w:t>
        <w:tab/>
        <w:t>CLOSING</w:t>
      </w:r>
      <w:r>
        <w:rPr>
          <w:sz w:val="20"/>
          <w:szCs w:val="20"/>
          <w:color w:val="auto"/>
        </w:rPr>
        <w:tab/>
      </w:r>
      <w:r>
        <w:rPr>
          <w:rFonts w:ascii="Courier New" w:cs="Courier New" w:eastAsia="Courier New" w:hAnsi="Courier New"/>
          <w:sz w:val="13"/>
          <w:szCs w:val="13"/>
          <w:color w:val="auto"/>
        </w:rPr>
        <w:t>1</w:t>
      </w:r>
    </w:p>
    <w:p>
      <w:pPr>
        <w:spacing w:after="0" w:line="338" w:lineRule="exact"/>
        <w:rPr>
          <w:sz w:val="20"/>
          <w:szCs w:val="20"/>
          <w:color w:val="auto"/>
        </w:rPr>
      </w:pPr>
    </w:p>
    <w:p>
      <w:pPr>
        <w:spacing w:after="0"/>
        <w:tabs>
          <w:tab w:leader="none" w:pos="1020" w:val="left"/>
          <w:tab w:leader="dot" w:pos="6800" w:val="left"/>
        </w:tabs>
        <w:rPr>
          <w:sz w:val="20"/>
          <w:szCs w:val="20"/>
          <w:color w:val="auto"/>
        </w:rPr>
      </w:pPr>
      <w:r>
        <w:rPr>
          <w:rFonts w:ascii="Courier New" w:cs="Courier New" w:eastAsia="Courier New" w:hAnsi="Courier New"/>
          <w:sz w:val="14"/>
          <w:szCs w:val="14"/>
          <w:color w:val="auto"/>
        </w:rPr>
        <w:t>SECTION 4.</w:t>
        <w:tab/>
        <w:t>CONDITIONS TO CLOSING</w:t>
      </w:r>
      <w:r>
        <w:rPr>
          <w:sz w:val="20"/>
          <w:szCs w:val="20"/>
          <w:color w:val="auto"/>
        </w:rPr>
        <w:tab/>
      </w:r>
      <w:r>
        <w:rPr>
          <w:rFonts w:ascii="Courier New" w:cs="Courier New" w:eastAsia="Courier New" w:hAnsi="Courier New"/>
          <w:sz w:val="13"/>
          <w:szCs w:val="13"/>
          <w:color w:val="auto"/>
        </w:rPr>
        <w:t>2</w:t>
      </w:r>
    </w:p>
    <w:p>
      <w:pPr>
        <w:spacing w:after="0" w:line="173"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4.1</w:t>
      </w:r>
      <w:r>
        <w:rPr>
          <w:sz w:val="20"/>
          <w:szCs w:val="20"/>
          <w:color w:val="auto"/>
        </w:rPr>
        <w:tab/>
      </w:r>
      <w:r>
        <w:rPr>
          <w:rFonts w:ascii="Courier New" w:cs="Courier New" w:eastAsia="Courier New" w:hAnsi="Courier New"/>
          <w:sz w:val="14"/>
          <w:szCs w:val="14"/>
          <w:color w:val="auto"/>
        </w:rPr>
        <w:t>Representations and Warranties</w:t>
      </w:r>
      <w:r>
        <w:rPr>
          <w:sz w:val="20"/>
          <w:szCs w:val="20"/>
          <w:color w:val="auto"/>
        </w:rPr>
        <w:tab/>
      </w:r>
      <w:r>
        <w:rPr>
          <w:rFonts w:ascii="Courier New" w:cs="Courier New" w:eastAsia="Courier New" w:hAnsi="Courier New"/>
          <w:sz w:val="13"/>
          <w:szCs w:val="13"/>
          <w:color w:val="auto"/>
        </w:rPr>
        <w:t>2</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4.2</w:t>
      </w:r>
      <w:r>
        <w:rPr>
          <w:sz w:val="20"/>
          <w:szCs w:val="20"/>
          <w:color w:val="auto"/>
        </w:rPr>
        <w:tab/>
      </w:r>
      <w:r>
        <w:rPr>
          <w:rFonts w:ascii="Courier New" w:cs="Courier New" w:eastAsia="Courier New" w:hAnsi="Courier New"/>
          <w:sz w:val="14"/>
          <w:szCs w:val="14"/>
          <w:color w:val="auto"/>
        </w:rPr>
        <w:t>Performance; No Default</w:t>
      </w:r>
      <w:r>
        <w:rPr>
          <w:sz w:val="20"/>
          <w:szCs w:val="20"/>
          <w:color w:val="auto"/>
        </w:rPr>
        <w:tab/>
      </w:r>
      <w:r>
        <w:rPr>
          <w:rFonts w:ascii="Courier New" w:cs="Courier New" w:eastAsia="Courier New" w:hAnsi="Courier New"/>
          <w:sz w:val="13"/>
          <w:szCs w:val="13"/>
          <w:color w:val="auto"/>
        </w:rPr>
        <w:t>2</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4.3</w:t>
      </w:r>
      <w:r>
        <w:rPr>
          <w:sz w:val="20"/>
          <w:szCs w:val="20"/>
          <w:color w:val="auto"/>
        </w:rPr>
        <w:tab/>
      </w:r>
      <w:r>
        <w:rPr>
          <w:rFonts w:ascii="Courier New" w:cs="Courier New" w:eastAsia="Courier New" w:hAnsi="Courier New"/>
          <w:sz w:val="14"/>
          <w:szCs w:val="14"/>
          <w:color w:val="auto"/>
        </w:rPr>
        <w:t>Compliance Certificates</w:t>
      </w:r>
      <w:r>
        <w:rPr>
          <w:sz w:val="20"/>
          <w:szCs w:val="20"/>
          <w:color w:val="auto"/>
        </w:rPr>
        <w:tab/>
      </w:r>
      <w:r>
        <w:rPr>
          <w:rFonts w:ascii="Courier New" w:cs="Courier New" w:eastAsia="Courier New" w:hAnsi="Courier New"/>
          <w:sz w:val="13"/>
          <w:szCs w:val="13"/>
          <w:color w:val="auto"/>
        </w:rPr>
        <w:t>2</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4.4</w:t>
      </w:r>
      <w:r>
        <w:rPr>
          <w:sz w:val="20"/>
          <w:szCs w:val="20"/>
          <w:color w:val="auto"/>
        </w:rPr>
        <w:tab/>
      </w:r>
      <w:r>
        <w:rPr>
          <w:rFonts w:ascii="Courier New" w:cs="Courier New" w:eastAsia="Courier New" w:hAnsi="Courier New"/>
          <w:sz w:val="14"/>
          <w:szCs w:val="14"/>
          <w:color w:val="auto"/>
        </w:rPr>
        <w:t>Opinions of Counsel</w:t>
      </w:r>
      <w:r>
        <w:rPr>
          <w:sz w:val="20"/>
          <w:szCs w:val="20"/>
          <w:color w:val="auto"/>
        </w:rPr>
        <w:tab/>
      </w:r>
      <w:r>
        <w:rPr>
          <w:rFonts w:ascii="Courier New" w:cs="Courier New" w:eastAsia="Courier New" w:hAnsi="Courier New"/>
          <w:sz w:val="13"/>
          <w:szCs w:val="13"/>
          <w:color w:val="auto"/>
        </w:rPr>
        <w:t>2</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4.5</w:t>
      </w:r>
      <w:r>
        <w:rPr>
          <w:sz w:val="20"/>
          <w:szCs w:val="20"/>
          <w:color w:val="auto"/>
        </w:rPr>
        <w:tab/>
      </w:r>
      <w:r>
        <w:rPr>
          <w:rFonts w:ascii="Courier New" w:cs="Courier New" w:eastAsia="Courier New" w:hAnsi="Courier New"/>
          <w:sz w:val="14"/>
          <w:szCs w:val="14"/>
          <w:color w:val="auto"/>
        </w:rPr>
        <w:t>Purchase Permitted By Applicable Law, Etc</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4.6</w:t>
      </w:r>
      <w:r>
        <w:rPr>
          <w:sz w:val="20"/>
          <w:szCs w:val="20"/>
          <w:color w:val="auto"/>
        </w:rPr>
        <w:tab/>
      </w:r>
      <w:r>
        <w:rPr>
          <w:rFonts w:ascii="Courier New" w:cs="Courier New" w:eastAsia="Courier New" w:hAnsi="Courier New"/>
          <w:sz w:val="14"/>
          <w:szCs w:val="14"/>
          <w:color w:val="auto"/>
        </w:rPr>
        <w:t>Sale of Notes</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4.7</w:t>
      </w:r>
      <w:r>
        <w:rPr>
          <w:sz w:val="20"/>
          <w:szCs w:val="20"/>
          <w:color w:val="auto"/>
        </w:rPr>
        <w:tab/>
      </w:r>
      <w:r>
        <w:rPr>
          <w:rFonts w:ascii="Courier New" w:cs="Courier New" w:eastAsia="Courier New" w:hAnsi="Courier New"/>
          <w:sz w:val="14"/>
          <w:szCs w:val="14"/>
          <w:color w:val="auto"/>
        </w:rPr>
        <w:t>Payment of Special Counsel Fees</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4.8</w:t>
      </w:r>
      <w:r>
        <w:rPr>
          <w:sz w:val="20"/>
          <w:szCs w:val="20"/>
          <w:color w:val="auto"/>
        </w:rPr>
        <w:tab/>
      </w:r>
      <w:r>
        <w:rPr>
          <w:rFonts w:ascii="Courier New" w:cs="Courier New" w:eastAsia="Courier New" w:hAnsi="Courier New"/>
          <w:sz w:val="14"/>
          <w:szCs w:val="14"/>
          <w:color w:val="auto"/>
        </w:rPr>
        <w:t>Private Placement Number</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4.9</w:t>
      </w:r>
      <w:r>
        <w:rPr>
          <w:sz w:val="20"/>
          <w:szCs w:val="20"/>
          <w:color w:val="auto"/>
        </w:rPr>
        <w:tab/>
      </w:r>
      <w:r>
        <w:rPr>
          <w:rFonts w:ascii="Courier New" w:cs="Courier New" w:eastAsia="Courier New" w:hAnsi="Courier New"/>
          <w:sz w:val="14"/>
          <w:szCs w:val="14"/>
          <w:color w:val="auto"/>
        </w:rPr>
        <w:t>Changes in Corporate Structure</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4.10</w:t>
        <w:tab/>
        <w:t>Funding Instructions</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4.11</w:t>
        <w:tab/>
        <w:t>Proceedings and Documents</w:t>
      </w:r>
      <w:r>
        <w:rPr>
          <w:sz w:val="20"/>
          <w:szCs w:val="20"/>
          <w:color w:val="auto"/>
        </w:rPr>
        <w:tab/>
      </w:r>
      <w:r>
        <w:rPr>
          <w:rFonts w:ascii="Courier New" w:cs="Courier New" w:eastAsia="Courier New" w:hAnsi="Courier New"/>
          <w:sz w:val="13"/>
          <w:szCs w:val="13"/>
          <w:color w:val="auto"/>
        </w:rPr>
        <w:t>3</w:t>
      </w:r>
    </w:p>
    <w:p>
      <w:pPr>
        <w:spacing w:after="0" w:line="173" w:lineRule="exact"/>
        <w:rPr>
          <w:sz w:val="20"/>
          <w:szCs w:val="20"/>
          <w:color w:val="auto"/>
        </w:rPr>
      </w:pPr>
    </w:p>
    <w:p>
      <w:pPr>
        <w:spacing w:after="0"/>
        <w:tabs>
          <w:tab w:leader="none" w:pos="1020" w:val="left"/>
          <w:tab w:leader="dot" w:pos="6800" w:val="left"/>
        </w:tabs>
        <w:rPr>
          <w:sz w:val="20"/>
          <w:szCs w:val="20"/>
          <w:color w:val="auto"/>
        </w:rPr>
      </w:pPr>
      <w:r>
        <w:rPr>
          <w:rFonts w:ascii="Courier New" w:cs="Courier New" w:eastAsia="Courier New" w:hAnsi="Courier New"/>
          <w:sz w:val="14"/>
          <w:szCs w:val="14"/>
          <w:color w:val="auto"/>
        </w:rPr>
        <w:t>SECTION 5.</w:t>
        <w:tab/>
        <w:t>REPRESENTATIONS AND WARRANTIES OF THE COMPANY</w:t>
      </w:r>
      <w:r>
        <w:rPr>
          <w:sz w:val="20"/>
          <w:szCs w:val="20"/>
          <w:color w:val="auto"/>
        </w:rPr>
        <w:tab/>
      </w:r>
      <w:r>
        <w:rPr>
          <w:rFonts w:ascii="Courier New" w:cs="Courier New" w:eastAsia="Courier New" w:hAnsi="Courier New"/>
          <w:sz w:val="13"/>
          <w:szCs w:val="13"/>
          <w:color w:val="auto"/>
        </w:rPr>
        <w:t>4</w:t>
      </w:r>
    </w:p>
    <w:p>
      <w:pPr>
        <w:spacing w:after="0" w:line="173"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5.1</w:t>
      </w:r>
      <w:r>
        <w:rPr>
          <w:sz w:val="20"/>
          <w:szCs w:val="20"/>
          <w:color w:val="auto"/>
        </w:rPr>
        <w:tab/>
      </w:r>
      <w:r>
        <w:rPr>
          <w:rFonts w:ascii="Courier New" w:cs="Courier New" w:eastAsia="Courier New" w:hAnsi="Courier New"/>
          <w:sz w:val="14"/>
          <w:szCs w:val="14"/>
          <w:color w:val="auto"/>
        </w:rPr>
        <w:t>Organization; Power and Authority</w:t>
      </w:r>
      <w:r>
        <w:rPr>
          <w:sz w:val="20"/>
          <w:szCs w:val="20"/>
          <w:color w:val="auto"/>
        </w:rPr>
        <w:tab/>
      </w:r>
      <w:r>
        <w:rPr>
          <w:rFonts w:ascii="Courier New" w:cs="Courier New" w:eastAsia="Courier New" w:hAnsi="Courier New"/>
          <w:sz w:val="13"/>
          <w:szCs w:val="13"/>
          <w:color w:val="auto"/>
        </w:rPr>
        <w:t>4</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5.2</w:t>
      </w:r>
      <w:r>
        <w:rPr>
          <w:sz w:val="20"/>
          <w:szCs w:val="20"/>
          <w:color w:val="auto"/>
        </w:rPr>
        <w:tab/>
      </w:r>
      <w:r>
        <w:rPr>
          <w:rFonts w:ascii="Courier New" w:cs="Courier New" w:eastAsia="Courier New" w:hAnsi="Courier New"/>
          <w:sz w:val="14"/>
          <w:szCs w:val="14"/>
          <w:color w:val="auto"/>
        </w:rPr>
        <w:t>Authorization, Etc</w:t>
      </w:r>
      <w:r>
        <w:rPr>
          <w:sz w:val="20"/>
          <w:szCs w:val="20"/>
          <w:color w:val="auto"/>
        </w:rPr>
        <w:tab/>
      </w:r>
      <w:r>
        <w:rPr>
          <w:rFonts w:ascii="Courier New" w:cs="Courier New" w:eastAsia="Courier New" w:hAnsi="Courier New"/>
          <w:sz w:val="13"/>
          <w:szCs w:val="13"/>
          <w:color w:val="auto"/>
        </w:rPr>
        <w:t>4</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5.3</w:t>
      </w:r>
      <w:r>
        <w:rPr>
          <w:sz w:val="20"/>
          <w:szCs w:val="20"/>
          <w:color w:val="auto"/>
        </w:rPr>
        <w:tab/>
      </w:r>
      <w:r>
        <w:rPr>
          <w:rFonts w:ascii="Courier New" w:cs="Courier New" w:eastAsia="Courier New" w:hAnsi="Courier New"/>
          <w:sz w:val="14"/>
          <w:szCs w:val="14"/>
          <w:color w:val="auto"/>
        </w:rPr>
        <w:t>Disclosure</w:t>
      </w:r>
      <w:r>
        <w:rPr>
          <w:sz w:val="20"/>
          <w:szCs w:val="20"/>
          <w:color w:val="auto"/>
        </w:rPr>
        <w:tab/>
      </w:r>
      <w:r>
        <w:rPr>
          <w:rFonts w:ascii="Courier New" w:cs="Courier New" w:eastAsia="Courier New" w:hAnsi="Courier New"/>
          <w:sz w:val="13"/>
          <w:szCs w:val="13"/>
          <w:color w:val="auto"/>
        </w:rPr>
        <w:t>4</w:t>
      </w:r>
    </w:p>
    <w:p>
      <w:pPr>
        <w:spacing w:after="0" w:line="7" w:lineRule="exact"/>
        <w:rPr>
          <w:sz w:val="20"/>
          <w:szCs w:val="20"/>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Section 5.4</w:t>
      </w:r>
      <w:r>
        <w:rPr>
          <w:sz w:val="20"/>
          <w:szCs w:val="20"/>
          <w:color w:val="auto"/>
        </w:rPr>
        <w:tab/>
      </w:r>
      <w:r>
        <w:rPr>
          <w:rFonts w:ascii="Courier New" w:cs="Courier New" w:eastAsia="Courier New" w:hAnsi="Courier New"/>
          <w:sz w:val="14"/>
          <w:szCs w:val="14"/>
          <w:color w:val="auto"/>
        </w:rPr>
        <w:t>Organization and Ownership of Shares of</w:t>
      </w:r>
    </w:p>
    <w:p>
      <w:pPr>
        <w:spacing w:after="0" w:line="7" w:lineRule="exact"/>
        <w:rPr>
          <w:sz w:val="20"/>
          <w:szCs w:val="20"/>
          <w:color w:val="auto"/>
        </w:rPr>
      </w:pPr>
    </w:p>
    <w:p>
      <w:pPr>
        <w:jc w:val="right"/>
        <w:ind w:right="3339"/>
        <w:spacing w:after="0"/>
        <w:tabs>
          <w:tab w:leader="dot" w:pos="60" w:val="left"/>
        </w:tabs>
        <w:rPr>
          <w:sz w:val="20"/>
          <w:szCs w:val="20"/>
          <w:color w:val="auto"/>
        </w:rPr>
      </w:pPr>
      <w:r>
        <w:rPr>
          <w:rFonts w:ascii="Courier New" w:cs="Courier New" w:eastAsia="Courier New" w:hAnsi="Courier New"/>
          <w:sz w:val="14"/>
          <w:szCs w:val="14"/>
          <w:color w:val="auto"/>
        </w:rPr>
        <w:t>Subsidiaries</w:t>
      </w:r>
      <w:r>
        <w:rPr>
          <w:sz w:val="20"/>
          <w:szCs w:val="20"/>
          <w:color w:val="auto"/>
        </w:rPr>
        <w:tab/>
      </w:r>
      <w:r>
        <w:rPr>
          <w:rFonts w:ascii="Courier New" w:cs="Courier New" w:eastAsia="Courier New" w:hAnsi="Courier New"/>
          <w:sz w:val="13"/>
          <w:szCs w:val="13"/>
          <w:color w:val="auto"/>
        </w:rPr>
        <w:t>4</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5.5</w:t>
      </w:r>
      <w:r>
        <w:rPr>
          <w:sz w:val="20"/>
          <w:szCs w:val="20"/>
          <w:color w:val="auto"/>
        </w:rPr>
        <w:tab/>
      </w:r>
      <w:r>
        <w:rPr>
          <w:rFonts w:ascii="Courier New" w:cs="Courier New" w:eastAsia="Courier New" w:hAnsi="Courier New"/>
          <w:sz w:val="14"/>
          <w:szCs w:val="14"/>
          <w:color w:val="auto"/>
        </w:rPr>
        <w:t>Financial Statements; Material Liabilities</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5.6</w:t>
      </w:r>
      <w:r>
        <w:rPr>
          <w:sz w:val="20"/>
          <w:szCs w:val="20"/>
          <w:color w:val="auto"/>
        </w:rPr>
        <w:tab/>
      </w:r>
      <w:r>
        <w:rPr>
          <w:rFonts w:ascii="Courier New" w:cs="Courier New" w:eastAsia="Courier New" w:hAnsi="Courier New"/>
          <w:sz w:val="14"/>
          <w:szCs w:val="14"/>
          <w:color w:val="auto"/>
        </w:rPr>
        <w:t>Compliance with Laws, Other Instruments, Etc</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5.7</w:t>
      </w:r>
      <w:r>
        <w:rPr>
          <w:sz w:val="20"/>
          <w:szCs w:val="20"/>
          <w:color w:val="auto"/>
        </w:rPr>
        <w:tab/>
      </w:r>
      <w:r>
        <w:rPr>
          <w:rFonts w:ascii="Courier New" w:cs="Courier New" w:eastAsia="Courier New" w:hAnsi="Courier New"/>
          <w:sz w:val="14"/>
          <w:szCs w:val="14"/>
          <w:color w:val="auto"/>
        </w:rPr>
        <w:t>Governmental Authorizations, Etc</w:t>
      </w:r>
      <w:r>
        <w:rPr>
          <w:sz w:val="20"/>
          <w:szCs w:val="20"/>
          <w:color w:val="auto"/>
        </w:rPr>
        <w:tab/>
      </w:r>
      <w:r>
        <w:rPr>
          <w:rFonts w:ascii="Courier New" w:cs="Courier New" w:eastAsia="Courier New" w:hAnsi="Courier New"/>
          <w:sz w:val="13"/>
          <w:szCs w:val="13"/>
          <w:color w:val="auto"/>
        </w:rPr>
        <w:t>6</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5.8</w:t>
      </w:r>
      <w:r>
        <w:rPr>
          <w:sz w:val="20"/>
          <w:szCs w:val="20"/>
          <w:color w:val="auto"/>
        </w:rPr>
        <w:tab/>
      </w:r>
      <w:r>
        <w:rPr>
          <w:rFonts w:ascii="Courier New" w:cs="Courier New" w:eastAsia="Courier New" w:hAnsi="Courier New"/>
          <w:sz w:val="14"/>
          <w:szCs w:val="14"/>
          <w:color w:val="auto"/>
        </w:rPr>
        <w:t>Litigation</w:t>
      </w:r>
      <w:r>
        <w:rPr>
          <w:sz w:val="20"/>
          <w:szCs w:val="20"/>
          <w:color w:val="auto"/>
        </w:rPr>
        <w:tab/>
      </w:r>
      <w:r>
        <w:rPr>
          <w:rFonts w:ascii="Courier New" w:cs="Courier New" w:eastAsia="Courier New" w:hAnsi="Courier New"/>
          <w:sz w:val="13"/>
          <w:szCs w:val="13"/>
          <w:color w:val="auto"/>
        </w:rPr>
        <w:t>6</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5.9</w:t>
      </w:r>
      <w:r>
        <w:rPr>
          <w:sz w:val="20"/>
          <w:szCs w:val="20"/>
          <w:color w:val="auto"/>
        </w:rPr>
        <w:tab/>
      </w:r>
      <w:r>
        <w:rPr>
          <w:rFonts w:ascii="Courier New" w:cs="Courier New" w:eastAsia="Courier New" w:hAnsi="Courier New"/>
          <w:sz w:val="14"/>
          <w:szCs w:val="14"/>
          <w:color w:val="auto"/>
        </w:rPr>
        <w:t>Taxes</w:t>
      </w:r>
      <w:r>
        <w:rPr>
          <w:sz w:val="20"/>
          <w:szCs w:val="20"/>
          <w:color w:val="auto"/>
        </w:rPr>
        <w:tab/>
      </w:r>
      <w:r>
        <w:rPr>
          <w:rFonts w:ascii="Courier New" w:cs="Courier New" w:eastAsia="Courier New" w:hAnsi="Courier New"/>
          <w:sz w:val="13"/>
          <w:szCs w:val="13"/>
          <w:color w:val="auto"/>
        </w:rPr>
        <w:t>6</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5.10</w:t>
        <w:tab/>
        <w:t>Title to Property; Leases</w:t>
      </w:r>
      <w:r>
        <w:rPr>
          <w:sz w:val="20"/>
          <w:szCs w:val="20"/>
          <w:color w:val="auto"/>
        </w:rPr>
        <w:tab/>
      </w:r>
      <w:r>
        <w:rPr>
          <w:rFonts w:ascii="Courier New" w:cs="Courier New" w:eastAsia="Courier New" w:hAnsi="Courier New"/>
          <w:sz w:val="13"/>
          <w:szCs w:val="13"/>
          <w:color w:val="auto"/>
        </w:rPr>
        <w:t>6</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5.11</w:t>
        <w:tab/>
        <w:t>Licenses, Permits, Etc</w:t>
      </w:r>
      <w:r>
        <w:rPr>
          <w:sz w:val="20"/>
          <w:szCs w:val="20"/>
          <w:color w:val="auto"/>
        </w:rPr>
        <w:tab/>
      </w:r>
      <w:r>
        <w:rPr>
          <w:rFonts w:ascii="Courier New" w:cs="Courier New" w:eastAsia="Courier New" w:hAnsi="Courier New"/>
          <w:sz w:val="13"/>
          <w:szCs w:val="13"/>
          <w:color w:val="auto"/>
        </w:rPr>
        <w:t>6</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5.12</w:t>
        <w:tab/>
        <w:t>Compliance with ERISA</w:t>
      </w:r>
      <w:r>
        <w:rPr>
          <w:sz w:val="20"/>
          <w:szCs w:val="20"/>
          <w:color w:val="auto"/>
        </w:rPr>
        <w:tab/>
      </w:r>
      <w:r>
        <w:rPr>
          <w:rFonts w:ascii="Courier New" w:cs="Courier New" w:eastAsia="Courier New" w:hAnsi="Courier New"/>
          <w:sz w:val="13"/>
          <w:szCs w:val="13"/>
          <w:color w:val="auto"/>
        </w:rPr>
        <w:t>6</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5.13</w:t>
        <w:tab/>
        <w:t>Private Offering by the Company</w:t>
      </w:r>
      <w:r>
        <w:rPr>
          <w:sz w:val="20"/>
          <w:szCs w:val="20"/>
          <w:color w:val="auto"/>
        </w:rPr>
        <w:tab/>
      </w:r>
      <w:r>
        <w:rPr>
          <w:rFonts w:ascii="Courier New" w:cs="Courier New" w:eastAsia="Courier New" w:hAnsi="Courier New"/>
          <w:sz w:val="13"/>
          <w:szCs w:val="13"/>
          <w:color w:val="auto"/>
        </w:rPr>
        <w:t>7</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5.14</w:t>
        <w:tab/>
        <w:t>Use of Proceeds; Margin Regulations</w:t>
      </w:r>
      <w:r>
        <w:rPr>
          <w:sz w:val="20"/>
          <w:szCs w:val="20"/>
          <w:color w:val="auto"/>
        </w:rPr>
        <w:tab/>
      </w:r>
      <w:r>
        <w:rPr>
          <w:rFonts w:ascii="Courier New" w:cs="Courier New" w:eastAsia="Courier New" w:hAnsi="Courier New"/>
          <w:sz w:val="13"/>
          <w:szCs w:val="13"/>
          <w:color w:val="auto"/>
        </w:rPr>
        <w:t>8</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5.15</w:t>
        <w:tab/>
        <w:t>Existing Indebtedness; Future Liens</w:t>
      </w:r>
      <w:r>
        <w:rPr>
          <w:sz w:val="20"/>
          <w:szCs w:val="20"/>
          <w:color w:val="auto"/>
        </w:rPr>
        <w:tab/>
      </w:r>
      <w:r>
        <w:rPr>
          <w:rFonts w:ascii="Courier New" w:cs="Courier New" w:eastAsia="Courier New" w:hAnsi="Courier New"/>
          <w:sz w:val="13"/>
          <w:szCs w:val="13"/>
          <w:color w:val="auto"/>
        </w:rPr>
        <w:t>8</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5.16</w:t>
        <w:tab/>
        <w:t>Foreign Assets Control Regulations, Etc</w:t>
      </w:r>
      <w:r>
        <w:rPr>
          <w:sz w:val="20"/>
          <w:szCs w:val="20"/>
          <w:color w:val="auto"/>
        </w:rPr>
        <w:tab/>
      </w:r>
      <w:r>
        <w:rPr>
          <w:rFonts w:ascii="Courier New" w:cs="Courier New" w:eastAsia="Courier New" w:hAnsi="Courier New"/>
          <w:sz w:val="13"/>
          <w:szCs w:val="13"/>
          <w:color w:val="auto"/>
        </w:rPr>
        <w:t>8</w:t>
      </w:r>
    </w:p>
    <w:p>
      <w:pPr>
        <w:spacing w:after="0" w:line="7" w:lineRule="exact"/>
        <w:rPr>
          <w:sz w:val="20"/>
          <w:szCs w:val="20"/>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Section 5.17</w:t>
        <w:tab/>
        <w:t>Status under Investment Company Act and ICC</w:t>
      </w:r>
    </w:p>
    <w:p>
      <w:pPr>
        <w:spacing w:after="0" w:line="7" w:lineRule="exact"/>
        <w:rPr>
          <w:sz w:val="20"/>
          <w:szCs w:val="20"/>
          <w:color w:val="auto"/>
        </w:rPr>
      </w:pPr>
    </w:p>
    <w:p>
      <w:pPr>
        <w:jc w:val="right"/>
        <w:ind w:right="3339"/>
        <w:spacing w:after="0"/>
        <w:tabs>
          <w:tab w:leader="dot" w:pos="60" w:val="left"/>
        </w:tabs>
        <w:rPr>
          <w:sz w:val="20"/>
          <w:szCs w:val="20"/>
          <w:color w:val="auto"/>
        </w:rPr>
      </w:pPr>
      <w:r>
        <w:rPr>
          <w:rFonts w:ascii="Courier New" w:cs="Courier New" w:eastAsia="Courier New" w:hAnsi="Courier New"/>
          <w:sz w:val="14"/>
          <w:szCs w:val="14"/>
          <w:color w:val="auto"/>
        </w:rPr>
        <w:t>Termination Act</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5.18</w:t>
        <w:tab/>
        <w:t>Environmental Matters</w:t>
      </w:r>
      <w:r>
        <w:rPr>
          <w:sz w:val="20"/>
          <w:szCs w:val="20"/>
          <w:color w:val="auto"/>
        </w:rPr>
        <w:tab/>
      </w:r>
      <w:r>
        <w:rPr>
          <w:rFonts w:ascii="Courier New" w:cs="Courier New" w:eastAsia="Courier New" w:hAnsi="Courier New"/>
          <w:sz w:val="13"/>
          <w:szCs w:val="13"/>
          <w:color w:val="auto"/>
        </w:rPr>
        <w:t>9</w:t>
      </w:r>
    </w:p>
    <w:p>
      <w:pPr>
        <w:spacing w:after="0" w:line="173" w:lineRule="exact"/>
        <w:rPr>
          <w:sz w:val="20"/>
          <w:szCs w:val="20"/>
          <w:color w:val="auto"/>
        </w:rPr>
      </w:pPr>
    </w:p>
    <w:p>
      <w:pPr>
        <w:spacing w:after="0"/>
        <w:tabs>
          <w:tab w:leader="none" w:pos="1020" w:val="left"/>
          <w:tab w:leader="dot" w:pos="6800" w:val="left"/>
        </w:tabs>
        <w:rPr>
          <w:sz w:val="20"/>
          <w:szCs w:val="20"/>
          <w:color w:val="auto"/>
        </w:rPr>
      </w:pPr>
      <w:r>
        <w:rPr>
          <w:rFonts w:ascii="Courier New" w:cs="Courier New" w:eastAsia="Courier New" w:hAnsi="Courier New"/>
          <w:sz w:val="14"/>
          <w:szCs w:val="14"/>
          <w:color w:val="auto"/>
        </w:rPr>
        <w:t>SECTION 6.</w:t>
        <w:tab/>
        <w:t>REPRESENTATIONS OF THE PURCHASERS</w:t>
      </w:r>
      <w:r>
        <w:rPr>
          <w:sz w:val="20"/>
          <w:szCs w:val="20"/>
          <w:color w:val="auto"/>
        </w:rPr>
        <w:tab/>
      </w:r>
      <w:r>
        <w:rPr>
          <w:rFonts w:ascii="Courier New" w:cs="Courier New" w:eastAsia="Courier New" w:hAnsi="Courier New"/>
          <w:sz w:val="13"/>
          <w:szCs w:val="13"/>
          <w:color w:val="auto"/>
        </w:rPr>
        <w:t>9</w:t>
      </w:r>
    </w:p>
    <w:p>
      <w:pPr>
        <w:spacing w:after="0" w:line="173"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6.1</w:t>
      </w:r>
      <w:r>
        <w:rPr>
          <w:sz w:val="20"/>
          <w:szCs w:val="20"/>
          <w:color w:val="auto"/>
        </w:rPr>
        <w:tab/>
      </w:r>
      <w:r>
        <w:rPr>
          <w:rFonts w:ascii="Courier New" w:cs="Courier New" w:eastAsia="Courier New" w:hAnsi="Courier New"/>
          <w:sz w:val="14"/>
          <w:szCs w:val="14"/>
          <w:color w:val="auto"/>
        </w:rPr>
        <w:t>Purchase for Investment</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ind w:left="440"/>
        <w:spacing w:after="0"/>
        <w:tabs>
          <w:tab w:leader="none" w:pos="1620" w:val="left"/>
          <w:tab w:leader="dot" w:pos="6800" w:val="left"/>
        </w:tabs>
        <w:rPr>
          <w:sz w:val="20"/>
          <w:szCs w:val="20"/>
          <w:color w:val="auto"/>
        </w:rPr>
      </w:pPr>
      <w:r>
        <w:rPr>
          <w:rFonts w:ascii="Courier New" w:cs="Courier New" w:eastAsia="Courier New" w:hAnsi="Courier New"/>
          <w:sz w:val="14"/>
          <w:szCs w:val="14"/>
          <w:color w:val="auto"/>
        </w:rPr>
        <w:t>Section 6.2</w:t>
      </w:r>
      <w:r>
        <w:rPr>
          <w:sz w:val="20"/>
          <w:szCs w:val="20"/>
          <w:color w:val="auto"/>
        </w:rPr>
        <w:tab/>
      </w:r>
      <w:r>
        <w:rPr>
          <w:rFonts w:ascii="Courier New" w:cs="Courier New" w:eastAsia="Courier New" w:hAnsi="Courier New"/>
          <w:sz w:val="14"/>
          <w:szCs w:val="14"/>
          <w:color w:val="auto"/>
        </w:rPr>
        <w:t>Source of Funds</w:t>
      </w:r>
      <w:r>
        <w:rPr>
          <w:sz w:val="20"/>
          <w:szCs w:val="20"/>
          <w:color w:val="auto"/>
        </w:rPr>
        <w:tab/>
      </w:r>
      <w:r>
        <w:rPr>
          <w:rFonts w:ascii="Courier New" w:cs="Courier New" w:eastAsia="Courier New" w:hAnsi="Courier New"/>
          <w:sz w:val="13"/>
          <w:szCs w:val="13"/>
          <w:color w:val="auto"/>
        </w:rPr>
        <w:t>9</w:t>
      </w:r>
    </w:p>
    <w:p>
      <w:pPr>
        <w:sectPr>
          <w:pgSz w:w="11900" w:h="16838" w:orient="portrait"/>
          <w:cols w:equalWidth="0" w:num="1">
            <w:col w:w="10239"/>
          </w:cols>
          <w:pgMar w:left="220" w:top="616" w:right="1440" w:bottom="1440" w:gutter="0" w:footer="0" w:header="0"/>
        </w:sectPr>
      </w:pPr>
    </w:p>
    <w:bookmarkStart w:id="38" w:name="page39"/>
    <w:bookmarkEnd w:id="38"/>
    <w:p>
      <w:pPr>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SECTION 7.</w:t>
        <w:tab/>
        <w:t>INFORMATION AS TO COMPANY</w:t>
      </w:r>
      <w:r>
        <w:rPr>
          <w:sz w:val="20"/>
          <w:szCs w:val="20"/>
          <w:color w:val="auto"/>
        </w:rPr>
        <w:tab/>
      </w:r>
      <w:r>
        <w:rPr>
          <w:rFonts w:ascii="Courier New" w:cs="Courier New" w:eastAsia="Courier New" w:hAnsi="Courier New"/>
          <w:sz w:val="14"/>
          <w:szCs w:val="14"/>
          <w:color w:val="auto"/>
        </w:rPr>
        <w:t>11</w:t>
      </w:r>
    </w:p>
    <w:p>
      <w:pPr>
        <w:spacing w:after="0" w:line="173"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7.1</w:t>
      </w:r>
      <w:r>
        <w:rPr>
          <w:sz w:val="20"/>
          <w:szCs w:val="20"/>
          <w:color w:val="auto"/>
        </w:rPr>
        <w:tab/>
      </w:r>
      <w:r>
        <w:rPr>
          <w:rFonts w:ascii="Courier New" w:cs="Courier New" w:eastAsia="Courier New" w:hAnsi="Courier New"/>
          <w:sz w:val="14"/>
          <w:szCs w:val="14"/>
          <w:color w:val="auto"/>
        </w:rPr>
        <w:t>Financial and Business Information</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7.2</w:t>
      </w:r>
      <w:r>
        <w:rPr>
          <w:sz w:val="20"/>
          <w:szCs w:val="20"/>
          <w:color w:val="auto"/>
        </w:rPr>
        <w:tab/>
      </w:r>
      <w:r>
        <w:rPr>
          <w:rFonts w:ascii="Courier New" w:cs="Courier New" w:eastAsia="Courier New" w:hAnsi="Courier New"/>
          <w:sz w:val="14"/>
          <w:szCs w:val="14"/>
          <w:color w:val="auto"/>
        </w:rPr>
        <w:t>Officer's Certificate</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7.3</w:t>
      </w:r>
      <w:r>
        <w:rPr>
          <w:sz w:val="20"/>
          <w:szCs w:val="20"/>
          <w:color w:val="auto"/>
        </w:rPr>
        <w:tab/>
      </w:r>
      <w:r>
        <w:rPr>
          <w:rFonts w:ascii="Courier New" w:cs="Courier New" w:eastAsia="Courier New" w:hAnsi="Courier New"/>
          <w:sz w:val="14"/>
          <w:szCs w:val="14"/>
          <w:color w:val="auto"/>
        </w:rPr>
        <w:t>Visitation</w:t>
      </w:r>
      <w:r>
        <w:rPr>
          <w:sz w:val="20"/>
          <w:szCs w:val="20"/>
          <w:color w:val="auto"/>
        </w:rPr>
        <w:tab/>
      </w:r>
      <w:r>
        <w:rPr>
          <w:rFonts w:ascii="Courier New" w:cs="Courier New" w:eastAsia="Courier New" w:hAnsi="Courier New"/>
          <w:sz w:val="14"/>
          <w:szCs w:val="14"/>
          <w:color w:val="auto"/>
        </w:rPr>
        <w:t>14</w:t>
      </w:r>
    </w:p>
    <w:p>
      <w:pPr>
        <w:spacing w:after="0" w:line="173" w:lineRule="exact"/>
        <w:rPr>
          <w:sz w:val="20"/>
          <w:szCs w:val="20"/>
          <w:color w:val="auto"/>
        </w:rPr>
      </w:pPr>
    </w:p>
    <w:p>
      <w:pPr>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SECTION 8.</w:t>
        <w:tab/>
        <w:t>PAYMENT AND PREPAYMENT OF THE NOTES</w:t>
      </w:r>
      <w:r>
        <w:rPr>
          <w:sz w:val="20"/>
          <w:szCs w:val="20"/>
          <w:color w:val="auto"/>
        </w:rPr>
        <w:tab/>
      </w:r>
      <w:r>
        <w:rPr>
          <w:rFonts w:ascii="Courier New" w:cs="Courier New" w:eastAsia="Courier New" w:hAnsi="Courier New"/>
          <w:sz w:val="14"/>
          <w:szCs w:val="14"/>
          <w:color w:val="auto"/>
        </w:rPr>
        <w:t>14</w:t>
      </w:r>
    </w:p>
    <w:p>
      <w:pPr>
        <w:spacing w:after="0" w:line="173"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8.1</w:t>
      </w:r>
      <w:r>
        <w:rPr>
          <w:sz w:val="20"/>
          <w:szCs w:val="20"/>
          <w:color w:val="auto"/>
        </w:rPr>
        <w:tab/>
      </w:r>
      <w:r>
        <w:rPr>
          <w:rFonts w:ascii="Courier New" w:cs="Courier New" w:eastAsia="Courier New" w:hAnsi="Courier New"/>
          <w:sz w:val="14"/>
          <w:szCs w:val="14"/>
          <w:color w:val="auto"/>
        </w:rPr>
        <w:t>Maturity</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8.2</w:t>
      </w:r>
      <w:r>
        <w:rPr>
          <w:sz w:val="20"/>
          <w:szCs w:val="20"/>
          <w:color w:val="auto"/>
        </w:rPr>
        <w:tab/>
      </w:r>
      <w:r>
        <w:rPr>
          <w:rFonts w:ascii="Courier New" w:cs="Courier New" w:eastAsia="Courier New" w:hAnsi="Courier New"/>
          <w:sz w:val="14"/>
          <w:szCs w:val="14"/>
          <w:color w:val="auto"/>
        </w:rPr>
        <w:t>Optional Prepayments with Make-Whole Amount</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8.3</w:t>
      </w:r>
      <w:r>
        <w:rPr>
          <w:sz w:val="20"/>
          <w:szCs w:val="20"/>
          <w:color w:val="auto"/>
        </w:rPr>
        <w:tab/>
      </w:r>
      <w:r>
        <w:rPr>
          <w:rFonts w:ascii="Courier New" w:cs="Courier New" w:eastAsia="Courier New" w:hAnsi="Courier New"/>
          <w:sz w:val="14"/>
          <w:szCs w:val="14"/>
          <w:color w:val="auto"/>
        </w:rPr>
        <w:t>Change in Control</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8.4</w:t>
      </w:r>
      <w:r>
        <w:rPr>
          <w:sz w:val="20"/>
          <w:szCs w:val="20"/>
          <w:color w:val="auto"/>
        </w:rPr>
        <w:tab/>
      </w:r>
      <w:r>
        <w:rPr>
          <w:rFonts w:ascii="Courier New" w:cs="Courier New" w:eastAsia="Courier New" w:hAnsi="Courier New"/>
          <w:sz w:val="14"/>
          <w:szCs w:val="14"/>
          <w:color w:val="auto"/>
        </w:rPr>
        <w:t>Allocation of Partial Prepayments</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8.5</w:t>
      </w:r>
      <w:r>
        <w:rPr>
          <w:sz w:val="20"/>
          <w:szCs w:val="20"/>
          <w:color w:val="auto"/>
        </w:rPr>
        <w:tab/>
      </w:r>
      <w:r>
        <w:rPr>
          <w:rFonts w:ascii="Courier New" w:cs="Courier New" w:eastAsia="Courier New" w:hAnsi="Courier New"/>
          <w:sz w:val="14"/>
          <w:szCs w:val="14"/>
          <w:color w:val="auto"/>
        </w:rPr>
        <w:t>Maturity; Surrender, Etc</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8.6</w:t>
      </w:r>
      <w:r>
        <w:rPr>
          <w:sz w:val="20"/>
          <w:szCs w:val="20"/>
          <w:color w:val="auto"/>
        </w:rPr>
        <w:tab/>
      </w:r>
      <w:r>
        <w:rPr>
          <w:rFonts w:ascii="Courier New" w:cs="Courier New" w:eastAsia="Courier New" w:hAnsi="Courier New"/>
          <w:sz w:val="14"/>
          <w:szCs w:val="14"/>
          <w:color w:val="auto"/>
        </w:rPr>
        <w:t>Purchase of Notes</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8.7</w:t>
      </w:r>
      <w:r>
        <w:rPr>
          <w:sz w:val="20"/>
          <w:szCs w:val="20"/>
          <w:color w:val="auto"/>
        </w:rPr>
        <w:tab/>
      </w:r>
      <w:r>
        <w:rPr>
          <w:rFonts w:ascii="Courier New" w:cs="Courier New" w:eastAsia="Courier New" w:hAnsi="Courier New"/>
          <w:sz w:val="14"/>
          <w:szCs w:val="14"/>
          <w:color w:val="auto"/>
        </w:rPr>
        <w:t>Make-Whole Amount</w:t>
      </w:r>
      <w:r>
        <w:rPr>
          <w:sz w:val="20"/>
          <w:szCs w:val="20"/>
          <w:color w:val="auto"/>
        </w:rPr>
        <w:tab/>
      </w:r>
      <w:r>
        <w:rPr>
          <w:rFonts w:ascii="Courier New" w:cs="Courier New" w:eastAsia="Courier New" w:hAnsi="Courier New"/>
          <w:sz w:val="14"/>
          <w:szCs w:val="14"/>
          <w:color w:val="auto"/>
        </w:rPr>
        <w:t>17</w:t>
      </w:r>
    </w:p>
    <w:p>
      <w:pPr>
        <w:spacing w:after="0" w:line="173" w:lineRule="exact"/>
        <w:rPr>
          <w:sz w:val="20"/>
          <w:szCs w:val="20"/>
          <w:color w:val="auto"/>
        </w:rPr>
      </w:pPr>
    </w:p>
    <w:p>
      <w:pPr>
        <w:spacing w:after="0"/>
        <w:tabs>
          <w:tab w:leader="none" w:pos="1020" w:val="left"/>
          <w:tab w:leader="dot" w:pos="6700" w:val="left"/>
        </w:tabs>
        <w:rPr>
          <w:sz w:val="20"/>
          <w:szCs w:val="20"/>
          <w:color w:val="auto"/>
        </w:rPr>
      </w:pPr>
      <w:r>
        <w:rPr>
          <w:rFonts w:ascii="Courier New" w:cs="Courier New" w:eastAsia="Courier New" w:hAnsi="Courier New"/>
          <w:sz w:val="14"/>
          <w:szCs w:val="14"/>
          <w:color w:val="auto"/>
        </w:rPr>
        <w:t>SECTION 9.</w:t>
        <w:tab/>
        <w:t>AFFIRMATIVE COVENANTS</w:t>
      </w:r>
      <w:r>
        <w:rPr>
          <w:sz w:val="20"/>
          <w:szCs w:val="20"/>
          <w:color w:val="auto"/>
        </w:rPr>
        <w:tab/>
      </w:r>
      <w:r>
        <w:rPr>
          <w:rFonts w:ascii="Courier New" w:cs="Courier New" w:eastAsia="Courier New" w:hAnsi="Courier New"/>
          <w:sz w:val="14"/>
          <w:szCs w:val="14"/>
          <w:color w:val="auto"/>
        </w:rPr>
        <w:t>18</w:t>
      </w:r>
    </w:p>
    <w:p>
      <w:pPr>
        <w:spacing w:after="0" w:line="173"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9.1</w:t>
      </w:r>
      <w:r>
        <w:rPr>
          <w:sz w:val="20"/>
          <w:szCs w:val="20"/>
          <w:color w:val="auto"/>
        </w:rPr>
        <w:tab/>
      </w:r>
      <w:r>
        <w:rPr>
          <w:rFonts w:ascii="Courier New" w:cs="Courier New" w:eastAsia="Courier New" w:hAnsi="Courier New"/>
          <w:sz w:val="14"/>
          <w:szCs w:val="14"/>
          <w:color w:val="auto"/>
        </w:rPr>
        <w:t>Compliance with Law</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9.2</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9.3</w:t>
      </w:r>
      <w:r>
        <w:rPr>
          <w:sz w:val="20"/>
          <w:szCs w:val="20"/>
          <w:color w:val="auto"/>
        </w:rPr>
        <w:tab/>
      </w:r>
      <w:r>
        <w:rPr>
          <w:rFonts w:ascii="Courier New" w:cs="Courier New" w:eastAsia="Courier New" w:hAnsi="Courier New"/>
          <w:sz w:val="14"/>
          <w:szCs w:val="14"/>
          <w:color w:val="auto"/>
        </w:rPr>
        <w:t>Maintenance of Properties</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9.4</w:t>
      </w:r>
      <w:r>
        <w:rPr>
          <w:sz w:val="20"/>
          <w:szCs w:val="20"/>
          <w:color w:val="auto"/>
        </w:rPr>
        <w:tab/>
      </w:r>
      <w:r>
        <w:rPr>
          <w:rFonts w:ascii="Courier New" w:cs="Courier New" w:eastAsia="Courier New" w:hAnsi="Courier New"/>
          <w:sz w:val="14"/>
          <w:szCs w:val="14"/>
          <w:color w:val="auto"/>
        </w:rPr>
        <w:t>Payment of Taxes and Claims</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9.5</w:t>
      </w:r>
      <w:r>
        <w:rPr>
          <w:sz w:val="20"/>
          <w:szCs w:val="20"/>
          <w:color w:val="auto"/>
        </w:rPr>
        <w:tab/>
      </w:r>
      <w:r>
        <w:rPr>
          <w:rFonts w:ascii="Courier New" w:cs="Courier New" w:eastAsia="Courier New" w:hAnsi="Courier New"/>
          <w:sz w:val="14"/>
          <w:szCs w:val="14"/>
          <w:color w:val="auto"/>
        </w:rPr>
        <w:t>Corporate Existence, Etc</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9.6</w:t>
      </w:r>
      <w:r>
        <w:rPr>
          <w:sz w:val="20"/>
          <w:szCs w:val="20"/>
          <w:color w:val="auto"/>
        </w:rPr>
        <w:tab/>
      </w:r>
      <w:r>
        <w:rPr>
          <w:rFonts w:ascii="Courier New" w:cs="Courier New" w:eastAsia="Courier New" w:hAnsi="Courier New"/>
          <w:sz w:val="14"/>
          <w:szCs w:val="14"/>
          <w:color w:val="auto"/>
        </w:rPr>
        <w:t>Books and Records</w:t>
      </w:r>
      <w:r>
        <w:rPr>
          <w:sz w:val="20"/>
          <w:szCs w:val="20"/>
          <w:color w:val="auto"/>
        </w:rPr>
        <w:tab/>
      </w:r>
      <w:r>
        <w:rPr>
          <w:rFonts w:ascii="Courier New" w:cs="Courier New" w:eastAsia="Courier New" w:hAnsi="Courier New"/>
          <w:sz w:val="14"/>
          <w:szCs w:val="14"/>
          <w:color w:val="auto"/>
        </w:rPr>
        <w:t>19</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10. NEGATIVE COVENANTS</w:t>
      </w:r>
      <w:r>
        <w:rPr>
          <w:sz w:val="20"/>
          <w:szCs w:val="20"/>
          <w:color w:val="auto"/>
        </w:rPr>
        <w:tab/>
      </w:r>
      <w:r>
        <w:rPr>
          <w:rFonts w:ascii="Courier New" w:cs="Courier New" w:eastAsia="Courier New" w:hAnsi="Courier New"/>
          <w:sz w:val="14"/>
          <w:szCs w:val="14"/>
          <w:color w:val="auto"/>
        </w:rPr>
        <w:t>19</w:t>
      </w:r>
    </w:p>
    <w:p>
      <w:pPr>
        <w:spacing w:after="0" w:line="173"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10.1</w:t>
        <w:tab/>
        <w:t>Transactions with Affiliates</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10.2</w:t>
        <w:tab/>
        <w:t>Merger, Consolidation, Etc</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10.3</w:t>
        <w:tab/>
        <w:t>Terrorism Sanctions Regulations</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10.4</w:t>
        <w:tab/>
        <w:t>Liens</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10.5</w:t>
        <w:tab/>
        <w:t>Maximum Ratio of Funded Debt to Total Capital</w:t>
      </w:r>
      <w:r>
        <w:rPr>
          <w:sz w:val="20"/>
          <w:szCs w:val="20"/>
          <w:color w:val="auto"/>
        </w:rPr>
        <w:tab/>
      </w:r>
      <w:r>
        <w:rPr>
          <w:rFonts w:ascii="Courier New" w:cs="Courier New" w:eastAsia="Courier New" w:hAnsi="Courier New"/>
          <w:sz w:val="14"/>
          <w:szCs w:val="14"/>
          <w:color w:val="auto"/>
        </w:rPr>
        <w:t>24</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11. EVENTS OF DEFAULT</w:t>
      </w:r>
      <w:r>
        <w:rPr>
          <w:sz w:val="20"/>
          <w:szCs w:val="20"/>
          <w:color w:val="auto"/>
        </w:rPr>
        <w:tab/>
      </w:r>
      <w:r>
        <w:rPr>
          <w:rFonts w:ascii="Courier New" w:cs="Courier New" w:eastAsia="Courier New" w:hAnsi="Courier New"/>
          <w:sz w:val="14"/>
          <w:szCs w:val="14"/>
          <w:color w:val="auto"/>
        </w:rPr>
        <w:t>24</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12. REMEDIES ON DEFAULT, ETC</w:t>
      </w:r>
      <w:r>
        <w:rPr>
          <w:sz w:val="20"/>
          <w:szCs w:val="20"/>
          <w:color w:val="auto"/>
        </w:rPr>
        <w:tab/>
      </w:r>
      <w:r>
        <w:rPr>
          <w:rFonts w:ascii="Courier New" w:cs="Courier New" w:eastAsia="Courier New" w:hAnsi="Courier New"/>
          <w:sz w:val="14"/>
          <w:szCs w:val="14"/>
          <w:color w:val="auto"/>
        </w:rPr>
        <w:t>27</w:t>
      </w:r>
    </w:p>
    <w:p>
      <w:pPr>
        <w:spacing w:after="0" w:line="173"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12.1</w:t>
        <w:tab/>
        <w:t>Acceleration</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12.2</w:t>
        <w:tab/>
        <w:t>Other Remedies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12.3</w:t>
        <w:tab/>
        <w:t>Rescission</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12.4</w:t>
        <w:tab/>
        <w:t>No Waivers or Election of Remedies, Expenses, Etc</w:t>
      </w:r>
      <w:r>
        <w:rPr>
          <w:sz w:val="20"/>
          <w:szCs w:val="20"/>
          <w:color w:val="auto"/>
        </w:rPr>
        <w:tab/>
      </w:r>
      <w:r>
        <w:rPr>
          <w:rFonts w:ascii="Courier New" w:cs="Courier New" w:eastAsia="Courier New" w:hAnsi="Courier New"/>
          <w:sz w:val="14"/>
          <w:szCs w:val="14"/>
          <w:color w:val="auto"/>
        </w:rPr>
        <w:t>28</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13. REGISTRATION; EXCHANGE; SUBSTITUTION OF NOTES</w:t>
      </w:r>
      <w:r>
        <w:rPr>
          <w:sz w:val="20"/>
          <w:szCs w:val="20"/>
          <w:color w:val="auto"/>
        </w:rPr>
        <w:tab/>
      </w:r>
      <w:r>
        <w:rPr>
          <w:rFonts w:ascii="Courier New" w:cs="Courier New" w:eastAsia="Courier New" w:hAnsi="Courier New"/>
          <w:sz w:val="14"/>
          <w:szCs w:val="14"/>
          <w:color w:val="auto"/>
        </w:rPr>
        <w:t>28</w:t>
      </w:r>
    </w:p>
    <w:p>
      <w:pPr>
        <w:spacing w:after="0" w:line="173"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13.1</w:t>
        <w:tab/>
        <w:t>Registration of Notes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13.2</w:t>
        <w:tab/>
        <w:t>Transfer and Exchange of Notes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13.3</w:t>
        <w:tab/>
        <w:t>Replacement of Notes</w:t>
      </w:r>
      <w:r>
        <w:rPr>
          <w:sz w:val="20"/>
          <w:szCs w:val="20"/>
          <w:color w:val="auto"/>
        </w:rPr>
        <w:tab/>
      </w:r>
      <w:r>
        <w:rPr>
          <w:rFonts w:ascii="Courier New" w:cs="Courier New" w:eastAsia="Courier New" w:hAnsi="Courier New"/>
          <w:sz w:val="14"/>
          <w:szCs w:val="14"/>
          <w:color w:val="auto"/>
        </w:rPr>
        <w:t>29</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14. PAYMENTS ON NOTES</w:t>
      </w:r>
      <w:r>
        <w:rPr>
          <w:sz w:val="20"/>
          <w:szCs w:val="20"/>
          <w:color w:val="auto"/>
        </w:rPr>
        <w:tab/>
      </w:r>
      <w:r>
        <w:rPr>
          <w:rFonts w:ascii="Courier New" w:cs="Courier New" w:eastAsia="Courier New" w:hAnsi="Courier New"/>
          <w:sz w:val="14"/>
          <w:szCs w:val="14"/>
          <w:color w:val="auto"/>
        </w:rPr>
        <w:t>29</w:t>
      </w:r>
    </w:p>
    <w:p>
      <w:pPr>
        <w:spacing w:after="0" w:line="173"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14.1</w:t>
        <w:tab/>
        <w:t>Place of Payment</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14.2</w:t>
        <w:tab/>
        <w:t>Home Office Payment</w:t>
      </w:r>
      <w:r>
        <w:rPr>
          <w:sz w:val="20"/>
          <w:szCs w:val="20"/>
          <w:color w:val="auto"/>
        </w:rPr>
        <w:tab/>
      </w:r>
      <w:r>
        <w:rPr>
          <w:rFonts w:ascii="Courier New" w:cs="Courier New" w:eastAsia="Courier New" w:hAnsi="Courier New"/>
          <w:sz w:val="14"/>
          <w:szCs w:val="14"/>
          <w:color w:val="auto"/>
        </w:rPr>
        <w:t>29</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15. EXPENSES, ETC</w:t>
      </w:r>
      <w:r>
        <w:rPr>
          <w:sz w:val="20"/>
          <w:szCs w:val="20"/>
          <w:color w:val="auto"/>
        </w:rPr>
        <w:tab/>
      </w:r>
      <w:r>
        <w:rPr>
          <w:rFonts w:ascii="Courier New" w:cs="Courier New" w:eastAsia="Courier New" w:hAnsi="Courier New"/>
          <w:sz w:val="14"/>
          <w:szCs w:val="14"/>
          <w:color w:val="auto"/>
        </w:rPr>
        <w:t>30</w:t>
      </w:r>
    </w:p>
    <w:p>
      <w:pPr>
        <w:spacing w:after="0" w:line="173"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15.1</w:t>
        <w:tab/>
        <w:t>Transaction Expenses</w:t>
      </w:r>
      <w:r>
        <w:rPr>
          <w:sz w:val="20"/>
          <w:szCs w:val="20"/>
          <w:color w:val="auto"/>
        </w:rPr>
        <w:tab/>
      </w:r>
      <w:r>
        <w:rPr>
          <w:rFonts w:ascii="Courier New" w:cs="Courier New" w:eastAsia="Courier New" w:hAnsi="Courier New"/>
          <w:sz w:val="14"/>
          <w:szCs w:val="14"/>
          <w:color w:val="auto"/>
        </w:rPr>
        <w:t>30</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616" w:right="1440" w:bottom="1440" w:gutter="0" w:footer="0" w:header="0"/>
        </w:sectPr>
      </w:pPr>
    </w:p>
    <w:bookmarkStart w:id="39" w:name="page40"/>
    <w:bookmarkEnd w:id="39"/>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15.2</w:t>
        <w:tab/>
        <w:t>Survival</w:t>
      </w:r>
      <w:r>
        <w:rPr>
          <w:sz w:val="20"/>
          <w:szCs w:val="20"/>
          <w:color w:val="auto"/>
        </w:rPr>
        <w:tab/>
      </w:r>
      <w:r>
        <w:rPr>
          <w:rFonts w:ascii="Courier New" w:cs="Courier New" w:eastAsia="Courier New" w:hAnsi="Courier New"/>
          <w:sz w:val="14"/>
          <w:szCs w:val="14"/>
          <w:color w:val="auto"/>
        </w:rPr>
        <w:t>30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 SURVIVAL OF REPRESENTATIONS AND WARRANTIES; ENTIRE</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AGREEMENT</w:t>
      </w:r>
      <w:r>
        <w:rPr>
          <w:sz w:val="20"/>
          <w:szCs w:val="20"/>
          <w:color w:val="auto"/>
        </w:rPr>
        <w:tab/>
      </w:r>
      <w:r>
        <w:rPr>
          <w:rFonts w:ascii="Courier New" w:cs="Courier New" w:eastAsia="Courier New" w:hAnsi="Courier New"/>
          <w:sz w:val="14"/>
          <w:szCs w:val="14"/>
          <w:color w:val="auto"/>
        </w:rPr>
        <w:t>30</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17. AMENDMENT AND WAIVER</w:t>
      </w:r>
      <w:r>
        <w:rPr>
          <w:sz w:val="20"/>
          <w:szCs w:val="20"/>
          <w:color w:val="auto"/>
        </w:rPr>
        <w:tab/>
      </w:r>
      <w:r>
        <w:rPr>
          <w:rFonts w:ascii="Courier New" w:cs="Courier New" w:eastAsia="Courier New" w:hAnsi="Courier New"/>
          <w:sz w:val="14"/>
          <w:szCs w:val="14"/>
          <w:color w:val="auto"/>
        </w:rPr>
        <w:t>30</w:t>
      </w:r>
    </w:p>
    <w:p>
      <w:pPr>
        <w:spacing w:after="0" w:line="173"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17.1</w:t>
        <w:tab/>
        <w:t>Requirements</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17.2</w:t>
        <w:tab/>
        <w:t>Solicitation of Holders of Notes</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17.3</w:t>
        <w:tab/>
        <w:t>Binding Effect, etc</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17.4</w:t>
        <w:tab/>
        <w:t>Notes Held by Company, etc</w:t>
      </w:r>
      <w:r>
        <w:rPr>
          <w:sz w:val="20"/>
          <w:szCs w:val="20"/>
          <w:color w:val="auto"/>
        </w:rPr>
        <w:tab/>
      </w:r>
      <w:r>
        <w:rPr>
          <w:rFonts w:ascii="Courier New" w:cs="Courier New" w:eastAsia="Courier New" w:hAnsi="Courier New"/>
          <w:sz w:val="14"/>
          <w:szCs w:val="14"/>
          <w:color w:val="auto"/>
        </w:rPr>
        <w:t>32</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18. NOTICES</w:t>
      </w:r>
      <w:r>
        <w:rPr>
          <w:sz w:val="20"/>
          <w:szCs w:val="20"/>
          <w:color w:val="auto"/>
        </w:rPr>
        <w:tab/>
      </w:r>
      <w:r>
        <w:rPr>
          <w:rFonts w:ascii="Courier New" w:cs="Courier New" w:eastAsia="Courier New" w:hAnsi="Courier New"/>
          <w:sz w:val="14"/>
          <w:szCs w:val="14"/>
          <w:color w:val="auto"/>
        </w:rPr>
        <w:t>32</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19. REPRODUCTION OF DOCUMENTS</w:t>
      </w:r>
      <w:r>
        <w:rPr>
          <w:sz w:val="20"/>
          <w:szCs w:val="20"/>
          <w:color w:val="auto"/>
        </w:rPr>
        <w:tab/>
      </w:r>
      <w:r>
        <w:rPr>
          <w:rFonts w:ascii="Courier New" w:cs="Courier New" w:eastAsia="Courier New" w:hAnsi="Courier New"/>
          <w:sz w:val="14"/>
          <w:szCs w:val="14"/>
          <w:color w:val="auto"/>
        </w:rPr>
        <w:t>32</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20. CONFIDENTIAL INFORMATION</w:t>
      </w:r>
      <w:r>
        <w:rPr>
          <w:sz w:val="20"/>
          <w:szCs w:val="20"/>
          <w:color w:val="auto"/>
        </w:rPr>
        <w:tab/>
      </w:r>
      <w:r>
        <w:rPr>
          <w:rFonts w:ascii="Courier New" w:cs="Courier New" w:eastAsia="Courier New" w:hAnsi="Courier New"/>
          <w:sz w:val="14"/>
          <w:szCs w:val="14"/>
          <w:color w:val="auto"/>
        </w:rPr>
        <w:t>33</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21. SUBSTITUTION OF PURCHASER</w:t>
      </w:r>
      <w:r>
        <w:rPr>
          <w:sz w:val="20"/>
          <w:szCs w:val="20"/>
          <w:color w:val="auto"/>
        </w:rPr>
        <w:tab/>
      </w:r>
      <w:r>
        <w:rPr>
          <w:rFonts w:ascii="Courier New" w:cs="Courier New" w:eastAsia="Courier New" w:hAnsi="Courier New"/>
          <w:sz w:val="14"/>
          <w:szCs w:val="14"/>
          <w:color w:val="auto"/>
        </w:rPr>
        <w:t>34</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22. MISCELLANEOUS</w:t>
      </w:r>
      <w:r>
        <w:rPr>
          <w:sz w:val="20"/>
          <w:szCs w:val="20"/>
          <w:color w:val="auto"/>
        </w:rPr>
        <w:tab/>
      </w:r>
      <w:r>
        <w:rPr>
          <w:rFonts w:ascii="Courier New" w:cs="Courier New" w:eastAsia="Courier New" w:hAnsi="Courier New"/>
          <w:sz w:val="14"/>
          <w:szCs w:val="14"/>
          <w:color w:val="auto"/>
        </w:rPr>
        <w:t>34</w:t>
      </w:r>
    </w:p>
    <w:p>
      <w:pPr>
        <w:spacing w:after="0" w:line="173"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22.1</w:t>
        <w:tab/>
        <w:t>Successors and Assigns</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22.2</w:t>
        <w:tab/>
        <w:t>Payments Due on Non-Business Days</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22.3</w:t>
        <w:tab/>
        <w:t>Accounting Terms</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22.4</w:t>
        <w:tab/>
        <w:t>Severability</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22.5</w:t>
        <w:tab/>
        <w:t>Construction, etc</w:t>
      </w:r>
      <w:r>
        <w:rPr>
          <w:sz w:val="20"/>
          <w:szCs w:val="20"/>
          <w:color w:val="auto"/>
        </w:rPr>
        <w:tab/>
      </w:r>
      <w:r>
        <w:rPr>
          <w:rFonts w:ascii="Courier New" w:cs="Courier New" w:eastAsia="Courier New" w:hAnsi="Courier New"/>
          <w:sz w:val="14"/>
          <w:szCs w:val="14"/>
          <w:color w:val="auto"/>
        </w:rPr>
        <w:t>35</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22.6</w:t>
        <w:tab/>
        <w:t>Counterparts</w:t>
      </w:r>
      <w:r>
        <w:rPr>
          <w:sz w:val="20"/>
          <w:szCs w:val="20"/>
          <w:color w:val="auto"/>
        </w:rPr>
        <w:tab/>
      </w:r>
      <w:r>
        <w:rPr>
          <w:rFonts w:ascii="Courier New" w:cs="Courier New" w:eastAsia="Courier New" w:hAnsi="Courier New"/>
          <w:sz w:val="14"/>
          <w:szCs w:val="14"/>
          <w:color w:val="auto"/>
        </w:rPr>
        <w:t>35</w:t>
      </w:r>
    </w:p>
    <w:p>
      <w:pPr>
        <w:spacing w:after="0" w:line="7" w:lineRule="exact"/>
        <w:rPr>
          <w:sz w:val="20"/>
          <w:szCs w:val="20"/>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Section 22.7</w:t>
        <w:tab/>
        <w:t>Governing Law</w:t>
      </w:r>
      <w:r>
        <w:rPr>
          <w:sz w:val="20"/>
          <w:szCs w:val="20"/>
          <w:color w:val="auto"/>
        </w:rPr>
        <w:tab/>
      </w:r>
      <w:r>
        <w:rPr>
          <w:rFonts w:ascii="Courier New" w:cs="Courier New" w:eastAsia="Courier New" w:hAnsi="Courier New"/>
          <w:sz w:val="14"/>
          <w:szCs w:val="14"/>
          <w:color w:val="auto"/>
        </w:rPr>
        <w:t>35</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616"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SCHEDULE A</w:t>
            </w:r>
          </w:p>
        </w:tc>
        <w:tc>
          <w:tcPr>
            <w:tcW w:w="478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   INFORMATION RELATING TO PURCHASERS</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SCHEDULE B</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DEFINED</w:t>
            </w:r>
          </w:p>
        </w:tc>
        <w:tc>
          <w:tcPr>
            <w:tcW w:w="3580" w:type="dxa"/>
            <w:vAlign w:val="bottom"/>
          </w:tcPr>
          <w:p>
            <w:pPr>
              <w:ind w:left="60"/>
              <w:spacing w:after="0"/>
              <w:rPr>
                <w:sz w:val="20"/>
                <w:szCs w:val="20"/>
                <w:color w:val="auto"/>
              </w:rPr>
            </w:pPr>
            <w:r>
              <w:rPr>
                <w:rFonts w:ascii="Courier New" w:cs="Courier New" w:eastAsia="Courier New" w:hAnsi="Courier New"/>
                <w:sz w:val="14"/>
                <w:szCs w:val="14"/>
                <w:color w:val="auto"/>
              </w:rPr>
              <w:t>TERMS</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SCHEDULE 5.4</w:t>
            </w:r>
          </w:p>
        </w:tc>
        <w:tc>
          <w:tcPr>
            <w:tcW w:w="478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   Subsidiaries of the Company and Ownership of</w:t>
            </w:r>
          </w:p>
        </w:tc>
      </w:tr>
      <w:tr>
        <w:trPr>
          <w:trHeight w:val="166"/>
        </w:trPr>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3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Subsidiary Stock</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SCHEDULE 5.15</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3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Existing Indebtedness</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1</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Form of</w:t>
            </w:r>
          </w:p>
        </w:tc>
        <w:tc>
          <w:tcPr>
            <w:tcW w:w="3580" w:type="dxa"/>
            <w:vAlign w:val="bottom"/>
          </w:tcPr>
          <w:p>
            <w:pPr>
              <w:ind w:left="60"/>
              <w:spacing w:after="0"/>
              <w:rPr>
                <w:sz w:val="20"/>
                <w:szCs w:val="20"/>
                <w:color w:val="auto"/>
              </w:rPr>
            </w:pPr>
            <w:r>
              <w:rPr>
                <w:rFonts w:ascii="Courier New" w:cs="Courier New" w:eastAsia="Courier New" w:hAnsi="Courier New"/>
                <w:sz w:val="14"/>
                <w:szCs w:val="14"/>
                <w:color w:val="auto"/>
              </w:rPr>
              <w:t>5.99% Senior Note due June 1, 2017</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4.4(a)</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Form of</w:t>
            </w:r>
          </w:p>
        </w:tc>
        <w:tc>
          <w:tcPr>
            <w:tcW w:w="3580" w:type="dxa"/>
            <w:vAlign w:val="bottom"/>
          </w:tcPr>
          <w:p>
            <w:pPr>
              <w:ind w:left="60"/>
              <w:spacing w:after="0"/>
              <w:rPr>
                <w:sz w:val="20"/>
                <w:szCs w:val="20"/>
                <w:color w:val="auto"/>
              </w:rPr>
            </w:pPr>
            <w:r>
              <w:rPr>
                <w:rFonts w:ascii="Courier New" w:cs="Courier New" w:eastAsia="Courier New" w:hAnsi="Courier New"/>
                <w:sz w:val="14"/>
                <w:szCs w:val="14"/>
                <w:color w:val="auto"/>
              </w:rPr>
              <w:t>Opinion of Deborah A. Amberg, Senior Vice</w:t>
            </w:r>
          </w:p>
        </w:tc>
      </w:tr>
      <w:tr>
        <w:trPr>
          <w:trHeight w:val="166"/>
        </w:trPr>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3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President, General Counsel and Secretary of</w:t>
            </w:r>
          </w:p>
        </w:tc>
      </w:tr>
      <w:tr>
        <w:trPr>
          <w:trHeight w:val="166"/>
        </w:trPr>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ALLETE,</w:t>
            </w:r>
          </w:p>
        </w:tc>
        <w:tc>
          <w:tcPr>
            <w:tcW w:w="358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4.4(b)</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Form of</w:t>
            </w:r>
          </w:p>
        </w:tc>
        <w:tc>
          <w:tcPr>
            <w:tcW w:w="3580" w:type="dxa"/>
            <w:vAlign w:val="bottom"/>
          </w:tcPr>
          <w:p>
            <w:pPr>
              <w:ind w:left="60"/>
              <w:spacing w:after="0"/>
              <w:rPr>
                <w:sz w:val="20"/>
                <w:szCs w:val="20"/>
                <w:color w:val="auto"/>
              </w:rPr>
            </w:pPr>
            <w:r>
              <w:rPr>
                <w:rFonts w:ascii="Courier New" w:cs="Courier New" w:eastAsia="Courier New" w:hAnsi="Courier New"/>
                <w:sz w:val="14"/>
                <w:szCs w:val="14"/>
                <w:color w:val="auto"/>
              </w:rPr>
              <w:t>Opinion of Thelen Reid Brown Raysman &amp;</w:t>
            </w:r>
          </w:p>
        </w:tc>
      </w:tr>
      <w:tr>
        <w:trPr>
          <w:trHeight w:val="166"/>
        </w:trPr>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3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Steiner LLP</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4.4(c)</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Form of</w:t>
            </w:r>
          </w:p>
        </w:tc>
        <w:tc>
          <w:tcPr>
            <w:tcW w:w="3580" w:type="dxa"/>
            <w:vAlign w:val="bottom"/>
          </w:tcPr>
          <w:p>
            <w:pPr>
              <w:ind w:left="60"/>
              <w:spacing w:after="0"/>
              <w:rPr>
                <w:sz w:val="20"/>
                <w:szCs w:val="20"/>
                <w:color w:val="auto"/>
              </w:rPr>
            </w:pPr>
            <w:r>
              <w:rPr>
                <w:rFonts w:ascii="Courier New" w:cs="Courier New" w:eastAsia="Courier New" w:hAnsi="Courier New"/>
                <w:sz w:val="14"/>
                <w:szCs w:val="14"/>
                <w:color w:val="auto"/>
              </w:rPr>
              <w:t>Opinion of Chapman and Cutler LLP</w:t>
            </w:r>
          </w:p>
        </w:tc>
      </w:tr>
    </w:tbl>
    <w:p>
      <w:pPr>
        <w:spacing w:after="0" w:line="3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616" w:right="1440" w:bottom="1440" w:gutter="0" w:footer="0" w:header="0"/>
        </w:sectPr>
      </w:pPr>
    </w:p>
    <w:bookmarkStart w:id="41" w:name="page42"/>
    <w:bookmarkEnd w:id="41"/>
    <w:p>
      <w:pPr>
        <w:ind w:left="2940"/>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30 West Superior Street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Duluth, Minnesota 55802</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5.99% Senior Notes due June 1, 2017</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June 8, 2007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EACH OF THE PURCHASERS LISTED IN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SCHEDULE A HERETO:</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ALLETE, Inc., a Minnesota corporation (the "COMPANY"), agrees with each of the purchasers whose name appears at the end hereof (each, a "PURCHASER" and, collectively, the "PURCHASERS") as follows:</w:t>
      </w:r>
    </w:p>
    <w:p>
      <w:pPr>
        <w:spacing w:after="0" w:line="16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1.</w:t>
        <w:tab/>
        <w:t>AUTHORIZATION OF NOTES.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will authorize the issue and sale of $50,000,000 aggregate principal amount of its 5.99% Senior Notes due June 1, 2017 (the "NOTES", such term to include any such notes issued in substitution therefor pursuant to Section 13). The Notes shall be substantially in the form set out in Exhibit 1, with such changes therefrom, if any, as may be approved by you and the Company. Certain capitalized and other terms used in this Agreement are defined in Schedule B; and references to a "SCHEDULE" or an "EXHIBIT" are, unless otherwise specified, to a Schedule or an Exhibit attached to this Agreement.</w:t>
      </w:r>
    </w:p>
    <w:p>
      <w:pPr>
        <w:spacing w:after="0" w:line="16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2.</w:t>
        <w:tab/>
        <w:t>SALE AND PURCHASE OF NOTES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Subject to the terms and conditions of this Agreement, the Company will issue and sell to each Purchaser and each Purchaser will purchase from the Company, at the Closing provided for in Section 3, Notes in the principal amount specified opposite such Purchaser's name in Schedule A at the purchase price of 100% of the principal amount thereof. The Purchasers' obligations hereunder are several and not joint obligations and no Purchaser shall have any liability to any Person for the performance or non-performance of any obligation by any other Purchaser hereunder.</w:t>
      </w:r>
    </w:p>
    <w:p>
      <w:pPr>
        <w:spacing w:after="0" w:line="16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3.</w:t>
        <w:tab/>
        <w:t>CLOSING</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sale and purchase of the Notes to be purchased by each Purchaser shall occur at the offices of Thelen Reid Brown Raysman &amp; Steiner LLP, 875 Third Avenue, New York, New York 10022, at 10:00 a.m., New York time, at a closing (the "CLOSING") on June 8, 2007 or on such other Business Day thereafter as may be agreed upon by the Company and the Purchasers. At the Closing the Company will deliver to each Purchaser the Notes to be purchased by such Purchaser in the form of a single Note (or such greater number of Notes in denominations of at least $100,000 as such Purchaser may request) dated the date of the Closing and registered in such Purchaser's name (or in the name of its nominee), against delivery by such Purchaser to the</w:t>
      </w:r>
    </w:p>
    <w:p>
      <w:pPr>
        <w:sectPr>
          <w:pgSz w:w="11900" w:h="16838" w:orient="portrait"/>
          <w:cols w:equalWidth="0" w:num="1">
            <w:col w:w="10239"/>
          </w:cols>
          <w:pgMar w:left="220" w:top="616" w:right="1440" w:bottom="1440" w:gutter="0" w:footer="0" w:header="0"/>
        </w:sectPr>
      </w:pPr>
    </w:p>
    <w:bookmarkStart w:id="42" w:name="page43"/>
    <w:bookmarkEnd w:id="42"/>
    <w:p>
      <w:pPr>
        <w:jc w:val="both"/>
        <w:ind w:right="3339"/>
        <w:spacing w:after="0" w:line="250" w:lineRule="auto"/>
        <w:rPr>
          <w:sz w:val="20"/>
          <w:szCs w:val="20"/>
          <w:color w:val="auto"/>
        </w:rPr>
      </w:pPr>
      <w:r>
        <w:rPr>
          <w:rFonts w:ascii="Courier New" w:cs="Courier New" w:eastAsia="Courier New" w:hAnsi="Courier New"/>
          <w:sz w:val="14"/>
          <w:szCs w:val="14"/>
          <w:color w:val="auto"/>
        </w:rPr>
        <w:t>Company or its order of immediately available funds in the amount of the purchase price therefor by wire transfer for the account of the Company at Wells Fargo Bank, San Francisco, CA, ABA 121 000 248 for further credit to Minnesota Power Account 002-0000-364, Attn: Richard P. Ausman, 218-723-3908. If at the Closing the Company shall fail to tender such Notes to any Purchaser as provided above in this Section 3, or any of the conditions specified in Section 4 shall not have been fulfilled, such Purchaser shall, at its election, be relieved of all further obligations under this Agreement, without thereby waiving any rights such Purchaser may have by reason of such failure or such nonfulfillment. If at the Closing one Purchaser shall fail to purchase the Notes which it is obligated to purchase under this Agreement, the Company shall have the option (i) of terminating its obligation to sell any and all of the Notes to all Purchasers and be relieved of all further obligations under this Agreement, or (ii) of terminating its obligation to sell any Notes only to such defaulting Purchaser and be relieved of all further obligations under this Agreement only with respect to such defaulting Purchaser.</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4.</w:t>
        <w:tab/>
        <w:t>CONDITIONS TO CLOSING</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Each Purchaser's obligation to purchase and pay for the Notes to be sold to such Purchaser at the Closing is subject to the fulfillment, prior to or at the Closing, of the following conditions:</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jc w:val="both"/>
        <w:ind w:firstLine="431"/>
        <w:spacing w:after="0" w:line="252" w:lineRule="auto"/>
        <w:rPr>
          <w:sz w:val="20"/>
          <w:szCs w:val="20"/>
          <w:color w:val="auto"/>
        </w:rPr>
      </w:pPr>
      <w:r>
        <w:rPr>
          <w:rFonts w:ascii="Courier New" w:cs="Courier New" w:eastAsia="Courier New" w:hAnsi="Courier New"/>
          <w:sz w:val="14"/>
          <w:szCs w:val="14"/>
          <w:color w:val="auto"/>
        </w:rPr>
        <w:t>SECTION 4.1 REPRESENTATIONS warranties of the Company in this the time of the Closing.</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AND WARRANTIES. The representations and Agreement shall be correct when made and at</w:t>
      </w:r>
    </w:p>
    <w:p>
      <w:pPr>
        <w:spacing w:after="0" w:line="325" w:lineRule="exact"/>
        <w:rPr>
          <w:sz w:val="20"/>
          <w:szCs w:val="20"/>
          <w:color w:val="auto"/>
        </w:rPr>
      </w:pPr>
    </w:p>
    <w:p>
      <w:pPr>
        <w:sectPr>
          <w:pgSz w:w="11900" w:h="16838" w:orient="portrait"/>
          <w:cols w:equalWidth="0" w:num="2">
            <w:col w:w="2940" w:space="160"/>
            <w:col w:w="7139"/>
          </w:cols>
          <w:pgMar w:left="220" w:top="616" w:right="1440" w:bottom="1440" w:gutter="0" w:footer="0" w:header="0"/>
          <w:type w:val="continuous"/>
        </w:sect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4.2 PERFORMANCE; NO DEFAULT. The Company shall have performed and complied with all agreements and conditions contained in this Agreement required to be performed or complied with by it prior to or at the Closing and after giving effect to the issue and sale of the Notes (and the application of the proceeds thereof as contemplated by Section 5.14) no Default or Event of Default shall have occurred and be continuing.</w:t>
      </w:r>
    </w:p>
    <w:p>
      <w:pPr>
        <w:spacing w:after="0" w:line="164" w:lineRule="exact"/>
        <w:rPr>
          <w:sz w:val="20"/>
          <w:szCs w:val="20"/>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SECTION 4.3</w:t>
      </w:r>
      <w:r>
        <w:rPr>
          <w:sz w:val="20"/>
          <w:szCs w:val="20"/>
          <w:color w:val="auto"/>
        </w:rPr>
        <w:tab/>
      </w:r>
      <w:r>
        <w:rPr>
          <w:rFonts w:ascii="Courier New" w:cs="Courier New" w:eastAsia="Courier New" w:hAnsi="Courier New"/>
          <w:sz w:val="14"/>
          <w:szCs w:val="14"/>
          <w:color w:val="auto"/>
        </w:rPr>
        <w:t>COMPLIANCE CERTIFICATES.</w:t>
      </w:r>
    </w:p>
    <w:p>
      <w:pPr>
        <w:spacing w:after="0" w:line="173" w:lineRule="exact"/>
        <w:rPr>
          <w:sz w:val="20"/>
          <w:szCs w:val="20"/>
          <w:color w:val="auto"/>
        </w:rPr>
      </w:pPr>
    </w:p>
    <w:p>
      <w:pPr>
        <w:jc w:val="both"/>
        <w:ind w:left="1040"/>
        <w:spacing w:after="0"/>
        <w:tabs>
          <w:tab w:leader="none" w:pos="1620" w:val="left"/>
          <w:tab w:leader="none" w:pos="2580" w:val="left"/>
          <w:tab w:leader="none" w:pos="3780" w:val="left"/>
          <w:tab w:leader="none" w:pos="4200" w:val="left"/>
          <w:tab w:leader="none" w:pos="4980" w:val="left"/>
          <w:tab w:leader="none" w:pos="5580" w:val="left"/>
          <w:tab w:leader="none" w:pos="610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OFFICER'S</w:t>
        <w:tab/>
        <w:t>CERTIFICATE.</w:t>
        <w:tab/>
        <w:t>The</w:t>
        <w:tab/>
        <w:t>Company</w:t>
        <w:tab/>
        <w:t>shall</w:t>
        <w:tab/>
        <w:t>have</w:t>
        <w:tab/>
        <w:t>delivered</w:t>
      </w:r>
    </w:p>
    <w:p>
      <w:pPr>
        <w:spacing w:after="0" w:line="7" w:lineRule="exact"/>
        <w:rPr>
          <w:sz w:val="20"/>
          <w:szCs w:val="20"/>
          <w:color w:val="auto"/>
        </w:rPr>
      </w:pPr>
    </w:p>
    <w:p>
      <w:pPr>
        <w:ind w:left="440"/>
        <w:spacing w:after="0"/>
        <w:tabs>
          <w:tab w:leader="none" w:pos="4300" w:val="left"/>
        </w:tabs>
        <w:rPr>
          <w:sz w:val="20"/>
          <w:szCs w:val="20"/>
          <w:color w:val="auto"/>
        </w:rPr>
      </w:pPr>
      <w:r>
        <w:rPr>
          <w:rFonts w:ascii="Courier New" w:cs="Courier New" w:eastAsia="Courier New" w:hAnsi="Courier New"/>
          <w:sz w:val="14"/>
          <w:szCs w:val="14"/>
          <w:color w:val="auto"/>
        </w:rPr>
        <w:t>to such Purchaser an Officer's Certificate,</w:t>
        <w:tab/>
        <w:t>dated the date of the Closing,</w:t>
      </w:r>
    </w:p>
    <w:p>
      <w:pPr>
        <w:spacing w:after="0" w:line="7" w:lineRule="exact"/>
        <w:rPr>
          <w:sz w:val="20"/>
          <w:szCs w:val="20"/>
          <w:color w:val="auto"/>
        </w:rPr>
      </w:pPr>
    </w:p>
    <w:p>
      <w:pPr>
        <w:ind w:left="440"/>
        <w:spacing w:after="0"/>
        <w:tabs>
          <w:tab w:leader="none" w:pos="3180" w:val="left"/>
        </w:tabs>
        <w:rPr>
          <w:sz w:val="20"/>
          <w:szCs w:val="20"/>
          <w:color w:val="auto"/>
        </w:rPr>
      </w:pPr>
      <w:r>
        <w:rPr>
          <w:rFonts w:ascii="Courier New" w:cs="Courier New" w:eastAsia="Courier New" w:hAnsi="Courier New"/>
          <w:sz w:val="14"/>
          <w:szCs w:val="14"/>
          <w:color w:val="auto"/>
        </w:rPr>
        <w:t>certifying that the conditions</w:t>
        <w:tab/>
        <w:t>specified in Sections 4.1, 4.2 and 4.9 have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been fulfilled.</w:t>
      </w:r>
    </w:p>
    <w:p>
      <w:pPr>
        <w:spacing w:after="0" w:line="173" w:lineRule="exact"/>
        <w:rPr>
          <w:sz w:val="20"/>
          <w:szCs w:val="20"/>
          <w:color w:val="auto"/>
        </w:rPr>
      </w:pPr>
    </w:p>
    <w:p>
      <w:pPr>
        <w:jc w:val="both"/>
        <w:ind w:left="440" w:right="3339" w:firstLine="602"/>
        <w:spacing w:after="0" w:line="251" w:lineRule="auto"/>
        <w:tabs>
          <w:tab w:leader="none" w:pos="1646"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SECRETARY'S CERTIFICATE. The Company shall have delivered to such Purchaser a certificate of its Secretary or Assistant Secretary, dated the date of Closing, certifying as to the resolutions attached thereto and other corporate proceedings relating to the authorization, execution and delivery of the Notes and this Agreement.</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4.4 OPINIONS OF COUNSEL. Such Purchaser shall have received opinions in form and substance satisfactory to such Purchaser, dated the date of the Closing (a) from Deborah A. Amberg, Senior Vice President, General Counsel and Secretary of ALLETE, Inc., and Thelen Reid Brown Raysman &amp; Steiner LLP, counsel for the Company, covering the matters set forth in Exhibit 4.4(a) and 4.4(b), respectively, and covering such other matters incident to the transactions contemplated hereby as such Purchaser or its counsel may reasonably request (and the Company hereby instructs its counsel to deliver such opinion to the Purchasers) and (b) from Chapman and Cutler LLP, the Purchasers' special counsel in connection with such</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type w:val="continuous"/>
        </w:sectPr>
      </w:pPr>
    </w:p>
    <w:bookmarkStart w:id="43" w:name="page44"/>
    <w:bookmarkEnd w:id="43"/>
    <w:p>
      <w:pPr>
        <w:jc w:val="both"/>
        <w:ind w:right="3339"/>
        <w:spacing w:after="0" w:line="252" w:lineRule="auto"/>
        <w:rPr>
          <w:sz w:val="20"/>
          <w:szCs w:val="20"/>
          <w:color w:val="auto"/>
        </w:rPr>
      </w:pPr>
      <w:r>
        <w:rPr>
          <w:rFonts w:ascii="Courier New" w:cs="Courier New" w:eastAsia="Courier New" w:hAnsi="Courier New"/>
          <w:sz w:val="14"/>
          <w:szCs w:val="14"/>
          <w:color w:val="auto"/>
        </w:rPr>
        <w:t>transactions, substantially in the form set forth in Exhibit 4.4(c) and covering such other matters incident to such transactions as such Purchaser may reasonably request.</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4.5 PURCHASE PERMITTED BY APPLICABLE LAW, ETC. On the date of the Closing such Purchaser's purchase of Notes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without limitation, Regulation T, U or X of the Board of Governors of the Federal Reserve System) and (c) not subject such Purchaser to any tax, penalty or liability under or pursuant to any applicable law or regulation, which law or regulation was not in effect on the date hereof. If requested by such Purchaser, such Purchaser shall have received an Officer's Certificate certifying as to such matters of fact as such Purchaser may reasonably specify to enable such Purchaser to determine whether such purchase is so permitted.</w:t>
      </w:r>
    </w:p>
    <w:p>
      <w:pPr>
        <w:spacing w:after="0" w:line="328"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SECTION 4.6 SALE OF NOTES. Contemporaneously with the Closing the Company shall sell to each Purchaser and each Purchaser shall purchase the Notes to be purchased by it at the Closing as specified in Schedule A.</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4.7 PAYMENT OF SPECIAL COUNSEL FEES. Without limiting the provisions of Section 15.1, the Company shall have paid on or before the Closing the fees, charges and disbursements of the Purchasers' special counsel referred to in Section 4.4 to the extent reflected in a statement of such counsel rendered to the Company at least one Business Day prior to the Closing.</w:t>
      </w:r>
    </w:p>
    <w:p>
      <w:pPr>
        <w:sectPr>
          <w:pgSz w:w="11900" w:h="16838" w:orient="portrait"/>
          <w:cols w:equalWidth="0" w:num="1">
            <w:col w:w="10239"/>
          </w:cols>
          <w:pgMar w:left="220" w:top="616" w:right="1440" w:bottom="1440" w:gutter="0" w:footer="0" w:header="0"/>
        </w:sectPr>
      </w:pPr>
    </w:p>
    <w:p>
      <w:pPr>
        <w:spacing w:after="0" w:line="165" w:lineRule="exact"/>
        <w:rPr>
          <w:sz w:val="20"/>
          <w:szCs w:val="20"/>
          <w:color w:val="auto"/>
        </w:rPr>
      </w:pPr>
    </w:p>
    <w:p>
      <w:pPr>
        <w:jc w:val="both"/>
        <w:ind w:firstLine="431"/>
        <w:spacing w:after="0" w:line="252" w:lineRule="auto"/>
        <w:rPr>
          <w:sz w:val="20"/>
          <w:szCs w:val="20"/>
          <w:color w:val="auto"/>
        </w:rPr>
      </w:pPr>
      <w:r>
        <w:rPr>
          <w:rFonts w:ascii="Courier New" w:cs="Courier New" w:eastAsia="Courier New" w:hAnsi="Courier New"/>
          <w:sz w:val="14"/>
          <w:szCs w:val="14"/>
          <w:color w:val="auto"/>
        </w:rPr>
        <w:t>SECTION 4.8 PRIVATE PLACEMENT NUMBER. by Standard &amp; Poor's CUSIP Service Bureau (in have been obtained for the Notes.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 Private Placement Number issued</w:t>
      </w:r>
    </w:p>
    <w:p>
      <w:pPr>
        <w:spacing w:after="0" w:line="7" w:lineRule="exact"/>
        <w:rPr>
          <w:sz w:val="20"/>
          <w:szCs w:val="20"/>
          <w:color w:val="auto"/>
        </w:rPr>
      </w:pPr>
    </w:p>
    <w:p>
      <w:pPr>
        <w:jc w:val="right"/>
        <w:ind w:right="3339"/>
        <w:spacing w:after="0"/>
        <w:tabs>
          <w:tab w:leader="none" w:pos="1620" w:val="left"/>
        </w:tabs>
        <w:rPr>
          <w:sz w:val="20"/>
          <w:szCs w:val="20"/>
          <w:color w:val="auto"/>
        </w:rPr>
      </w:pPr>
      <w:r>
        <w:rPr>
          <w:rFonts w:ascii="Courier New" w:cs="Courier New" w:eastAsia="Courier New" w:hAnsi="Courier New"/>
          <w:sz w:val="14"/>
          <w:szCs w:val="14"/>
          <w:color w:val="auto"/>
        </w:rPr>
        <w:t>cooperation</w:t>
        <w:tab/>
        <w:t>with the SVO) shall</w:t>
      </w:r>
    </w:p>
    <w:p>
      <w:pPr>
        <w:spacing w:after="0" w:line="338" w:lineRule="exact"/>
        <w:rPr>
          <w:sz w:val="20"/>
          <w:szCs w:val="20"/>
          <w:color w:val="auto"/>
        </w:rPr>
      </w:pPr>
    </w:p>
    <w:p>
      <w:pPr>
        <w:sectPr>
          <w:pgSz w:w="11900" w:h="16838" w:orient="portrait"/>
          <w:cols w:equalWidth="0" w:num="2">
            <w:col w:w="3980" w:space="80"/>
            <w:col w:w="6179"/>
          </w:cols>
          <w:pgMar w:left="220" w:top="616" w:right="1440"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8"/>
              </w:rPr>
              <w:t>SECTION</w:t>
            </w: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4.9   CHANGES IN CORPORATE</w:t>
            </w:r>
          </w:p>
        </w:tc>
        <w:tc>
          <w:tcPr>
            <w:tcW w:w="2120" w:type="dxa"/>
            <w:vAlign w:val="bottom"/>
            <w:gridSpan w:val="3"/>
          </w:tcPr>
          <w:p>
            <w:pPr>
              <w:spacing w:after="0"/>
              <w:rPr>
                <w:sz w:val="20"/>
                <w:szCs w:val="20"/>
                <w:color w:val="auto"/>
              </w:rPr>
            </w:pPr>
            <w:r>
              <w:rPr>
                <w:rFonts w:ascii="Courier New" w:cs="Courier New" w:eastAsia="Courier New" w:hAnsi="Courier New"/>
                <w:sz w:val="14"/>
                <w:szCs w:val="14"/>
                <w:color w:val="auto"/>
              </w:rPr>
              <w:t>STRUCTURE.  The Company</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shall</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 have</w:t>
            </w:r>
          </w:p>
        </w:tc>
      </w:tr>
      <w:tr>
        <w:trPr>
          <w:trHeight w:val="166"/>
        </w:trPr>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changed its</w:t>
            </w:r>
          </w:p>
        </w:tc>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jurisdiction of incorporation</w:t>
            </w:r>
          </w:p>
        </w:tc>
        <w:tc>
          <w:tcPr>
            <w:tcW w:w="1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or  organization,</w:t>
            </w:r>
          </w:p>
        </w:tc>
        <w:tc>
          <w:tcPr>
            <w:tcW w:w="13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as applicable,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or</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been  a</w:t>
            </w:r>
          </w:p>
        </w:tc>
        <w:tc>
          <w:tcPr>
            <w:tcW w:w="61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party  to  any  merger  or  consolidation  or  succeeded  to all or any</w:t>
            </w:r>
          </w:p>
        </w:tc>
      </w:tr>
      <w:tr>
        <w:trPr>
          <w:trHeight w:val="166"/>
        </w:trPr>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substantial</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part of</w:t>
            </w:r>
          </w:p>
        </w:tc>
        <w:tc>
          <w:tcPr>
            <w:tcW w:w="3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liabilities of any other entity,</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at</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any</w:t>
            </w:r>
          </w:p>
        </w:tc>
        <w:tc>
          <w:tcPr>
            <w:tcW w:w="1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time following</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the date</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the most</w:t>
            </w:r>
          </w:p>
        </w:tc>
        <w:tc>
          <w:tcPr>
            <w:tcW w:w="3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recent financial statements referred</w:t>
            </w:r>
          </w:p>
        </w:tc>
        <w:tc>
          <w:tcPr>
            <w:tcW w:w="12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to in Section</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w:t>
            </w:r>
          </w:p>
        </w:tc>
        <w:tc>
          <w:tcPr>
            <w:tcW w:w="260" w:type="dxa"/>
            <w:vAlign w:val="bottom"/>
          </w:tcPr>
          <w:p>
            <w:pPr>
              <w:spacing w:after="0"/>
              <w:rPr>
                <w:sz w:val="14"/>
                <w:szCs w:val="14"/>
                <w:color w:val="auto"/>
              </w:rPr>
            </w:pPr>
          </w:p>
        </w:tc>
      </w:tr>
    </w:tbl>
    <w:p>
      <w:pPr>
        <w:spacing w:after="0" w:line="17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4.10 FUNDING INSTRUCTIONS. At least three Business Days prior to the date of the Closing, each Purchaser shall have received written instructions signed by a Responsible Officer on letterhead of the Company confirming the information specified in Section 3 including (i) the name and address of the transferee bank, (ii) such transferee bank's ABA number and (iii) the account name and number into which the purchase price for the Notes is to be deposited.</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4.11 PROCEEDINGS AND DOCUMENTS. All corporate and other proceedings in connection with the transactions contemplated by this Agreement and all documents and instruments incident to such transactions shall be satisfactory to such Purchaser and its special counsel, and such Purchaser and its special counsel shall have received all such counterpart originals or certified or other copies of such documents as such Purchaser or such special counsel may reasonably request.</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- 3 -</w:t>
      </w:r>
    </w:p>
    <w:p>
      <w:pPr>
        <w:sectPr>
          <w:pgSz w:w="11900" w:h="16838" w:orient="portrait"/>
          <w:cols w:equalWidth="0" w:num="1">
            <w:col w:w="10239"/>
          </w:cols>
          <w:pgMar w:left="220" w:top="616" w:right="1440" w:bottom="1440" w:gutter="0" w:footer="0" w:header="0"/>
          <w:type w:val="continuous"/>
        </w:sectPr>
      </w:pPr>
    </w:p>
    <w:bookmarkStart w:id="44" w:name="page45"/>
    <w:bookmarkEnd w:id="44"/>
    <w:p>
      <w:pPr>
        <w:spacing w:after="0"/>
        <w:tabs>
          <w:tab w:leader="none" w:pos="1020" w:val="left"/>
        </w:tabs>
        <w:rPr>
          <w:sz w:val="20"/>
          <w:szCs w:val="20"/>
          <w:color w:val="auto"/>
        </w:rPr>
      </w:pPr>
      <w:r>
        <w:rPr>
          <w:rFonts w:ascii="Courier New" w:cs="Courier New" w:eastAsia="Courier New" w:hAnsi="Courier New"/>
          <w:sz w:val="14"/>
          <w:szCs w:val="14"/>
          <w:color w:val="auto"/>
        </w:rPr>
        <w:t>SECTION 5.</w:t>
        <w:tab/>
        <w:t>REPRESENTATIONS AND WARRANTIES OF THE COMPANY.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represents and warrants to each Purchaser that:</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5.1 ORGANIZATION; POWER AND AUTHORITY. The Company is a corporation duly organized, validly existing and in good standing under the laws of its jurisdiction of incorporation, and is duly qualified as a foreign corporation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and the Notes and to perform the provisions hereof and thereof.</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5.2 AUTHORIZATION, ETC. This Agreement and the Notes have been duly authorized by all necessary corporate action on the part of the Company, and this Agreement constitutes, and upon execution and delivery thereof each Note will constitute, a legal, valid and binding obligation of the Company enforceable against the Company in accordance with its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164"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SECTION 5.3 DISCLOSURE. The Company, through its agent, JP Morgan Securities Inc., has delivered to each Purchaser a copy of the Company's Annual Report on Form 10-K for the year ended December 31, 2006, and a copy of the Company's Quarterly Report on Form 10-Q for the quarter ended March 31, 2007, each of which has also been filed with the SEC under the Exchange Act (the "DISCLOSURE DOCUMENTS"). The Disclosure Documents fairly describe, in all material respects and as of their respective dates, the general nature of the business and principal properties of the Company and its Subsidiaries. The Disclosure Documents do not contain, as of their respective dates, any untrue statement of a material fact or omit to state any material fact necessary to make the statements therein not misleading in light of the circumstances under which they were made. Except as disclosed in the Disclosure Documents, since December 31, 2006, there has been no change in the financial condition, operations, business or properties of the Company or any Subsidiary except changes that individually or in the aggregate could not reasonably be expected to have a Material Adverse Effect. There is no fact known to the Company that could reasonably be expected to have a Material Adverse Effect that has not been set forth herein or in the Disclosure Documents.</w:t>
      </w:r>
    </w:p>
    <w:p>
      <w:pPr>
        <w:spacing w:after="0" w:line="339" w:lineRule="exact"/>
        <w:rPr>
          <w:sz w:val="20"/>
          <w:szCs w:val="20"/>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SECTION 5.4</w:t>
      </w:r>
      <w:r>
        <w:rPr>
          <w:sz w:val="20"/>
          <w:szCs w:val="20"/>
          <w:color w:val="auto"/>
        </w:rPr>
        <w:tab/>
      </w:r>
      <w:r>
        <w:rPr>
          <w:rFonts w:ascii="Courier New" w:cs="Courier New" w:eastAsia="Courier New" w:hAnsi="Courier New"/>
          <w:sz w:val="14"/>
          <w:szCs w:val="14"/>
          <w:color w:val="auto"/>
        </w:rPr>
        <w:t>ORGANIZATION AND OWNERSHIP OF SHARES OF SUBSIDIARIES.</w:t>
      </w:r>
    </w:p>
    <w:p>
      <w:pPr>
        <w:spacing w:after="0" w:line="173" w:lineRule="exact"/>
        <w:rPr>
          <w:sz w:val="20"/>
          <w:szCs w:val="20"/>
          <w:color w:val="auto"/>
        </w:rPr>
      </w:pPr>
    </w:p>
    <w:p>
      <w:pPr>
        <w:jc w:val="both"/>
        <w:ind w:left="440" w:right="3339" w:firstLine="602"/>
        <w:spacing w:after="0" w:line="252" w:lineRule="auto"/>
        <w:tabs>
          <w:tab w:leader="none" w:pos="1646"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5.4 contains (except as noted therein) complete each and correct lists of the Company's active Subsidiaries, showing, as to Subsidiary, the correct name thereof, the jurisdiction of its organization, and the percentage of shares of each class of its capital stock or similar equity interests outstanding owned by the Company and each other Subsidiary.</w:t>
      </w:r>
    </w:p>
    <w:p>
      <w:pPr>
        <w:spacing w:after="0" w:line="326" w:lineRule="exact"/>
        <w:rPr>
          <w:rFonts w:ascii="Courier New" w:cs="Courier New" w:eastAsia="Courier New" w:hAnsi="Courier New"/>
          <w:sz w:val="14"/>
          <w:szCs w:val="14"/>
          <w:color w:val="auto"/>
        </w:rPr>
      </w:pPr>
    </w:p>
    <w:p>
      <w:pPr>
        <w:ind w:left="3460" w:hanging="179"/>
        <w:spacing w:after="0"/>
        <w:tabs>
          <w:tab w:leader="none" w:pos="346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4 -</w:t>
      </w:r>
    </w:p>
    <w:p>
      <w:pPr>
        <w:sectPr>
          <w:pgSz w:w="11900" w:h="16838" w:orient="portrait"/>
          <w:cols w:equalWidth="0" w:num="1">
            <w:col w:w="10239"/>
          </w:cols>
          <w:pgMar w:left="220" w:top="616" w:right="1440" w:bottom="1440" w:gutter="0" w:footer="0" w:header="0"/>
        </w:sectPr>
      </w:pPr>
    </w:p>
    <w:bookmarkStart w:id="45" w:name="page46"/>
    <w:bookmarkEnd w:id="45"/>
    <w:tbl>
      <w:tblPr>
        <w:tblLayout w:type="fixed"/>
        <w:tblInd w:w="44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(b)</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All</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of the</w:t>
            </w:r>
          </w:p>
        </w:tc>
        <w:tc>
          <w:tcPr>
            <w:tcW w:w="12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outstanding</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shares of</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capital</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stock or similar</w:t>
            </w:r>
          </w:p>
        </w:tc>
      </w:tr>
      <w:tr>
        <w:trPr>
          <w:trHeight w:val="166"/>
        </w:trPr>
        <w:tc>
          <w:tcPr>
            <w:tcW w:w="1160" w:type="dxa"/>
            <w:vAlign w:val="bottom"/>
            <w:gridSpan w:val="2"/>
          </w:tcPr>
          <w:p>
            <w:pPr>
              <w:spacing w:after="0"/>
              <w:rPr>
                <w:sz w:val="20"/>
                <w:szCs w:val="20"/>
                <w:color w:val="auto"/>
              </w:rPr>
            </w:pPr>
            <w:r>
              <w:rPr>
                <w:rFonts w:ascii="Courier New" w:cs="Courier New" w:eastAsia="Courier New" w:hAnsi="Courier New"/>
                <w:sz w:val="14"/>
                <w:szCs w:val="14"/>
                <w:color w:val="auto"/>
              </w:rPr>
              <w:t>by the equity</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interests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of each</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Subsidiary</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shown</w:t>
            </w: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Schedule 5.4 as being</w:t>
            </w:r>
          </w:p>
        </w:tc>
      </w:tr>
      <w:tr>
        <w:trPr>
          <w:trHeight w:val="166"/>
        </w:trPr>
        <w:tc>
          <w:tcPr>
            <w:tcW w:w="1500" w:type="dxa"/>
            <w:vAlign w:val="bottom"/>
            <w:gridSpan w:val="3"/>
          </w:tcPr>
          <w:p>
            <w:pPr>
              <w:spacing w:after="0"/>
              <w:rPr>
                <w:sz w:val="20"/>
                <w:szCs w:val="20"/>
                <w:color w:val="auto"/>
              </w:rPr>
            </w:pPr>
            <w:r>
              <w:rPr>
                <w:rFonts w:ascii="Courier New" w:cs="Courier New" w:eastAsia="Courier New" w:hAnsi="Courier New"/>
                <w:sz w:val="14"/>
                <w:szCs w:val="14"/>
                <w:color w:val="auto"/>
              </w:rPr>
              <w:t>owned Company and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its</w:t>
            </w:r>
          </w:p>
        </w:tc>
        <w:tc>
          <w:tcPr>
            <w:tcW w:w="15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Subsidiaries have</w:t>
            </w: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been</w:t>
            </w:r>
          </w:p>
        </w:tc>
        <w:tc>
          <w:tcPr>
            <w:tcW w:w="26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validly issued, are fully paid</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nonassessable</w:t>
            </w:r>
          </w:p>
        </w:tc>
        <w:tc>
          <w:tcPr>
            <w:tcW w:w="1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and are owned</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by the</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Company or</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another</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Subsidiary free</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1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clear of any Lien</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(except as</w:t>
            </w:r>
          </w:p>
        </w:tc>
        <w:tc>
          <w:tcPr>
            <w:tcW w:w="366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otherwise disclosed in Schedule 5.4).</w:t>
            </w:r>
          </w:p>
        </w:tc>
      </w:tr>
    </w:tbl>
    <w:p>
      <w:pPr>
        <w:spacing w:after="0" w:line="170" w:lineRule="exact"/>
        <w:rPr>
          <w:sz w:val="20"/>
          <w:szCs w:val="20"/>
          <w:color w:val="auto"/>
        </w:rPr>
      </w:pPr>
    </w:p>
    <w:p>
      <w:pPr>
        <w:jc w:val="both"/>
        <w:ind w:left="440" w:right="3339" w:firstLine="602"/>
        <w:spacing w:after="0" w:line="251" w:lineRule="auto"/>
        <w:tabs>
          <w:tab w:leader="none" w:pos="1646"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Subsidiary identified in Schedule 5.4 is a corporation or other legal entity duly organized, validly existing and in good standing under the laws of its jurisdiction of organization,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163"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646"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Significant Subsidiary nor Superior Water, Light and Power Company ("SWL&amp;P") is a party to, or otherwise subject to any legal, regulatory, contractual or other restriction (other than this Agreement, the agreements listed on Schedule 5.4 and customary limitations imposed by corporate law, the Federal Power Act or similar statutes) restricting the ability of such Significant Subsidiary or SWL&amp;P to pay dividends out of profits or make any other similar distributions of profits to the Company or any of its Subsidiaries that owns outstanding shares of capital stock or similar equity interests of such Significant Subsidiary or SWL&amp;P.</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w w:val="98"/>
              </w:rPr>
              <w:t>SECTION</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w:t>
            </w:r>
          </w:p>
        </w:tc>
        <w:tc>
          <w:tcPr>
            <w:tcW w:w="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FINANCIAL</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STATEMENTS;</w:t>
            </w:r>
          </w:p>
        </w:tc>
        <w:tc>
          <w:tcPr>
            <w:tcW w:w="33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MATERIAL  LIABILITIES.  The financial</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statements</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included in</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Disclosure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Documents</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(including</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the schedules and</w:t>
            </w:r>
          </w:p>
        </w:tc>
      </w:tr>
      <w:tr>
        <w:trPr>
          <w:trHeight w:val="166"/>
        </w:trPr>
        <w:tc>
          <w:tcPr>
            <w:tcW w:w="2040" w:type="dxa"/>
            <w:vAlign w:val="bottom"/>
            <w:gridSpan w:val="3"/>
          </w:tcPr>
          <w:p>
            <w:pPr>
              <w:spacing w:after="0"/>
              <w:rPr>
                <w:sz w:val="20"/>
                <w:szCs w:val="20"/>
                <w:color w:val="auto"/>
              </w:rPr>
            </w:pPr>
            <w:r>
              <w:rPr>
                <w:rFonts w:ascii="Courier New" w:cs="Courier New" w:eastAsia="Courier New" w:hAnsi="Courier New"/>
                <w:sz w:val="14"/>
                <w:szCs w:val="14"/>
                <w:color w:val="auto"/>
              </w:rPr>
              <w:t>notes)  fairly  present</w:t>
            </w:r>
          </w:p>
        </w:tc>
        <w:tc>
          <w:tcPr>
            <w:tcW w:w="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all</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material</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respects</w:t>
            </w: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consolidated  financial</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position  of</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w:t>
            </w:r>
          </w:p>
        </w:tc>
        <w:tc>
          <w:tcPr>
            <w:tcW w:w="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Company</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its  Subsidiaries</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as of the</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respective  dates</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specified in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such</w:t>
            </w:r>
          </w:p>
        </w:tc>
        <w:tc>
          <w:tcPr>
            <w:tcW w:w="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financial</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statements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and the</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results of their</w:t>
            </w:r>
          </w:p>
        </w:tc>
      </w:tr>
    </w:tbl>
    <w:p>
      <w:pPr>
        <w:spacing w:after="0" w:line="4" w:lineRule="exact"/>
        <w:rPr>
          <w:sz w:val="20"/>
          <w:szCs w:val="20"/>
          <w:color w:val="auto"/>
        </w:rPr>
      </w:pPr>
    </w:p>
    <w:p>
      <w:pPr>
        <w:spacing w:after="0"/>
        <w:tabs>
          <w:tab w:leader="none" w:pos="3960" w:val="left"/>
        </w:tabs>
        <w:rPr>
          <w:sz w:val="20"/>
          <w:szCs w:val="20"/>
          <w:color w:val="auto"/>
        </w:rPr>
      </w:pPr>
      <w:r>
        <w:rPr>
          <w:rFonts w:ascii="Courier New" w:cs="Courier New" w:eastAsia="Courier New" w:hAnsi="Courier New"/>
          <w:sz w:val="14"/>
          <w:szCs w:val="14"/>
          <w:color w:val="auto"/>
        </w:rPr>
        <w:t>operations and cash flows for the respective</w:t>
        <w:tab/>
        <w:t>periods so specified and have been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prepared in accordance</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with</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GAAP  consistently</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applied  throughout</w:t>
            </w:r>
          </w:p>
        </w:tc>
        <w:tc>
          <w:tcPr>
            <w:tcW w:w="100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9"/>
              </w:rPr>
              <w:t>the periods</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involved except as set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forth</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in the notes thereto</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(subject,  in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case of</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any</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interim financial statements,</w:t>
            </w:r>
          </w:p>
        </w:tc>
        <w:tc>
          <w:tcPr>
            <w:tcW w:w="30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to normal year-end adjustments).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Company</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and</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its Subsidiaries do not have</w:t>
            </w:r>
          </w:p>
        </w:tc>
        <w:tc>
          <w:tcPr>
            <w:tcW w:w="4400" w:type="dxa"/>
            <w:vAlign w:val="bottom"/>
            <w:gridSpan w:val="5"/>
          </w:tcPr>
          <w:p>
            <w:pPr>
              <w:spacing w:after="0"/>
              <w:rPr>
                <w:sz w:val="20"/>
                <w:szCs w:val="20"/>
                <w:color w:val="auto"/>
              </w:rPr>
            </w:pPr>
            <w:r>
              <w:rPr>
                <w:rFonts w:ascii="Courier New" w:cs="Courier New" w:eastAsia="Courier New" w:hAnsi="Courier New"/>
                <w:sz w:val="14"/>
                <w:szCs w:val="14"/>
                <w:color w:val="auto"/>
              </w:rPr>
              <w:t>any Material  liabilities that are not disclosed on</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such financial statements or</w:t>
            </w:r>
          </w:p>
        </w:tc>
        <w:tc>
          <w:tcPr>
            <w:tcW w:w="4400" w:type="dxa"/>
            <w:vAlign w:val="bottom"/>
            <w:gridSpan w:val="5"/>
          </w:tcPr>
          <w:p>
            <w:pPr>
              <w:spacing w:after="0"/>
              <w:rPr>
                <w:sz w:val="20"/>
                <w:szCs w:val="20"/>
                <w:color w:val="auto"/>
              </w:rPr>
            </w:pPr>
            <w:r>
              <w:rPr>
                <w:rFonts w:ascii="Courier New" w:cs="Courier New" w:eastAsia="Courier New" w:hAnsi="Courier New"/>
                <w:sz w:val="14"/>
                <w:szCs w:val="14"/>
                <w:color w:val="auto"/>
              </w:rPr>
              <w:t>otherwise disclosed in the Disclosure Documents.</w:t>
            </w:r>
          </w:p>
        </w:tc>
      </w:tr>
    </w:tbl>
    <w:p>
      <w:pPr>
        <w:spacing w:after="0" w:line="170"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SECTION 5.6 COMPLIANCE WITH LAWS, OTHER INSTRUMENTS, ETC. The execution, delivery and performance by the Company of this Agreement and the Notes will not</w:t>
      </w:r>
    </w:p>
    <w:p>
      <w:pPr>
        <w:spacing w:after="0" w:line="1" w:lineRule="exact"/>
        <w:rPr>
          <w:sz w:val="20"/>
          <w:szCs w:val="20"/>
          <w:color w:val="auto"/>
        </w:rPr>
      </w:pPr>
    </w:p>
    <w:p>
      <w:pPr>
        <w:jc w:val="both"/>
        <w:ind w:right="3339" w:firstLine="8"/>
        <w:spacing w:after="0" w:line="251" w:lineRule="auto"/>
        <w:tabs>
          <w:tab w:leader="none" w:pos="431"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result in any breach of, or constitute a default under, or result in the creation of any Lien in respect of any property of the Company or any Subsidiary under, any indenture, mortgage, deed of trust, loan, purchase or credit agreement, lease, corporate charter or by-laws, or any other Material agreement or instrument to which the Company or any Subsidiary is a party, (ii) conflict with or result in a breach of any of the terms, conditions or provisions of any order, judgment, decree, or ruling of any court, arbitrator or Governmental Authority applicable to the Company or any Significant Subsidiary or (iii) violate any provision of any statute or other rule or regulation of any Governmental Authority applicable to the Company or any Significant Subsidiary.</w:t>
      </w:r>
    </w:p>
    <w:p>
      <w:pPr>
        <w:spacing w:after="0" w:line="163" w:lineRule="exact"/>
        <w:rPr>
          <w:rFonts w:ascii="Courier New" w:cs="Courier New" w:eastAsia="Courier New" w:hAnsi="Courier New"/>
          <w:sz w:val="14"/>
          <w:szCs w:val="14"/>
          <w:color w:val="auto"/>
        </w:rPr>
      </w:pPr>
    </w:p>
    <w:p>
      <w:pPr>
        <w:ind w:left="3460" w:hanging="179"/>
        <w:spacing w:after="0"/>
        <w:tabs>
          <w:tab w:leader="none" w:pos="346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5 -</w:t>
      </w:r>
    </w:p>
    <w:p>
      <w:pPr>
        <w:sectPr>
          <w:pgSz w:w="11900" w:h="16838" w:orient="portrait"/>
          <w:cols w:equalWidth="0" w:num="1">
            <w:col w:w="10239"/>
          </w:cols>
          <w:pgMar w:left="220" w:top="616"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2"/>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37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5.7   GOVERNMENTAL  AUTHORIZATIONS,  ETC.</w:t>
            </w:r>
          </w:p>
        </w:tc>
        <w:tc>
          <w:tcPr>
            <w:tcW w:w="1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No consent,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approval or</w:t>
            </w: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authorization of, or registration,</w:t>
            </w:r>
          </w:p>
        </w:tc>
        <w:tc>
          <w:tcPr>
            <w:tcW w:w="38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filing or declaration with, any Governmental</w:t>
            </w: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Authority is required in connection</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with the execution,</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delivery or</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performance</w:t>
            </w:r>
          </w:p>
        </w:tc>
      </w:tr>
      <w:tr>
        <w:trPr>
          <w:trHeight w:val="166"/>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by the  Company of this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Agreement</w:t>
            </w:r>
          </w:p>
        </w:tc>
        <w:tc>
          <w:tcPr>
            <w:tcW w:w="2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or the Notes other than</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such which have been</w:t>
            </w:r>
          </w:p>
        </w:tc>
      </w:tr>
      <w:tr>
        <w:trPr>
          <w:trHeight w:val="166"/>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obtained and which shall</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be in full</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force and effect at</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the</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Closing.</w:t>
            </w:r>
          </w:p>
        </w:tc>
        <w:tc>
          <w:tcPr>
            <w:tcW w:w="1000" w:type="dxa"/>
            <w:vAlign w:val="bottom"/>
          </w:tcPr>
          <w:p>
            <w:pPr>
              <w:spacing w:after="0"/>
              <w:rPr>
                <w:sz w:val="14"/>
                <w:szCs w:val="14"/>
                <w:color w:val="auto"/>
              </w:rPr>
            </w:pPr>
          </w:p>
        </w:tc>
      </w:tr>
    </w:tbl>
    <w:p>
      <w:pPr>
        <w:spacing w:after="0" w:line="17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5.8 LITIGATION. Except as described in the Disclosure Documents, there are no actions, suits, investigations or proceedings pending or, to the knowledge of the Company, threatened against or affecting the Company or any Subsidiary or any property of the Company or any Subsidiary in any court or before any arbitrator of any kind or before or by any Governmental Authority which, if adversely determined, would individually or in the aggregate, reasonably be expected to have a Material Adverse Effect.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 5.9</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TAXES.</w:t>
            </w:r>
          </w:p>
        </w:tc>
        <w:tc>
          <w:tcPr>
            <w:tcW w:w="47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The Company and its  Subsidiaries  have filed all tax</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returns that are</w:t>
            </w:r>
          </w:p>
        </w:tc>
        <w:tc>
          <w:tcPr>
            <w:tcW w:w="10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required to</w:t>
            </w:r>
          </w:p>
        </w:tc>
        <w:tc>
          <w:tcPr>
            <w:tcW w:w="44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have been filed in any jurisdiction,  and have paid</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all taxes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shown</w:t>
            </w:r>
          </w:p>
        </w:tc>
        <w:tc>
          <w:tcPr>
            <w:tcW w:w="28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to be due and  payable on such</w:t>
            </w:r>
          </w:p>
        </w:tc>
        <w:tc>
          <w:tcPr>
            <w:tcW w:w="2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returns and all other taxes and</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assessments</w:t>
            </w:r>
          </w:p>
        </w:tc>
        <w:tc>
          <w:tcPr>
            <w:tcW w:w="15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levied upon them</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or their properties,</w:t>
            </w:r>
          </w:p>
        </w:tc>
        <w:tc>
          <w:tcPr>
            <w:tcW w:w="2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assets, income or franchises,</w:t>
            </w:r>
          </w:p>
        </w:tc>
      </w:tr>
      <w:tr>
        <w:trPr>
          <w:trHeight w:val="166"/>
        </w:trPr>
        <w:tc>
          <w:tcPr>
            <w:tcW w:w="2500" w:type="dxa"/>
            <w:vAlign w:val="bottom"/>
            <w:gridSpan w:val="4"/>
          </w:tcPr>
          <w:p>
            <w:pPr>
              <w:spacing w:after="0"/>
              <w:rPr>
                <w:sz w:val="20"/>
                <w:szCs w:val="20"/>
                <w:color w:val="auto"/>
              </w:rPr>
            </w:pPr>
            <w:r>
              <w:rPr>
                <w:rFonts w:ascii="Courier New" w:cs="Courier New" w:eastAsia="Courier New" w:hAnsi="Courier New"/>
                <w:sz w:val="14"/>
                <w:szCs w:val="14"/>
                <w:color w:val="auto"/>
              </w:rPr>
              <w:t>to the extent such taxes and</w:t>
            </w:r>
          </w:p>
        </w:tc>
        <w:tc>
          <w:tcPr>
            <w:tcW w:w="2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assessments  have become</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due and payable and before</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they have become</w:t>
            </w:r>
          </w:p>
        </w:tc>
        <w:tc>
          <w:tcPr>
            <w:tcW w:w="10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delinquent,</w:t>
            </w:r>
          </w:p>
        </w:tc>
        <w:tc>
          <w:tcPr>
            <w:tcW w:w="2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except for any taxes and</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assessments (i) the amount</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of which is</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not</w:t>
            </w:r>
          </w:p>
        </w:tc>
        <w:tc>
          <w:tcPr>
            <w:tcW w:w="108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9"/>
              </w:rPr>
              <w:t>individually</w:t>
            </w:r>
          </w:p>
        </w:tc>
        <w:tc>
          <w:tcPr>
            <w:tcW w:w="44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or in the aggregate  Material or (ii) the amount,</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applicability or</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validity</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2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which is currently being</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contested in good faith by</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appropriate</w:t>
            </w:r>
          </w:p>
        </w:tc>
        <w:tc>
          <w:tcPr>
            <w:tcW w:w="1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proceedings</w:t>
            </w:r>
          </w:p>
        </w:tc>
        <w:tc>
          <w:tcPr>
            <w:tcW w:w="47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and with respect to which the Company or a Subsidiary,</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as the case</w:t>
            </w:r>
          </w:p>
        </w:tc>
        <w:tc>
          <w:tcPr>
            <w:tcW w:w="36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may be, has established adequate reserves</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 accordance with GAAP.</w:t>
            </w:r>
          </w:p>
        </w:tc>
      </w:tr>
    </w:tbl>
    <w:p>
      <w:pPr>
        <w:spacing w:after="0" w:line="17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5.10 TITLE TO PROPERTY; LEASES. The Company and its Subsidiaries have good and sufficient title to their respective properties that individually or in the aggregate are Material, including all such properties reflected in the most recent audited balance sheet referred to in Section 5.5 or purported to have been acquired by the Company or any Subsidiary after said date (except as sold or otherwise disposed of in the ordinary course of business). All leases that individually or in the aggregate are Material are valid and subsisting and are in full force and effect in all material respects.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5.11 LICENSES, PERMITS, ETC. Except as set forth or contemplated in the Disclosure Documents, the Company and its Subsidiaries own or possess all licenses, permits, franchises, authorizations, patents, copyrights, proprietary software, service marks, trademarks and trade names, or rights thereto, that individually or in the aggregate are Material, without known conflict with the rights of others.</w:t>
      </w:r>
    </w:p>
    <w:p>
      <w:pPr>
        <w:spacing w:after="0" w:line="164" w:lineRule="exact"/>
        <w:rPr>
          <w:sz w:val="20"/>
          <w:szCs w:val="20"/>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SECTION 5.12</w:t>
        <w:tab/>
        <w:t>COMPLIANCE WITH ERISA.</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900" w:type="dxa"/>
            <w:vAlign w:val="bottom"/>
          </w:tcPr>
          <w:p>
            <w:pPr>
              <w:ind w:left="600"/>
              <w:spacing w:after="0"/>
              <w:rPr>
                <w:sz w:val="20"/>
                <w:szCs w:val="20"/>
                <w:color w:val="auto"/>
              </w:rPr>
            </w:pPr>
            <w:r>
              <w:rPr>
                <w:rFonts w:ascii="Courier New" w:cs="Courier New" w:eastAsia="Courier New" w:hAnsi="Courier New"/>
                <w:sz w:val="14"/>
                <w:szCs w:val="14"/>
                <w:color w:val="auto"/>
              </w:rPr>
              <w:t>(a)</w:t>
            </w:r>
          </w:p>
        </w:tc>
        <w:tc>
          <w:tcPr>
            <w:tcW w:w="700" w:type="dxa"/>
            <w:vAlign w:val="bottom"/>
          </w:tcPr>
          <w:p>
            <w:pPr>
              <w:ind w:left="300"/>
              <w:spacing w:after="0"/>
              <w:rPr>
                <w:sz w:val="20"/>
                <w:szCs w:val="20"/>
                <w:color w:val="auto"/>
              </w:rPr>
            </w:pPr>
            <w:r>
              <w:rPr>
                <w:rFonts w:ascii="Courier New" w:cs="Courier New" w:eastAsia="Courier New" w:hAnsi="Courier New"/>
                <w:sz w:val="14"/>
                <w:szCs w:val="14"/>
                <w:color w:val="auto"/>
              </w:rPr>
              <w:t>The</w:t>
            </w:r>
          </w:p>
        </w:tc>
        <w:tc>
          <w:tcPr>
            <w:tcW w:w="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Company</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each</w:t>
            </w:r>
          </w:p>
        </w:tc>
        <w:tc>
          <w:tcPr>
            <w:tcW w:w="224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ERISA   Affiliate   have</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operated</w:t>
            </w:r>
          </w:p>
        </w:tc>
      </w:tr>
      <w:tr>
        <w:trPr>
          <w:trHeight w:val="166"/>
        </w:trPr>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and  administered</w:t>
            </w:r>
          </w:p>
        </w:tc>
        <w:tc>
          <w:tcPr>
            <w:tcW w:w="210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each Plan in compliance</w:t>
            </w: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with all applicable</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laws except</w:t>
            </w:r>
          </w:p>
        </w:tc>
      </w:tr>
      <w:tr>
        <w:trPr>
          <w:trHeight w:val="166"/>
        </w:trPr>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for such instances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3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noncompliance</w:t>
            </w:r>
          </w:p>
        </w:tc>
        <w:tc>
          <w:tcPr>
            <w:tcW w:w="31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as have not resulted in and could not</w:t>
            </w:r>
          </w:p>
        </w:tc>
      </w:tr>
      <w:tr>
        <w:trPr>
          <w:trHeight w:val="166"/>
        </w:trPr>
        <w:tc>
          <w:tcPr>
            <w:tcW w:w="1940" w:type="dxa"/>
            <w:vAlign w:val="bottom"/>
            <w:gridSpan w:val="3"/>
          </w:tcPr>
          <w:p>
            <w:pPr>
              <w:spacing w:after="0"/>
              <w:rPr>
                <w:sz w:val="20"/>
                <w:szCs w:val="20"/>
                <w:color w:val="auto"/>
              </w:rPr>
            </w:pPr>
            <w:r>
              <w:rPr>
                <w:rFonts w:ascii="Courier New" w:cs="Courier New" w:eastAsia="Courier New" w:hAnsi="Courier New"/>
                <w:sz w:val="14"/>
                <w:szCs w:val="14"/>
                <w:color w:val="auto"/>
              </w:rPr>
              <w:t>reasonably be expected</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 result</w:t>
            </w:r>
          </w:p>
        </w:tc>
        <w:tc>
          <w:tcPr>
            <w:tcW w:w="26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in a Material Adverse Effect.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Neither the</w:t>
            </w:r>
          </w:p>
        </w:tc>
      </w:tr>
      <w:tr>
        <w:trPr>
          <w:trHeight w:val="166"/>
        </w:trPr>
        <w:tc>
          <w:tcPr>
            <w:tcW w:w="1940" w:type="dxa"/>
            <w:vAlign w:val="bottom"/>
            <w:gridSpan w:val="3"/>
          </w:tcPr>
          <w:p>
            <w:pPr>
              <w:spacing w:after="0"/>
              <w:rPr>
                <w:sz w:val="20"/>
                <w:szCs w:val="20"/>
                <w:color w:val="auto"/>
              </w:rPr>
            </w:pPr>
            <w:r>
              <w:rPr>
                <w:rFonts w:ascii="Courier New" w:cs="Courier New" w:eastAsia="Courier New" w:hAnsi="Courier New"/>
                <w:sz w:val="14"/>
                <w:szCs w:val="14"/>
                <w:color w:val="auto"/>
              </w:rPr>
              <w:t>Company nor any ERISA</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Affiliate</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has</w:t>
            </w:r>
          </w:p>
        </w:tc>
        <w:tc>
          <w:tcPr>
            <w:tcW w:w="1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incurred any</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liability</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pursuant to</w:t>
            </w:r>
          </w:p>
        </w:tc>
      </w:tr>
      <w:tr>
        <w:trPr>
          <w:trHeight w:val="166"/>
        </w:trPr>
        <w:tc>
          <w:tcPr>
            <w:tcW w:w="4520" w:type="dxa"/>
            <w:vAlign w:val="bottom"/>
            <w:gridSpan w:val="8"/>
          </w:tcPr>
          <w:p>
            <w:pPr>
              <w:spacing w:after="0"/>
              <w:rPr>
                <w:sz w:val="20"/>
                <w:szCs w:val="20"/>
                <w:color w:val="auto"/>
              </w:rPr>
            </w:pPr>
            <w:r>
              <w:rPr>
                <w:rFonts w:ascii="Courier New" w:cs="Courier New" w:eastAsia="Courier New" w:hAnsi="Courier New"/>
                <w:sz w:val="14"/>
                <w:szCs w:val="14"/>
                <w:color w:val="auto"/>
              </w:rPr>
              <w:t>Title I or IV of ERISA or the penalty or excise tax</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provisions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of the Code</w:t>
            </w:r>
          </w:p>
        </w:tc>
      </w:tr>
      <w:tr>
        <w:trPr>
          <w:trHeight w:val="166"/>
        </w:trPr>
        <w:tc>
          <w:tcPr>
            <w:tcW w:w="3280" w:type="dxa"/>
            <w:vAlign w:val="bottom"/>
            <w:gridSpan w:val="6"/>
          </w:tcPr>
          <w:p>
            <w:pPr>
              <w:spacing w:after="0"/>
              <w:rPr>
                <w:sz w:val="20"/>
                <w:szCs w:val="20"/>
                <w:color w:val="auto"/>
              </w:rPr>
            </w:pPr>
            <w:r>
              <w:rPr>
                <w:rFonts w:ascii="Courier New" w:cs="Courier New" w:eastAsia="Courier New" w:hAnsi="Courier New"/>
                <w:sz w:val="14"/>
                <w:szCs w:val="14"/>
                <w:color w:val="auto"/>
              </w:rPr>
              <w:t>relating to employee benefit plans (as</w:t>
            </w:r>
          </w:p>
        </w:tc>
        <w:tc>
          <w:tcPr>
            <w:tcW w:w="21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defined in section 3 of</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ERISA),  and</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no event,</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transaction</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or</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condition</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has</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occurred</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or exists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that could</w:t>
            </w:r>
          </w:p>
        </w:tc>
      </w:tr>
      <w:tr>
        <w:trPr>
          <w:trHeight w:val="166"/>
        </w:trPr>
        <w:tc>
          <w:tcPr>
            <w:tcW w:w="2800" w:type="dxa"/>
            <w:vAlign w:val="bottom"/>
            <w:gridSpan w:val="5"/>
          </w:tcPr>
          <w:p>
            <w:pPr>
              <w:spacing w:after="0"/>
              <w:rPr>
                <w:sz w:val="20"/>
                <w:szCs w:val="20"/>
                <w:color w:val="auto"/>
              </w:rPr>
            </w:pPr>
            <w:r>
              <w:rPr>
                <w:rFonts w:ascii="Courier New" w:cs="Courier New" w:eastAsia="Courier New" w:hAnsi="Courier New"/>
                <w:sz w:val="14"/>
                <w:szCs w:val="14"/>
                <w:color w:val="auto"/>
              </w:rPr>
              <w:t>reasonably be expected to result</w:t>
            </w:r>
          </w:p>
        </w:tc>
        <w:tc>
          <w:tcPr>
            <w:tcW w:w="26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in the incurrence of any such</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liability by</w:t>
            </w:r>
          </w:p>
        </w:tc>
      </w:tr>
      <w:tr>
        <w:trPr>
          <w:trHeight w:val="166"/>
        </w:trPr>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the Company or any</w:t>
            </w:r>
          </w:p>
        </w:tc>
        <w:tc>
          <w:tcPr>
            <w:tcW w:w="16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ERISA Affiliate, or</w:t>
            </w:r>
          </w:p>
        </w:tc>
        <w:tc>
          <w:tcPr>
            <w:tcW w:w="1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 the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- 6 -</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47" w:name="page48"/>
    <w:bookmarkEnd w:id="47"/>
    <w:p>
      <w:pPr>
        <w:jc w:val="both"/>
        <w:ind w:left="440" w:right="3339"/>
        <w:spacing w:after="0" w:line="252" w:lineRule="auto"/>
        <w:rPr>
          <w:sz w:val="20"/>
          <w:szCs w:val="20"/>
          <w:color w:val="auto"/>
        </w:rPr>
      </w:pPr>
      <w:r>
        <w:rPr>
          <w:rFonts w:ascii="Courier New" w:cs="Courier New" w:eastAsia="Courier New" w:hAnsi="Courier New"/>
          <w:sz w:val="14"/>
          <w:szCs w:val="14"/>
          <w:color w:val="auto"/>
        </w:rPr>
        <w:t>imposition of any Lien on any of the rights, properties or assets of the Company or any ERISA Affiliate, in either case pursuant to Title I or IV of ERISA or to such penalty or excise tax provisions or to section 401(a)(29) or 412 of the Code or section 4068 of ERISA, other than such liabilities or Liens as would not be individually or in the aggregate Material.</w:t>
      </w:r>
    </w:p>
    <w:p>
      <w:pPr>
        <w:spacing w:after="0" w:line="327" w:lineRule="exact"/>
        <w:rPr>
          <w:sz w:val="20"/>
          <w:szCs w:val="20"/>
          <w:color w:val="auto"/>
        </w:rPr>
      </w:pPr>
    </w:p>
    <w:p>
      <w:pPr>
        <w:jc w:val="both"/>
        <w:ind w:left="440" w:right="3339" w:firstLine="602"/>
        <w:spacing w:after="0" w:line="251" w:lineRule="auto"/>
        <w:tabs>
          <w:tab w:leader="none" w:pos="1646"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present value of the aggregate benefit liabilities under each of the Plans (other than Multiemployer Plans), determined as of the end of such Plan's most recently ended plan year on the basis of the actuarial assumptions specified for funding purposes in such Plan's most recent actuarial valuation report, did not exceed the aggregate current value of the assets of such Plan allocable to such benefit liabilities by more than $26,500,000 in the case of any single Plan and by more than $9,500,000 in the aggregate for all Plans.</w:t>
      </w:r>
    </w:p>
    <w:p>
      <w:pPr>
        <w:spacing w:after="0" w:line="163" w:lineRule="exact"/>
        <w:rPr>
          <w:rFonts w:ascii="Courier New" w:cs="Courier New" w:eastAsia="Courier New" w:hAnsi="Courier New"/>
          <w:sz w:val="14"/>
          <w:szCs w:val="14"/>
          <w:color w:val="auto"/>
        </w:rPr>
      </w:pPr>
    </w:p>
    <w:p>
      <w:pPr>
        <w:jc w:val="both"/>
        <w:ind w:left="440" w:right="3339" w:firstLine="602"/>
        <w:spacing w:after="0" w:line="252" w:lineRule="auto"/>
        <w:tabs>
          <w:tab w:leader="none" w:pos="1646"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ERISA Affiliates have not incurred withdrawal liabilities (and are not subject to contingent withdrawal liabilities) under section 4201 or 4204 of ERISA in respect of Multiemployer Plans that individually or in the aggregate are Material.</w:t>
      </w:r>
    </w:p>
    <w:p>
      <w:pPr>
        <w:spacing w:after="0" w:line="162"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646"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expected postretirement benefit obligation (determined as of the last day of the Company's most recently ended fiscal year in accordance with Financial Accounting Standards Board Statement No. 106, without regard to liabilities attributable to continuation coverage mandated by section 4980B of the Code) of the Company and its Subsidiaries is approximately $60,000,000. A substantial portion of the annual postretirement benefit costs recognized by the Company's regulated companies are recovered through rates filed with the Company's regulatory jurisdictions, as more fully described in Note 16 to the Consolidated Financial Statements in the Company's Annual Report on Form 10-K for the year ended December 31, 2006.</w:t>
      </w:r>
    </w:p>
    <w:p>
      <w:pPr>
        <w:spacing w:after="0" w:line="163"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646"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and the issuance and sale of the Notes hereunder will not involve any transaction that is subject to the prohibitions of section 406 of ERISA or in connection with which a tax could be imposed pursuant to section 4975(c)(1)(A)-(D) of the Code. The representation by the Company to each Purchaser in the first sentence of this Section 5.12(e) is made in reliance upon and subject to the accuracy of such Purchaser's representation in Section 6.2 and the completeness of such Purchaser's disclosures pursuant to Section 6.2 as to the sources of the funds used to pay the purchase price of the Notes to be purchased by such Purchaser.</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5.13 PRIVATE OFFERING BY THE COMPANY. Neither the Company nor anyone acting on its behalf has offered the Notes or any similar securities for sale to, or solicited any offer to buy any of the same from, or otherwise approached or negotiated in respect thereof with, any person other than the Purchasers and not more than 16 other Institutional Investors, each of which has been offered the Notes at a private sale for investment. Neither the Company nor anyone acting on its behalf has taken, or will take, any action that would subject the issuance or sale of the Notes to the registration requirements of Section 5 of the Securities Act or to the registration requirements of any securities or blue sky laws of any applicable jurisdiction.</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- 7 -</w:t>
      </w:r>
    </w:p>
    <w:p>
      <w:pPr>
        <w:sectPr>
          <w:pgSz w:w="11900" w:h="16838" w:orient="portrait"/>
          <w:cols w:equalWidth="0" w:num="1">
            <w:col w:w="10239"/>
          </w:cols>
          <w:pgMar w:left="220" w:top="616" w:right="1440" w:bottom="1440" w:gutter="0" w:footer="0" w:header="0"/>
        </w:sectPr>
      </w:pPr>
    </w:p>
    <w:bookmarkStart w:id="48" w:name="page49"/>
    <w:bookmarkEnd w:id="48"/>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SECTION 5.14 USE OF PROCEEDS; MARGIN REGULATIONS. The Company will apply the proceeds of the sale of the Notes to fund corporate growth opportunities and for general corporate purposes. No part of the proceeds from the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20% of the value of the consolidated assets of the Company and its Subsidiaries and the Company does not have any present intention that margin stock will constitute more than 20% of the value of such assets. As used in this Section, the terms "MARGIN STOCK" and "PURPOSE OF BUYING OR CARRYING" shall have the meanings assigned to them in said Regulation U.</w:t>
      </w:r>
    </w:p>
    <w:p>
      <w:pPr>
        <w:spacing w:after="0" w:line="172" w:lineRule="exact"/>
        <w:rPr>
          <w:sz w:val="20"/>
          <w:szCs w:val="20"/>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SECTION 5.15</w:t>
        <w:tab/>
        <w:t>EXISTING INDEBTEDNESS; FUTURE LIENS.</w:t>
      </w:r>
    </w:p>
    <w:p>
      <w:pPr>
        <w:spacing w:after="0" w:line="173" w:lineRule="exact"/>
        <w:rPr>
          <w:sz w:val="20"/>
          <w:szCs w:val="20"/>
          <w:color w:val="auto"/>
        </w:rPr>
      </w:pPr>
    </w:p>
    <w:p>
      <w:pPr>
        <w:jc w:val="both"/>
        <w:ind w:left="440" w:right="3339" w:firstLine="602"/>
        <w:spacing w:after="0" w:line="251" w:lineRule="auto"/>
        <w:tabs>
          <w:tab w:leader="none" w:pos="1646"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described therein, Schedule 5.15 sets forth a complete and correct list of all outstanding Indebtedness that is Material of the Company and its Significant Subsidiaries as of March 31, 2007, since which date there has been no Material change in the amounts, interest rates, sinking funds, installment payments or maturities of the Indebtedness of the Company or its Significant Subsidiaries. Neither the Company nor any Significant Subsidiary is in default and no waiver of default is currently in effect, in the payment of any principal or interest on any such Indebtedness and no event or condition exists with respect to such Indebtedness that would permit (or that with notice or the lapse of time, or both, would permit) one or more Persons to cause such Indebtedness to become due and payable before its stated maturity or before its regularly scheduled dates of payment.</w:t>
      </w:r>
    </w:p>
    <w:p>
      <w:pPr>
        <w:spacing w:after="0" w:line="162"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646"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Schedule 5.15, neither the Company nor any Significant Subsidiary has agreed or consented to cause or permit in the future (upon the happening of a contingency or otherwise) any of its property, whether now owned or hereafter acquired, to be subject to a Lien not permitted by Section 10.5.</w:t>
      </w:r>
    </w:p>
    <w:p>
      <w:pPr>
        <w:spacing w:after="0" w:line="164" w:lineRule="exact"/>
        <w:rPr>
          <w:rFonts w:ascii="Courier New" w:cs="Courier New" w:eastAsia="Courier New" w:hAnsi="Courier New"/>
          <w:sz w:val="14"/>
          <w:szCs w:val="14"/>
          <w:color w:val="auto"/>
        </w:rPr>
      </w:pPr>
    </w:p>
    <w:p>
      <w:pPr>
        <w:ind w:left="440" w:right="3339" w:firstLine="602"/>
        <w:spacing w:after="0" w:line="251" w:lineRule="auto"/>
        <w:tabs>
          <w:tab w:leader="none" w:pos="1646"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is a party to, or otherwise subject to any provision contained in, any instrument evidencing Indebtedness that is Material of the Company or such Subsidiary, any agreement relating thereto or any other agreement (including, but not limited to, its charter or other organizational document) which limits the amount of, or otherwise imposes restrictions on the incurring of, Indebtedness of the Company, except as specifically indicated in Schedule 5.15.</w:t>
      </w:r>
    </w:p>
    <w:p>
      <w:pPr>
        <w:spacing w:after="0" w:line="164" w:lineRule="exact"/>
        <w:rPr>
          <w:sz w:val="20"/>
          <w:szCs w:val="20"/>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SECTION 5.16</w:t>
        <w:tab/>
        <w:t>FOREIGN ASSETS CONTROL REGULATIONS, ETC.</w:t>
      </w:r>
    </w:p>
    <w:p>
      <w:pPr>
        <w:spacing w:after="0" w:line="173" w:lineRule="exact"/>
        <w:rPr>
          <w:sz w:val="20"/>
          <w:szCs w:val="20"/>
          <w:color w:val="auto"/>
        </w:rPr>
      </w:pPr>
    </w:p>
    <w:p>
      <w:pPr>
        <w:jc w:val="both"/>
        <w:ind w:left="440" w:right="3339" w:firstLine="602"/>
        <w:spacing w:after="0" w:line="251" w:lineRule="auto"/>
        <w:tabs>
          <w:tab w:leader="none" w:pos="1646"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sale of the Notes by the Company hereunder nor its use of the proceeds thereof will violate the Trading with the Enemy Act, as amended, or any of the foreign assets control regulations of the United States Treasury Department (31 CFR, Subtitle B, Chapter V, as amended) or any enabling legislation or executive order relating thereto.</w:t>
      </w:r>
    </w:p>
    <w:p>
      <w:pPr>
        <w:spacing w:after="0" w:line="164" w:lineRule="exact"/>
        <w:rPr>
          <w:rFonts w:ascii="Courier New" w:cs="Courier New" w:eastAsia="Courier New" w:hAnsi="Courier New"/>
          <w:sz w:val="14"/>
          <w:szCs w:val="14"/>
          <w:color w:val="auto"/>
        </w:rPr>
      </w:pPr>
    </w:p>
    <w:p>
      <w:pPr>
        <w:ind w:left="3460" w:hanging="179"/>
        <w:spacing w:after="0"/>
        <w:tabs>
          <w:tab w:leader="none" w:pos="346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8 -</w:t>
      </w:r>
    </w:p>
    <w:p>
      <w:pPr>
        <w:sectPr>
          <w:pgSz w:w="11900" w:h="16838" w:orient="portrait"/>
          <w:cols w:equalWidth="0" w:num="1">
            <w:col w:w="10239"/>
          </w:cols>
          <w:pgMar w:left="220" w:top="616" w:right="1440" w:bottom="1440" w:gutter="0" w:footer="0" w:header="0"/>
        </w:sectPr>
      </w:pPr>
    </w:p>
    <w:bookmarkStart w:id="49" w:name="page50"/>
    <w:bookmarkEnd w:id="49"/>
    <w:p>
      <w:pPr>
        <w:jc w:val="both"/>
        <w:ind w:left="440" w:right="3339" w:firstLine="602"/>
        <w:spacing w:after="0" w:line="251" w:lineRule="auto"/>
        <w:tabs>
          <w:tab w:leader="none" w:pos="1646"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(i) is a Person described or designated in the Specially Designated Nationals and Blocked Persons List of the Office of Foreign Assets Control or in Section 1 of the Anti-Terrorism Order or (ii) engages in any dealings or transactions with any such Person. The Company and its Subsidiaries are in compliance, in all material respects, with the USA Patriot Act.</w:t>
      </w:r>
    </w:p>
    <w:p>
      <w:pPr>
        <w:spacing w:after="0" w:line="164"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646"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part of the proceeds from the sale of the Notes hereunder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assuming in all cases that such Act applies to the Company.</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SECTION 5.17 STATUS UNDER INVESTMENT COMPANY ACT AND ICC TERMINATION ACT. Neither the Company nor any Subsidiary is subject to regulation under the Investment Company Act of 1940, as amended or the ICC Termination Act of 1995, as amended.</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5.18 ENVIRONMENTAL MATTERS. Except as disclosed in the Disclosure Documents, the Company and its Subsidiaries (i) are in compliance with all Environmental Laws, (ii) have received all permits, licenses or other approvals required of them under applicable Environmental Laws to conduct their respective businesses, and (iii) are in compliance with all terms and conditions of any such permit, license or approval; except, in each case, such as could not reasonably be expected to result in a Material Adverse Effect.</w:t>
      </w:r>
    </w:p>
    <w:p>
      <w:pPr>
        <w:spacing w:after="0" w:line="16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6.</w:t>
        <w:tab/>
        <w:t>REPRESENTATIONS OF THE PURCHASERS.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6.1 PURCHASE FOR INVESTMENT. Each Purchaser severally represents that it is purchasing the Notes for its own account or for one or more separate accounts maintained by such Purchaser or for the account of one or more pension or trust funds and not with a view to the distribution thereof, provided that the disposition of such Purchaser's or their property shall at all times be within such Purchaser's or their control. Each Purchaser understands that the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Notes.</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SECTION 6.2 SOURCE OF FUNDS. Each Purchaser severally represents that at least one of the following statements is an accurate representation as to each source of funds (a "Source") to be used by such Purchaser to pay the purchase price of the Notes to be purchased by such Purchaser hereunder:</w:t>
      </w:r>
    </w:p>
    <w:p>
      <w:pPr>
        <w:spacing w:after="0" w:line="162" w:lineRule="exact"/>
        <w:rPr>
          <w:sz w:val="20"/>
          <w:szCs w:val="20"/>
          <w:color w:val="auto"/>
        </w:rPr>
      </w:pPr>
    </w:p>
    <w:p>
      <w:pPr>
        <w:jc w:val="both"/>
        <w:ind w:left="440" w:right="3339" w:firstLine="602"/>
        <w:spacing w:after="0" w:line="251" w:lineRule="auto"/>
        <w:tabs>
          <w:tab w:leader="none" w:pos="1646"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 is an "insurance company general account" (as the term is defined in The United States Department of Labor's Prohibited Transaction Exemption ("PTE") 95-60) in respect of which the reserves and liabilities (as defined by the annual statement for life insurance companies approved by the National Association of Insurance Commissioners (the "NAIC ANNUAL STATEMENT")) for the general account contract(s) held by or on behalf of any employee benefit plan together with the amount of</w:t>
      </w:r>
    </w:p>
    <w:p>
      <w:pPr>
        <w:spacing w:after="0" w:line="164" w:lineRule="exact"/>
        <w:rPr>
          <w:rFonts w:ascii="Courier New" w:cs="Courier New" w:eastAsia="Courier New" w:hAnsi="Courier New"/>
          <w:sz w:val="14"/>
          <w:szCs w:val="14"/>
          <w:color w:val="auto"/>
        </w:rPr>
      </w:pPr>
    </w:p>
    <w:p>
      <w:pPr>
        <w:ind w:left="3460" w:hanging="179"/>
        <w:spacing w:after="0"/>
        <w:tabs>
          <w:tab w:leader="none" w:pos="346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9 -</w:t>
      </w:r>
    </w:p>
    <w:p>
      <w:pPr>
        <w:sectPr>
          <w:pgSz w:w="11900" w:h="16838" w:orient="portrait"/>
          <w:cols w:equalWidth="0" w:num="1">
            <w:col w:w="10239"/>
          </w:cols>
          <w:pgMar w:left="220" w:top="616" w:right="1440" w:bottom="1440" w:gutter="0" w:footer="0" w:header="0"/>
        </w:sectPr>
      </w:pPr>
    </w:p>
    <w:bookmarkStart w:id="50" w:name="page51"/>
    <w:bookmarkEnd w:id="50"/>
    <w:p>
      <w:pPr>
        <w:jc w:val="both"/>
        <w:ind w:left="1" w:right="3339"/>
        <w:spacing w:after="0" w:line="251" w:lineRule="auto"/>
        <w:rPr>
          <w:sz w:val="20"/>
          <w:szCs w:val="20"/>
          <w:color w:val="auto"/>
        </w:rPr>
      </w:pPr>
      <w:r>
        <w:rPr>
          <w:rFonts w:ascii="Courier New" w:cs="Courier New" w:eastAsia="Courier New" w:hAnsi="Courier New"/>
          <w:sz w:val="14"/>
          <w:szCs w:val="14"/>
          <w:color w:val="auto"/>
        </w:rPr>
        <w:t>the reserves and liabilities for the general account contract(s) held by or on behalf of any other employee benefit plans maintained by the same employer (or affiliate thereof as defined in PTE 95-60)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spacing w:after="0" w:line="164" w:lineRule="exact"/>
        <w:rPr>
          <w:sz w:val="20"/>
          <w:szCs w:val="20"/>
          <w:color w:val="auto"/>
        </w:rPr>
      </w:pPr>
    </w:p>
    <w:p>
      <w:pPr>
        <w:jc w:val="both"/>
        <w:ind w:left="1" w:right="3339" w:firstLine="602"/>
        <w:spacing w:after="0" w:line="251" w:lineRule="auto"/>
        <w:tabs>
          <w:tab w:leader="none" w:pos="1207"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64" w:lineRule="exact"/>
        <w:rPr>
          <w:rFonts w:ascii="Courier New" w:cs="Courier New" w:eastAsia="Courier New" w:hAnsi="Courier New"/>
          <w:sz w:val="14"/>
          <w:szCs w:val="14"/>
          <w:color w:val="auto"/>
        </w:rPr>
      </w:pPr>
    </w:p>
    <w:p>
      <w:pPr>
        <w:jc w:val="both"/>
        <w:ind w:left="1" w:right="3339" w:firstLine="602"/>
        <w:spacing w:after="0" w:line="251" w:lineRule="auto"/>
        <w:tabs>
          <w:tab w:leader="none" w:pos="1207"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 is either (i) an insurance company pooled separate account, within the meaning of PTE 90-1 or (ii) a bank collective investment fund, within the meaning of the PTE 91-38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329" w:lineRule="exact"/>
        <w:rPr>
          <w:rFonts w:ascii="Courier New" w:cs="Courier New" w:eastAsia="Courier New" w:hAnsi="Courier New"/>
          <w:sz w:val="14"/>
          <w:szCs w:val="14"/>
          <w:color w:val="auto"/>
        </w:rPr>
      </w:pPr>
    </w:p>
    <w:p>
      <w:pPr>
        <w:jc w:val="both"/>
        <w:ind w:left="1" w:right="3339" w:firstLine="602"/>
        <w:spacing w:after="0" w:line="250" w:lineRule="auto"/>
        <w:tabs>
          <w:tab w:leader="none" w:pos="1207"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 constitutes assets of an "investment fund" (within the meaning of Part V of PTE 84-14 (the "QPAM EXEMPTION")) managed by a "qualified professional asset manager" or "QPAM" (within the meaning of Part V of the QPAM Exemption), no employee benefit plan's assets that are included in such investment fund, when combined with the assets of all other employee benefit plans established or maintained by the same employer or by an affiliate (within the meaning of Section V(c)(1) of the QPAM Exemption) of such employer or by the same employee organization and managed by such QPAM, exceed 20% of the total client assets managed by such QPAM, the conditions of Part I(c) and (g) of the QPAM Exemption are satisfied, neither the QPAM nor a person controlling or controlled by the QPAM (applying the definition of "control" in Section V(e) of the QPAM Exemption) owns a 5% or more interest in the Company and (i) the identity of such QPAM and (ii) the names of all employee benefit plans whose assets are included in such investment fund have been disclosed to the Company in writing pursuant to this clause (d); or</w:t>
      </w:r>
    </w:p>
    <w:p>
      <w:pPr>
        <w:spacing w:after="0" w:line="172" w:lineRule="exact"/>
        <w:rPr>
          <w:rFonts w:ascii="Courier New" w:cs="Courier New" w:eastAsia="Courier New" w:hAnsi="Courier New"/>
          <w:sz w:val="14"/>
          <w:szCs w:val="14"/>
          <w:color w:val="auto"/>
        </w:rPr>
      </w:pPr>
    </w:p>
    <w:p>
      <w:pPr>
        <w:jc w:val="both"/>
        <w:ind w:left="1" w:right="3339" w:firstLine="602"/>
        <w:spacing w:after="0" w:line="250" w:lineRule="auto"/>
        <w:tabs>
          <w:tab w:leader="none" w:pos="1207"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 constitutes assets of a "plan(s)" (within the meaning of Section IV of PTE 96-23 (the "INHAM EXEMPTION")) managed by an "in-house asset manager" or "INHAM" (within the meaning of Part IV of the INHAM Exemption), the conditions of Part I(a), (g) and (h) of the INHAM Exemption are satisfied, neither the INHAM nor a person controlling or controlled by the INHAM (applying the definition of "control" in Section IV(d) of the INHAM Exemption) owns a 5% or more interest in the Company and</w:t>
      </w:r>
    </w:p>
    <w:p>
      <w:pPr>
        <w:spacing w:after="0" w:line="3" w:lineRule="exact"/>
        <w:rPr>
          <w:rFonts w:ascii="Courier New" w:cs="Courier New" w:eastAsia="Courier New" w:hAnsi="Courier New"/>
          <w:sz w:val="14"/>
          <w:szCs w:val="14"/>
          <w:color w:val="auto"/>
        </w:rPr>
      </w:pPr>
    </w:p>
    <w:p>
      <w:pPr>
        <w:jc w:val="both"/>
        <w:ind w:left="1" w:right="3339" w:hanging="1"/>
        <w:spacing w:after="0" w:line="252" w:lineRule="auto"/>
        <w:tabs>
          <w:tab w:leader="none" w:pos="346"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identity of such INHAM and (ii) the name(s) of the employee benefit plan(s) whose assets constitute the Source have been disclosed to the Company in writing pursuant to this clause (e); or</w:t>
      </w:r>
    </w:p>
    <w:p>
      <w:pPr>
        <w:spacing w:after="0" w:line="162" w:lineRule="exact"/>
        <w:rPr>
          <w:rFonts w:ascii="Courier New" w:cs="Courier New" w:eastAsia="Courier New" w:hAnsi="Courier New"/>
          <w:sz w:val="14"/>
          <w:szCs w:val="14"/>
          <w:color w:val="auto"/>
        </w:rPr>
      </w:pPr>
    </w:p>
    <w:p>
      <w:pPr>
        <w:ind w:left="1201" w:hanging="598"/>
        <w:spacing w:after="0"/>
        <w:tabs>
          <w:tab w:leader="none" w:pos="1201"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 is a governmental plan; or</w:t>
      </w:r>
    </w:p>
    <w:p>
      <w:pPr>
        <w:spacing w:after="0" w:line="172" w:lineRule="exact"/>
        <w:rPr>
          <w:rFonts w:ascii="Courier New" w:cs="Courier New" w:eastAsia="Courier New" w:hAnsi="Courier New"/>
          <w:sz w:val="14"/>
          <w:szCs w:val="14"/>
          <w:color w:val="auto"/>
        </w:rPr>
      </w:pPr>
    </w:p>
    <w:p>
      <w:pPr>
        <w:ind w:left="2921" w:hanging="165"/>
        <w:spacing w:after="0"/>
        <w:tabs>
          <w:tab w:leader="none" w:pos="2921" w:val="left"/>
        </w:tabs>
        <w:numPr>
          <w:ilvl w:val="2"/>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w:t>
      </w:r>
    </w:p>
    <w:p>
      <w:pPr>
        <w:sectPr>
          <w:pgSz w:w="11900" w:h="16838" w:orient="portrait"/>
          <w:cols w:equalWidth="0" w:num="1">
            <w:col w:w="9800"/>
          </w:cols>
          <w:pgMar w:left="659" w:top="616" w:right="1440" w:bottom="1440" w:gutter="0" w:footer="0" w:header="0"/>
        </w:sectPr>
      </w:pPr>
    </w:p>
    <w:bookmarkStart w:id="51" w:name="page52"/>
    <w:bookmarkEnd w:id="51"/>
    <w:p>
      <w:pPr>
        <w:jc w:val="both"/>
        <w:ind w:left="440" w:right="3339" w:firstLine="602"/>
        <w:spacing w:after="0" w:line="252" w:lineRule="auto"/>
        <w:tabs>
          <w:tab w:leader="none" w:pos="1646"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 is one or more employee benefit plans, or a separate account or trust fund comprised of one or more employee benefit plans, each of which has been identified to the Company in writing pursuant to this clause (g); or</w:t>
      </w:r>
    </w:p>
    <w:p>
      <w:pPr>
        <w:spacing w:after="0" w:line="162" w:lineRule="exact"/>
        <w:rPr>
          <w:rFonts w:ascii="Courier New" w:cs="Courier New" w:eastAsia="Courier New" w:hAnsi="Courier New"/>
          <w:sz w:val="14"/>
          <w:szCs w:val="14"/>
          <w:color w:val="auto"/>
        </w:rPr>
      </w:pPr>
    </w:p>
    <w:p>
      <w:pPr>
        <w:ind w:left="440" w:right="3339" w:firstLine="602"/>
        <w:spacing w:after="0" w:line="255" w:lineRule="auto"/>
        <w:tabs>
          <w:tab w:leader="none" w:pos="1646"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 does not include assets of any employee benefit plan, other than a plan exempt from the coverage of ERISA.</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As used in this Section 6.2, the terms "EMPLOYEE BENEFIT PLAN," "GOVERNMENTAL PLAN," and "SEPARATE ACCOUNT" shall have the respective meanings assigned to such terms in section 3 of ERISA.</w:t>
      </w:r>
    </w:p>
    <w:p>
      <w:pPr>
        <w:spacing w:after="0" w:line="16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7.</w:t>
        <w:tab/>
        <w:t>INFORMATION AS TO COMPANY</w:t>
      </w:r>
    </w:p>
    <w:p>
      <w:pPr>
        <w:spacing w:after="0" w:line="173" w:lineRule="exact"/>
        <w:rPr>
          <w:sz w:val="20"/>
          <w:szCs w:val="20"/>
          <w:color w:val="auto"/>
        </w:rPr>
      </w:pPr>
    </w:p>
    <w:p>
      <w:pPr>
        <w:ind w:left="440"/>
        <w:spacing w:after="0"/>
        <w:tabs>
          <w:tab w:leader="none" w:pos="1620" w:val="left"/>
          <w:tab w:leader="none" w:pos="4820" w:val="left"/>
          <w:tab w:leader="none" w:pos="5160" w:val="left"/>
          <w:tab w:leader="none" w:pos="5680" w:val="left"/>
          <w:tab w:leader="none" w:pos="6020" w:val="left"/>
        </w:tabs>
        <w:rPr>
          <w:sz w:val="20"/>
          <w:szCs w:val="20"/>
          <w:color w:val="auto"/>
        </w:rPr>
      </w:pPr>
      <w:r>
        <w:rPr>
          <w:rFonts w:ascii="Courier New" w:cs="Courier New" w:eastAsia="Courier New" w:hAnsi="Courier New"/>
          <w:sz w:val="14"/>
          <w:szCs w:val="14"/>
          <w:color w:val="auto"/>
        </w:rPr>
        <w:t>SECTION 7.1</w:t>
      </w:r>
      <w:r>
        <w:rPr>
          <w:sz w:val="20"/>
          <w:szCs w:val="20"/>
          <w:color w:val="auto"/>
        </w:rPr>
        <w:tab/>
      </w:r>
      <w:r>
        <w:rPr>
          <w:rFonts w:ascii="Courier New" w:cs="Courier New" w:eastAsia="Courier New" w:hAnsi="Courier New"/>
          <w:sz w:val="14"/>
          <w:szCs w:val="14"/>
          <w:color w:val="auto"/>
        </w:rPr>
        <w:t>FINANCIAL AND BUSINESS INFORMATION.</w:t>
        <w:tab/>
        <w:t>As</w:t>
        <w:tab/>
        <w:t>long</w:t>
        <w:tab/>
        <w:t>as</w:t>
        <w:tab/>
        <w:t>any of the</w:t>
      </w:r>
    </w:p>
    <w:p>
      <w:pPr>
        <w:spacing w:after="0" w:line="7" w:lineRule="exact"/>
        <w:rPr>
          <w:sz w:val="20"/>
          <w:szCs w:val="20"/>
          <w:color w:val="auto"/>
        </w:rPr>
      </w:pPr>
    </w:p>
    <w:p>
      <w:pPr>
        <w:spacing w:after="0"/>
        <w:tabs>
          <w:tab w:leader="none" w:pos="940" w:val="left"/>
          <w:tab w:leader="none" w:pos="2140" w:val="left"/>
          <w:tab w:leader="none" w:pos="3260" w:val="left"/>
        </w:tabs>
        <w:rPr>
          <w:sz w:val="20"/>
          <w:szCs w:val="20"/>
          <w:color w:val="auto"/>
        </w:rPr>
      </w:pPr>
      <w:r>
        <w:rPr>
          <w:rFonts w:ascii="Courier New" w:cs="Courier New" w:eastAsia="Courier New" w:hAnsi="Courier New"/>
          <w:sz w:val="14"/>
          <w:szCs w:val="14"/>
          <w:color w:val="auto"/>
        </w:rPr>
        <w:t>Notes are</w:t>
        <w:tab/>
        <w:t>outstanding,</w:t>
        <w:tab/>
        <w:t>the Company</w:t>
        <w:tab/>
        <w:t>shall deliver to each holder of Notes that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an Institutional Investor:</w:t>
      </w:r>
    </w:p>
    <w:p>
      <w:pPr>
        <w:spacing w:after="0" w:line="173" w:lineRule="exact"/>
        <w:rPr>
          <w:sz w:val="20"/>
          <w:szCs w:val="20"/>
          <w:color w:val="auto"/>
        </w:rPr>
      </w:pPr>
    </w:p>
    <w:p>
      <w:pPr>
        <w:jc w:val="both"/>
        <w:ind w:left="440" w:right="3339" w:firstLine="602"/>
        <w:spacing w:after="0" w:line="251" w:lineRule="auto"/>
        <w:tabs>
          <w:tab w:leader="none" w:pos="1646"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STATEMENTS -- within 60 days (or such shorter period as is 15 days greater than the period applicable to the filing of the Company's Quarterly Report on Form 10-Q (the "FORM 10-Q") with the SEC regardless of whether the Company is subject to the filing requirements thereof) after the end of each quarterly fiscal period in each fiscal year of the Company (other than the last quarterly fiscal period of each such fiscal year), duplicate copies of,</w:t>
      </w:r>
    </w:p>
    <w:p>
      <w:pPr>
        <w:spacing w:after="0" w:line="164" w:lineRule="exact"/>
        <w:rPr>
          <w:rFonts w:ascii="Courier New" w:cs="Courier New" w:eastAsia="Courier New" w:hAnsi="Courier New"/>
          <w:sz w:val="14"/>
          <w:szCs w:val="14"/>
          <w:color w:val="auto"/>
        </w:rPr>
      </w:pPr>
    </w:p>
    <w:p>
      <w:pPr>
        <w:ind w:left="1040" w:right="3339" w:firstLine="1122"/>
        <w:spacing w:after="0" w:line="255" w:lineRule="auto"/>
        <w:tabs>
          <w:tab w:leader="none" w:pos="2676"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consolidated balance sheet of the Company, including its Subsidiaries, as at the end of such quarter, and</w:t>
      </w:r>
    </w:p>
    <w:p>
      <w:pPr>
        <w:spacing w:after="0" w:line="159" w:lineRule="exact"/>
        <w:rPr>
          <w:rFonts w:ascii="Courier New" w:cs="Courier New" w:eastAsia="Courier New" w:hAnsi="Courier New"/>
          <w:sz w:val="14"/>
          <w:szCs w:val="14"/>
          <w:color w:val="auto"/>
        </w:rPr>
      </w:pPr>
    </w:p>
    <w:p>
      <w:pPr>
        <w:jc w:val="both"/>
        <w:ind w:left="1040" w:right="3339" w:firstLine="1122"/>
        <w:spacing w:after="0" w:line="252" w:lineRule="auto"/>
        <w:tabs>
          <w:tab w:leader="none" w:pos="2676"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income and cash flows of theCompany, including its Subsidiaries, for such quarter and (in the case of the second and third quarters) for the portion of the fiscal year ending with such quarter,</w:t>
      </w:r>
    </w:p>
    <w:p>
      <w:pPr>
        <w:spacing w:after="0" w:line="162" w:lineRule="exact"/>
        <w:rPr>
          <w:sz w:val="20"/>
          <w:szCs w:val="20"/>
          <w:color w:val="auto"/>
        </w:rPr>
      </w:pPr>
    </w:p>
    <w:p>
      <w:pPr>
        <w:jc w:val="both"/>
        <w:ind w:left="440" w:right="3339"/>
        <w:spacing w:after="0" w:line="250" w:lineRule="auto"/>
        <w:rPr>
          <w:sz w:val="20"/>
          <w:szCs w:val="20"/>
          <w:color w:val="auto"/>
        </w:rPr>
      </w:pPr>
      <w:r>
        <w:rPr>
          <w:rFonts w:ascii="Courier New" w:cs="Courier New" w:eastAsia="Courier New" w:hAnsi="Courier New"/>
          <w:sz w:val="14"/>
          <w:szCs w:val="14"/>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PROVIDED that delivery within the time period specified above of copies of the Company's Form 10-Q prepared in compliance with the requirements therefor and filed with the SEC shall be deemed to satisfy the requirements of this Section 7.1(a), PROVIDED, FURTHER, that the Company shall be deemed to have made such delivery of such Form 10-Q if it shall have timely made such Form 10-Q available on "EDGAR" and on its home page on the worldwide web (at the date of this Agreement located at: http//www.allete.com) (such availability being referred to as "ELECTRONIC DELIVERY");</w:t>
      </w:r>
    </w:p>
    <w:p>
      <w:pPr>
        <w:sectPr>
          <w:pgSz w:w="11900" w:h="16838" w:orient="portrait"/>
          <w:cols w:equalWidth="0" w:num="1">
            <w:col w:w="10239"/>
          </w:cols>
          <w:pgMar w:left="220" w:top="616" w:right="1440" w:bottom="1440" w:gutter="0" w:footer="0" w:header="0"/>
        </w:sectPr>
      </w:pPr>
    </w:p>
    <w:p>
      <w:pPr>
        <w:spacing w:after="0" w:line="172" w:lineRule="exact"/>
        <w:rPr>
          <w:sz w:val="20"/>
          <w:szCs w:val="20"/>
          <w:color w:val="auto"/>
        </w:rPr>
      </w:pPr>
    </w:p>
    <w:p>
      <w:pPr>
        <w:ind w:left="440" w:firstLine="602"/>
        <w:spacing w:after="0" w:line="252" w:lineRule="auto"/>
        <w:tabs>
          <w:tab w:leader="none" w:pos="1646"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STATEMENTS -- within as is 15 days greater than the period Company's Annual Report on Form 10-K regardless of whether the Company is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120 days (or such shorter period</w:t>
      </w:r>
    </w:p>
    <w:p>
      <w:pPr>
        <w:spacing w:after="0" w:line="7" w:lineRule="exact"/>
        <w:rPr>
          <w:sz w:val="20"/>
          <w:szCs w:val="20"/>
          <w:color w:val="auto"/>
        </w:rPr>
      </w:pPr>
    </w:p>
    <w:p>
      <w:pPr>
        <w:spacing w:after="0"/>
        <w:tabs>
          <w:tab w:leader="none" w:pos="1020" w:val="left"/>
          <w:tab w:leader="none" w:pos="1700" w:val="left"/>
        </w:tabs>
        <w:rPr>
          <w:sz w:val="20"/>
          <w:szCs w:val="20"/>
          <w:color w:val="auto"/>
        </w:rPr>
      </w:pPr>
      <w:r>
        <w:rPr>
          <w:rFonts w:ascii="Courier New" w:cs="Courier New" w:eastAsia="Courier New" w:hAnsi="Courier New"/>
          <w:sz w:val="14"/>
          <w:szCs w:val="14"/>
          <w:color w:val="auto"/>
        </w:rPr>
        <w:t>applicable</w:t>
        <w:tab/>
        <w:t>to the</w:t>
        <w:tab/>
        <w:t>filing of the</w:t>
      </w:r>
    </w:p>
    <w:p>
      <w:pPr>
        <w:spacing w:after="0" w:line="7" w:lineRule="exact"/>
        <w:rPr>
          <w:sz w:val="20"/>
          <w:szCs w:val="20"/>
          <w:color w:val="auto"/>
        </w:rPr>
      </w:pPr>
    </w:p>
    <w:p>
      <w:pPr>
        <w:spacing w:after="0"/>
        <w:tabs>
          <w:tab w:leader="none" w:pos="500" w:val="left"/>
          <w:tab w:leader="none" w:pos="1100" w:val="left"/>
          <w:tab w:leader="none" w:pos="1780" w:val="left"/>
        </w:tabs>
        <w:rPr>
          <w:sz w:val="20"/>
          <w:szCs w:val="20"/>
          <w:color w:val="auto"/>
        </w:rPr>
      </w:pPr>
      <w:r>
        <w:rPr>
          <w:rFonts w:ascii="Courier New" w:cs="Courier New" w:eastAsia="Courier New" w:hAnsi="Courier New"/>
          <w:sz w:val="14"/>
          <w:szCs w:val="14"/>
          <w:color w:val="auto"/>
        </w:rPr>
        <w:t>(the</w:t>
        <w:tab/>
        <w:t>"FORM</w:t>
        <w:tab/>
        <w:t>10-K")</w:t>
        <w:tab/>
        <w:t>with the SEC</w:t>
      </w:r>
    </w:p>
    <w:p>
      <w:pPr>
        <w:spacing w:after="0" w:line="338" w:lineRule="exact"/>
        <w:rPr>
          <w:sz w:val="20"/>
          <w:szCs w:val="20"/>
          <w:color w:val="auto"/>
        </w:rPr>
      </w:pPr>
    </w:p>
    <w:p>
      <w:pPr>
        <w:sectPr>
          <w:pgSz w:w="11900" w:h="16838" w:orient="portrait"/>
          <w:cols w:equalWidth="0" w:num="2">
            <w:col w:w="3980" w:space="80"/>
            <w:col w:w="617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- 11 -</w:t>
      </w:r>
    </w:p>
    <w:p>
      <w:pPr>
        <w:sectPr>
          <w:pgSz w:w="11900" w:h="16838" w:orient="portrait"/>
          <w:cols w:equalWidth="0" w:num="1">
            <w:col w:w="10239"/>
          </w:cols>
          <w:pgMar w:left="220" w:top="616" w:right="1440" w:bottom="1440" w:gutter="0" w:footer="0" w:header="0"/>
          <w:type w:val="continuous"/>
        </w:sectPr>
      </w:pPr>
    </w:p>
    <w:bookmarkStart w:id="52" w:name="page53"/>
    <w:bookmarkEnd w:id="52"/>
    <w:p>
      <w:pPr>
        <w:ind w:right="3339"/>
        <w:spacing w:after="0" w:line="255" w:lineRule="auto"/>
        <w:rPr>
          <w:sz w:val="20"/>
          <w:szCs w:val="20"/>
          <w:color w:val="auto"/>
        </w:rPr>
      </w:pPr>
      <w:r>
        <w:rPr>
          <w:rFonts w:ascii="Courier New" w:cs="Courier New" w:eastAsia="Courier New" w:hAnsi="Courier New"/>
          <w:sz w:val="14"/>
          <w:szCs w:val="14"/>
          <w:color w:val="auto"/>
        </w:rPr>
        <w:t>subject to the filing requirements thereof) after the end of each fiscal year of the Company, duplicate copies of,</w:t>
      </w:r>
    </w:p>
    <w:p>
      <w:pPr>
        <w:spacing w:after="0" w:line="160" w:lineRule="exact"/>
        <w:rPr>
          <w:sz w:val="20"/>
          <w:szCs w:val="20"/>
          <w:color w:val="auto"/>
        </w:rPr>
      </w:pPr>
    </w:p>
    <w:p>
      <w:pPr>
        <w:ind w:left="600" w:right="3339" w:firstLine="1122"/>
        <w:spacing w:after="0" w:line="255" w:lineRule="auto"/>
        <w:tabs>
          <w:tab w:leader="none" w:pos="2236"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consolidated balance sheet of the Company, including itsSubsidiaries, as at the end of such year, and</w:t>
      </w:r>
    </w:p>
    <w:p>
      <w:pPr>
        <w:spacing w:after="0" w:line="159" w:lineRule="exact"/>
        <w:rPr>
          <w:rFonts w:ascii="Courier New" w:cs="Courier New" w:eastAsia="Courier New" w:hAnsi="Courier New"/>
          <w:sz w:val="14"/>
          <w:szCs w:val="14"/>
          <w:color w:val="auto"/>
        </w:rPr>
      </w:pPr>
    </w:p>
    <w:p>
      <w:pPr>
        <w:jc w:val="both"/>
        <w:ind w:left="600" w:right="3339" w:firstLine="1122"/>
        <w:spacing w:after="0" w:line="252" w:lineRule="auto"/>
        <w:tabs>
          <w:tab w:leader="none" w:pos="2236"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income, changes in shareholders' equity and cash flows of the Company, including its Subsidiaries for such year,</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setting forth in each case in comparative form the figures for the previous fiscal year, all in reasonable detail, prepared in accordance with GAAP, and accompanied by an opinion thereon of independent registered public accounting firm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accounting firm in connection with such financial statements has been made in accordance with generally accepted auditing standards, and that such audit provides a reasonable basis for such opinion in the circumstances, PROVIDED that the delivery within the time period specified above of the Company's Form 10-K for such fiscal year (together with the Company's annual report to shareholders, if any, prepared pursuant to Rule 14a-3 under the Exchange Act) prepared in accordance with the requirements therefor and filed with the SEC, shall be deemed to satisfy the requirements of this Section 7.1(b), PROVIDED, FURTHER, that the Company shall be deemed to have made such delivery of such Form 10-K if it shall have timely made Electronic Delivery thereof;</w:t>
      </w:r>
    </w:p>
    <w:p>
      <w:pPr>
        <w:spacing w:after="0" w:line="173" w:lineRule="exact"/>
        <w:rPr>
          <w:sz w:val="20"/>
          <w:szCs w:val="20"/>
          <w:color w:val="auto"/>
        </w:rPr>
      </w:pPr>
    </w:p>
    <w:p>
      <w:pPr>
        <w:jc w:val="both"/>
        <w:ind w:right="3339" w:firstLine="602"/>
        <w:spacing w:after="0" w:line="251" w:lineRule="auto"/>
        <w:tabs>
          <w:tab w:leader="none" w:pos="120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AND OTHER REPORTS -- promptly upon their becoming available,one copy of (i) each financial statement, report, notice or proxy statement sent by the Company or any Subsidiary to its public securities holders generally, and (ii) each regular or periodic report, each registration statement (without exhibits except as expressly requested by such holder), and each final prospectus and all amendments thereto filed by the Company or any Subsidiary with the SEC, PROVIDED that the Company shall be deemed to have made such delivery of such documents if it shall have timely made Electronic Delivery thereof;</w:t>
      </w:r>
    </w:p>
    <w:p>
      <w:pPr>
        <w:spacing w:after="0" w:line="163" w:lineRule="exact"/>
        <w:rPr>
          <w:rFonts w:ascii="Courier New" w:cs="Courier New" w:eastAsia="Courier New" w:hAnsi="Courier New"/>
          <w:sz w:val="14"/>
          <w:szCs w:val="14"/>
          <w:color w:val="auto"/>
        </w:rPr>
      </w:pPr>
    </w:p>
    <w:p>
      <w:pPr>
        <w:jc w:val="both"/>
        <w:ind w:right="3339" w:firstLine="602"/>
        <w:spacing w:after="0" w:line="251" w:lineRule="auto"/>
        <w:tabs>
          <w:tab w:leader="none" w:pos="120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DEFAULT OR EVENT OF DEFAULT -- promptly, and in any event within five days after a Responsible Officer becoming aware of the existence of any Default or Event of Default or that any Person has given any notice or taken any action with respect to a claimed default hereunder or that any Person has given any notice or taken any action with respect to a claimed default of the type referred to in Section 11(f), a written notice specifying the nature and period of existence thereof and what action the Company is taking or proposes to take with respect thereto, provided, however, that the Company shall not be required to comply with the provisions of this Section 7.1(d) for so long as the Company is subject to the public reporting requirements of the Exchange Act;</w:t>
      </w:r>
    </w:p>
    <w:p>
      <w:pPr>
        <w:spacing w:after="0" w:line="163" w:lineRule="exact"/>
        <w:rPr>
          <w:rFonts w:ascii="Courier New" w:cs="Courier New" w:eastAsia="Courier New" w:hAnsi="Courier New"/>
          <w:sz w:val="14"/>
          <w:szCs w:val="14"/>
          <w:color w:val="auto"/>
        </w:rPr>
      </w:pPr>
    </w:p>
    <w:p>
      <w:pPr>
        <w:jc w:val="both"/>
        <w:ind w:right="3339" w:firstLine="602"/>
        <w:spacing w:after="0" w:line="252" w:lineRule="auto"/>
        <w:tabs>
          <w:tab w:leader="none" w:pos="120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MATTERS -- promptly, and in any event within five days after a Responsible Officer becoming aware of any of the following, a written notice setting</w:t>
      </w:r>
    </w:p>
    <w:p>
      <w:pPr>
        <w:spacing w:after="0" w:line="162" w:lineRule="exact"/>
        <w:rPr>
          <w:rFonts w:ascii="Courier New" w:cs="Courier New" w:eastAsia="Courier New" w:hAnsi="Courier New"/>
          <w:sz w:val="14"/>
          <w:szCs w:val="14"/>
          <w:color w:val="auto"/>
        </w:rPr>
      </w:pPr>
    </w:p>
    <w:p>
      <w:pPr>
        <w:ind w:left="2920" w:hanging="165"/>
        <w:spacing w:after="0"/>
        <w:tabs>
          <w:tab w:leader="none" w:pos="292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12 -</w:t>
      </w:r>
    </w:p>
    <w:p>
      <w:pPr>
        <w:sectPr>
          <w:pgSz w:w="11900" w:h="16838" w:orient="portrait"/>
          <w:cols w:equalWidth="0" w:num="1">
            <w:col w:w="9799"/>
          </w:cols>
          <w:pgMar w:left="660" w:top="616" w:right="1440" w:bottom="1440" w:gutter="0" w:footer="0" w:header="0"/>
        </w:sectPr>
      </w:pPr>
    </w:p>
    <w:bookmarkStart w:id="53" w:name="page54"/>
    <w:bookmarkEnd w:id="53"/>
    <w:p>
      <w:pPr>
        <w:ind w:left="440"/>
        <w:spacing w:after="0"/>
        <w:tabs>
          <w:tab w:leader="none" w:pos="1960" w:val="left"/>
          <w:tab w:leader="none" w:pos="2740" w:val="left"/>
          <w:tab w:leader="none" w:pos="4200" w:val="left"/>
          <w:tab w:leader="none" w:pos="5420" w:val="left"/>
        </w:tabs>
        <w:rPr>
          <w:sz w:val="20"/>
          <w:szCs w:val="20"/>
          <w:color w:val="auto"/>
        </w:rPr>
      </w:pPr>
      <w:r>
        <w:rPr>
          <w:rFonts w:ascii="Courier New" w:cs="Courier New" w:eastAsia="Courier New" w:hAnsi="Courier New"/>
          <w:sz w:val="14"/>
          <w:szCs w:val="14"/>
          <w:color w:val="auto"/>
        </w:rPr>
        <w:t>forth the nature</w:t>
        <w:tab/>
        <w:t>thereof</w:t>
        <w:tab/>
        <w:t>and the action,</w:t>
        <w:tab/>
        <w:t>if any, that</w:t>
        <w:tab/>
        <w:t>the Company or an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ERISA Affiliate proposes to take with respect thereto:</w:t>
      </w:r>
    </w:p>
    <w:p>
      <w:pPr>
        <w:spacing w:after="0" w:line="173" w:lineRule="exact"/>
        <w:rPr>
          <w:sz w:val="20"/>
          <w:szCs w:val="20"/>
          <w:color w:val="auto"/>
        </w:rPr>
      </w:pPr>
    </w:p>
    <w:p>
      <w:pPr>
        <w:jc w:val="both"/>
        <w:ind w:left="1040" w:right="3339" w:firstLine="605"/>
        <w:spacing w:after="0" w:line="252" w:lineRule="auto"/>
        <w:tabs>
          <w:tab w:leader="none" w:pos="21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Plan, any reportable event, as defined in section 4043(c) of ERISA and the regulations thereunder, for which notice thereof has not been waived pursuant to such regulations as in effect on the date hereof; or</w:t>
      </w:r>
    </w:p>
    <w:p>
      <w:pPr>
        <w:spacing w:after="0" w:line="162" w:lineRule="exact"/>
        <w:rPr>
          <w:sz w:val="20"/>
          <w:szCs w:val="20"/>
          <w:color w:val="auto"/>
        </w:rPr>
      </w:pPr>
    </w:p>
    <w:p>
      <w:pPr>
        <w:jc w:val="both"/>
        <w:ind w:left="1040" w:right="3339" w:firstLine="603"/>
        <w:spacing w:after="0" w:line="251" w:lineRule="auto"/>
        <w:rPr>
          <w:sz w:val="20"/>
          <w:szCs w:val="20"/>
          <w:color w:val="auto"/>
        </w:rPr>
      </w:pPr>
      <w:r>
        <w:rPr>
          <w:rFonts w:ascii="Courier New" w:cs="Courier New" w:eastAsia="Courier New" w:hAnsi="Courier New"/>
          <w:sz w:val="14"/>
          <w:szCs w:val="14"/>
          <w:color w:val="auto"/>
        </w:rPr>
        <w:t>(ii) the taking by the PBGC of steps to institute,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 or</w:t>
      </w:r>
    </w:p>
    <w:p>
      <w:pPr>
        <w:spacing w:after="0" w:line="164" w:lineRule="exact"/>
        <w:rPr>
          <w:sz w:val="20"/>
          <w:szCs w:val="20"/>
          <w:color w:val="auto"/>
        </w:rPr>
      </w:pPr>
    </w:p>
    <w:p>
      <w:pPr>
        <w:jc w:val="both"/>
        <w:ind w:left="1120" w:right="3339" w:firstLine="525"/>
        <w:spacing w:after="0" w:line="250" w:lineRule="auto"/>
        <w:tabs>
          <w:tab w:leader="none" w:pos="2154"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transaction or condition that could result in the incurrence of any liability by the Company or any ERISA</w:t>
      </w:r>
    </w:p>
    <w:p>
      <w:pPr>
        <w:spacing w:after="0" w:line="1" w:lineRule="exact"/>
        <w:rPr>
          <w:sz w:val="20"/>
          <w:szCs w:val="20"/>
          <w:color w:val="auto"/>
        </w:rPr>
      </w:pPr>
    </w:p>
    <w:p>
      <w:pPr>
        <w:jc w:val="both"/>
        <w:ind w:left="1040" w:right="3339"/>
        <w:spacing w:after="0" w:line="251" w:lineRule="auto"/>
        <w:rPr>
          <w:sz w:val="20"/>
          <w:szCs w:val="20"/>
          <w:color w:val="auto"/>
        </w:rPr>
      </w:pPr>
      <w:r>
        <w:rPr>
          <w:rFonts w:ascii="Courier New" w:cs="Courier New" w:eastAsia="Courier New" w:hAnsi="Courier New"/>
          <w:sz w:val="14"/>
          <w:szCs w:val="14"/>
          <w:color w:val="auto"/>
        </w:rPr>
        <w:t>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could reasonably be expected to have a Material Adverse Effect;</w:t>
      </w:r>
    </w:p>
    <w:p>
      <w:pPr>
        <w:spacing w:after="0" w:line="164" w:lineRule="exact"/>
        <w:rPr>
          <w:sz w:val="20"/>
          <w:szCs w:val="20"/>
          <w:color w:val="auto"/>
        </w:rPr>
      </w:pPr>
    </w:p>
    <w:p>
      <w:pPr>
        <w:jc w:val="both"/>
        <w:ind w:left="440" w:right="3339" w:firstLine="602"/>
        <w:spacing w:after="0" w:line="251" w:lineRule="auto"/>
        <w:tabs>
          <w:tab w:leader="none" w:pos="1646"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REQUESTED INFORMATION -- with reasonable promptness, such other data and information relating to the business, operations, affairs, financial condition, assets or properties of the Company or any of its Subsidiaries (including, but without limitation, actual copies of the Company's Form 10-Q and Form 10-K) or relating to the ability of the Company to perform its obligations hereunder and under the Notes as from time to time may be reasonably requested by any such holder of Notes.</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SECTION 7.2 OFFICER'S CERTIFICATE. Each set of financial statements delivered to a holder of Notes pursuant to Section 7.1(a) or Section 7.1(b) shall be accompanied by a certificate of a Senior Financial Officer setting forth (which, in the case of Electronic Delivery of any such financial statements, shall be by separate concurrent delivery of such certificate to each holder of Notes):</w:t>
      </w:r>
    </w:p>
    <w:p>
      <w:pPr>
        <w:spacing w:after="0" w:line="327" w:lineRule="exact"/>
        <w:rPr>
          <w:sz w:val="20"/>
          <w:szCs w:val="20"/>
          <w:color w:val="auto"/>
        </w:rPr>
      </w:pPr>
    </w:p>
    <w:p>
      <w:pPr>
        <w:jc w:val="both"/>
        <w:ind w:left="440" w:right="3339" w:firstLine="602"/>
        <w:spacing w:after="0" w:line="252" w:lineRule="auto"/>
        <w:tabs>
          <w:tab w:leader="none" w:pos="1646"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 COMPLIANCE -- the information (including detailed calculations) required in order to establish whether the Company was in compliance with the requirements of Section 10.5, during the quarterly or annual period covered by the statements then being furnished; and</w:t>
      </w:r>
    </w:p>
    <w:p>
      <w:pPr>
        <w:spacing w:after="0" w:line="162"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646"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 OF DEFAULT -- a statement that such Senior Financial Officer has reviewed the relevant terms hereof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w:t>
      </w:r>
    </w:p>
    <w:p>
      <w:pPr>
        <w:spacing w:after="0" w:line="164"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13 -</w:t>
      </w:r>
    </w:p>
    <w:p>
      <w:pPr>
        <w:sectPr>
          <w:pgSz w:w="11900" w:h="16838" w:orient="portrait"/>
          <w:cols w:equalWidth="0" w:num="1">
            <w:col w:w="10239"/>
          </w:cols>
          <w:pgMar w:left="220" w:top="616" w:right="1440" w:bottom="1440" w:gutter="0" w:footer="0" w:header="0"/>
        </w:sectPr>
      </w:pPr>
    </w:p>
    <w:bookmarkStart w:id="54" w:name="page55"/>
    <w:bookmarkEnd w:id="54"/>
    <w:p>
      <w:pPr>
        <w:jc w:val="both"/>
        <w:ind w:left="440" w:right="3339"/>
        <w:spacing w:after="0" w:line="251" w:lineRule="auto"/>
        <w:rPr>
          <w:sz w:val="20"/>
          <w:szCs w:val="20"/>
          <w:color w:val="auto"/>
        </w:rPr>
      </w:pPr>
      <w:r>
        <w:rPr>
          <w:rFonts w:ascii="Courier New" w:cs="Courier New" w:eastAsia="Courier New" w:hAnsi="Courier New"/>
          <w:sz w:val="14"/>
          <w:szCs w:val="14"/>
          <w:color w:val="auto"/>
        </w:rPr>
        <w:t>not have disclosed the existence during such period of any condition or event that constitutes a Default or an Event of Default or, if any such condition or event existed or exists, specifying the nature and period of existence thereof and what action the Company shall have taken or proposes to take with respect thereto.</w:t>
      </w:r>
    </w:p>
    <w:p>
      <w:pPr>
        <w:spacing w:after="0" w:line="165"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SECTION 7.3 VISITATION. The Company shall permit the representatives of each holder of Notes that is an Institutional Investor:</w:t>
      </w:r>
    </w:p>
    <w:p>
      <w:pPr>
        <w:spacing w:after="0" w:line="160" w:lineRule="exact"/>
        <w:rPr>
          <w:sz w:val="20"/>
          <w:szCs w:val="20"/>
          <w:color w:val="auto"/>
        </w:rPr>
      </w:pPr>
    </w:p>
    <w:p>
      <w:pPr>
        <w:jc w:val="both"/>
        <w:ind w:left="440" w:right="3339" w:firstLine="602"/>
        <w:spacing w:after="0" w:line="251" w:lineRule="auto"/>
        <w:tabs>
          <w:tab w:leader="none" w:pos="1646"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 if no Default or Event of Default then exists, the Company shall permit the representatives of each holder of Notes that is an Institutional Investor, at the expense of such holder 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and as often as may be reasonably requested in writing; and</w:t>
      </w:r>
    </w:p>
    <w:p>
      <w:pPr>
        <w:spacing w:after="0" w:line="329"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646"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 if a Default or Event of Default then exists, at the expense of the 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times and as often as may be requested.</w:t>
      </w:r>
    </w:p>
    <w:p>
      <w:pPr>
        <w:spacing w:after="0" w:line="16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8.</w:t>
        <w:tab/>
        <w:t>PAYMENT AND PREPAYMENT OF THE NOTES.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jc w:val="both"/>
        <w:ind w:firstLine="431"/>
        <w:spacing w:after="0" w:line="252" w:lineRule="auto"/>
        <w:rPr>
          <w:sz w:val="20"/>
          <w:szCs w:val="20"/>
          <w:color w:val="auto"/>
        </w:rPr>
      </w:pPr>
      <w:r>
        <w:rPr>
          <w:rFonts w:ascii="Courier New" w:cs="Courier New" w:eastAsia="Courier New" w:hAnsi="Courier New"/>
          <w:sz w:val="14"/>
          <w:szCs w:val="14"/>
          <w:color w:val="auto"/>
        </w:rPr>
        <w:t>SECTION 8.1 MATURITY. As provided balance of the Notes shall be due and thereof.</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0"/>
        <w:spacing w:after="0"/>
        <w:tabs>
          <w:tab w:leader="none" w:pos="1880" w:val="left"/>
          <w:tab w:leader="none" w:pos="2560" w:val="left"/>
        </w:tabs>
        <w:rPr>
          <w:sz w:val="20"/>
          <w:szCs w:val="20"/>
          <w:color w:val="auto"/>
        </w:rPr>
      </w:pPr>
      <w:r>
        <w:rPr>
          <w:rFonts w:ascii="Courier New" w:cs="Courier New" w:eastAsia="Courier New" w:hAnsi="Courier New"/>
          <w:sz w:val="14"/>
          <w:szCs w:val="14"/>
          <w:color w:val="auto"/>
        </w:rPr>
        <w:t>therein, the entire</w:t>
        <w:tab/>
        <w:t>unpaid</w:t>
        <w:tab/>
        <w:t>principal</w:t>
      </w:r>
    </w:p>
    <w:p>
      <w:pPr>
        <w:spacing w:after="0" w:line="7" w:lineRule="exact"/>
        <w:rPr>
          <w:sz w:val="20"/>
          <w:szCs w:val="20"/>
          <w:color w:val="auto"/>
        </w:rPr>
      </w:pPr>
    </w:p>
    <w:p>
      <w:pPr>
        <w:spacing w:after="0"/>
        <w:tabs>
          <w:tab w:leader="none" w:pos="760" w:val="left"/>
          <w:tab w:leader="none" w:pos="1440" w:val="left"/>
          <w:tab w:leader="none" w:pos="2140" w:val="left"/>
          <w:tab w:leader="none" w:pos="3000" w:val="left"/>
        </w:tabs>
        <w:rPr>
          <w:sz w:val="20"/>
          <w:szCs w:val="20"/>
          <w:color w:val="auto"/>
        </w:rPr>
      </w:pPr>
      <w:r>
        <w:rPr>
          <w:rFonts w:ascii="Courier New" w:cs="Courier New" w:eastAsia="Courier New" w:hAnsi="Courier New"/>
          <w:sz w:val="14"/>
          <w:szCs w:val="14"/>
          <w:color w:val="auto"/>
        </w:rPr>
        <w:t>payable</w:t>
        <w:tab/>
        <w:t>on the</w:t>
        <w:tab/>
        <w:t>stated</w:t>
        <w:tab/>
        <w:t>maturity</w:t>
        <w:tab/>
        <w:t>date</w:t>
      </w:r>
    </w:p>
    <w:p>
      <w:pPr>
        <w:spacing w:after="0" w:line="338" w:lineRule="exact"/>
        <w:rPr>
          <w:sz w:val="20"/>
          <w:szCs w:val="20"/>
          <w:color w:val="auto"/>
        </w:rPr>
      </w:pPr>
    </w:p>
    <w:p>
      <w:pPr>
        <w:sectPr>
          <w:pgSz w:w="11900" w:h="16838" w:orient="portrait"/>
          <w:cols w:equalWidth="0" w:num="2">
            <w:col w:w="3460" w:space="80"/>
            <w:col w:w="6699"/>
          </w:cols>
          <w:pgMar w:left="220" w:top="616" w:right="1440" w:bottom="1440" w:gutter="0" w:footer="0" w:header="0"/>
          <w:type w:val="continuous"/>
        </w:sect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SECTION 8.2 OPTIONAL PREPAYMENTS WITH MAKE-WHOLE AMOUNT. The Company may, at its option, upon notice as provided below, prepay at any time all, or from time to time any part of, the Notes, in an amount not less than 10% of the aggregate principal amount of the Notes then outstanding in the case of a partial prepayment, at 100% of the principal amount so prepaid, together with interest accrued thereon to the date of such prepayment, and the Make-Whole Amount determined for the prepayment date with respect to such principal amount. The Company will give each holder of Notes written notice of each optional prepayment under this Section 8.2 not less than 30 days and not more than 60 days prior to the date fixed for such prepayment. Each such notice shall specify such date (which shall be a Business Day), the aggregate principal amount of the Notes to be prepaid on such date, the principal amount of each Note held by such holder to be prepaid (determined in accordance with Section 8.4), and the interest to be paid on the prepayment date with respect to such principal amount being prepaid, and shall be accompanied by a certificate of a Senior Financial Officer as to the estimated Make-Whole Amount due in connection with such prepayment (calculated as if the date of such notice were the date of the prepayment), setting forth the details of such computation. Two Business Days prior to such prepayment, the Company shall deliver to each holder of Notes a certificate of</w:t>
      </w:r>
    </w:p>
    <w:p>
      <w:pPr>
        <w:spacing w:after="0" w:line="34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- 14 -</w:t>
      </w:r>
    </w:p>
    <w:p>
      <w:pPr>
        <w:sectPr>
          <w:pgSz w:w="11900" w:h="16838" w:orient="portrait"/>
          <w:cols w:equalWidth="0" w:num="1">
            <w:col w:w="10239"/>
          </w:cols>
          <w:pgMar w:left="220" w:top="616" w:right="1440" w:bottom="1440" w:gutter="0" w:footer="0" w:header="0"/>
          <w:type w:val="continuous"/>
        </w:sectPr>
      </w:pPr>
    </w:p>
    <w:bookmarkStart w:id="55" w:name="page56"/>
    <w:bookmarkEnd w:id="55"/>
    <w:p>
      <w:pPr>
        <w:ind w:right="3339"/>
        <w:spacing w:after="0" w:line="255" w:lineRule="auto"/>
        <w:rPr>
          <w:sz w:val="20"/>
          <w:szCs w:val="20"/>
          <w:color w:val="auto"/>
        </w:rPr>
      </w:pPr>
      <w:r>
        <w:rPr>
          <w:rFonts w:ascii="Courier New" w:cs="Courier New" w:eastAsia="Courier New" w:hAnsi="Courier New"/>
          <w:sz w:val="14"/>
          <w:szCs w:val="14"/>
          <w:color w:val="auto"/>
        </w:rPr>
        <w:t>a Senior Financial Officer specifying the calculation of such Make-Whole Amount as of the specified prepayment date.</w:t>
      </w:r>
    </w:p>
    <w:p>
      <w:pPr>
        <w:spacing w:after="0" w:line="160" w:lineRule="exact"/>
        <w:rPr>
          <w:sz w:val="20"/>
          <w:szCs w:val="20"/>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SECTION 8.3</w:t>
      </w:r>
      <w:r>
        <w:rPr>
          <w:sz w:val="20"/>
          <w:szCs w:val="20"/>
          <w:color w:val="auto"/>
        </w:rPr>
        <w:tab/>
      </w:r>
      <w:r>
        <w:rPr>
          <w:rFonts w:ascii="Courier New" w:cs="Courier New" w:eastAsia="Courier New" w:hAnsi="Courier New"/>
          <w:sz w:val="14"/>
          <w:szCs w:val="14"/>
          <w:color w:val="auto"/>
        </w:rPr>
        <w:t>CHANGE IN CONTROL.</w:t>
      </w:r>
    </w:p>
    <w:p>
      <w:pPr>
        <w:spacing w:after="0" w:line="173" w:lineRule="exact"/>
        <w:rPr>
          <w:sz w:val="20"/>
          <w:szCs w:val="20"/>
          <w:color w:val="auto"/>
        </w:rPr>
      </w:pPr>
    </w:p>
    <w:p>
      <w:pPr>
        <w:jc w:val="both"/>
        <w:ind w:left="440" w:right="3339" w:firstLine="602"/>
        <w:spacing w:after="0" w:line="251" w:lineRule="auto"/>
        <w:tabs>
          <w:tab w:leader="none" w:pos="1646"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CHANGE IN CONTROL AND CHANGE IN CONTROL EVENT. The Company will, within five Business Days after any Responsible Officer has knowledge of the occurrence of any Change in Control, give written notice of such Change in Control to each holder of Notes. If within 90 days after such Change in Control, the Company does not, for any reason, have an Investment Grade Rating, a "Change in Control Event" shall be deemed to have occurred. If a Change in Control Event has occurred, the Company shall give immediate written notice thereof to the holders, and such notice shall contain and constitute an offer to prepay Notes as described in subparagraph (b) of this Section 8.3 and shall be accompanied by the certificate described in subparagraph (e) of this Section 8.3.</w:t>
      </w:r>
    </w:p>
    <w:p>
      <w:pPr>
        <w:spacing w:after="0" w:line="163"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646"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 TO PREPAY NOTES. The offer to prepay the Notes contemplated by subparagraph (a) of this Section 8.3 shall be an offer to prepay, in accordance with and subject to this Section 8.3, all, but not less than all, of the Notes held by each holder (in this case only, "HOLDER" in respect of any Note registered in the name of a nominee for a disclosed beneficial owner shall mean such beneficial owner) on a date specified in such offer (the "Proposed Prepayment Date"). Such date shall be not less than 30 days and not more than 60 days after the date of such offer.</w:t>
      </w:r>
    </w:p>
    <w:p>
      <w:pPr>
        <w:spacing w:after="0" w:line="329"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646"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A holder of Notes may accept the offer to prepay made pursuant to this Section 8.3 by causing a notice of such acceptance to be delivered to the Company not later than 15 days prior to the Proposed Prepayment Date. A failure by a holder of Notes to respond to the offer to prepay made pursuant to this Section 8.3 shall be deemed to constitute a rejection of such offer by such holder.</w:t>
      </w:r>
    </w:p>
    <w:p>
      <w:pPr>
        <w:spacing w:after="0" w:line="164"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646"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PREPAYMENT. Prepayment of the Notes to be prepaid pursuant to this Section 8.3 shall be at 100% of the principal amount of such Notes, together with interest on such Notes accrued to the date of prepayment and without any Make-Whole Amount. The Prepayment shall be made on the Proposed Prepayment Date.</w:t>
      </w:r>
    </w:p>
    <w:p>
      <w:pPr>
        <w:spacing w:after="0" w:line="164"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646"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CERTIFICATE. Each offer to prepay the Notes pursuant to this Section 8.3 shall be accompanied by a certificate, executed by a Senior Financial Officer of the Company and dated the date of such offer, specifying: (i) the Proposed Prepayment Date; (ii) that such offer is made pursuant to this Section 8.3; (iii) the interest that would be due on each Note offered to be prepaid, accrued to the Proposed Prepayment Date; (iv) that the conditions of this Section 8.3 have been fulfilled; (v) in reasonable detail, the nature of the Change in Control; and (vi) any written response from the relevant rating agency.</w:t>
      </w:r>
    </w:p>
    <w:p>
      <w:pPr>
        <w:spacing w:after="0" w:line="163" w:lineRule="exact"/>
        <w:rPr>
          <w:rFonts w:ascii="Courier New" w:cs="Courier New" w:eastAsia="Courier New" w:hAnsi="Courier New"/>
          <w:sz w:val="14"/>
          <w:szCs w:val="14"/>
          <w:color w:val="auto"/>
        </w:rPr>
      </w:pPr>
    </w:p>
    <w:p>
      <w:pPr>
        <w:ind w:left="1640" w:hanging="598"/>
        <w:spacing w:after="0"/>
        <w:tabs>
          <w:tab w:leader="none" w:pos="16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DEFINITIONS.</w:t>
      </w:r>
    </w:p>
    <w:p>
      <w:pPr>
        <w:spacing w:after="0" w:line="173"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"CHANGE IN CONTROL" shall be deemed to have occurred if any person (as such term is used in Section 13(d) and Section 14(d)(2) of the Exchange Act as in effect on the date of</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- 15 -</w:t>
      </w:r>
    </w:p>
    <w:p>
      <w:pPr>
        <w:sectPr>
          <w:pgSz w:w="11900" w:h="16838" w:orient="portrait"/>
          <w:cols w:equalWidth="0" w:num="1">
            <w:col w:w="10239"/>
          </w:cols>
          <w:pgMar w:left="220" w:top="616" w:right="1440" w:bottom="1440" w:gutter="0" w:footer="0" w:header="0"/>
        </w:sectPr>
      </w:pPr>
    </w:p>
    <w:bookmarkStart w:id="56" w:name="page57"/>
    <w:bookmarkEnd w:id="56"/>
    <w:p>
      <w:pPr>
        <w:jc w:val="both"/>
        <w:ind w:right="3339"/>
        <w:spacing w:after="0" w:line="251" w:lineRule="auto"/>
        <w:rPr>
          <w:sz w:val="20"/>
          <w:szCs w:val="20"/>
          <w:color w:val="auto"/>
        </w:rPr>
      </w:pPr>
      <w:r>
        <w:rPr>
          <w:rFonts w:ascii="Courier New" w:cs="Courier New" w:eastAsia="Courier New" w:hAnsi="Courier New"/>
          <w:sz w:val="14"/>
          <w:szCs w:val="14"/>
          <w:color w:val="auto"/>
        </w:rPr>
        <w:t>the Closing) or related persons constituting a group (as such term is used in Rule 13d-5 under the Exchange Act) become the "beneficial owners" (as such term is used in Rule 13d-3 under the Exchange Act as in effect on the date of the Closing), directly or indirectly, of more than 50% of the total voting power of all classes then outstanding of the voting stock of the Company.</w:t>
      </w:r>
    </w:p>
    <w:p>
      <w:pPr>
        <w:spacing w:after="0" w:line="165"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"INVESTMENT GRADE RATING" in respect of any Person means, at the time of determination, at least two of the following ratings of its senior, unsecured long-term indebtedness for borrowed money: (i) by Standard &amp; Poor's Rating Services, a division of The McGraw-Hill Companies, or any successor thereof, "BBB-" or better, (ii) by Moody's Investors Service, Inc., or any successor thereof, "Baa3" or better, or (iii) by any other nationally recognized statistical rating agency, an equivalent or better rating.</w:t>
      </w:r>
    </w:p>
    <w:p>
      <w:pPr>
        <w:spacing w:after="0" w:line="164" w:lineRule="exact"/>
        <w:rPr>
          <w:sz w:val="20"/>
          <w:szCs w:val="20"/>
          <w:color w:val="auto"/>
        </w:rPr>
      </w:pPr>
    </w:p>
    <w:p>
      <w:pPr>
        <w:jc w:val="both"/>
        <w:ind w:left="440" w:right="3339" w:firstLine="602"/>
        <w:spacing w:after="0" w:line="251" w:lineRule="auto"/>
        <w:tabs>
          <w:tab w:leader="none" w:pos="1646"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ASSUMPTIONS. All calculations contemplated in this Section 8.3 involving the capital stock or other equity interest of any Person shall be made with the assumption that all convertible securities of such Person then outstanding and all convertible securities issuable upon the exercise of any warrants, options an other rights outstanding at such time were converted at such time and that all options, warrants and similar rights to acquire shares of capital stock or other equity interest of such Person were exercised at such time.</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8.4 ALLOCATION OF PARTIAL PREPAYMENTS. In the case of each partial prepayment of the Notes pursuant to Section 8.2, the principal amount of the Notes to be prepaid shall be allocated among all of the Notes at the time outstanding in proportion, as nearly as practicable, to the respective unpaid principal amounts thereof not theretofore called for prepayment. All prepayments pursuant to Section 8.3 shall be applied as therein provided.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SECTION 8.5</w:t>
            </w:r>
          </w:p>
        </w:tc>
        <w:tc>
          <w:tcPr>
            <w:tcW w:w="2060" w:type="dxa"/>
            <w:vAlign w:val="bottom"/>
            <w:gridSpan w:val="4"/>
          </w:tcPr>
          <w:p>
            <w:pPr>
              <w:jc w:val="center"/>
              <w:ind w:left="8"/>
              <w:spacing w:after="0"/>
              <w:rPr>
                <w:sz w:val="20"/>
                <w:szCs w:val="20"/>
                <w:color w:val="auto"/>
              </w:rPr>
            </w:pPr>
            <w:r>
              <w:rPr>
                <w:rFonts w:ascii="Courier New" w:cs="Courier New" w:eastAsia="Courier New" w:hAnsi="Courier New"/>
                <w:sz w:val="14"/>
                <w:szCs w:val="14"/>
                <w:color w:val="auto"/>
              </w:rPr>
              <w:t>MATURITY;  SURRENDER,</w:t>
            </w:r>
          </w:p>
        </w:tc>
        <w:tc>
          <w:tcPr>
            <w:tcW w:w="2160" w:type="dxa"/>
            <w:vAlign w:val="bottom"/>
            <w:gridSpan w:val="4"/>
          </w:tcPr>
          <w:p>
            <w:pPr>
              <w:spacing w:after="0"/>
              <w:rPr>
                <w:sz w:val="20"/>
                <w:szCs w:val="20"/>
                <w:color w:val="auto"/>
              </w:rPr>
            </w:pPr>
            <w:r>
              <w:rPr>
                <w:rFonts w:ascii="Courier New" w:cs="Courier New" w:eastAsia="Courier New" w:hAnsi="Courier New"/>
                <w:sz w:val="14"/>
                <w:szCs w:val="14"/>
                <w:color w:val="auto"/>
              </w:rPr>
              <w:t>ETC. In the case of each</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prepayment of</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Notes</w:t>
            </w:r>
          </w:p>
        </w:tc>
        <w:tc>
          <w:tcPr>
            <w:tcW w:w="1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pursuant</w:t>
            </w:r>
          </w:p>
        </w:tc>
        <w:tc>
          <w:tcPr>
            <w:tcW w:w="760" w:type="dxa"/>
            <w:vAlign w:val="bottom"/>
            <w:gridSpan w:val="2"/>
          </w:tcPr>
          <w:p>
            <w:pPr>
              <w:spacing w:after="0"/>
              <w:rPr>
                <w:sz w:val="20"/>
                <w:szCs w:val="20"/>
                <w:color w:val="auto"/>
              </w:rPr>
            </w:pPr>
            <w:r>
              <w:rPr>
                <w:rFonts w:ascii="Courier New" w:cs="Courier New" w:eastAsia="Courier New" w:hAnsi="Courier New"/>
                <w:sz w:val="14"/>
                <w:szCs w:val="14"/>
                <w:color w:val="auto"/>
              </w:rPr>
              <w:t>to this</w:t>
            </w:r>
          </w:p>
        </w:tc>
        <w:tc>
          <w:tcPr>
            <w:tcW w:w="7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8, the</w:t>
            </w:r>
          </w:p>
        </w:tc>
        <w:tc>
          <w:tcPr>
            <w:tcW w:w="18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principal  amount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of each Note to be</w:t>
            </w:r>
          </w:p>
        </w:tc>
      </w:tr>
      <w:tr>
        <w:trPr>
          <w:trHeight w:val="166"/>
        </w:trPr>
        <w:tc>
          <w:tcPr>
            <w:tcW w:w="3540" w:type="dxa"/>
            <w:vAlign w:val="bottom"/>
            <w:gridSpan w:val="7"/>
          </w:tcPr>
          <w:p>
            <w:pPr>
              <w:spacing w:after="0"/>
              <w:rPr>
                <w:sz w:val="20"/>
                <w:szCs w:val="20"/>
                <w:color w:val="auto"/>
              </w:rPr>
            </w:pPr>
            <w:r>
              <w:rPr>
                <w:rFonts w:ascii="Courier New" w:cs="Courier New" w:eastAsia="Courier New" w:hAnsi="Courier New"/>
                <w:sz w:val="14"/>
                <w:szCs w:val="14"/>
                <w:color w:val="auto"/>
              </w:rPr>
              <w:t>prepaid  shall  mature  and  become  due</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payable on</w:t>
            </w:r>
          </w:p>
        </w:tc>
        <w:tc>
          <w:tcPr>
            <w:tcW w:w="20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the date fixed for such</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prepayment</w:t>
            </w:r>
          </w:p>
        </w:tc>
        <w:tc>
          <w:tcPr>
            <w:tcW w:w="8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(which</w:t>
            </w:r>
          </w:p>
        </w:tc>
        <w:tc>
          <w:tcPr>
            <w:tcW w:w="180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shall be a Business</w:t>
            </w:r>
          </w:p>
        </w:tc>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Day),</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together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with</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interest on such</w:t>
            </w:r>
          </w:p>
        </w:tc>
      </w:tr>
      <w:tr>
        <w:trPr>
          <w:trHeight w:val="166"/>
        </w:trPr>
        <w:tc>
          <w:tcPr>
            <w:tcW w:w="3980" w:type="dxa"/>
            <w:vAlign w:val="bottom"/>
            <w:gridSpan w:val="8"/>
          </w:tcPr>
          <w:p>
            <w:pPr>
              <w:spacing w:after="0"/>
              <w:rPr>
                <w:sz w:val="20"/>
                <w:szCs w:val="20"/>
                <w:color w:val="auto"/>
              </w:rPr>
            </w:pPr>
            <w:r>
              <w:rPr>
                <w:rFonts w:ascii="Courier New" w:cs="Courier New" w:eastAsia="Courier New" w:hAnsi="Courier New"/>
                <w:sz w:val="14"/>
                <w:szCs w:val="14"/>
                <w:color w:val="auto"/>
              </w:rPr>
              <w:t>principal amount accrued to such date and the</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applicable</w:t>
            </w:r>
          </w:p>
        </w:tc>
        <w:tc>
          <w:tcPr>
            <w:tcW w:w="20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Make-Whole  Amount, if</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any.</w:t>
            </w: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From</w:t>
            </w:r>
          </w:p>
        </w:tc>
        <w:tc>
          <w:tcPr>
            <w:tcW w:w="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after</w:t>
            </w:r>
          </w:p>
        </w:tc>
        <w:tc>
          <w:tcPr>
            <w:tcW w:w="500" w:type="dxa"/>
            <w:vAlign w:val="bottom"/>
          </w:tcPr>
          <w:p>
            <w:pPr>
              <w:ind w:left="160"/>
              <w:spacing w:after="0"/>
              <w:rPr>
                <w:sz w:val="20"/>
                <w:szCs w:val="20"/>
                <w:color w:val="auto"/>
              </w:rPr>
            </w:pPr>
            <w:r>
              <w:rPr>
                <w:rFonts w:ascii="Courier New" w:cs="Courier New" w:eastAsia="Courier New" w:hAnsi="Courier New"/>
                <w:sz w:val="14"/>
                <w:szCs w:val="14"/>
                <w:color w:val="auto"/>
                <w:w w:val="95"/>
              </w:rPr>
              <w:t>such</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date,</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unless</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w w:val="95"/>
              </w:rPr>
              <w:t>the</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Company</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shall</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fail to pay such</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principal</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amount</w:t>
            </w:r>
          </w:p>
        </w:tc>
        <w:tc>
          <w:tcPr>
            <w:tcW w:w="15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when so due and</w:t>
            </w:r>
          </w:p>
        </w:tc>
        <w:tc>
          <w:tcPr>
            <w:tcW w:w="10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payable,</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together</w:t>
            </w:r>
          </w:p>
        </w:tc>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5"/>
              </w:rPr>
              <w:t>with</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interest  and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Make-Whole Amount, if any, as aforesaid, interest on such principal amount shall</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gridSpan w:val="4"/>
          </w:tcPr>
          <w:p>
            <w:pPr>
              <w:spacing w:after="0"/>
              <w:rPr>
                <w:sz w:val="20"/>
                <w:szCs w:val="20"/>
                <w:color w:val="auto"/>
              </w:rPr>
            </w:pPr>
            <w:r>
              <w:rPr>
                <w:rFonts w:ascii="Courier New" w:cs="Courier New" w:eastAsia="Courier New" w:hAnsi="Courier New"/>
                <w:sz w:val="14"/>
                <w:szCs w:val="14"/>
                <w:color w:val="auto"/>
              </w:rPr>
              <w:t>cease to accrue.</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Any Note paid</w:t>
            </w: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or prepaid in full shall</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be  surrendered</w:t>
            </w:r>
          </w:p>
        </w:tc>
        <w:tc>
          <w:tcPr>
            <w:tcW w:w="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 the</w:t>
            </w:r>
          </w:p>
        </w:tc>
      </w:tr>
      <w:tr>
        <w:trPr>
          <w:trHeight w:val="166"/>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Company</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cancelled and shall</w:t>
            </w: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not be reissued,  and no</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Note shall</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 issued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lieu</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any</w:t>
            </w:r>
          </w:p>
        </w:tc>
        <w:tc>
          <w:tcPr>
            <w:tcW w:w="27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prepaid principal amount of any</w:t>
            </w:r>
          </w:p>
        </w:tc>
        <w:tc>
          <w:tcPr>
            <w:tcW w:w="1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Note.</w:t>
            </w: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SECTION 8.6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PURCHASE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NOTES. The</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Company will</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not and will not</w:t>
            </w:r>
          </w:p>
        </w:tc>
        <w:tc>
          <w:tcPr>
            <w:tcW w:w="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permit</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any</w:t>
            </w:r>
          </w:p>
        </w:tc>
        <w:tc>
          <w:tcPr>
            <w:tcW w:w="11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Affiliate to</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purchase,</w:t>
            </w:r>
          </w:p>
        </w:tc>
        <w:tc>
          <w:tcPr>
            <w:tcW w:w="2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redeem,  prepay or otherwise</w:t>
            </w: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acquire,</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directly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or</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indirectly,</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any of the</w:t>
            </w:r>
          </w:p>
        </w:tc>
        <w:tc>
          <w:tcPr>
            <w:tcW w:w="48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outstanding  Notes  except  (a)  upon  the  payment  or</w:t>
            </w:r>
          </w:p>
        </w:tc>
      </w:tr>
      <w:tr>
        <w:trPr>
          <w:trHeight w:val="166"/>
        </w:trPr>
        <w:tc>
          <w:tcPr>
            <w:tcW w:w="2040" w:type="dxa"/>
            <w:vAlign w:val="bottom"/>
            <w:gridSpan w:val="3"/>
          </w:tcPr>
          <w:p>
            <w:pPr>
              <w:spacing w:after="0"/>
              <w:rPr>
                <w:sz w:val="20"/>
                <w:szCs w:val="20"/>
                <w:color w:val="auto"/>
              </w:rPr>
            </w:pPr>
            <w:r>
              <w:rPr>
                <w:rFonts w:ascii="Courier New" w:cs="Courier New" w:eastAsia="Courier New" w:hAnsi="Courier New"/>
                <w:sz w:val="14"/>
                <w:szCs w:val="14"/>
                <w:color w:val="auto"/>
              </w:rPr>
              <w:t>prepayment of the Notes</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in accordance</w:t>
            </w:r>
          </w:p>
        </w:tc>
        <w:tc>
          <w:tcPr>
            <w:tcW w:w="35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with the terms of this  Agreement and the</w:t>
            </w: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500" w:type="dxa"/>
            <w:vAlign w:val="bottom"/>
          </w:tcPr>
          <w:p>
            <w:pPr>
              <w:spacing w:after="0"/>
              <w:rPr>
                <w:sz w:val="20"/>
                <w:szCs w:val="20"/>
                <w:color w:val="auto"/>
              </w:rPr>
            </w:pPr>
            <w:r>
              <w:rPr>
                <w:rFonts w:ascii="Courier New" w:cs="Courier New" w:eastAsia="Courier New" w:hAnsi="Courier New"/>
                <w:sz w:val="14"/>
                <w:szCs w:val="14"/>
                <w:color w:val="auto"/>
                <w:w w:val="95"/>
              </w:rPr>
              <w:t>or (b)</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pursuant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to an  offer</w:t>
            </w:r>
          </w:p>
        </w:tc>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to  purchase</w:t>
            </w:r>
          </w:p>
        </w:tc>
        <w:tc>
          <w:tcPr>
            <w:tcW w:w="12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made by the</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Company</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or an</w:t>
            </w:r>
          </w:p>
        </w:tc>
      </w:tr>
      <w:tr>
        <w:trPr>
          <w:trHeight w:val="166"/>
        </w:trPr>
        <w:tc>
          <w:tcPr>
            <w:tcW w:w="5180" w:type="dxa"/>
            <w:vAlign w:val="bottom"/>
            <w:gridSpan w:val="8"/>
          </w:tcPr>
          <w:p>
            <w:pPr>
              <w:spacing w:after="0"/>
              <w:rPr>
                <w:sz w:val="20"/>
                <w:szCs w:val="20"/>
                <w:color w:val="auto"/>
              </w:rPr>
            </w:pPr>
            <w:r>
              <w:rPr>
                <w:rFonts w:ascii="Courier New" w:cs="Courier New" w:eastAsia="Courier New" w:hAnsi="Courier New"/>
                <w:sz w:val="14"/>
                <w:szCs w:val="14"/>
                <w:color w:val="auto"/>
              </w:rPr>
              <w:t>Affiliate pro rata to the holders of all Notes at the time</w:t>
            </w:r>
          </w:p>
        </w:tc>
        <w:tc>
          <w:tcPr>
            <w:tcW w:w="1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outstanding upon the</w:t>
            </w:r>
          </w:p>
        </w:tc>
      </w:tr>
      <w:tr>
        <w:trPr>
          <w:trHeight w:val="166"/>
        </w:trPr>
        <w:tc>
          <w:tcPr>
            <w:tcW w:w="3360" w:type="dxa"/>
            <w:vAlign w:val="bottom"/>
            <w:gridSpan w:val="5"/>
          </w:tcPr>
          <w:p>
            <w:pPr>
              <w:spacing w:after="0"/>
              <w:rPr>
                <w:sz w:val="20"/>
                <w:szCs w:val="20"/>
                <w:color w:val="auto"/>
              </w:rPr>
            </w:pPr>
            <w:r>
              <w:rPr>
                <w:rFonts w:ascii="Courier New" w:cs="Courier New" w:eastAsia="Courier New" w:hAnsi="Courier New"/>
                <w:sz w:val="14"/>
                <w:szCs w:val="14"/>
                <w:color w:val="auto"/>
              </w:rPr>
              <w:t>same terms and  conditions.  Any such</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offer</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shall</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w w:val="98"/>
              </w:rPr>
              <w:t>provide</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each</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w w:val="99"/>
              </w:rPr>
              <w:t>holder</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with</w:t>
            </w:r>
          </w:p>
        </w:tc>
      </w:tr>
      <w:tr>
        <w:trPr>
          <w:trHeight w:val="166"/>
        </w:trPr>
        <w:tc>
          <w:tcPr>
            <w:tcW w:w="3360" w:type="dxa"/>
            <w:vAlign w:val="bottom"/>
            <w:gridSpan w:val="5"/>
          </w:tcPr>
          <w:p>
            <w:pPr>
              <w:spacing w:after="0"/>
              <w:rPr>
                <w:sz w:val="20"/>
                <w:szCs w:val="20"/>
                <w:color w:val="auto"/>
              </w:rPr>
            </w:pPr>
            <w:r>
              <w:rPr>
                <w:rFonts w:ascii="Courier New" w:cs="Courier New" w:eastAsia="Courier New" w:hAnsi="Courier New"/>
                <w:sz w:val="14"/>
                <w:szCs w:val="14"/>
                <w:color w:val="auto"/>
              </w:rPr>
              <w:t>sufficient information to enable it to</w:t>
            </w:r>
          </w:p>
        </w:tc>
        <w:tc>
          <w:tcPr>
            <w:tcW w:w="35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make an informed decision with respect to</w:t>
            </w:r>
          </w:p>
        </w:tc>
      </w:tr>
      <w:tr>
        <w:trPr>
          <w:trHeight w:val="166"/>
        </w:trPr>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such offer,</w:t>
            </w:r>
          </w:p>
        </w:tc>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and shall remain open</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w:t>
            </w:r>
          </w:p>
        </w:tc>
        <w:tc>
          <w:tcPr>
            <w:tcW w:w="35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at least 10 Business Days. If the holders</w:t>
            </w:r>
          </w:p>
        </w:tc>
      </w:tr>
      <w:tr>
        <w:trPr>
          <w:trHeight w:val="166"/>
        </w:trPr>
        <w:tc>
          <w:tcPr>
            <w:tcW w:w="2040" w:type="dxa"/>
            <w:vAlign w:val="bottom"/>
            <w:gridSpan w:val="3"/>
          </w:tcPr>
          <w:p>
            <w:pPr>
              <w:spacing w:after="0"/>
              <w:rPr>
                <w:sz w:val="20"/>
                <w:szCs w:val="20"/>
                <w:color w:val="auto"/>
              </w:rPr>
            </w:pPr>
            <w:r>
              <w:rPr>
                <w:rFonts w:ascii="Courier New" w:cs="Courier New" w:eastAsia="Courier New" w:hAnsi="Courier New"/>
                <w:sz w:val="14"/>
                <w:szCs w:val="14"/>
                <w:color w:val="auto"/>
              </w:rPr>
              <w:t>of more than 25% of the</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principal</w:t>
            </w:r>
          </w:p>
        </w:tc>
        <w:tc>
          <w:tcPr>
            <w:tcW w:w="22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amount of the Notes then</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outstanding</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accept</w:t>
            </w:r>
          </w:p>
        </w:tc>
      </w:tr>
      <w:tr>
        <w:trPr>
          <w:trHeight w:val="166"/>
        </w:trPr>
        <w:tc>
          <w:tcPr>
            <w:tcW w:w="2040" w:type="dxa"/>
            <w:vAlign w:val="bottom"/>
            <w:gridSpan w:val="3"/>
          </w:tcPr>
          <w:p>
            <w:pPr>
              <w:spacing w:after="0"/>
              <w:rPr>
                <w:sz w:val="20"/>
                <w:szCs w:val="20"/>
                <w:color w:val="auto"/>
              </w:rPr>
            </w:pPr>
            <w:r>
              <w:rPr>
                <w:rFonts w:ascii="Courier New" w:cs="Courier New" w:eastAsia="Courier New" w:hAnsi="Courier New"/>
                <w:sz w:val="14"/>
                <w:szCs w:val="14"/>
                <w:color w:val="auto"/>
              </w:rPr>
              <w:t>such offer, the Company</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shall promptly</w:t>
            </w:r>
          </w:p>
        </w:tc>
        <w:tc>
          <w:tcPr>
            <w:tcW w:w="35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notify the remaining holders of such fact</w:t>
            </w: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and the</w:t>
            </w:r>
          </w:p>
        </w:tc>
        <w:tc>
          <w:tcPr>
            <w:tcW w:w="236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expiration  date for the</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acceptance</w:t>
            </w:r>
          </w:p>
        </w:tc>
        <w:tc>
          <w:tcPr>
            <w:tcW w:w="29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by holders of Notes of such offer</w:t>
            </w:r>
          </w:p>
        </w:tc>
      </w:tr>
      <w:tr>
        <w:trPr>
          <w:trHeight w:val="166"/>
        </w:trPr>
        <w:tc>
          <w:tcPr>
            <w:tcW w:w="3360" w:type="dxa"/>
            <w:vAlign w:val="bottom"/>
            <w:gridSpan w:val="5"/>
          </w:tcPr>
          <w:p>
            <w:pPr>
              <w:spacing w:after="0"/>
              <w:rPr>
                <w:sz w:val="20"/>
                <w:szCs w:val="20"/>
                <w:color w:val="auto"/>
              </w:rPr>
            </w:pPr>
            <w:r>
              <w:rPr>
                <w:rFonts w:ascii="Courier New" w:cs="Courier New" w:eastAsia="Courier New" w:hAnsi="Courier New"/>
                <w:sz w:val="14"/>
                <w:szCs w:val="14"/>
                <w:color w:val="auto"/>
              </w:rPr>
              <w:t>shall be extended by the number of days</w:t>
            </w:r>
          </w:p>
        </w:tc>
        <w:tc>
          <w:tcPr>
            <w:tcW w:w="10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necessary</w:t>
            </w:r>
          </w:p>
        </w:tc>
        <w:tc>
          <w:tcPr>
            <w:tcW w:w="2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to give each such  remaining</w:t>
            </w:r>
          </w:p>
        </w:tc>
      </w:tr>
      <w:tr>
        <w:trPr>
          <w:trHeight w:val="166"/>
        </w:trPr>
        <w:tc>
          <w:tcPr>
            <w:tcW w:w="2040" w:type="dxa"/>
            <w:vAlign w:val="bottom"/>
            <w:gridSpan w:val="3"/>
          </w:tcPr>
          <w:p>
            <w:pPr>
              <w:spacing w:after="0"/>
              <w:rPr>
                <w:sz w:val="20"/>
                <w:szCs w:val="20"/>
                <w:color w:val="auto"/>
              </w:rPr>
            </w:pPr>
            <w:r>
              <w:rPr>
                <w:rFonts w:ascii="Courier New" w:cs="Courier New" w:eastAsia="Courier New" w:hAnsi="Courier New"/>
                <w:sz w:val="14"/>
                <w:szCs w:val="14"/>
                <w:color w:val="auto"/>
              </w:rPr>
              <w:t>holder at least 10</w:t>
            </w: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16 -</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57" w:name="page58"/>
    <w:bookmarkEnd w:id="57"/>
    <w:p>
      <w:pPr>
        <w:jc w:val="both"/>
        <w:ind w:right="3339"/>
        <w:spacing w:after="0" w:line="251" w:lineRule="auto"/>
        <w:rPr>
          <w:sz w:val="20"/>
          <w:szCs w:val="20"/>
          <w:color w:val="auto"/>
        </w:rPr>
      </w:pPr>
      <w:r>
        <w:rPr>
          <w:rFonts w:ascii="Courier New" w:cs="Courier New" w:eastAsia="Courier New" w:hAnsi="Courier New"/>
          <w:sz w:val="14"/>
          <w:szCs w:val="14"/>
          <w:color w:val="auto"/>
        </w:rPr>
        <w:t>Business Days from its receipt of such notice to accept such offer. The Company will promptly cancel all Notes acquired by it or any Affiliate pursuant to any payment, prepayment or purchase of Notes pursuant to any provision of this Agreement and no Notes may be issued in substitution or exchange for any such Notes.</w:t>
      </w:r>
    </w:p>
    <w:p>
      <w:pPr>
        <w:spacing w:after="0" w:line="165" w:lineRule="exact"/>
        <w:rPr>
          <w:sz w:val="20"/>
          <w:szCs w:val="20"/>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SECTION 8.7</w:t>
      </w:r>
      <w:r>
        <w:rPr>
          <w:sz w:val="20"/>
          <w:szCs w:val="20"/>
          <w:color w:val="auto"/>
        </w:rPr>
        <w:tab/>
      </w:r>
      <w:r>
        <w:rPr>
          <w:rFonts w:ascii="Courier New" w:cs="Courier New" w:eastAsia="Courier New" w:hAnsi="Courier New"/>
          <w:sz w:val="14"/>
          <w:szCs w:val="14"/>
          <w:color w:val="auto"/>
        </w:rPr>
        <w:t>MAKE-WHOLE AMOUNT.</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"MAKE-WHOLE AMOUNT" means, with respect to any Note, an amount equal to the excess, if any, of the Discounted Value of the Remaining Scheduled Payments with respect to the Called Principal of such Note over the amount of such Called Principal, PROVIDED that the Make-Whole Amount may in no event be less than zero. For the purposes of determining the Make-Whole Amount, the following terms have the following meanings:</w:t>
      </w:r>
    </w:p>
    <w:p>
      <w:pPr>
        <w:spacing w:after="0" w:line="164" w:lineRule="exact"/>
        <w:rPr>
          <w:sz w:val="20"/>
          <w:szCs w:val="20"/>
          <w:color w:val="auto"/>
        </w:rPr>
      </w:pPr>
    </w:p>
    <w:p>
      <w:pPr>
        <w:jc w:val="both"/>
        <w:ind w:right="3339" w:firstLine="431"/>
        <w:spacing w:after="0" w:line="253" w:lineRule="auto"/>
        <w:rPr>
          <w:sz w:val="20"/>
          <w:szCs w:val="20"/>
          <w:color w:val="auto"/>
        </w:rPr>
      </w:pPr>
      <w:r>
        <w:rPr>
          <w:rFonts w:ascii="Courier New" w:cs="Courier New" w:eastAsia="Courier New" w:hAnsi="Courier New"/>
          <w:sz w:val="14"/>
          <w:szCs w:val="14"/>
          <w:color w:val="auto"/>
        </w:rPr>
        <w:t>"CALLED PRINCIPAL" means, with respect to any Note, the principal of such Note that is to be prepaid pursuant to Section 8.2 or has become or is declared to be immediately due and payable pursuant to Section 12.1, as the context requires.</w:t>
      </w:r>
    </w:p>
    <w:p>
      <w:pPr>
        <w:spacing w:after="0" w:line="327"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"DISCOUNTED VALUE" means,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w:t>
      </w:r>
    </w:p>
    <w:p>
      <w:pPr>
        <w:spacing w:after="0" w:line="164"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"REINVESTMENT YIELD" means, with respect to the Called Principal of any Note, .50% over the yield to maturity implied by (i) the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 the run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(or any comparable successor publication) for U.S. Treasury securities having a constant maturity equal to the Remaining Average Life of such Called Principal as of such Settlement Date.</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the case of each determination under clause (i) or clause (ii), as the case may be, of the preceding paragraph, such implied yield will be determined, if necessary, by (a) converting U.S. Treasury bill quotations to bond equivalent yields in accordance with accepted financial practice and (b) interpolating linearly between (1) the applicable U.S. Treasury security with the maturity closest to and greater than such Remaining Average Life and (2) the applicable U.S. Treasury security with the maturity closest to and less than such Remaining Average Life. The Reinvestment Yield shall be rounded to the number of decimal places as appears in the interest rate of the applicable Note.</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- 17 -</w:t>
      </w:r>
    </w:p>
    <w:p>
      <w:pPr>
        <w:sectPr>
          <w:pgSz w:w="11900" w:h="16838" w:orient="portrait"/>
          <w:cols w:equalWidth="0" w:num="1">
            <w:col w:w="10239"/>
          </w:cols>
          <w:pgMar w:left="220" w:top="616" w:right="1440" w:bottom="1440" w:gutter="0" w:footer="0" w:header="0"/>
        </w:sectPr>
      </w:pPr>
    </w:p>
    <w:bookmarkStart w:id="58" w:name="page59"/>
    <w:bookmarkEnd w:id="58"/>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"REMAINING SCHEDULED PAYMENTS" means, with respect to the Called Principal of any Note,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Notes, then the amount of the next succeeding scheduled interest payment will be reduced by the amount of interest accrued to such Settlement Date and required to be paid on such Settlement Date pursuant to Section 8.2 or Section 12.1.</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"SETTLEMENT DATE" means, with respect to the Called Principal of any Note, the date on which such Called Principal is to be prepaid pursuant to Section 8.2 or has become or is declared to be immediately due and payable pursuant to Section 12.1, as the context requires.</w:t>
      </w:r>
    </w:p>
    <w:p>
      <w:pPr>
        <w:spacing w:after="0" w:line="16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9.</w:t>
        <w:tab/>
        <w:t>AFFIRMATIVE COVENANTS.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covenants that so long as any of the Notes are outstanding:</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9.1 COMPLIANCE WITH LAW. Without limiting Section 10.3, the Company will, and will cause each of its Subsidiaries to, comply with all laws, ordinances or governmental rules or regulations to which each of them is subject, including, without limitation, ERISA, the USA Patriot Act and Environmental Laws,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9.2 INSURANCE. The Company will, and will cause each of its Subsidiaries to,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 except in each case to the extent that any non-compliance with the terms of this Section 9.2 could not reasonably be expected to have a Material Adverse Effect.</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jc w:val="both"/>
        <w:ind w:firstLine="431"/>
        <w:spacing w:after="0" w:line="252" w:lineRule="auto"/>
        <w:rPr>
          <w:sz w:val="20"/>
          <w:szCs w:val="20"/>
          <w:color w:val="auto"/>
        </w:rPr>
      </w:pPr>
      <w:r>
        <w:rPr>
          <w:rFonts w:ascii="Courier New" w:cs="Courier New" w:eastAsia="Courier New" w:hAnsi="Courier New"/>
          <w:sz w:val="14"/>
          <w:szCs w:val="14"/>
          <w:color w:val="auto"/>
        </w:rPr>
        <w:t>SECTION 9.3 MAINTENANCE each of its Subsidiaries to, kept, their respective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OF PROPERTIES. The Company will, and will cause maintain and keep, or cause to be maintained and</w:t>
      </w:r>
    </w:p>
    <w:p>
      <w:pPr>
        <w:spacing w:after="0" w:line="325" w:lineRule="exact"/>
        <w:rPr>
          <w:sz w:val="20"/>
          <w:szCs w:val="20"/>
          <w:color w:val="auto"/>
        </w:rPr>
      </w:pPr>
    </w:p>
    <w:p>
      <w:pPr>
        <w:sectPr>
          <w:pgSz w:w="11900" w:h="16838" w:orient="portrait"/>
          <w:cols w:equalWidth="0" w:num="2">
            <w:col w:w="2600" w:space="160"/>
            <w:col w:w="747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- 18 -</w:t>
      </w:r>
    </w:p>
    <w:p>
      <w:pPr>
        <w:sectPr>
          <w:pgSz w:w="11900" w:h="16838" w:orient="portrait"/>
          <w:cols w:equalWidth="0" w:num="1">
            <w:col w:w="10239"/>
          </w:cols>
          <w:pgMar w:left="220" w:top="616" w:right="1440" w:bottom="1440" w:gutter="0" w:footer="0" w:header="0"/>
          <w:type w:val="continuous"/>
        </w:sectPr>
      </w:pPr>
    </w:p>
    <w:bookmarkStart w:id="59" w:name="page60"/>
    <w:bookmarkEnd w:id="59"/>
    <w:p>
      <w:pPr>
        <w:jc w:val="both"/>
        <w:ind w:right="3339"/>
        <w:spacing w:after="0" w:line="251" w:lineRule="auto"/>
        <w:rPr>
          <w:sz w:val="20"/>
          <w:szCs w:val="20"/>
          <w:color w:val="auto"/>
        </w:rPr>
      </w:pPr>
      <w:r>
        <w:rPr>
          <w:rFonts w:ascii="Courier New" w:cs="Courier New" w:eastAsia="Courier New" w:hAnsi="Courier New"/>
          <w:sz w:val="14"/>
          <w:szCs w:val="14"/>
          <w:color w:val="auto"/>
        </w:rPr>
        <w:t>properties in good repair, working order and condition (other than ordinary wear and tear), so that the business carried on in connection therewith may be properly conducted at all times, PROVIDED that this Section shall not prevent the Company or any Subsidiary from discontinuing the operation and the maintenance of any of its properties if such discontinuance is desirable in the conduct of its business and the Company has concluded that such discontinuance could not, individually or in the aggregate, reasonably be expected to have a Material Adverse Effect.</w:t>
      </w:r>
    </w:p>
    <w:p>
      <w:pPr>
        <w:spacing w:after="0" w:line="330"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SECTION 9.4 PAYMENT OF TAXES AND CLAIMS. The Company will, and will cause each of its Subsidiaries to, file all tax returns required to be filed in any jurisdiction and to pay and discharge all taxes shown to be due and payable on such returns and all other taxes, assessments, governmental charges, or levies imposed on them or any of their properties, assets, income or franchises, to the extent the same have become due and payable and before they have become delinquent and all claims for which sums have become due and payable that have or might become a Lien on properties or assets of the Company or any Subsidiary, PROVIDED that neither the Company nor any Subsidiary need pay any such tax, assessment, charge, levy or claim if (i)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(ii) the non-filing of all such returns and/or nonpayment of all such taxes, assessments, charges, levies and claims (as the case may be) in the aggregate could not reasonably be expected to have a Material Adverse Effect.</w:t>
      </w:r>
    </w:p>
    <w:p>
      <w:pPr>
        <w:spacing w:after="0" w:line="33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9.5 CORPORATE EXISTENCE, ETC. Subject to Section 10.2, the Company will at all times preserve and keep in full force and effect its corporate existence. Subject to Section 10.2, the Company will at all times preserve and keep in full force and effect the corporate existence of each of its Subsidiaries (unless merged into the Company or a Wholly-Owned Subsidiary) and all Material rights and franchises of the Company and its Subsidiaries unless, in the good faith judgment of the Company, the termination of or failure to preserve and keep in full force and effect such corporate existence, right or franchise could not, individually or in the aggregate, have a Material Adverse Effect.</w:t>
      </w:r>
    </w:p>
    <w:p>
      <w:pPr>
        <w:spacing w:after="0" w:line="329"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SECTION 9.6 BOOKS AND RECORDS. The Company will, and will cause each of its Subsidiaries to, maintain proper books of record and account in conformity with GAAP and all applicable requirements of any Governmental Authority having legal or regulatory jurisdiction over the Company or such Subsidiary, as the case may be.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10. NEGATIVE COVENANTS.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covenants that so long as any of the Notes are outstanding:</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10.1 TRANSACTIONS WITH AFFILIATES. The Company will not and will not permit any Significant Subsidiary to enter into directly or indirectly any Material transaction or Material group of related transactions (including without limitation the purchase, lease, sale or exchange of properties of any kind or the rendering of any service) with any Affiliate (other than the Company or another Subsidiary), except in the ordinary course and pursuant to the reasonable requirements of the Company's or such Significant Subsidiary's business and upon fair and</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- 19 -</w:t>
      </w:r>
    </w:p>
    <w:p>
      <w:pPr>
        <w:sectPr>
          <w:pgSz w:w="11900" w:h="16838" w:orient="portrait"/>
          <w:cols w:equalWidth="0" w:num="1">
            <w:col w:w="10239"/>
          </w:cols>
          <w:pgMar w:left="220" w:top="616" w:right="1440" w:bottom="1440" w:gutter="0" w:footer="0" w:header="0"/>
        </w:sectPr>
      </w:pPr>
    </w:p>
    <w:bookmarkStart w:id="60" w:name="page61"/>
    <w:bookmarkEnd w:id="60"/>
    <w:p>
      <w:pPr>
        <w:jc w:val="both"/>
        <w:ind w:right="3339"/>
        <w:spacing w:after="0" w:line="252" w:lineRule="auto"/>
        <w:rPr>
          <w:sz w:val="20"/>
          <w:szCs w:val="20"/>
          <w:color w:val="auto"/>
        </w:rPr>
      </w:pPr>
      <w:r>
        <w:rPr>
          <w:rFonts w:ascii="Courier New" w:cs="Courier New" w:eastAsia="Courier New" w:hAnsi="Courier New"/>
          <w:sz w:val="14"/>
          <w:szCs w:val="14"/>
          <w:color w:val="auto"/>
        </w:rPr>
        <w:t>reasonable terms no less favorable to the Company or such Significant Subsidiary than would be obtainable in a comparable arm's-length transaction with a Person not an Affiliate.</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SECTION 10.2 MERGER, CONSOLIDATION, ETC. The Company will not consolidate with or merge with any other Person or convey, transfer or lease all or substantially all of its assets in a single transaction or series of transactions to any Person unless:</w:t>
      </w:r>
    </w:p>
    <w:p>
      <w:pPr>
        <w:spacing w:after="0" w:line="162" w:lineRule="exact"/>
        <w:rPr>
          <w:sz w:val="20"/>
          <w:szCs w:val="20"/>
          <w:color w:val="auto"/>
        </w:rPr>
      </w:pPr>
    </w:p>
    <w:p>
      <w:pPr>
        <w:jc w:val="both"/>
        <w:ind w:left="440" w:right="3339" w:firstLine="602"/>
        <w:spacing w:after="0" w:line="250" w:lineRule="auto"/>
        <w:tabs>
          <w:tab w:leader="none" w:pos="1646"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successor formed by such consolidation or the survivor of such merger or the Person that acquires by conveyance, transfer or lease all or substantially all of the assets of the Company as an entirety, as the case may be, shall be a solvent corporation or limited liability company organized and existing under the laws of the United States or Canada or any jurisdiction thereof (including the District of Columbia), and, if the Company is not such corporation or limited liability company,</w:t>
      </w:r>
    </w:p>
    <w:p>
      <w:pPr>
        <w:spacing w:after="0" w:line="3" w:lineRule="exact"/>
        <w:rPr>
          <w:rFonts w:ascii="Courier New" w:cs="Courier New" w:eastAsia="Courier New" w:hAnsi="Courier New"/>
          <w:sz w:val="14"/>
          <w:szCs w:val="14"/>
          <w:color w:val="auto"/>
        </w:rPr>
      </w:pPr>
    </w:p>
    <w:p>
      <w:pPr>
        <w:jc w:val="both"/>
        <w:ind w:left="440" w:right="3339" w:hanging="1"/>
        <w:spacing w:after="0" w:line="251" w:lineRule="auto"/>
        <w:tabs>
          <w:tab w:leader="none" w:pos="785"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corporation or limited liability company shall have executed and delivered to each holder of any Notes its assumption of the due and punctual performance and observance of each covenant and condition of this Agreement and the Notes and (ii) such corporation or limited liability company shall have caused to be delivered to each holder of any Notes an opinion of nationally recognized independent counsel, or other independent counsel reasonably satisfactory to the Required Holders, to the effect that all agreements or instruments effecting such assumption are enforceable in accordance with their terms and comply with the terms hereof; and</w:t>
      </w:r>
    </w:p>
    <w:p>
      <w:pPr>
        <w:spacing w:after="0" w:line="163" w:lineRule="exact"/>
        <w:rPr>
          <w:rFonts w:ascii="Courier New" w:cs="Courier New" w:eastAsia="Courier New" w:hAnsi="Courier New"/>
          <w:sz w:val="14"/>
          <w:szCs w:val="14"/>
          <w:color w:val="auto"/>
        </w:rPr>
      </w:pPr>
    </w:p>
    <w:p>
      <w:pPr>
        <w:jc w:val="both"/>
        <w:ind w:left="440" w:right="3339" w:firstLine="602"/>
        <w:spacing w:after="0" w:line="252" w:lineRule="auto"/>
        <w:tabs>
          <w:tab w:leader="none" w:pos="1646"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before and immediately after giving effect to such transaction, no Default or Event of Default shall have occurred and be continuing and the Company would be able to incur at least $1.00 of additional Funded Debt.</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No such conveyance, transfer or lease of substantially all of the assets of the Company in violation of the terms of this Section 10.2 shall have the effect of releasing the Company or any successor corporation or limited liability company that shall theretofore have become such in the manner prescribed in this Section 10.2 from its liability under this Agreement or the Notes.</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10.3 TERRORISM SANCTIONS REGULATIONS. The Company will not and will not permit any Subsidiary to (a) become a Person described or designated in the Specially Designated Nationals and Blocked Persons List of the Office of Foreign Assets Control or in Section 1 of the Anti-Terrorism Order or (b) engage in any dealings or transactions with any such Person.</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10.4 LIENS. The Company will not, and will not permit any of its Subsidiaries to, directly or indirectly create, incur, assume or permit to exist (upon the happening of a contingency or otherwise) any Lien on or with respect to any property or asset (including, without limitation, any document or instrument in respect of goods or accounts receivable) of the Company or any such Subsidiary, whether now owned or held or hereafter acquired, or any income or profits therefrom or assign or otherwise convey any right to receive income or profits, except:</w:t>
      </w:r>
    </w:p>
    <w:p>
      <w:pPr>
        <w:spacing w:after="0" w:line="164" w:lineRule="exact"/>
        <w:rPr>
          <w:sz w:val="20"/>
          <w:szCs w:val="20"/>
          <w:color w:val="auto"/>
        </w:rPr>
      </w:pPr>
    </w:p>
    <w:p>
      <w:pPr>
        <w:ind w:left="1640" w:hanging="598"/>
        <w:spacing w:after="0"/>
        <w:tabs>
          <w:tab w:leader="none" w:pos="164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on the date of this Agreement;</w:t>
      </w:r>
    </w:p>
    <w:p>
      <w:pPr>
        <w:spacing w:after="0" w:line="172"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20 -</w:t>
      </w:r>
    </w:p>
    <w:p>
      <w:pPr>
        <w:sectPr>
          <w:pgSz w:w="11900" w:h="16838" w:orient="portrait"/>
          <w:cols w:equalWidth="0" w:num="1">
            <w:col w:w="10239"/>
          </w:cols>
          <w:pgMar w:left="220" w:top="616" w:right="1440" w:bottom="1440" w:gutter="0" w:footer="0" w:header="0"/>
        </w:sectPr>
      </w:pPr>
    </w:p>
    <w:bookmarkStart w:id="61" w:name="page62"/>
    <w:bookmarkEnd w:id="61"/>
    <w:p>
      <w:pPr>
        <w:ind w:right="3339" w:firstLine="602"/>
        <w:spacing w:after="0" w:line="255" w:lineRule="auto"/>
        <w:tabs>
          <w:tab w:leader="none" w:pos="1206"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any Utility Property securing Indebtedness incurred in the ordinary course of the Company's utility business;</w:t>
      </w:r>
    </w:p>
    <w:p>
      <w:pPr>
        <w:spacing w:after="0" w:line="159" w:lineRule="exact"/>
        <w:rPr>
          <w:rFonts w:ascii="Courier New" w:cs="Courier New" w:eastAsia="Courier New" w:hAnsi="Courier New"/>
          <w:sz w:val="14"/>
          <w:szCs w:val="14"/>
          <w:color w:val="auto"/>
        </w:rPr>
      </w:pPr>
    </w:p>
    <w:p>
      <w:pPr>
        <w:jc w:val="both"/>
        <w:ind w:right="3339" w:firstLine="602"/>
        <w:spacing w:after="0" w:line="252" w:lineRule="auto"/>
        <w:tabs>
          <w:tab w:leader="none" w:pos="1206"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assessments or other governmental charges which are not yet due and payable or the payment of which is not at the time required by Section 9.4;</w:t>
      </w:r>
    </w:p>
    <w:p>
      <w:pPr>
        <w:spacing w:after="0" w:line="162" w:lineRule="exact"/>
        <w:rPr>
          <w:rFonts w:ascii="Courier New" w:cs="Courier New" w:eastAsia="Courier New" w:hAnsi="Courier New"/>
          <w:sz w:val="14"/>
          <w:szCs w:val="14"/>
          <w:color w:val="auto"/>
        </w:rPr>
      </w:pPr>
    </w:p>
    <w:p>
      <w:pPr>
        <w:jc w:val="both"/>
        <w:ind w:right="3339" w:firstLine="602"/>
        <w:spacing w:after="0" w:line="251" w:lineRule="auto"/>
        <w:tabs>
          <w:tab w:leader="none" w:pos="1206"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statutory Liens of landlords and Liens of carriers, warehousemen, mechanics, materialmen and other similar Liens including Liens incident to construction, in each case, incurred in the ordinary course of business for sums not yet due and payable or the payment of which is not at the time required by Section 9.4;</w:t>
      </w:r>
    </w:p>
    <w:p>
      <w:pPr>
        <w:spacing w:after="0" w:line="164" w:lineRule="exact"/>
        <w:rPr>
          <w:rFonts w:ascii="Courier New" w:cs="Courier New" w:eastAsia="Courier New" w:hAnsi="Courier New"/>
          <w:sz w:val="14"/>
          <w:szCs w:val="14"/>
          <w:color w:val="auto"/>
        </w:rPr>
      </w:pPr>
    </w:p>
    <w:p>
      <w:pPr>
        <w:jc w:val="both"/>
        <w:ind w:right="3339" w:firstLine="602"/>
        <w:spacing w:after="0" w:line="251" w:lineRule="auto"/>
        <w:tabs>
          <w:tab w:leader="none" w:pos="1206"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(other than any Lien imposed by ERISA) incurred or deposits made in the ordinary course of business (i) for salary or wages earned, but not yet payable, or (ii) in connection with workers' compensation, unemployment insurance and other types of social security or retirement benefits, or (iii) to secure (or to obtain letters of credit that secure) the performance of tenders, statutory obligations, surety, reclamations or appeal bonds, bids, leases (other than Capital Leases), obligations, or (iv) to secure (or to obtain letters of credit that secure) obligations to public utilities, municipalities, governmental or other public authorities in connection with the supply of services or utilities to the Company or a Subsidiary, in each case not incurred or made in connection with the borrowing of money, the obtaining of advances or credit or the payment of the deferred purchase price of property;</w:t>
      </w:r>
    </w:p>
    <w:p>
      <w:pPr>
        <w:spacing w:after="0" w:line="162" w:lineRule="exact"/>
        <w:rPr>
          <w:rFonts w:ascii="Courier New" w:cs="Courier New" w:eastAsia="Courier New" w:hAnsi="Courier New"/>
          <w:sz w:val="14"/>
          <w:szCs w:val="14"/>
          <w:color w:val="auto"/>
        </w:rPr>
      </w:pPr>
    </w:p>
    <w:p>
      <w:pPr>
        <w:jc w:val="both"/>
        <w:ind w:right="3339" w:firstLine="602"/>
        <w:spacing w:after="0" w:line="252" w:lineRule="auto"/>
        <w:tabs>
          <w:tab w:leader="none" w:pos="1206"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attachment or judgment Lien, unless the judgment it secures shall not, within 60 days after the entry thereof, have been discharged or execution thereof stayed pending appeal, or shall not have been discharged within 60 days after the expiration of any such stay;</w:t>
      </w:r>
    </w:p>
    <w:p>
      <w:pPr>
        <w:spacing w:after="0" w:line="162" w:lineRule="exact"/>
        <w:rPr>
          <w:rFonts w:ascii="Courier New" w:cs="Courier New" w:eastAsia="Courier New" w:hAnsi="Courier New"/>
          <w:sz w:val="14"/>
          <w:szCs w:val="14"/>
          <w:color w:val="auto"/>
        </w:rPr>
      </w:pPr>
    </w:p>
    <w:p>
      <w:pPr>
        <w:jc w:val="both"/>
        <w:ind w:right="3339" w:firstLine="602"/>
        <w:spacing w:after="0" w:line="251" w:lineRule="auto"/>
        <w:tabs>
          <w:tab w:leader="none" w:pos="1206"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or subleases granted to others, easements, rights-of-way, title irregularities, restrictions, encroachments and other charges or encumbrances, in each case incidental to the ownership of property or assets or the ordinary course of business of the Company or any of its Subsidiaries, PROVIDED that such Liens do not, in the aggregate, materially detract from the value of such property;</w:t>
      </w:r>
    </w:p>
    <w:p>
      <w:pPr>
        <w:sectPr>
          <w:pgSz w:w="11900" w:h="16838" w:orient="portrait"/>
          <w:cols w:equalWidth="0" w:num="1">
            <w:col w:w="9799"/>
          </w:cols>
          <w:pgMar w:left="660" w:top="616" w:right="1440" w:bottom="1440" w:gutter="0" w:footer="0" w:header="0"/>
        </w:sectPr>
      </w:pPr>
    </w:p>
    <w:p>
      <w:pPr>
        <w:spacing w:after="0" w:line="164" w:lineRule="exact"/>
        <w:rPr>
          <w:sz w:val="20"/>
          <w:szCs w:val="20"/>
          <w:color w:val="auto"/>
        </w:rPr>
      </w:pPr>
    </w:p>
    <w:p>
      <w:pPr>
        <w:ind w:left="600"/>
        <w:spacing w:after="0"/>
        <w:tabs>
          <w:tab w:leader="none" w:pos="1180" w:val="left"/>
          <w:tab w:leader="none" w:pos="1780" w:val="left"/>
          <w:tab w:leader="none" w:pos="2480" w:val="left"/>
          <w:tab w:leader="none" w:pos="3520" w:val="left"/>
          <w:tab w:leader="none" w:pos="4280" w:val="left"/>
          <w:tab w:leader="none" w:pos="4800" w:val="left"/>
          <w:tab w:leader="none" w:pos="5400" w:val="left"/>
        </w:tabs>
        <w:rPr>
          <w:sz w:val="20"/>
          <w:szCs w:val="20"/>
          <w:color w:val="auto"/>
        </w:rPr>
      </w:pPr>
      <w:r>
        <w:rPr>
          <w:rFonts w:ascii="Courier New" w:cs="Courier New" w:eastAsia="Courier New" w:hAnsi="Courier New"/>
          <w:sz w:val="14"/>
          <w:szCs w:val="14"/>
          <w:color w:val="auto"/>
        </w:rPr>
        <w:t>(h)</w:t>
      </w:r>
      <w:r>
        <w:rPr>
          <w:sz w:val="20"/>
          <w:szCs w:val="20"/>
          <w:color w:val="auto"/>
        </w:rPr>
        <w:tab/>
      </w:r>
      <w:r>
        <w:rPr>
          <w:rFonts w:ascii="Courier New" w:cs="Courier New" w:eastAsia="Courier New" w:hAnsi="Courier New"/>
          <w:sz w:val="14"/>
          <w:szCs w:val="14"/>
          <w:color w:val="auto"/>
        </w:rPr>
        <w:t>minor</w:t>
        <w:tab/>
        <w:t>survey</w:t>
        <w:tab/>
        <w:t>exceptions</w:t>
        <w:tab/>
        <w:t>and the</w:t>
        <w:tab/>
        <w:t>like</w:t>
        <w:tab/>
        <w:t>which</w:t>
        <w:tab/>
        <w:t>do</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not,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w:t>
      </w:r>
    </w:p>
    <w:p>
      <w:pPr>
        <w:spacing w:after="0" w:line="7" w:lineRule="exact"/>
        <w:rPr>
          <w:sz w:val="20"/>
          <w:szCs w:val="20"/>
          <w:color w:val="auto"/>
        </w:rPr>
      </w:pPr>
    </w:p>
    <w:p>
      <w:pPr>
        <w:sectPr>
          <w:pgSz w:w="11900" w:h="16838" w:orient="portrait"/>
          <w:cols w:equalWidth="0" w:num="3">
            <w:col w:w="5600" w:space="180"/>
            <w:col w:w="340" w:space="160"/>
            <w:col w:w="3519"/>
          </w:cols>
          <w:pgMar w:left="66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the aggregate, materially detract from the value of such property;</w:t>
      </w:r>
    </w:p>
    <w:p>
      <w:pPr>
        <w:sectPr>
          <w:pgSz w:w="11900" w:h="16838" w:orient="portrait"/>
          <w:cols w:equalWidth="0" w:num="1">
            <w:col w:w="9799"/>
          </w:cols>
          <w:pgMar w:left="660" w:top="616" w:right="1440" w:bottom="1440" w:gutter="0" w:footer="0" w:header="0"/>
          <w:type w:val="continuous"/>
        </w:sectPr>
      </w:pPr>
    </w:p>
    <w:p>
      <w:pPr>
        <w:spacing w:after="0" w:line="173" w:lineRule="exact"/>
        <w:rPr>
          <w:sz w:val="20"/>
          <w:szCs w:val="20"/>
          <w:color w:val="auto"/>
        </w:rPr>
      </w:pPr>
    </w:p>
    <w:p>
      <w:pPr>
        <w:ind w:right="3339" w:firstLine="602"/>
        <w:spacing w:after="0" w:line="255" w:lineRule="auto"/>
        <w:tabs>
          <w:tab w:leader="none" w:pos="1206"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property or assets of any Subsidiary securing Indebtedness owing to the Company or to another Wholly-Owned Subsidiary;</w:t>
      </w:r>
    </w:p>
    <w:p>
      <w:pPr>
        <w:spacing w:after="0" w:line="159" w:lineRule="exact"/>
        <w:rPr>
          <w:rFonts w:ascii="Courier New" w:cs="Courier New" w:eastAsia="Courier New" w:hAnsi="Courier New"/>
          <w:sz w:val="14"/>
          <w:szCs w:val="14"/>
          <w:color w:val="auto"/>
        </w:rPr>
      </w:pPr>
    </w:p>
    <w:p>
      <w:pPr>
        <w:jc w:val="both"/>
        <w:ind w:right="3339" w:firstLine="602"/>
        <w:spacing w:after="0" w:line="251" w:lineRule="auto"/>
        <w:tabs>
          <w:tab w:leader="none" w:pos="1206"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created to secure all or any part of the purchase price, or to secure Indebtedness incurred or assumed to pay all or any part of the purchase price or cost of construction, of property (or any improvement thereof) acquired or constructed by the Company or a Subsidiary after the date of the Closing, PROVIDED that</w:t>
      </w:r>
    </w:p>
    <w:p>
      <w:pPr>
        <w:spacing w:after="0" w:line="165" w:lineRule="exact"/>
        <w:rPr>
          <w:sz w:val="20"/>
          <w:szCs w:val="20"/>
          <w:color w:val="auto"/>
        </w:rPr>
      </w:pPr>
    </w:p>
    <w:p>
      <w:pPr>
        <w:jc w:val="both"/>
        <w:ind w:left="600" w:right="3339" w:firstLine="1120"/>
        <w:spacing w:after="0" w:line="252" w:lineRule="auto"/>
        <w:rPr>
          <w:sz w:val="20"/>
          <w:szCs w:val="20"/>
          <w:color w:val="auto"/>
        </w:rPr>
      </w:pPr>
      <w:r>
        <w:rPr>
          <w:rFonts w:ascii="Courier New" w:cs="Courier New" w:eastAsia="Courier New" w:hAnsi="Courier New"/>
          <w:sz w:val="14"/>
          <w:szCs w:val="14"/>
          <w:color w:val="auto"/>
        </w:rPr>
        <w:t>(i) any such Lien shall extend solely to the item or items of such property (or improvement thereon) so acquired or constructed and, if required by the terms of the instrument originally creating such Lien, other</w:t>
      </w:r>
    </w:p>
    <w:p>
      <w:pPr>
        <w:spacing w:after="0" w:line="162"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- 21 -</w:t>
      </w:r>
    </w:p>
    <w:p>
      <w:pPr>
        <w:sectPr>
          <w:pgSz w:w="11900" w:h="16838" w:orient="portrait"/>
          <w:cols w:equalWidth="0" w:num="1">
            <w:col w:w="9799"/>
          </w:cols>
          <w:pgMar w:left="660" w:top="616" w:right="1440" w:bottom="1440" w:gutter="0" w:footer="0" w:header="0"/>
          <w:type w:val="continuous"/>
        </w:sectPr>
      </w:pPr>
    </w:p>
    <w:bookmarkStart w:id="62" w:name="page63"/>
    <w:bookmarkEnd w:id="62"/>
    <w:p>
      <w:pPr>
        <w:jc w:val="both"/>
        <w:ind w:right="3339"/>
        <w:spacing w:after="0" w:line="251" w:lineRule="auto"/>
        <w:rPr>
          <w:sz w:val="20"/>
          <w:szCs w:val="20"/>
          <w:color w:val="auto"/>
        </w:rPr>
      </w:pPr>
      <w:r>
        <w:rPr>
          <w:rFonts w:ascii="Courier New" w:cs="Courier New" w:eastAsia="Courier New" w:hAnsi="Courier New"/>
          <w:sz w:val="14"/>
          <w:szCs w:val="14"/>
          <w:color w:val="auto"/>
        </w:rPr>
        <w:t>property (or improvements thereon) which is an improvement to or is acquired for specific use in connection with such acquired or constructed property (or improvement thereof) or which is real property being improved by such acquired or constructed property (or improvement thereon),</w:t>
      </w:r>
    </w:p>
    <w:p>
      <w:pPr>
        <w:spacing w:after="0" w:line="165" w:lineRule="exact"/>
        <w:rPr>
          <w:sz w:val="20"/>
          <w:szCs w:val="20"/>
          <w:color w:val="auto"/>
        </w:rPr>
      </w:pPr>
    </w:p>
    <w:p>
      <w:pPr>
        <w:jc w:val="both"/>
        <w:ind w:right="3339" w:firstLine="1122"/>
        <w:spacing w:after="0" w:line="251" w:lineRule="auto"/>
        <w:tabs>
          <w:tab w:leader="none" w:pos="1636"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Indebtedness secured by such Lien shall at no time exceed an amount equal to 100% of the lesser of (A) the cost to the Company or such Subsidiary of the property (or improvement thereon) so acquired or constructed and (B) the fair market value (as determined in good faith by the board of directors of the Company) of such property (or improvement thereon) at the time of such acquisition or construction; and</w:t>
      </w:r>
    </w:p>
    <w:p>
      <w:pPr>
        <w:spacing w:after="0" w:line="164" w:lineRule="exact"/>
        <w:rPr>
          <w:rFonts w:ascii="Courier New" w:cs="Courier New" w:eastAsia="Courier New" w:hAnsi="Courier New"/>
          <w:sz w:val="14"/>
          <w:szCs w:val="14"/>
          <w:color w:val="auto"/>
        </w:rPr>
      </w:pPr>
    </w:p>
    <w:p>
      <w:pPr>
        <w:jc w:val="both"/>
        <w:ind w:right="3339" w:firstLine="1122"/>
        <w:spacing w:after="0" w:line="252" w:lineRule="auto"/>
        <w:tabs>
          <w:tab w:leader="none" w:pos="1636"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Lien shall be created contemporaneously with, or within 365 days after, the acquisition or construction of such property;</w:t>
      </w:r>
    </w:p>
    <w:p>
      <w:pPr>
        <w:spacing w:after="0" w:line="162" w:lineRule="exact"/>
        <w:rPr>
          <w:rFonts w:ascii="Courier New" w:cs="Courier New" w:eastAsia="Courier New" w:hAnsi="Courier New"/>
          <w:sz w:val="14"/>
          <w:szCs w:val="14"/>
          <w:color w:val="auto"/>
        </w:rPr>
      </w:pPr>
    </w:p>
    <w:p>
      <w:pPr>
        <w:jc w:val="both"/>
        <w:ind w:left="-600" w:right="3339" w:firstLine="602"/>
        <w:spacing w:after="0" w:line="251" w:lineRule="auto"/>
        <w:tabs>
          <w:tab w:leader="none" w:pos="606"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existing on property of a Person immediately prior to its being consolidated with or merged into the Company or a Subsidiary or its becoming a Subsidiary, or any Lien existing on any property acquired by the Company or any Subsidiary at the time such property is so acquired (whether or not the Indebtedness secured thereby shall have been assumed), provided that (i) no such Lien shall have been created or assumed in contemplation of such consolidation or merger or such Person's becoming a Subsidiary or such acquisition of property, and, (ii) each such Lien shall extend solely to the item or items of property so acquired and, if required by the terms of the instrument originally creating such Lien, other property which is an improvement to or is acquired for specific use in connection with such acquired property;</w:t>
      </w:r>
    </w:p>
    <w:p>
      <w:pPr>
        <w:spacing w:after="0" w:line="162" w:lineRule="exact"/>
        <w:rPr>
          <w:rFonts w:ascii="Courier New" w:cs="Courier New" w:eastAsia="Courier New" w:hAnsi="Courier New"/>
          <w:sz w:val="14"/>
          <w:szCs w:val="14"/>
          <w:color w:val="auto"/>
        </w:rPr>
      </w:pPr>
    </w:p>
    <w:p>
      <w:pPr>
        <w:jc w:val="both"/>
        <w:ind w:left="-600" w:right="3339" w:firstLine="602"/>
        <w:spacing w:after="0" w:line="251" w:lineRule="auto"/>
        <w:tabs>
          <w:tab w:leader="none" w:pos="606"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controls, restrictions, obligations, duties and/or other burdens imposed by federal, state, municipal or other law, or by rules, regulations or orders of Governmental Authorities, upon any property of the Company or its Subsidiaries or the ownership, operation or use thereof or upon the Company with respect to any of its property or the operation or use thereof or with respect to any franchise, grant, license, permit or public purpose requirement, or any rights reserved to or otherwise vested in Governmental Authorities to impose any such controls, restrictions, obligations, duties and/or other burdens;</w:t>
      </w:r>
    </w:p>
    <w:p>
      <w:pPr>
        <w:spacing w:after="0" w:line="163" w:lineRule="exact"/>
        <w:rPr>
          <w:rFonts w:ascii="Courier New" w:cs="Courier New" w:eastAsia="Courier New" w:hAnsi="Courier New"/>
          <w:sz w:val="14"/>
          <w:szCs w:val="14"/>
          <w:color w:val="auto"/>
        </w:rPr>
      </w:pPr>
    </w:p>
    <w:p>
      <w:pPr>
        <w:jc w:val="both"/>
        <w:ind w:left="-600" w:right="3339" w:firstLine="602"/>
        <w:spacing w:after="0" w:line="251" w:lineRule="auto"/>
        <w:tabs>
          <w:tab w:leader="none" w:pos="606"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reserved to or vested in others to take or receive any part of any coal, ore, gas, oil and other minerals, any timber and/or any electric capacity or energy, gas, water, steam and any other products developed, produced, manufactured, generated, purchased or otherwise acquired by the Company or by others on property of the Company or any of its Subsidiaries;</w:t>
      </w:r>
    </w:p>
    <w:p>
      <w:pPr>
        <w:spacing w:after="0" w:line="164" w:lineRule="exact"/>
        <w:rPr>
          <w:rFonts w:ascii="Courier New" w:cs="Courier New" w:eastAsia="Courier New" w:hAnsi="Courier New"/>
          <w:sz w:val="14"/>
          <w:szCs w:val="14"/>
          <w:color w:val="auto"/>
        </w:rPr>
      </w:pPr>
    </w:p>
    <w:p>
      <w:pPr>
        <w:jc w:val="both"/>
        <w:ind w:left="-600" w:right="3339" w:firstLine="602"/>
        <w:spacing w:after="0" w:line="251" w:lineRule="auto"/>
        <w:tabs>
          <w:tab w:leader="none" w:pos="606"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rights and interests of Persons other than the Company or its Subsidiaries arising out of contracts, agreements and other instruments to which the Company or any of its Subsidiaries is a party and which relate to the common ownership or joint use of property; and (ii) all Liens on the interests of Persons other than the Company or its Subsidiaries in property owned in common by such Persons and the Company or any of its Subsidiaries if and to the extent that the enforcement of such Liens</w:t>
      </w:r>
    </w:p>
    <w:p>
      <w:pPr>
        <w:spacing w:after="0" w:line="164" w:lineRule="exact"/>
        <w:rPr>
          <w:rFonts w:ascii="Courier New" w:cs="Courier New" w:eastAsia="Courier New" w:hAnsi="Courier New"/>
          <w:sz w:val="14"/>
          <w:szCs w:val="14"/>
          <w:color w:val="auto"/>
        </w:rPr>
      </w:pPr>
    </w:p>
    <w:p>
      <w:pPr>
        <w:ind w:left="2320" w:hanging="165"/>
        <w:spacing w:after="0"/>
        <w:tabs>
          <w:tab w:leader="none" w:pos="2320" w:val="left"/>
        </w:tabs>
        <w:numPr>
          <w:ilvl w:val="2"/>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22 -</w:t>
      </w:r>
    </w:p>
    <w:p>
      <w:pPr>
        <w:sectPr>
          <w:pgSz w:w="11900" w:h="16838" w:orient="portrait"/>
          <w:cols w:equalWidth="0" w:num="1">
            <w:col w:w="9199"/>
          </w:cols>
          <w:pgMar w:left="1260" w:top="616" w:right="1440" w:bottom="1440" w:gutter="0" w:footer="0" w:header="0"/>
        </w:sectPr>
      </w:pPr>
    </w:p>
    <w:bookmarkStart w:id="63" w:name="page64"/>
    <w:bookmarkEnd w:id="63"/>
    <w:p>
      <w:pPr>
        <w:ind w:right="3339"/>
        <w:spacing w:after="0" w:line="255" w:lineRule="auto"/>
        <w:rPr>
          <w:sz w:val="20"/>
          <w:szCs w:val="20"/>
          <w:color w:val="auto"/>
        </w:rPr>
      </w:pPr>
      <w:r>
        <w:rPr>
          <w:rFonts w:ascii="Courier New" w:cs="Courier New" w:eastAsia="Courier New" w:hAnsi="Courier New"/>
          <w:sz w:val="14"/>
          <w:szCs w:val="14"/>
          <w:color w:val="auto"/>
        </w:rPr>
        <w:t>would not adversely affect the interests of the Company or its Subsidiaries in such property in any material respect;</w:t>
      </w:r>
    </w:p>
    <w:p>
      <w:pPr>
        <w:spacing w:after="0" w:line="160" w:lineRule="exact"/>
        <w:rPr>
          <w:sz w:val="20"/>
          <w:szCs w:val="20"/>
          <w:color w:val="auto"/>
        </w:rPr>
      </w:pPr>
    </w:p>
    <w:p>
      <w:pPr>
        <w:jc w:val="both"/>
        <w:ind w:right="3339" w:firstLine="602"/>
        <w:spacing w:after="0" w:line="252" w:lineRule="auto"/>
        <w:tabs>
          <w:tab w:leader="none" w:pos="1206"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Liens which have been bonded for the full amount in dispute or for the payment of which other adequate security arrangement have been made;</w:t>
      </w:r>
    </w:p>
    <w:p>
      <w:pPr>
        <w:spacing w:after="0" w:line="162" w:lineRule="exact"/>
        <w:rPr>
          <w:rFonts w:ascii="Courier New" w:cs="Courier New" w:eastAsia="Courier New" w:hAnsi="Courier New"/>
          <w:sz w:val="14"/>
          <w:szCs w:val="14"/>
          <w:color w:val="auto"/>
        </w:rPr>
      </w:pPr>
    </w:p>
    <w:p>
      <w:pPr>
        <w:jc w:val="both"/>
        <w:ind w:right="3339" w:firstLine="602"/>
        <w:spacing w:after="0" w:line="251" w:lineRule="auto"/>
        <w:tabs>
          <w:tab w:leader="none" w:pos="1206"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grants by the Company or any of its Subsidiaries of easements, ground leases or rights-of-way in, upon, over and/or across the property or rights-of-way of the Company or its Subsidiaries for the purpose of roads, pipe liens, transmission lines, distribution lines, communication lines, railways, removal of coal or other minerals or timber, and other like purposes, or for the joint or common use of real property, rights-of-way, facilities and/or equipment; PROVIDED, HOWEVER, that no such grant shall materially impair the use of the property or rights-of-way for the purposes for which such property or rights-of-way are held by the Company or its Subsidiaries;</w:t>
      </w:r>
    </w:p>
    <w:p>
      <w:pPr>
        <w:spacing w:after="0" w:line="163" w:lineRule="exact"/>
        <w:rPr>
          <w:rFonts w:ascii="Courier New" w:cs="Courier New" w:eastAsia="Courier New" w:hAnsi="Courier New"/>
          <w:sz w:val="14"/>
          <w:szCs w:val="14"/>
          <w:color w:val="auto"/>
        </w:rPr>
      </w:pPr>
    </w:p>
    <w:p>
      <w:pPr>
        <w:jc w:val="both"/>
        <w:ind w:right="3339" w:firstLine="602"/>
        <w:spacing w:after="0" w:line="252" w:lineRule="auto"/>
        <w:tabs>
          <w:tab w:leader="none" w:pos="1206"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property of the Company or its Subsidiaries which secure indebtedness for borrowed money less than one year from the date of the issuance or incurrence thereof and is not extendible at the option of the issuer;</w:t>
      </w:r>
    </w:p>
    <w:p>
      <w:pPr>
        <w:spacing w:after="0" w:line="162" w:lineRule="exact"/>
        <w:rPr>
          <w:rFonts w:ascii="Courier New" w:cs="Courier New" w:eastAsia="Courier New" w:hAnsi="Courier New"/>
          <w:sz w:val="14"/>
          <w:szCs w:val="14"/>
          <w:color w:val="auto"/>
        </w:rPr>
      </w:pPr>
    </w:p>
    <w:p>
      <w:pPr>
        <w:jc w:val="both"/>
        <w:ind w:right="3339" w:firstLine="602"/>
        <w:spacing w:after="0" w:line="251" w:lineRule="auto"/>
        <w:tabs>
          <w:tab w:leader="none" w:pos="1206"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created or assumed by the Company or its Subsidiaries in connection with the issuance of debt securities the interest on which is not included in gross income for purposes of federal income taxation pursuant to Section 103 of the Code (or any successor provision of law), for the purpose of financing or refinancing, in whole or in part, costs of acquisition or construction in connection with the issuance of such debt securities either by applicable law or by the issuer of such debt securities or is otherwise necessary in order to establish or maintain such exclusion from gross income;</w:t>
      </w:r>
    </w:p>
    <w:p>
      <w:pPr>
        <w:spacing w:after="0" w:line="163" w:lineRule="exact"/>
        <w:rPr>
          <w:rFonts w:ascii="Courier New" w:cs="Courier New" w:eastAsia="Courier New" w:hAnsi="Courier New"/>
          <w:sz w:val="14"/>
          <w:szCs w:val="14"/>
          <w:color w:val="auto"/>
        </w:rPr>
      </w:pPr>
    </w:p>
    <w:p>
      <w:pPr>
        <w:jc w:val="both"/>
        <w:ind w:right="3339" w:firstLine="602"/>
        <w:spacing w:after="0" w:line="251" w:lineRule="auto"/>
        <w:tabs>
          <w:tab w:leader="none" w:pos="1206"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indebtedness or lease obligations (i) which are related to the construction or acquisition of property not previously owned by the Company or (ii) which are related to the financing of a project involving the development or expansion of property of the Company or any of its Subsidiaries and (iii) , in either case, the obligee in respect of which has no recourse to the Company or its Subsidiaries or any property of the Company or its Subsidiaries other than the property constructed or acquired with the proceeds of such transaction or the project financed with the proceeds of such transaction (or the proceeds thereof);</w:t>
      </w:r>
    </w:p>
    <w:p>
      <w:pPr>
        <w:spacing w:after="0" w:line="329" w:lineRule="exact"/>
        <w:rPr>
          <w:rFonts w:ascii="Courier New" w:cs="Courier New" w:eastAsia="Courier New" w:hAnsi="Courier New"/>
          <w:sz w:val="14"/>
          <w:szCs w:val="14"/>
          <w:color w:val="auto"/>
        </w:rPr>
      </w:pPr>
    </w:p>
    <w:p>
      <w:pPr>
        <w:jc w:val="both"/>
        <w:ind w:right="3339" w:firstLine="602"/>
        <w:spacing w:after="0" w:line="251" w:lineRule="auto"/>
        <w:tabs>
          <w:tab w:leader="none" w:pos="1206"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created by the Mortgage and Deed of Trust dated September 1, 1945 between the Company and Irving Trust Company (now The Bank of New York) and Richard H. West (Douglas I. MacInnes, successor), as Trustees, as heretofore and hereafter supplemented and amended (the "Mortgage"); and Liens created by any other indenture hereafter executed by the Company pursuant to which bonds issued under the Mortgage are or are to be delivered to the trustee(s) under such indenture in a principal amount at least equal to the principal amount of debt securities to be secured by such indenture;</w:t>
      </w:r>
    </w:p>
    <w:p>
      <w:pPr>
        <w:sectPr>
          <w:pgSz w:w="11900" w:h="16838" w:orient="portrait"/>
          <w:cols w:equalWidth="0" w:num="1">
            <w:col w:w="9799"/>
          </w:cols>
          <w:pgMar w:left="660" w:top="616" w:right="1440" w:bottom="1440" w:gutter="0" w:footer="0" w:header="0"/>
        </w:sectPr>
      </w:pPr>
    </w:p>
    <w:p>
      <w:pPr>
        <w:spacing w:after="0" w:line="164" w:lineRule="exact"/>
        <w:rPr>
          <w:sz w:val="20"/>
          <w:szCs w:val="20"/>
          <w:color w:val="auto"/>
        </w:rPr>
      </w:pPr>
    </w:p>
    <w:p>
      <w:pPr>
        <w:ind w:left="1200" w:hanging="598"/>
        <w:spacing w:after="0"/>
        <w:tabs>
          <w:tab w:leader="none" w:pos="12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mortgage,</w:t>
      </w:r>
    </w:p>
    <w:p>
      <w:pPr>
        <w:spacing w:after="0" w:line="7" w:lineRule="exact"/>
        <w:rPr>
          <w:rFonts w:ascii="Courier New" w:cs="Courier New" w:eastAsia="Courier New" w:hAnsi="Courier New"/>
          <w:sz w:val="14"/>
          <w:szCs w:val="14"/>
          <w:color w:val="auto"/>
        </w:rPr>
      </w:pPr>
    </w:p>
    <w:p>
      <w:pPr>
        <w:jc w:val="both"/>
        <w:ind w:right="8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shares of capital Company to the extent such</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3339" w:firstLine="86"/>
        <w:spacing w:after="0" w:line="255" w:lineRule="auto"/>
        <w:rPr>
          <w:sz w:val="20"/>
          <w:szCs w:val="20"/>
          <w:color w:val="auto"/>
        </w:rPr>
      </w:pPr>
      <w:r>
        <w:rPr>
          <w:rFonts w:ascii="Courier New" w:cs="Courier New" w:eastAsia="Courier New" w:hAnsi="Courier New"/>
          <w:sz w:val="14"/>
          <w:szCs w:val="14"/>
          <w:color w:val="auto"/>
        </w:rPr>
        <w:t>pledge, security interest, Lien or encumbrance stock of majority owned subsidiaries of the</w:t>
      </w:r>
    </w:p>
    <w:p>
      <w:pPr>
        <w:spacing w:after="0" w:line="325" w:lineRule="exact"/>
        <w:rPr>
          <w:sz w:val="20"/>
          <w:szCs w:val="20"/>
          <w:color w:val="auto"/>
        </w:rPr>
      </w:pPr>
    </w:p>
    <w:p>
      <w:pPr>
        <w:sectPr>
          <w:pgSz w:w="11900" w:h="16838" w:orient="portrait"/>
          <w:cols w:equalWidth="0" w:num="2">
            <w:col w:w="2320" w:space="100"/>
            <w:col w:w="7379"/>
          </w:cols>
          <w:pgMar w:left="660" w:top="616" w:right="1440" w:bottom="1440" w:gutter="0" w:footer="0" w:header="0"/>
          <w:type w:val="continuous"/>
        </w:sectPr>
      </w:pPr>
    </w:p>
    <w:p>
      <w:pPr>
        <w:ind w:left="2760"/>
        <w:spacing w:after="0"/>
        <w:rPr>
          <w:sz w:val="20"/>
          <w:szCs w:val="20"/>
          <w:color w:val="auto"/>
        </w:rPr>
      </w:pPr>
      <w:r>
        <w:rPr>
          <w:rFonts w:ascii="Courier New" w:cs="Courier New" w:eastAsia="Courier New" w:hAnsi="Courier New"/>
          <w:sz w:val="14"/>
          <w:szCs w:val="14"/>
          <w:color w:val="auto"/>
        </w:rPr>
        <w:t>- 23 -</w:t>
      </w:r>
    </w:p>
    <w:p>
      <w:pPr>
        <w:sectPr>
          <w:pgSz w:w="11900" w:h="16838" w:orient="portrait"/>
          <w:cols w:equalWidth="0" w:num="1">
            <w:col w:w="9799"/>
          </w:cols>
          <w:pgMar w:left="660" w:top="616" w:right="1440" w:bottom="1440" w:gutter="0" w:footer="0" w:header="0"/>
          <w:type w:val="continuous"/>
        </w:sectPr>
      </w:pPr>
    </w:p>
    <w:bookmarkStart w:id="64" w:name="page65"/>
    <w:bookmarkEnd w:id="64"/>
    <w:p>
      <w:pPr>
        <w:jc w:val="both"/>
        <w:ind w:left="440" w:right="3339"/>
        <w:spacing w:after="0" w:line="252" w:lineRule="auto"/>
        <w:rPr>
          <w:sz w:val="20"/>
          <w:szCs w:val="20"/>
          <w:color w:val="auto"/>
        </w:rPr>
      </w:pPr>
      <w:r>
        <w:rPr>
          <w:rFonts w:ascii="Courier New" w:cs="Courier New" w:eastAsia="Courier New" w:hAnsi="Courier New"/>
          <w:sz w:val="14"/>
          <w:szCs w:val="14"/>
          <w:color w:val="auto"/>
        </w:rPr>
        <w:t>capital stock is directly owned by the Company, created at the time of the acquisition of such capital stock by the Company, or within 365 days after such time, to secure all or a portion of the purchase price for such capital stock;</w:t>
      </w:r>
    </w:p>
    <w:p>
      <w:pPr>
        <w:spacing w:after="0" w:line="162" w:lineRule="exact"/>
        <w:rPr>
          <w:sz w:val="20"/>
          <w:szCs w:val="20"/>
          <w:color w:val="auto"/>
        </w:rPr>
      </w:pPr>
    </w:p>
    <w:p>
      <w:pPr>
        <w:jc w:val="both"/>
        <w:ind w:left="440" w:right="3339" w:firstLine="602"/>
        <w:spacing w:after="0" w:line="251" w:lineRule="auto"/>
        <w:tabs>
          <w:tab w:leader="none" w:pos="1646"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mortgage, pledge, security interest, Lien or encumbrance upon any such capital stock existing thereon at the time of the acquisition thereof by the Company (whether or not the obligations secured thereby are assumed by the Company and whether or not such mortgage, pledge, security interest, Lien or encumbrance was created in contemplation of such acquisition);</w:t>
      </w:r>
    </w:p>
    <w:p>
      <w:pPr>
        <w:spacing w:after="0" w:line="164"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646"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extension, renewal or replacement of any mortgage, pledge, security interest, Lien or encumbrance permitted by subsection (u) or (v) of this Section 10.6, or of any indebtedness for borrowed money secured thereby; provided that the principal amount of indebtedness so secured immediately following the time of such extension, renewal or replacement shall not exceed the principal amount of indebtedness so secured immediately preceding the time of such extension, renewal or replacement, and that such extension, renewal or replacement mortgage, pledge, security interest, Lien or encumbrance shall be limited to no more than the same proportion of all shares of capital stock as were covered by the mortgage, pledge, security interest, Lien or encumbrance that was extended, renewed or replaced;</w:t>
      </w:r>
    </w:p>
    <w:p>
      <w:pPr>
        <w:spacing w:after="0" w:line="329"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any Lien</w:t>
            </w:r>
          </w:p>
        </w:tc>
        <w:tc>
          <w:tcPr>
            <w:tcW w:w="1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renewing, extending or</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replacing</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Liens</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permitted</w:t>
            </w:r>
          </w:p>
        </w:tc>
      </w:tr>
      <w:tr>
        <w:trPr>
          <w:trHeight w:val="166"/>
        </w:trPr>
        <w:tc>
          <w:tcPr>
            <w:tcW w:w="34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subsections</w:t>
            </w:r>
          </w:p>
        </w:tc>
        <w:tc>
          <w:tcPr>
            <w:tcW w:w="26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(a), (b), (j), (k), (q), (r)</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and (s) of</w:t>
            </w:r>
          </w:p>
        </w:tc>
        <w:tc>
          <w:tcPr>
            <w:tcW w:w="1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this Section 10.6,</w:t>
            </w:r>
          </w:p>
        </w:tc>
      </w:tr>
      <w:tr>
        <w:trPr>
          <w:trHeight w:val="166"/>
        </w:trPr>
        <w:tc>
          <w:tcPr>
            <w:tcW w:w="1200" w:type="dxa"/>
            <w:vAlign w:val="bottom"/>
            <w:gridSpan w:val="2"/>
          </w:tcPr>
          <w:p>
            <w:pPr>
              <w:spacing w:after="0"/>
              <w:rPr>
                <w:sz w:val="20"/>
                <w:szCs w:val="20"/>
                <w:color w:val="auto"/>
              </w:rPr>
            </w:pPr>
            <w:r>
              <w:rPr>
                <w:rFonts w:ascii="Courier New" w:cs="Courier New" w:eastAsia="Courier New" w:hAnsi="Courier New"/>
                <w:sz w:val="14"/>
                <w:szCs w:val="14"/>
                <w:color w:val="auto"/>
              </w:rPr>
              <w:t>PROVIDED that,</w:t>
            </w:r>
          </w:p>
        </w:tc>
        <w:tc>
          <w:tcPr>
            <w:tcW w:w="1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(i) the</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principal</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amount of</w:t>
            </w:r>
          </w:p>
        </w:tc>
        <w:tc>
          <w:tcPr>
            <w:tcW w:w="25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Indebtedness  secured by such</w:t>
            </w:r>
          </w:p>
        </w:tc>
      </w:tr>
      <w:tr>
        <w:trPr>
          <w:trHeight w:val="166"/>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Lien</w:t>
            </w:r>
          </w:p>
        </w:tc>
        <w:tc>
          <w:tcPr>
            <w:tcW w:w="20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immediately  prior to</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such</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extension,</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renewal or</w:t>
            </w:r>
          </w:p>
        </w:tc>
        <w:tc>
          <w:tcPr>
            <w:tcW w:w="10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refunding</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is not</w:t>
            </w:r>
          </w:p>
        </w:tc>
      </w:tr>
      <w:tr>
        <w:trPr>
          <w:trHeight w:val="166"/>
        </w:trPr>
        <w:tc>
          <w:tcPr>
            <w:tcW w:w="2360" w:type="dxa"/>
            <w:vAlign w:val="bottom"/>
            <w:gridSpan w:val="5"/>
          </w:tcPr>
          <w:p>
            <w:pPr>
              <w:spacing w:after="0"/>
              <w:rPr>
                <w:sz w:val="20"/>
                <w:szCs w:val="20"/>
                <w:color w:val="auto"/>
              </w:rPr>
            </w:pPr>
            <w:r>
              <w:rPr>
                <w:rFonts w:ascii="Courier New" w:cs="Courier New" w:eastAsia="Courier New" w:hAnsi="Courier New"/>
                <w:sz w:val="14"/>
                <w:szCs w:val="14"/>
                <w:color w:val="auto"/>
              </w:rPr>
              <w:t>increased (or if increased,</w:t>
            </w:r>
          </w:p>
        </w:tc>
        <w:tc>
          <w:tcPr>
            <w:tcW w:w="41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the increased principal amount of Indebtedness</w:t>
            </w:r>
          </w:p>
        </w:tc>
      </w:tr>
      <w:tr>
        <w:trPr>
          <w:trHeight w:val="166"/>
        </w:trPr>
        <w:tc>
          <w:tcPr>
            <w:tcW w:w="4900" w:type="dxa"/>
            <w:vAlign w:val="bottom"/>
            <w:gridSpan w:val="8"/>
          </w:tcPr>
          <w:p>
            <w:pPr>
              <w:spacing w:after="0"/>
              <w:rPr>
                <w:sz w:val="20"/>
                <w:szCs w:val="20"/>
                <w:color w:val="auto"/>
              </w:rPr>
            </w:pPr>
            <w:r>
              <w:rPr>
                <w:rFonts w:ascii="Courier New" w:cs="Courier New" w:eastAsia="Courier New" w:hAnsi="Courier New"/>
                <w:sz w:val="14"/>
                <w:szCs w:val="14"/>
                <w:color w:val="auto"/>
              </w:rPr>
              <w:t>so secured does not exceed the fair market  value of the</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secured</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property,</w:t>
            </w:r>
          </w:p>
        </w:tc>
      </w:tr>
      <w:tr>
        <w:trPr>
          <w:trHeight w:val="166"/>
        </w:trPr>
        <w:tc>
          <w:tcPr>
            <w:tcW w:w="2360" w:type="dxa"/>
            <w:vAlign w:val="bottom"/>
            <w:gridSpan w:val="5"/>
          </w:tcPr>
          <w:p>
            <w:pPr>
              <w:spacing w:after="0"/>
              <w:rPr>
                <w:sz w:val="20"/>
                <w:szCs w:val="20"/>
                <w:color w:val="auto"/>
              </w:rPr>
            </w:pPr>
            <w:r>
              <w:rPr>
                <w:rFonts w:ascii="Courier New" w:cs="Courier New" w:eastAsia="Courier New" w:hAnsi="Courier New"/>
                <w:sz w:val="14"/>
                <w:szCs w:val="14"/>
                <w:color w:val="auto"/>
              </w:rPr>
              <w:t>as determined in good faith</w:t>
            </w:r>
          </w:p>
        </w:tc>
        <w:tc>
          <w:tcPr>
            <w:tcW w:w="25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by the board of directors of</w:t>
            </w:r>
          </w:p>
        </w:tc>
        <w:tc>
          <w:tcPr>
            <w:tcW w:w="1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the Company or the</w:t>
            </w:r>
          </w:p>
        </w:tc>
      </w:tr>
      <w:tr>
        <w:trPr>
          <w:trHeight w:val="166"/>
        </w:trPr>
        <w:tc>
          <w:tcPr>
            <w:tcW w:w="2020" w:type="dxa"/>
            <w:vAlign w:val="bottom"/>
            <w:gridSpan w:val="4"/>
          </w:tcPr>
          <w:p>
            <w:pPr>
              <w:spacing w:after="0"/>
              <w:rPr>
                <w:sz w:val="20"/>
                <w:szCs w:val="20"/>
                <w:color w:val="auto"/>
              </w:rPr>
            </w:pPr>
            <w:r>
              <w:rPr>
                <w:rFonts w:ascii="Courier New" w:cs="Courier New" w:eastAsia="Courier New" w:hAnsi="Courier New"/>
                <w:sz w:val="14"/>
                <w:szCs w:val="14"/>
                <w:color w:val="auto"/>
              </w:rPr>
              <w:t>Subsidiary, as the case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may</w:t>
            </w:r>
          </w:p>
        </w:tc>
        <w:tc>
          <w:tcPr>
            <w:tcW w:w="25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be), or the maturity thereof</w:t>
            </w:r>
          </w:p>
        </w:tc>
        <w:tc>
          <w:tcPr>
            <w:tcW w:w="1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reduced, (ii) such</w:t>
            </w:r>
          </w:p>
        </w:tc>
      </w:tr>
      <w:tr>
        <w:trPr>
          <w:trHeight w:val="166"/>
        </w:trPr>
        <w:tc>
          <w:tcPr>
            <w:tcW w:w="2020" w:type="dxa"/>
            <w:vAlign w:val="bottom"/>
            <w:gridSpan w:val="4"/>
          </w:tcPr>
          <w:p>
            <w:pPr>
              <w:spacing w:after="0"/>
              <w:rPr>
                <w:sz w:val="20"/>
                <w:szCs w:val="20"/>
                <w:color w:val="auto"/>
              </w:rPr>
            </w:pPr>
            <w:r>
              <w:rPr>
                <w:rFonts w:ascii="Courier New" w:cs="Courier New" w:eastAsia="Courier New" w:hAnsi="Courier New"/>
                <w:sz w:val="14"/>
                <w:szCs w:val="14"/>
                <w:color w:val="auto"/>
              </w:rPr>
              <w:t>Lien is not extended to</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any</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property,</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and (iii)</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immediately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after</w:t>
            </w:r>
          </w:p>
        </w:tc>
      </w:tr>
      <w:tr>
        <w:trPr>
          <w:trHeight w:val="166"/>
        </w:trPr>
        <w:tc>
          <w:tcPr>
            <w:tcW w:w="1340" w:type="dxa"/>
            <w:vAlign w:val="bottom"/>
            <w:gridSpan w:val="3"/>
          </w:tcPr>
          <w:p>
            <w:pPr>
              <w:spacing w:after="0"/>
              <w:rPr>
                <w:sz w:val="20"/>
                <w:szCs w:val="20"/>
                <w:color w:val="auto"/>
              </w:rPr>
            </w:pPr>
            <w:r>
              <w:rPr>
                <w:rFonts w:ascii="Courier New" w:cs="Courier New" w:eastAsia="Courier New" w:hAnsi="Courier New"/>
                <w:sz w:val="14"/>
                <w:szCs w:val="14"/>
                <w:color w:val="auto"/>
              </w:rPr>
              <w:t>such extension,</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renewal or</w:t>
            </w:r>
          </w:p>
        </w:tc>
        <w:tc>
          <w:tcPr>
            <w:tcW w:w="41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refunding, no Default or Event of Default would</w:t>
            </w:r>
          </w:p>
        </w:tc>
      </w:tr>
      <w:tr>
        <w:trPr>
          <w:trHeight w:val="166"/>
        </w:trPr>
        <w:tc>
          <w:tcPr>
            <w:tcW w:w="1200" w:type="dxa"/>
            <w:vAlign w:val="bottom"/>
            <w:gridSpan w:val="2"/>
          </w:tcPr>
          <w:p>
            <w:pPr>
              <w:spacing w:after="0"/>
              <w:rPr>
                <w:sz w:val="20"/>
                <w:szCs w:val="20"/>
                <w:color w:val="auto"/>
              </w:rPr>
            </w:pPr>
            <w:r>
              <w:rPr>
                <w:rFonts w:ascii="Courier New" w:cs="Courier New" w:eastAsia="Courier New" w:hAnsi="Courier New"/>
                <w:sz w:val="14"/>
                <w:szCs w:val="14"/>
                <w:color w:val="auto"/>
              </w:rPr>
              <w:t>exist; and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pacing w:after="0" w:line="170" w:lineRule="exact"/>
        <w:rPr>
          <w:sz w:val="20"/>
          <w:szCs w:val="20"/>
          <w:color w:val="auto"/>
        </w:rPr>
      </w:pPr>
    </w:p>
    <w:p>
      <w:pPr>
        <w:jc w:val="both"/>
        <w:ind w:left="440" w:right="3339" w:firstLine="602"/>
        <w:spacing w:after="0" w:line="251" w:lineRule="auto"/>
        <w:tabs>
          <w:tab w:leader="none" w:pos="1646"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other than a Lien described in any of the foregoing subsections (a) through (x), inclusive, to the extent that it secures Indebtedness, or guarantees thereof, the outstanding principal amount of which at the time of creation of such Lien, when added to the outstanding principal balance of all Indebtedness secured by Liens incurred under this subsection (y) then outstanding, does not exceed 20% of Consolidated Assets.</w:t>
      </w:r>
    </w:p>
    <w:p>
      <w:pPr>
        <w:spacing w:after="0" w:line="33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SECTION 10.5 MAXIMUM RATIO OF FUNDED DEBT TO TOTAL CAPITAL. The Company will not incur additional Funded Debt, unless after giving effect thereto and to the application of the proceeds thereof, Funded Debt does not exceed 70% of Total Capital.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 EVENTS OF DEFAULT.</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An "EVENT OF DEFAULT" shall exist if any of the following conditions or events shall occur and be continuing:</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- 24 -</w:t>
      </w:r>
    </w:p>
    <w:p>
      <w:pPr>
        <w:sectPr>
          <w:pgSz w:w="11900" w:h="16838" w:orient="portrait"/>
          <w:cols w:equalWidth="0" w:num="1">
            <w:col w:w="10239"/>
          </w:cols>
          <w:pgMar w:left="220" w:top="616" w:right="1440" w:bottom="1440" w:gutter="0" w:footer="0" w:header="0"/>
        </w:sectPr>
      </w:pPr>
    </w:p>
    <w:bookmarkStart w:id="65" w:name="page66"/>
    <w:bookmarkEnd w:id="65"/>
    <w:p>
      <w:pPr>
        <w:jc w:val="both"/>
        <w:ind w:left="1" w:right="3339" w:firstLine="602"/>
        <w:spacing w:after="0" w:line="252" w:lineRule="auto"/>
        <w:tabs>
          <w:tab w:leader="none" w:pos="1207"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payment of any principal or Make-Whole Amount, if any, on any Note when the same becomes due and payable, whether at maturity or at a date fixed for prepayment or by declaration or otherwise; or</w:t>
      </w:r>
    </w:p>
    <w:p>
      <w:pPr>
        <w:spacing w:after="0" w:line="162" w:lineRule="exact"/>
        <w:rPr>
          <w:rFonts w:ascii="Courier New" w:cs="Courier New" w:eastAsia="Courier New" w:hAnsi="Courier New"/>
          <w:sz w:val="14"/>
          <w:szCs w:val="14"/>
          <w:color w:val="auto"/>
        </w:rPr>
      </w:pPr>
    </w:p>
    <w:p>
      <w:pPr>
        <w:jc w:val="both"/>
        <w:ind w:left="1" w:right="3339" w:firstLine="602"/>
        <w:spacing w:after="0" w:line="252" w:lineRule="auto"/>
        <w:tabs>
          <w:tab w:leader="none" w:pos="1207"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payment of any interest on any Note for more than five Business Days after the same becomes due and payable; or</w:t>
      </w:r>
    </w:p>
    <w:p>
      <w:pPr>
        <w:spacing w:after="0" w:line="162" w:lineRule="exact"/>
        <w:rPr>
          <w:rFonts w:ascii="Courier New" w:cs="Courier New" w:eastAsia="Courier New" w:hAnsi="Courier New"/>
          <w:sz w:val="14"/>
          <w:szCs w:val="14"/>
          <w:color w:val="auto"/>
        </w:rPr>
      </w:pPr>
    </w:p>
    <w:p>
      <w:pPr>
        <w:ind w:left="1" w:right="3339" w:firstLine="602"/>
        <w:spacing w:after="0" w:line="255" w:lineRule="auto"/>
        <w:tabs>
          <w:tab w:leader="none" w:pos="1207"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performance of or compliance with any term contained in Section 7.1(d) or Section 10.2; or</w:t>
      </w:r>
    </w:p>
    <w:p>
      <w:pPr>
        <w:spacing w:after="0" w:line="159" w:lineRule="exact"/>
        <w:rPr>
          <w:rFonts w:ascii="Courier New" w:cs="Courier New" w:eastAsia="Courier New" w:hAnsi="Courier New"/>
          <w:sz w:val="14"/>
          <w:szCs w:val="14"/>
          <w:color w:val="auto"/>
        </w:rPr>
      </w:pPr>
    </w:p>
    <w:p>
      <w:pPr>
        <w:jc w:val="both"/>
        <w:ind w:left="1" w:right="3339" w:firstLine="602"/>
        <w:spacing w:after="0" w:line="250" w:lineRule="auto"/>
        <w:tabs>
          <w:tab w:leader="none" w:pos="1207"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performance of or compliance with any term contained herein (other than those referred to in Sections 11(a),</w:t>
      </w:r>
    </w:p>
    <w:p>
      <w:pPr>
        <w:jc w:val="both"/>
        <w:ind w:left="1" w:right="3339" w:hanging="1"/>
        <w:spacing w:after="0" w:line="251" w:lineRule="auto"/>
        <w:tabs>
          <w:tab w:leader="none" w:pos="346"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(c)) and such default is not remedied within 30 days after the earlier of (i) a Responsible Officer obtaining actual knowledge of such default and (ii) the Company receiving written notice of such default from any holder of a Note (any such written notice to be identified as a "notice of default" and to refer specifically to this Section 11(d)); or</w:t>
      </w:r>
    </w:p>
    <w:p>
      <w:pPr>
        <w:spacing w:after="0" w:line="164" w:lineRule="exact"/>
        <w:rPr>
          <w:rFonts w:ascii="Courier New" w:cs="Courier New" w:eastAsia="Courier New" w:hAnsi="Courier New"/>
          <w:sz w:val="14"/>
          <w:szCs w:val="14"/>
          <w:color w:val="auto"/>
        </w:rPr>
      </w:pPr>
    </w:p>
    <w:p>
      <w:pPr>
        <w:jc w:val="both"/>
        <w:ind w:left="1" w:right="3339" w:firstLine="602"/>
        <w:spacing w:after="0" w:line="251" w:lineRule="auto"/>
        <w:tabs>
          <w:tab w:leader="none" w:pos="1207"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made in writing by or on behalf of the Company or by any officer of the Company in this Agreement or in any writing furnished in connection with the transactions contemplated hereby proves to have been false or incorrect in any material respect on the date as of which made; or</w:t>
      </w:r>
    </w:p>
    <w:p>
      <w:pPr>
        <w:spacing w:after="0" w:line="164" w:lineRule="exact"/>
        <w:rPr>
          <w:rFonts w:ascii="Courier New" w:cs="Courier New" w:eastAsia="Courier New" w:hAnsi="Courier New"/>
          <w:sz w:val="14"/>
          <w:szCs w:val="14"/>
          <w:color w:val="auto"/>
        </w:rPr>
      </w:pPr>
    </w:p>
    <w:p>
      <w:pPr>
        <w:jc w:val="both"/>
        <w:ind w:left="1" w:right="3339" w:firstLine="602"/>
        <w:spacing w:after="0" w:line="250" w:lineRule="auto"/>
        <w:tabs>
          <w:tab w:leader="none" w:pos="1207"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Company or any Subsidiary is in default (as principal or as guarantor or other surety) in the payment of any principal of or premium or make-whole amount or interest on any Indebtedness that is outstanding in an aggregate principal amount in excess of 2% of Consolidated Assets beyond any period of grace provided with respect thereto, or (ii) the Company or any Subsidiary is in default in the performance of or compliance with any term of any evidence of any Indebtedness in an aggregate outstanding principal amount in excess of 2% of Consolidated Assets or of any mortgage, indenture or other agreement relating thereto or any other condition exists, and as a consequence of such default or condition such Indebtedness has become, or has been declared, due and payable before its stated maturity or before its regularly scheduled dates of payment, or (iii) as a consequence of the occurrence or continuation of any event or condition (other than the passage of time or the right of the holder of Indebtedness to convert such Indebtedness into equity interests), (x) the Company or any Subsidiary has become obligated to purchase or repay Indebtedness before its regular maturity or before its regularly scheduled dates of payment in an aggregate outstanding principal amount in excess of 2% of Consolidated Assets, or (y) one or more Persons have the right to require the Company or any Subsidiary so to purchase or repay such Indebtedness; or</w:t>
      </w:r>
    </w:p>
    <w:p>
      <w:pPr>
        <w:spacing w:after="0" w:line="339" w:lineRule="exact"/>
        <w:rPr>
          <w:rFonts w:ascii="Courier New" w:cs="Courier New" w:eastAsia="Courier New" w:hAnsi="Courier New"/>
          <w:sz w:val="14"/>
          <w:szCs w:val="14"/>
          <w:color w:val="auto"/>
        </w:rPr>
      </w:pPr>
    </w:p>
    <w:p>
      <w:pPr>
        <w:jc w:val="both"/>
        <w:ind w:left="1" w:right="3339" w:firstLine="602"/>
        <w:spacing w:after="0" w:line="251" w:lineRule="auto"/>
        <w:tabs>
          <w:tab w:leader="none" w:pos="1207"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Significant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w:t>
      </w:r>
    </w:p>
    <w:p>
      <w:pPr>
        <w:spacing w:after="0" w:line="163" w:lineRule="exact"/>
        <w:rPr>
          <w:rFonts w:ascii="Courier New" w:cs="Courier New" w:eastAsia="Courier New" w:hAnsi="Courier New"/>
          <w:sz w:val="14"/>
          <w:szCs w:val="14"/>
          <w:color w:val="auto"/>
        </w:rPr>
      </w:pPr>
    </w:p>
    <w:p>
      <w:pPr>
        <w:ind w:left="2921" w:hanging="165"/>
        <w:spacing w:after="0"/>
        <w:tabs>
          <w:tab w:leader="none" w:pos="2921" w:val="left"/>
        </w:tabs>
        <w:numPr>
          <w:ilvl w:val="2"/>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25 -</w:t>
      </w:r>
    </w:p>
    <w:p>
      <w:pPr>
        <w:sectPr>
          <w:pgSz w:w="11900" w:h="16838" w:orient="portrait"/>
          <w:cols w:equalWidth="0" w:num="1">
            <w:col w:w="9800"/>
          </w:cols>
          <w:pgMar w:left="659" w:top="616" w:right="1440" w:bottom="1440" w:gutter="0" w:footer="0" w:header="0"/>
        </w:sectPr>
      </w:pPr>
    </w:p>
    <w:bookmarkStart w:id="66" w:name="page67"/>
    <w:bookmarkEnd w:id="66"/>
    <w:p>
      <w:pPr>
        <w:jc w:val="both"/>
        <w:ind w:left="1" w:right="3339"/>
        <w:spacing w:after="0" w:line="252" w:lineRule="auto"/>
        <w:rPr>
          <w:sz w:val="20"/>
          <w:szCs w:val="20"/>
          <w:color w:val="auto"/>
        </w:rPr>
      </w:pPr>
      <w:r>
        <w:rPr>
          <w:rFonts w:ascii="Courier New" w:cs="Courier New" w:eastAsia="Courier New" w:hAnsi="Courier New"/>
          <w:sz w:val="14"/>
          <w:szCs w:val="14"/>
          <w:color w:val="auto"/>
        </w:rPr>
        <w:t>respect to it or with respect to any substantial part of its property, (v) is adjudicated as insolvent or to be liquidated, or (vi) takes corporate action for the purpose of any of the foregoing; or</w:t>
      </w:r>
    </w:p>
    <w:p>
      <w:pPr>
        <w:spacing w:after="0" w:line="163" w:lineRule="exact"/>
        <w:rPr>
          <w:sz w:val="20"/>
          <w:szCs w:val="20"/>
          <w:color w:val="auto"/>
        </w:rPr>
      </w:pPr>
    </w:p>
    <w:p>
      <w:pPr>
        <w:jc w:val="both"/>
        <w:ind w:left="1" w:right="3339" w:firstLine="602"/>
        <w:spacing w:after="0" w:line="251" w:lineRule="auto"/>
        <w:tabs>
          <w:tab w:leader="none" w:pos="1207"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court or Governmental Authority of competent jurisdiction enters an order appointing, without consent by the Company or any of its Significant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Significant Subsidiaries, or any such petition shall be filed against the Company or any of its Significant Subsidiaries and such petition shall not be dismissed within 60 days; or</w:t>
      </w:r>
    </w:p>
    <w:p>
      <w:pPr>
        <w:spacing w:after="0" w:line="163" w:lineRule="exact"/>
        <w:rPr>
          <w:rFonts w:ascii="Courier New" w:cs="Courier New" w:eastAsia="Courier New" w:hAnsi="Courier New"/>
          <w:sz w:val="14"/>
          <w:szCs w:val="14"/>
          <w:color w:val="auto"/>
        </w:rPr>
      </w:pPr>
    </w:p>
    <w:p>
      <w:pPr>
        <w:jc w:val="both"/>
        <w:ind w:left="1" w:right="3339" w:firstLine="602"/>
        <w:spacing w:after="0" w:line="251" w:lineRule="auto"/>
        <w:tabs>
          <w:tab w:leader="none" w:pos="1207"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final judgment or judgments for the payment of money aggregating in excess of 2% of Consolidated Assets are rendered against one or more of the Company and its Significant Subsidiaries and which judgments are not, within 60 days after entry thereof, bonded, discharged or stayed pending appeal, or are not discharged within 60 days after the expiration of such stay; or</w:t>
      </w:r>
    </w:p>
    <w:p>
      <w:pPr>
        <w:spacing w:after="0" w:line="164" w:lineRule="exact"/>
        <w:rPr>
          <w:rFonts w:ascii="Courier New" w:cs="Courier New" w:eastAsia="Courier New" w:hAnsi="Courier New"/>
          <w:sz w:val="14"/>
          <w:szCs w:val="14"/>
          <w:color w:val="auto"/>
        </w:rPr>
      </w:pPr>
    </w:p>
    <w:p>
      <w:pPr>
        <w:jc w:val="both"/>
        <w:ind w:left="1" w:right="3339" w:firstLine="602"/>
        <w:spacing w:after="0" w:line="250" w:lineRule="auto"/>
        <w:tabs>
          <w:tab w:leader="none" w:pos="1207"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the Company or any ERISA Affiliate that a Plan may become a subject of any such proceedings, (iii) the present value of the aggregate benefit liabilities under each of the Plans (other than Multiemployer Plans), exceeds the aggregate current value of the assets of such Plan allocable to such benefit liabilities by more than 25% in the case of any single Plan or by more than 25% in the aggregate for all Plans,</w:t>
      </w:r>
    </w:p>
    <w:p>
      <w:pPr>
        <w:spacing w:after="0" w:line="5" w:lineRule="exact"/>
        <w:rPr>
          <w:rFonts w:ascii="Courier New" w:cs="Courier New" w:eastAsia="Courier New" w:hAnsi="Courier New"/>
          <w:sz w:val="14"/>
          <w:szCs w:val="14"/>
          <w:color w:val="auto"/>
        </w:rPr>
      </w:pPr>
    </w:p>
    <w:p>
      <w:pPr>
        <w:jc w:val="both"/>
        <w:ind w:left="1" w:right="3339" w:hanging="1"/>
        <w:spacing w:after="0" w:line="250" w:lineRule="auto"/>
        <w:tabs>
          <w:tab w:leader="none" w:pos="518"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ERISA Affiliate shall have incurred or is reasonably expected to incur any liability pursuant to Title I or IV of ERISA or the penalty or excise tax provisions of the Code relating to employee benefit plans (within the meaning of Section 3 of ERISA), (v) the Company or any ERISA Affiliate withdraws from any Multiemployer Plan, or</w:t>
      </w:r>
    </w:p>
    <w:p>
      <w:pPr>
        <w:spacing w:after="0" w:line="2" w:lineRule="exact"/>
        <w:rPr>
          <w:rFonts w:ascii="Courier New" w:cs="Courier New" w:eastAsia="Courier New" w:hAnsi="Courier New"/>
          <w:sz w:val="14"/>
          <w:szCs w:val="14"/>
          <w:color w:val="auto"/>
        </w:rPr>
      </w:pPr>
    </w:p>
    <w:p>
      <w:pPr>
        <w:jc w:val="both"/>
        <w:ind w:left="1" w:right="3339" w:hanging="1"/>
        <w:spacing w:after="0" w:line="251" w:lineRule="auto"/>
        <w:tabs>
          <w:tab w:leader="none" w:pos="43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Subsidiary establishes or amends any employee welfare benefit plan (within the meaning of Section 3 of ERISA) that provides post-employment welfare benefits in a manner that would increase the liability of the Company or any Subsidiary thereunder; and any such event or events described in clauses (i) through (vi) above, either individually or together with any other such event or events, could reasonably be expected to have a Material Adverse Effect.</w:t>
      </w:r>
    </w:p>
    <w:p>
      <w:pPr>
        <w:spacing w:after="0" w:line="164" w:lineRule="exact"/>
        <w:rPr>
          <w:rFonts w:ascii="Courier New" w:cs="Courier New" w:eastAsia="Courier New" w:hAnsi="Courier New"/>
          <w:sz w:val="14"/>
          <w:szCs w:val="14"/>
          <w:color w:val="auto"/>
        </w:rPr>
      </w:pPr>
    </w:p>
    <w:p>
      <w:pPr>
        <w:ind w:left="2921" w:hanging="165"/>
        <w:spacing w:after="0"/>
        <w:tabs>
          <w:tab w:leader="none" w:pos="2921" w:val="left"/>
        </w:tabs>
        <w:numPr>
          <w:ilvl w:val="2"/>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26 -</w:t>
      </w:r>
    </w:p>
    <w:p>
      <w:pPr>
        <w:sectPr>
          <w:pgSz w:w="11900" w:h="16838" w:orient="portrait"/>
          <w:cols w:equalWidth="0" w:num="1">
            <w:col w:w="9800"/>
          </w:cols>
          <w:pgMar w:left="659" w:top="616"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4"/>
          <w:szCs w:val="14"/>
          <w:color w:val="auto"/>
        </w:rPr>
        <w:t>SECTION 12. REMEDIES ON DEFAULT, ETC.</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12.1 ACCELERATION. (a) If an Event of Default with respect to the Company described in Section 11(g) or (h) (other than an Event of Default described in clause (i) of Section 11(g) or described in clause (vi) of Section 11(g) by virtue of the fact that such clause encompasses clause (i) of Section 11(g)) has occurred, all the Notes then outstanding shall automatically become immediately due and payable.</w:t>
      </w:r>
    </w:p>
    <w:p>
      <w:pPr>
        <w:spacing w:after="0" w:line="164" w:lineRule="exact"/>
        <w:rPr>
          <w:sz w:val="20"/>
          <w:szCs w:val="20"/>
          <w:color w:val="auto"/>
        </w:rPr>
      </w:pPr>
    </w:p>
    <w:p>
      <w:pPr>
        <w:jc w:val="both"/>
        <w:ind w:left="440" w:right="3339" w:firstLine="602"/>
        <w:spacing w:after="0" w:line="251" w:lineRule="auto"/>
        <w:tabs>
          <w:tab w:leader="none" w:pos="1646"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other Event of Default has occurred and is continuing, any holder or holders of more than 50% in principal amount of the Notes at the time outstanding may at any time at its or their option, by notice or notices to the Company, declare all the Notes then outstanding to be immediately due and payable.</w:t>
      </w:r>
    </w:p>
    <w:p>
      <w:pPr>
        <w:spacing w:after="0" w:line="164"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646"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Event of Default described in Section 11(a) or (b) has occurred and is continuing, any holder or holders of Notes at the time outstanding affected by such Event of Default may at any time, at its or their option, by notice or notices to the Company, declare all the Notes held by it or them to be immediately due and payable.</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Upon any Notes becoming due and payable under this Section 12.1, whether automatically or by declaration, such Notes will forthwith mature and the entire unpaid principal amount of such Notes, plus (x) all accrued and unpaid interest thereon (including, but not limited to, interest accrued thereon at the Default Rate) and (y) the Make-Whole Amount determined in respect of such principal amount (to the full extent permitted by applicable law),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a Make-Whole Amount by the Company in the event that the Notes are prepaid or are accelerated as a result of an Event of Default, is intended to provide compensation for the deprivation of such right under such circumstances.</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12.2 OTHER REMEDIES. If any Default or Event of Default has occurred and is continuing, and irrespective of whether any Notes have become or have been declared immediately due and payable under Section 12.1, the holder of any Note at the time outstanding may proceed to protect and enforce the rights of such holder by an action at law, suit in equity or other appropriate proceeding, whether for the specific performance of any agreement contained herein or in any Note, or for an injunction against a violation of any of the terms hereof or thereof, or in aid of the exercise of any power granted hereby or thereby or by law or otherwise.</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12.3 RESCISSION. At any time after any Notes have been declared due and payable pursuant to Section 12.1(b) or (c), the holders of not less than 51% in principal amount of the Notes then outstanding, by written notice to the Company, may rescind and annul any such declaration and its consequences if (a) the Company has paid all overdue interest on the Notes, all principal of and Make-Whole Amount, if any, on any Notes that are due and payable and are unpaid other than by reason of such declaration, and all interest on such overdue principal and Make-Whole Amount, if any, and (to the extent permitted by applicable law) any overdue interest in respect of the Notes, at the Default Rate, (b) neither the Company nor any other</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- 27 -</w:t>
      </w:r>
    </w:p>
    <w:p>
      <w:pPr>
        <w:sectPr>
          <w:pgSz w:w="11900" w:h="16838" w:orient="portrait"/>
          <w:cols w:equalWidth="0" w:num="1">
            <w:col w:w="10239"/>
          </w:cols>
          <w:pgMar w:left="220" w:top="616" w:right="1440" w:bottom="1440" w:gutter="0" w:footer="0" w:header="0"/>
        </w:sectPr>
      </w:pPr>
    </w:p>
    <w:bookmarkStart w:id="68" w:name="page69"/>
    <w:bookmarkEnd w:id="68"/>
    <w:p>
      <w:pPr>
        <w:jc w:val="both"/>
        <w:ind w:right="3339"/>
        <w:spacing w:after="0" w:line="251" w:lineRule="auto"/>
        <w:rPr>
          <w:sz w:val="20"/>
          <w:szCs w:val="20"/>
          <w:color w:val="auto"/>
        </w:rPr>
      </w:pPr>
      <w:r>
        <w:rPr>
          <w:rFonts w:ascii="Courier New" w:cs="Courier New" w:eastAsia="Courier New" w:hAnsi="Courier New"/>
          <w:sz w:val="14"/>
          <w:szCs w:val="14"/>
          <w:color w:val="auto"/>
        </w:rPr>
        <w:t>Person shall have paid any amounts which have become due solely by reason of such declaration, (c) all Events of Default and Defaults, other than non-payment of amounts that have become due solely by reason of such declaration, have been cured or have been waived pursuant to Section 17, and (d) no judgment or decree has been entered for the payment of any monies due pursuant hereto or to the Notes. No rescission and annulment under this Section 12.3 will extend to or affect any subsequent Event of Default or Default or impair any right consequent thereon.</w:t>
      </w:r>
    </w:p>
    <w:p>
      <w:pPr>
        <w:spacing w:after="0" w:line="33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12.4 NO WAIVERS OR ELECTION OF REMEDIES, EXPENSES, ETC. No course of dealing and no delay on the part of any holder of any Note in exercising any right, power or remedy shall operate as a waiver thereof or otherwise prejudice such holder's rights, powers or remedies. No right, power or remedy conferred by this Agreement or by any Note upon any holder thereof shall be exclusive of any other right, power or remedy referred to herein or therein or now or hereafter available at law, in equity, by statute or otherwise. Without limiting the obligations of the Company under Section 15, the Company will pay to the holder of each Note on demand such further amount as shall be sufficient to cover all costs and expenses of such holder incurred in any enforcement or collection under this Section 12, including, without limitation, reasonable attorneys' fees, expenses and disbursements.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13. REGISTRATION; EXCHANGE; SUBSTITUTION OF NOTES.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13.1 REGISTRATION OF NOTES. The Company shall keep at its principal executive office a register for the registration and registration of transfers of Notes. The name and address of each holder of one or more Notes, each transfer thereof and the name and address of each transferee of one or more Notes shall be registered in such register. Prior to due presentment for registration of transfer, the Person in whose name any Note shall be registered shall be deemed and treated as the owner and holder thereof for all purposes hereof, and the Company shall not be affected by any notice or knowledge to the contrary. The Company shall give to any holder of a Note that is an Institutional Investor promptly upon request therefor, a complete and correct copy of the names and addresses of all registered holders of Notes.</w:t>
      </w:r>
    </w:p>
    <w:p>
      <w:pPr>
        <w:spacing w:after="0" w:line="16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SECTION 13.2 TRANSFER AND EXCHANGE OF NOTES. Upon surrender of any Note to the Company at the address and to the attention of the designated officer (all as specified in Section 18(iii)), for registration of transfer or exchange (and in the case of a surrender for registration of transfer accompanied by a written instrument of transfer duly executed by the registered holder of such Note or such holder's attorney duly authorized in writing and accompanied by the relevant name, address and other information for notices of each transferee of such Note or part thereof), within ten Business Days thereafter, the Company shall execute and deliver, at the Company's expense (except as provided below), one or more new Notes (as requested by the holder thereof) in exchange therefor, in an aggregate principal amount equal to the unpaid principal amount of the surrendered Note. Each such new Note shall be payable to such Person as such holder may request and shall be substantially in the form of Exhibit 1. Each such new Note shall be dated and bear interest from the date to which interest shall have been paid on the surrendered Note or dated the date of the surrendered Note if no interest shall have been paid thereon. The Company may require payment of a sum sufficient to cover any stamp tax or governmental charge imposed in respect of any such transfer of Notes. Notes shall not be transferred in denominations of less than $100,000, provided that if necessary to enable the registration of transfer by a holder of its entire holding of Notes, one Note may be in a</w:t>
      </w:r>
    </w:p>
    <w:p>
      <w:pPr>
        <w:spacing w:after="0" w:line="34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- 28 -</w:t>
      </w:r>
    </w:p>
    <w:p>
      <w:pPr>
        <w:sectPr>
          <w:pgSz w:w="11900" w:h="16838" w:orient="portrait"/>
          <w:cols w:equalWidth="0" w:num="1">
            <w:col w:w="10239"/>
          </w:cols>
          <w:pgMar w:left="220" w:top="616" w:right="1440" w:bottom="1440" w:gutter="0" w:footer="0" w:header="0"/>
        </w:sectPr>
      </w:pPr>
    </w:p>
    <w:bookmarkStart w:id="69" w:name="page70"/>
    <w:bookmarkEnd w:id="69"/>
    <w:p>
      <w:pPr>
        <w:jc w:val="both"/>
        <w:ind w:right="3339"/>
        <w:spacing w:after="0" w:line="252" w:lineRule="auto"/>
        <w:rPr>
          <w:sz w:val="20"/>
          <w:szCs w:val="20"/>
          <w:color w:val="auto"/>
        </w:rPr>
      </w:pPr>
      <w:r>
        <w:rPr>
          <w:rFonts w:ascii="Courier New" w:cs="Courier New" w:eastAsia="Courier New" w:hAnsi="Courier New"/>
          <w:sz w:val="14"/>
          <w:szCs w:val="14"/>
          <w:color w:val="auto"/>
        </w:rPr>
        <w:t>denomination of less than $100,000. Any transferee, by its acceptance of a Note registered in its name (or the name of its nominee), shall be deemed to have made the representation set forth in Section 6.2.</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13.3 REPLACEMENT OF NOTES. Upon receipt by the Company at the address and to the attention of the designated officer (all as specified in Section 18(iii)) of evidence reasonably satisfactory to it of the ownership of and the loss, theft, destruction or mutilation of any Note (which evidence shall be, in the case of an Institutional Investor, notice from such Institutional Investor of such ownership and such loss, theft, destruction or mutilation), and</w:t>
      </w:r>
    </w:p>
    <w:p>
      <w:pPr>
        <w:spacing w:after="0" w:line="164" w:lineRule="exact"/>
        <w:rPr>
          <w:sz w:val="20"/>
          <w:szCs w:val="20"/>
          <w:color w:val="auto"/>
        </w:rPr>
      </w:pPr>
    </w:p>
    <w:p>
      <w:pPr>
        <w:jc w:val="both"/>
        <w:ind w:left="440" w:right="3339" w:firstLine="602"/>
        <w:spacing w:after="0" w:line="251" w:lineRule="auto"/>
        <w:tabs>
          <w:tab w:leader="none" w:pos="1646"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loss, theft or destruction, of indemnity reasonably satisfactory to it (provided that if the holder of such Note is, or is a nominee for, an original Purchaser or another holder of a Note with a minimum net worth of at least $100,000,000 or a Qualified Institutional Buyer, such Person's own unsecured agreement of indemnity shall be deemed to be satisfactory), or</w:t>
      </w:r>
    </w:p>
    <w:p>
      <w:pPr>
        <w:spacing w:after="0" w:line="164" w:lineRule="exact"/>
        <w:rPr>
          <w:rFonts w:ascii="Courier New" w:cs="Courier New" w:eastAsia="Courier New" w:hAnsi="Courier New"/>
          <w:sz w:val="14"/>
          <w:szCs w:val="14"/>
          <w:color w:val="auto"/>
        </w:rPr>
      </w:pPr>
    </w:p>
    <w:p>
      <w:pPr>
        <w:ind w:left="1640" w:hanging="598"/>
        <w:spacing w:after="0"/>
        <w:tabs>
          <w:tab w:leader="none" w:pos="164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mutilation, upon  surrender  and  cancellation</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thereof,</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within ten Business Days thereafter, the Company at its own expense shall execute and deliver, in lieu thereof, a new Note, dated and bearing interest from the date to which interest shall have been paid on such lost, stolen, destroyed or mutilated Note or dated the date of such lost, stolen, destroyed or mutilated Note if no interest shall have been paid thereon.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14. PAYMENTS ON NOTES.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14.1 PLACE OF PAYMENT. Subject to Section 14.2, payments of principal, Make-Whole Amount, if any, and interest becoming due and payable on the Notes shall be made in New York, New York at the principal office of U.S. Bank in such jurisdiction. The Company may at any time, by notice to each holder of a Note, change the place of payment of the Notes so long as such place of payment shall be either the principal office of the Company in such jurisdiction or the principal office of a bank or trust company in such jurisdiction.</w:t>
      </w:r>
    </w:p>
    <w:p>
      <w:pPr>
        <w:spacing w:after="0" w:line="164"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SECTION 14.2 HOME OFFICE PAYMENT. So long as any Purchaser or its nominee shall be the holder of any Note, and notwithstanding anything contained in Section 14.1 or in such Note to the contrary, the Company will pay all sums becoming due on such Note for principal, Make-Whole Amount, if any, and interest by the method and at the address specified for such purpose below such Purchaser's name in Schedule A, or by such other method or at such other address as such Purchaser shall have from time to time specified to the Company in writing for such purpose, without the presentation or surrender of such Note or the making of any notation thereon, except that upon written request of the Company made concurrently with or reasonably promptly after payment or prepayment in full of any Note, such Purchaser shall surrender such Note for cancellation, reasonably promptly after any such request, to the Company at its principal executive office or at the place of payment most recently designated by the Company pursuant to Section 14.1. Prior to any sale or other disposition of any Note held by a Purchaser or its nominee, such Purchaser will, at its election, either endorse thereon the amount of principal paid thereon and the last date to which interest has been paid thereon or surrender such Note to the Company in exchange for a new Note or Notes pursuant to Section 13.2. The Company will</w:t>
      </w:r>
    </w:p>
    <w:p>
      <w:pPr>
        <w:spacing w:after="0" w:line="33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- 29 -</w:t>
      </w:r>
    </w:p>
    <w:p>
      <w:pPr>
        <w:sectPr>
          <w:pgSz w:w="11900" w:h="16838" w:orient="portrait"/>
          <w:cols w:equalWidth="0" w:num="1">
            <w:col w:w="10239"/>
          </w:cols>
          <w:pgMar w:left="220" w:top="616" w:right="1440" w:bottom="1440" w:gutter="0" w:footer="0" w:header="0"/>
        </w:sectPr>
      </w:pPr>
    </w:p>
    <w:bookmarkStart w:id="70" w:name="page71"/>
    <w:bookmarkEnd w:id="70"/>
    <w:p>
      <w:pPr>
        <w:jc w:val="both"/>
        <w:ind w:right="3339"/>
        <w:spacing w:after="0" w:line="252" w:lineRule="auto"/>
        <w:rPr>
          <w:sz w:val="20"/>
          <w:szCs w:val="20"/>
          <w:color w:val="auto"/>
        </w:rPr>
      </w:pPr>
      <w:r>
        <w:rPr>
          <w:rFonts w:ascii="Courier New" w:cs="Courier New" w:eastAsia="Courier New" w:hAnsi="Courier New"/>
          <w:sz w:val="14"/>
          <w:szCs w:val="14"/>
          <w:color w:val="auto"/>
        </w:rPr>
        <w:t>afford the benefits of this Section 14.2 to any Institutional Investor that is the direct or indirect transferee of any Note purchased by a Purchaser under this Agreement and that has made the same agreement relating to such Note as the Purchasers have made in this Section 14.2.</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15. EXPENSES, ETC.</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SECTION 15.1 TRANSACTION EXPENSES. Whether or not the transactions contemplated hereby are consummated, the Company will pay all costs and expenses (including reasonable attorneys' fees of a special counsel and, if reasonably required by the Required Holders, local or other counsel) incurred by the Purchasers and each other holder of a Note in connection with such transactions and in connection with any amendments, waivers or consents under or in respect of this Agreement or the Notes (whether or not such amendment, waiver or consent becomes effective), including, without limitation: (a) the costs and expenses incurred in enforcing or defending (or determining whether or how to enforce or defend) any rights under this Agreement or the Notes or in responding to any subpoena or other legal process or informal investigative demand issued in connection with this Agreement or the Notes, or by reason of being a holder of any Note, (b) the costs and expenses, including financial advisors' fees, incurred in connection with the insolvency or bankruptcy of the Company or any Subsidiary or in connection with any work-out or restructuring of the transactions contemplated hereby and by the Notes and (c) the costs and expenses incurred in connection with the initial filing of this Agreement and all related documents and financial information with the SVO PROVIDED, that such costs and expenses under this clause (c) shall not exceed $3,000. The Company will pay, and will save each Purchaser and each other holder of a Note harmless from, all claims in respect of any fees, costs or expenses, if any, of brokers and finders (other than those, if any, retained by a Purchaser or other holder in connection with its purchase of the Notes).</w:t>
      </w:r>
    </w:p>
    <w:p>
      <w:pPr>
        <w:spacing w:after="0" w:line="176"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SECTION 15.2 SURVIVAL. The obligations of the Company under this Section 15 will survive the payment or transfer of any Note, the enforcement, amendment or waiver of any provision of this Agreement or the Notes, and the termination of this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 SURVIVAL OF REPRESENTATIONS AND WARRANTIES; ENTIRE AGREEMENT.</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All representations and warranties contained herein shall survive the execution and delivery of this Agreement and the Notes, the purchase or transfer by any Purchaser of any Note or portion thereof or interest therein and the payment of any Note, and may be relied upon by any subsequent holder of a Note, regardless of any investigation made at any time by or on behalf of such Purchaser or any other holder of a Note. All statements contained in any certificate or other instrument delivered by or on behalf of the Company pursuant to this Agreement shall be deemed representations and warranties of the Company under this Agreement. Subject to the preceding sentence, this Agreement and the Notes embody the entire agreement and understanding between each Purchaser and the Company and supersede all prior agreements and understandings relating to the subject matter hereof.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17. AMENDMENT AND WAIVER.</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SECTION 17.1 REQUIREMENTS. This Agreement and the Notes may be amended, and the observance of any term hereof or of the Notes may be waived (either retroactively or</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- 30 -</w:t>
      </w:r>
    </w:p>
    <w:p>
      <w:pPr>
        <w:sectPr>
          <w:pgSz w:w="11900" w:h="16838" w:orient="portrait"/>
          <w:cols w:equalWidth="0" w:num="1">
            <w:col w:w="10239"/>
          </w:cols>
          <w:pgMar w:left="220" w:top="616" w:right="1440" w:bottom="1440" w:gutter="0" w:footer="0" w:header="0"/>
        </w:sectPr>
      </w:pPr>
    </w:p>
    <w:bookmarkStart w:id="71" w:name="page72"/>
    <w:bookmarkEnd w:id="71"/>
    <w:p>
      <w:pPr>
        <w:jc w:val="both"/>
        <w:ind w:right="3339"/>
        <w:spacing w:after="0" w:line="251" w:lineRule="auto"/>
        <w:rPr>
          <w:sz w:val="20"/>
          <w:szCs w:val="20"/>
          <w:color w:val="auto"/>
        </w:rPr>
      </w:pPr>
      <w:r>
        <w:rPr>
          <w:rFonts w:ascii="Courier New" w:cs="Courier New" w:eastAsia="Courier New" w:hAnsi="Courier New"/>
          <w:sz w:val="14"/>
          <w:szCs w:val="14"/>
          <w:color w:val="auto"/>
        </w:rPr>
        <w:t>prospectively), with (and only with) the written consent of the Company and the Required Holders, except that (a) no amendment or waiver of any of the provisions of Section 1, 2, 3, 4, 5, 6 or 21 hereof, or any defined term (as it is used therein), will be effective as to any Purchaser unless consented to by such Purchaser in writing, and (b) no such amendment or waiver may, without the written consent of the holder of each Note at the time outstanding affected thereby, (i) subject to the provisions of Section 12 relating to acceleration or rescission, change the amount or time of any prepayment or payment of principal of, or reduce the rate or change the time of payment or method of computation of interest or of the Make-Whole Amount on, the Notes, (ii) change the percentage of the principal amount of the Notes the holders of which are required to consent to any such amendment or waiver, or (iii) amend any of Sections 8, 11(a), 11(b), 12, 17 or 20.</w:t>
      </w:r>
    </w:p>
    <w:p>
      <w:pPr>
        <w:spacing w:after="0" w:line="329" w:lineRule="exact"/>
        <w:rPr>
          <w:sz w:val="20"/>
          <w:szCs w:val="20"/>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SECTION 17.2</w:t>
        <w:tab/>
        <w:t>SOLICITATION OF HOLDERS OF NOTES.</w:t>
      </w:r>
    </w:p>
    <w:p>
      <w:pPr>
        <w:spacing w:after="0" w:line="173" w:lineRule="exact"/>
        <w:rPr>
          <w:sz w:val="20"/>
          <w:szCs w:val="20"/>
          <w:color w:val="auto"/>
        </w:rPr>
      </w:pPr>
    </w:p>
    <w:p>
      <w:pPr>
        <w:jc w:val="both"/>
        <w:ind w:left="440" w:right="3339" w:firstLine="602"/>
        <w:spacing w:after="0" w:line="251" w:lineRule="auto"/>
        <w:tabs>
          <w:tab w:leader="none" w:pos="1646"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SOLICITATION. The Company will provide each holder of the Notes (irrespective of the amount of Notes then owned by it) with sufficient information, sufficiently far in advance of the date a decision is required, to enable such holder to make an informed and considered decision with respect to any proposed amendment, waiver or consent in respect of any of the provisions hereof or of the Notes. The Company will deliver executed or true and correct copies of each amendment, waiver or consent effected pursuant to the provisions of this Section 17 to each holder of outstanding Notes promptly following the date on which it is executed and delivered by, or receives the consent or approval of, the requisite holders of Notes.</w:t>
      </w:r>
    </w:p>
    <w:p>
      <w:pPr>
        <w:spacing w:after="0" w:line="329"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w w:val="95"/>
              </w:rPr>
              <w:t>(b)</w:t>
            </w:r>
          </w:p>
        </w:tc>
        <w:tc>
          <w:tcPr>
            <w:tcW w:w="22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OFFER</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PAYMENT.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w:t>
            </w:r>
          </w:p>
        </w:tc>
        <w:tc>
          <w:tcPr>
            <w:tcW w:w="8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Company</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will</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not</w:t>
            </w:r>
          </w:p>
        </w:tc>
        <w:tc>
          <w:tcPr>
            <w:tcW w:w="1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offer  to  pay</w:t>
            </w:r>
          </w:p>
        </w:tc>
      </w:tr>
      <w:tr>
        <w:trPr>
          <w:trHeight w:val="166"/>
        </w:trPr>
        <w:tc>
          <w:tcPr>
            <w:tcW w:w="340" w:type="dxa"/>
            <w:vAlign w:val="bottom"/>
          </w:tcPr>
          <w:p>
            <w:pPr>
              <w:spacing w:after="0"/>
              <w:rPr>
                <w:sz w:val="20"/>
                <w:szCs w:val="20"/>
                <w:color w:val="auto"/>
              </w:rPr>
            </w:pPr>
            <w:r>
              <w:rPr>
                <w:rFonts w:ascii="Courier New" w:cs="Courier New" w:eastAsia="Courier New" w:hAnsi="Courier New"/>
                <w:sz w:val="14"/>
                <w:szCs w:val="14"/>
                <w:color w:val="auto"/>
              </w:rPr>
              <w:t>any</w:t>
            </w:r>
          </w:p>
        </w:tc>
        <w:tc>
          <w:tcPr>
            <w:tcW w:w="13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remuneration,</w:t>
            </w:r>
          </w:p>
        </w:tc>
        <w:tc>
          <w:tcPr>
            <w:tcW w:w="26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whether by way of supplemental</w:t>
            </w:r>
          </w:p>
        </w:tc>
        <w:tc>
          <w:tcPr>
            <w:tcW w:w="12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or additional</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interest,</w:t>
            </w:r>
          </w:p>
        </w:tc>
      </w:tr>
      <w:tr>
        <w:trPr>
          <w:trHeight w:val="166"/>
        </w:trPr>
        <w:tc>
          <w:tcPr>
            <w:tcW w:w="1460" w:type="dxa"/>
            <w:vAlign w:val="bottom"/>
            <w:gridSpan w:val="4"/>
          </w:tcPr>
          <w:p>
            <w:pPr>
              <w:spacing w:after="0"/>
              <w:rPr>
                <w:sz w:val="20"/>
                <w:szCs w:val="20"/>
                <w:color w:val="auto"/>
              </w:rPr>
            </w:pPr>
            <w:r>
              <w:rPr>
                <w:rFonts w:ascii="Courier New" w:cs="Courier New" w:eastAsia="Courier New" w:hAnsi="Courier New"/>
                <w:sz w:val="14"/>
                <w:szCs w:val="14"/>
                <w:color w:val="auto"/>
              </w:rPr>
              <w:t>fee or otherwise,</w:t>
            </w:r>
          </w:p>
        </w:tc>
        <w:tc>
          <w:tcPr>
            <w:tcW w:w="19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or grant any security</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or</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provide</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w w:val="95"/>
              </w:rPr>
              <w:t>other</w:t>
            </w:r>
          </w:p>
        </w:tc>
        <w:tc>
          <w:tcPr>
            <w:tcW w:w="16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credit support, to</w:t>
            </w:r>
          </w:p>
        </w:tc>
      </w:tr>
      <w:tr>
        <w:trPr>
          <w:trHeight w:val="166"/>
        </w:trPr>
        <w:tc>
          <w:tcPr>
            <w:tcW w:w="340" w:type="dxa"/>
            <w:vAlign w:val="bottom"/>
          </w:tcPr>
          <w:p>
            <w:pPr>
              <w:spacing w:after="0"/>
              <w:rPr>
                <w:sz w:val="20"/>
                <w:szCs w:val="20"/>
                <w:color w:val="auto"/>
              </w:rPr>
            </w:pPr>
            <w:r>
              <w:rPr>
                <w:rFonts w:ascii="Courier New" w:cs="Courier New" w:eastAsia="Courier New" w:hAnsi="Courier New"/>
                <w:sz w:val="14"/>
                <w:szCs w:val="14"/>
                <w:color w:val="auto"/>
              </w:rPr>
              <w:t>any</w:t>
            </w:r>
          </w:p>
        </w:tc>
        <w:tc>
          <w:tcPr>
            <w:tcW w:w="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holder</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w w:val="99"/>
              </w:rPr>
              <w:t>Notes</w:t>
            </w:r>
          </w:p>
        </w:tc>
        <w:tc>
          <w:tcPr>
            <w:tcW w:w="1560" w:type="dxa"/>
            <w:vAlign w:val="bottom"/>
            <w:gridSpan w:val="3"/>
          </w:tcPr>
          <w:p>
            <w:pPr>
              <w:spacing w:after="0"/>
              <w:rPr>
                <w:sz w:val="20"/>
                <w:szCs w:val="20"/>
                <w:color w:val="auto"/>
              </w:rPr>
            </w:pPr>
            <w:r>
              <w:rPr>
                <w:rFonts w:ascii="Courier New" w:cs="Courier New" w:eastAsia="Courier New" w:hAnsi="Courier New"/>
                <w:sz w:val="14"/>
                <w:szCs w:val="14"/>
                <w:color w:val="auto"/>
              </w:rPr>
              <w:t>as  consideration</w:t>
            </w:r>
          </w:p>
        </w:tc>
        <w:tc>
          <w:tcPr>
            <w:tcW w:w="12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for or as an</w:t>
            </w:r>
          </w:p>
        </w:tc>
        <w:tc>
          <w:tcPr>
            <w:tcW w:w="112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inducement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to the</w:t>
            </w:r>
          </w:p>
        </w:tc>
      </w:tr>
      <w:tr>
        <w:trPr>
          <w:trHeight w:val="166"/>
        </w:trPr>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rPr>
              <w:t>entering</w:t>
            </w:r>
          </w:p>
        </w:tc>
        <w:tc>
          <w:tcPr>
            <w:tcW w:w="600" w:type="dxa"/>
            <w:vAlign w:val="bottom"/>
            <w:gridSpan w:val="2"/>
          </w:tcPr>
          <w:p>
            <w:pPr>
              <w:spacing w:after="0"/>
              <w:rPr>
                <w:sz w:val="20"/>
                <w:szCs w:val="20"/>
                <w:color w:val="auto"/>
              </w:rPr>
            </w:pPr>
            <w:r>
              <w:rPr>
                <w:rFonts w:ascii="Courier New" w:cs="Courier New" w:eastAsia="Courier New" w:hAnsi="Courier New"/>
                <w:sz w:val="14"/>
                <w:szCs w:val="14"/>
                <w:color w:val="auto"/>
                <w:w w:val="98"/>
              </w:rPr>
              <w:t>into by</w:t>
            </w:r>
          </w:p>
        </w:tc>
        <w:tc>
          <w:tcPr>
            <w:tcW w:w="3360" w:type="dxa"/>
            <w:vAlign w:val="bottom"/>
            <w:gridSpan w:val="8"/>
          </w:tcPr>
          <w:p>
            <w:pPr>
              <w:jc w:val="right"/>
              <w:ind w:right="88"/>
              <w:spacing w:after="0"/>
              <w:rPr>
                <w:sz w:val="20"/>
                <w:szCs w:val="20"/>
                <w:color w:val="auto"/>
              </w:rPr>
            </w:pPr>
            <w:r>
              <w:rPr>
                <w:rFonts w:ascii="Courier New" w:cs="Courier New" w:eastAsia="Courier New" w:hAnsi="Courier New"/>
                <w:sz w:val="14"/>
                <w:szCs w:val="14"/>
                <w:color w:val="auto"/>
              </w:rPr>
              <w:t>any holder of Notes of any waiver or</w:t>
            </w:r>
          </w:p>
        </w:tc>
        <w:tc>
          <w:tcPr>
            <w:tcW w:w="16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amendment of any of</w:t>
            </w:r>
          </w:p>
        </w:tc>
      </w:tr>
      <w:tr>
        <w:trPr>
          <w:trHeight w:val="166"/>
        </w:trPr>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rPr>
              <w:t>the terms</w:t>
            </w:r>
          </w:p>
        </w:tc>
        <w:tc>
          <w:tcPr>
            <w:tcW w:w="1200" w:type="dxa"/>
            <w:vAlign w:val="bottom"/>
            <w:gridSpan w:val="4"/>
          </w:tcPr>
          <w:p>
            <w:pPr>
              <w:spacing w:after="0"/>
              <w:rPr>
                <w:sz w:val="20"/>
                <w:szCs w:val="20"/>
                <w:color w:val="auto"/>
              </w:rPr>
            </w:pPr>
            <w:r>
              <w:rPr>
                <w:rFonts w:ascii="Courier New" w:cs="Courier New" w:eastAsia="Courier New" w:hAnsi="Courier New"/>
                <w:sz w:val="14"/>
                <w:szCs w:val="14"/>
                <w:color w:val="auto"/>
              </w:rPr>
              <w:t>and provisions</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hereof</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unless</w:t>
            </w:r>
          </w:p>
        </w:tc>
        <w:tc>
          <w:tcPr>
            <w:tcW w:w="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5"/>
              </w:rPr>
              <w:t>such</w:t>
            </w:r>
          </w:p>
        </w:tc>
        <w:tc>
          <w:tcPr>
            <w:tcW w:w="124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remuneration</w:t>
            </w:r>
          </w:p>
        </w:tc>
        <w:tc>
          <w:tcPr>
            <w:tcW w:w="1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is concurrently</w:t>
            </w:r>
          </w:p>
        </w:tc>
      </w:tr>
      <w:tr>
        <w:trPr>
          <w:trHeight w:val="166"/>
        </w:trPr>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rPr>
              <w:t>offered,</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on</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the</w:t>
            </w:r>
          </w:p>
        </w:tc>
        <w:tc>
          <w:tcPr>
            <w:tcW w:w="18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same</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terms,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ratably</w:t>
            </w:r>
          </w:p>
        </w:tc>
        <w:tc>
          <w:tcPr>
            <w:tcW w:w="18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to</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each</w:t>
            </w: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holder</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20" w:type="dxa"/>
            <w:vAlign w:val="bottom"/>
          </w:tcPr>
          <w:p>
            <w:pPr>
              <w:spacing w:after="0"/>
              <w:rPr>
                <w:sz w:val="20"/>
                <w:szCs w:val="20"/>
                <w:color w:val="auto"/>
              </w:rPr>
            </w:pPr>
            <w:r>
              <w:rPr>
                <w:rFonts w:ascii="Courier New" w:cs="Courier New" w:eastAsia="Courier New" w:hAnsi="Courier New"/>
                <w:sz w:val="14"/>
                <w:szCs w:val="14"/>
                <w:color w:val="auto"/>
                <w:w w:val="95"/>
              </w:rPr>
              <w:t>Bonds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then</w:t>
            </w: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outstanding</w:t>
      </w:r>
    </w:p>
    <w:p>
      <w:pPr>
        <w:spacing w:after="0" w:line="173" w:lineRule="exact"/>
        <w:rPr>
          <w:sz w:val="20"/>
          <w:szCs w:val="20"/>
          <w:color w:val="auto"/>
        </w:rPr>
      </w:pPr>
    </w:p>
    <w:p>
      <w:pPr>
        <w:jc w:val="both"/>
        <w:ind w:left="440" w:right="3339" w:firstLine="602"/>
        <w:spacing w:after="0" w:line="251" w:lineRule="auto"/>
        <w:tabs>
          <w:tab w:leader="none" w:pos="1646"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IN CONTEMPLATION OF TRANSFER. Any consent made pursuant to this Section 17.2 by the holder of any Note that has transferred or has agreed to transfer such Note to the Company, any Subsidiary or any Affiliate of the Company and has provided or has agreed to provide such written consent as a condition to such transfer shall be void and of no force or effect except solely as to such holder, and any amendments effected or waivers granted or to be effected or granted that would not have been or would not be so effected or granted but for such consent (and the consents of all other holders of Notes that were acquired under the same or similar conditions) shall be void and of no force or effect except solely as to such transferring holder.</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17.3 BINDING EFFECT, ETC. Any amendment or waiver consented to as provided in this Section 17 applies equally to all holders of Notes and is binding upon them and upon each future holder of any Note and upon the Company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- 31 -</w:t>
      </w:r>
    </w:p>
    <w:p>
      <w:pPr>
        <w:sectPr>
          <w:pgSz w:w="11900" w:h="16838" w:orient="portrait"/>
          <w:cols w:equalWidth="0" w:num="1">
            <w:col w:w="10239"/>
          </w:cols>
          <w:pgMar w:left="220" w:top="616" w:right="1440" w:bottom="1440" w:gutter="0" w:footer="0" w:header="0"/>
        </w:sectPr>
      </w:pPr>
    </w:p>
    <w:bookmarkStart w:id="72" w:name="page73"/>
    <w:bookmarkEnd w:id="72"/>
    <w:p>
      <w:pPr>
        <w:jc w:val="both"/>
        <w:ind w:right="3339"/>
        <w:spacing w:after="0" w:line="252" w:lineRule="auto"/>
        <w:rPr>
          <w:sz w:val="20"/>
          <w:szCs w:val="20"/>
          <w:color w:val="auto"/>
        </w:rPr>
      </w:pPr>
      <w:r>
        <w:rPr>
          <w:rFonts w:ascii="Courier New" w:cs="Courier New" w:eastAsia="Courier New" w:hAnsi="Courier New"/>
          <w:sz w:val="14"/>
          <w:szCs w:val="14"/>
          <w:color w:val="auto"/>
        </w:rPr>
        <w:t>and the holder of any Note nor any delay in exercising any rights hereunder or under any Note shall operate as a waiver of any rights of any holder of such Note. As used herein, the term "THIS AGREEMENT" and references thereto shall mean this Agreement as it may from time to time be amended or supplemented.</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17.4 NOTES HELD BY COMPANY, ETC. Solely for the purpose of determining whether the holders of the requisite percentage of the aggregate principal amount of Notes then outstanding approved or consented to any amendment, waiver or consent to be given under this Agreement or the Notes, or have directed the taking of any action provided herein or in the Notes to be taken upon the direction of the holders of a specified percentage of the aggregate principal amount of Notes then outstanding, Notes directly or indirectly owned by the Company or any of its Affiliates shall be deemed not to be outstanding.</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18. NOTICES.</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All notices and communications provided for hereunder shall be in writing and sent (a) by telecopy if the sender on the same day sends a confirming copy of such notice by a recognized overnight delivery service (charges prepaid), or</w:t>
      </w:r>
    </w:p>
    <w:p>
      <w:pPr>
        <w:spacing w:after="0" w:line="1" w:lineRule="exact"/>
        <w:rPr>
          <w:sz w:val="20"/>
          <w:szCs w:val="20"/>
          <w:color w:val="auto"/>
        </w:rPr>
      </w:pPr>
    </w:p>
    <w:p>
      <w:pPr>
        <w:jc w:val="both"/>
        <w:ind w:right="3339" w:firstLine="8"/>
        <w:spacing w:after="0" w:line="252" w:lineRule="auto"/>
        <w:tabs>
          <w:tab w:leader="none" w:pos="344"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registered or certified mail with return receipt requested (postage prepaid), or (c) by a recognized overnight delivery service (with charges prepaid). Any such notice must be sent:</w:t>
      </w:r>
    </w:p>
    <w:p>
      <w:pPr>
        <w:spacing w:after="0" w:line="162" w:lineRule="exact"/>
        <w:rPr>
          <w:rFonts w:ascii="Courier New" w:cs="Courier New" w:eastAsia="Courier New" w:hAnsi="Courier New"/>
          <w:sz w:val="14"/>
          <w:szCs w:val="14"/>
          <w:color w:val="auto"/>
        </w:rPr>
      </w:pPr>
    </w:p>
    <w:p>
      <w:pPr>
        <w:jc w:val="both"/>
        <w:ind w:left="1040" w:right="3339" w:firstLine="1122"/>
        <w:spacing w:after="0" w:line="252" w:lineRule="auto"/>
        <w:tabs>
          <w:tab w:leader="none" w:pos="2676"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any Purchaser or its nominee, to such Purchaser or nominee at the address specified for such communications in Schedule A, or at such other address as such Purchaser or nominee shall have specified to the Company in writing,</w:t>
      </w:r>
    </w:p>
    <w:p>
      <w:pPr>
        <w:spacing w:after="0" w:line="162" w:lineRule="exact"/>
        <w:rPr>
          <w:rFonts w:ascii="Courier New" w:cs="Courier New" w:eastAsia="Courier New" w:hAnsi="Courier New"/>
          <w:sz w:val="14"/>
          <w:szCs w:val="14"/>
          <w:color w:val="auto"/>
        </w:rPr>
      </w:pPr>
    </w:p>
    <w:p>
      <w:pPr>
        <w:jc w:val="both"/>
        <w:ind w:left="1040" w:right="3339" w:firstLine="1122"/>
        <w:spacing w:after="0" w:line="252" w:lineRule="auto"/>
        <w:tabs>
          <w:tab w:leader="none" w:pos="2676"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any other holder of any Note, to such holder at such address as such other holder shall have specified to the Company in writing, or</w:t>
      </w:r>
    </w:p>
    <w:p>
      <w:pPr>
        <w:spacing w:after="0" w:line="162" w:lineRule="exact"/>
        <w:rPr>
          <w:rFonts w:ascii="Courier New" w:cs="Courier New" w:eastAsia="Courier New" w:hAnsi="Courier New"/>
          <w:sz w:val="14"/>
          <w:szCs w:val="14"/>
          <w:color w:val="auto"/>
        </w:rPr>
      </w:pPr>
    </w:p>
    <w:p>
      <w:pPr>
        <w:jc w:val="both"/>
        <w:ind w:left="1040" w:right="3339" w:firstLine="1122"/>
        <w:spacing w:after="0" w:line="252" w:lineRule="auto"/>
        <w:tabs>
          <w:tab w:leader="none" w:pos="2676"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Company, to the Company at its address set forth at the beginning hereof to the attention of its General Counsel, or at such other address as the Company shall have specified to the holder of each Note in writing.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 under this Section 18 will be deemed given only when actually received.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19. REPRODUCTION OF DOCUMENTS.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This Agreement and all documents relating thereto, including, without limitation, (a) consents, waivers and modifications that may hereafter be executed, (b) documents received by any Purchaser at the Closing (except the Notes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w:t>
      </w:r>
    </w:p>
    <w:p>
      <w:pPr>
        <w:spacing w:after="0" w:line="32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- 32 -</w:t>
      </w:r>
    </w:p>
    <w:p>
      <w:pPr>
        <w:sectPr>
          <w:pgSz w:w="11900" w:h="16838" w:orient="portrait"/>
          <w:cols w:equalWidth="0" w:num="1">
            <w:col w:w="10239"/>
          </w:cols>
          <w:pgMar w:left="220" w:top="616" w:right="1440" w:bottom="1440" w:gutter="0" w:footer="0" w:header="0"/>
        </w:sectPr>
      </w:pPr>
    </w:p>
    <w:bookmarkStart w:id="73" w:name="page74"/>
    <w:bookmarkEnd w:id="73"/>
    <w:p>
      <w:pPr>
        <w:jc w:val="both"/>
        <w:ind w:right="3339"/>
        <w:spacing w:after="0" w:line="253" w:lineRule="auto"/>
        <w:rPr>
          <w:sz w:val="20"/>
          <w:szCs w:val="20"/>
          <w:color w:val="auto"/>
        </w:rPr>
      </w:pPr>
      <w:r>
        <w:rPr>
          <w:rFonts w:ascii="Courier New" w:cs="Courier New" w:eastAsia="Courier New" w:hAnsi="Courier New"/>
          <w:sz w:val="14"/>
          <w:szCs w:val="14"/>
          <w:color w:val="auto"/>
        </w:rPr>
        <w:t>19 shall not prohibit the Company or any other holder of Notes from contesting any such reproduction to the same extent that it could contest the original, or from introducing evidence to demonstrate the inaccuracy of any such reproduction.</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20. CONFIDENTIAL INFORMATION.</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For the purposes of this Section 20, "CONFIDENTIAL INFORMATION"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w:t>
      </w:r>
    </w:p>
    <w:p>
      <w:pPr>
        <w:spacing w:after="0" w:line="5" w:lineRule="exact"/>
        <w:rPr>
          <w:sz w:val="20"/>
          <w:szCs w:val="20"/>
          <w:color w:val="auto"/>
        </w:rPr>
      </w:pPr>
    </w:p>
    <w:p>
      <w:pPr>
        <w:jc w:val="both"/>
        <w:ind w:right="3339" w:firstLine="8"/>
        <w:spacing w:after="0" w:line="250" w:lineRule="auto"/>
        <w:tabs>
          <w:tab w:leader="none" w:pos="344"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constitutes financial statements delivered to such Purchaser under Section 7.1 that are otherwise publicly available. Each Purchaser will maintain the confidentiality of such Confidential Information in accordance with procedures adopted by such Purchaser in good faith to protect confidential information of third parties delivered to such Purchaser, provided that such Purchaser may deliver or disclose Confidential Information to (i) its directors, officers, employees, agents, attorneys, trustees and affiliates (to the extent such disclosure reasonably relates to the administration of the investment represented by its Notes), (ii) its financial advisors and other professional advisors who agree to hold confidential the Confidential Information substantially in accordance with the terms of this Section 20, (iii) any other holder of any Note, (iv) any Institutional Investor to which it sells or offers to sell such Note or any part thereof or any participation therein (if such Person has agreed in writing prior to its receipt of such Confidential Information to be bound by the provisions of this Section 20), (v) any Person from which it offers to purchase any security of the Company (if such Person has agreed in writing prior to its receipt of such Confidential Information to be bound by the provisions of this Section 20), (vi) any federal or state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 delivery or disclosure may be necessary or appropriate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such Purchaser's Notes and this Agreement. Each holder of a Note, by its acceptance of a Note, will be deemed to have agreed to be bound by and to be entitled to the benefits of this Section 20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such holder will enter into an agreement with the Company embodying the provisions of this Section 20.</w:t>
      </w:r>
    </w:p>
    <w:p>
      <w:pPr>
        <w:spacing w:after="0" w:line="346"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33 -</w:t>
      </w:r>
    </w:p>
    <w:p>
      <w:pPr>
        <w:sectPr>
          <w:pgSz w:w="11900" w:h="16838" w:orient="portrait"/>
          <w:cols w:equalWidth="0" w:num="1">
            <w:col w:w="10239"/>
          </w:cols>
          <w:pgMar w:left="220" w:top="616"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4"/>
          <w:szCs w:val="14"/>
          <w:color w:val="auto"/>
        </w:rPr>
        <w:t>SECTION 21. SUBSTITUTION OF PURCHASER.</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Each Purchaser shall have the right to substitute any one of its Affiliates as the purchaser of the Notes that it has agreed to purchase hereunder, by written notice to the Company, which notice shall be signed by both such Purchaser and such Affiliate, shall contain such Affiliate's agreement to be bound by this Agreement and shall contain a confirmation by such Affiliate of the accuracy with respect to it of the representations set forth in Section 6. Upon receipt of such notice, any reference to such Purchaser in this Agreement (other than in this Section 21), shall be deemed to refer to such Affiliate in lieu of such original Purchaser. In the event that such Affiliate is so substituted as a Purchaser hereunder and such Affiliate thereafter transfers to such original Purchaser all of the Notes then held by such Affiliate, upon receipt by the Company of notice of such transfer, any reference to such Affiliate as a "Purchaser" in this Agreement (other than in this Section 21), shall no longer be deemed to refer to such Affiliate, but shall refer to such original Purchaser, and such original Purchaser shall again have all the rights of an original holder of the Notes under this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22. MISCELLANEOUS.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SECTION 22.1 SUCCESSORS AND ASSIGNS. All covenants and other agreements contained in this Agreement by or on behalf of any of the parties hereto bind and inure to the benefit of their respective successors and assigns (including, without limitation, any subsequent holder of a Note) whether so expressed or not.</w:t>
      </w:r>
    </w:p>
    <w:p>
      <w:pPr>
        <w:spacing w:after="0" w:line="32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22.2 PAYMENTS DUE ON NON-BUSINESS DAYS. Anything in this Agreement or the Notes to the contrary notwithstanding (but without limiting the requirement in Section 8.4 that the notice of any optional prepayment specify a Business Day as the date fixed for such prepayment), any payment of principal of or Make-Whole Amount or interest on any Note that is due on a date other than a Business Day shall be made on the next succeeding Business Day without including the additional days elapsed in the computation of the interest payable on such next succeeding Business Day; provided that if the maturity date of any Note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329"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SECTION 22.3 ACCOUNTING TERMS. All accounting terms used herein which are not expressly defined in this Agreement have the meanings respectively given to them in accordance with GAAP. Except as otherwise specifically provided herein,</w:t>
      </w:r>
    </w:p>
    <w:p>
      <w:pPr>
        <w:spacing w:after="0" w:line="1" w:lineRule="exact"/>
        <w:rPr>
          <w:sz w:val="20"/>
          <w:szCs w:val="20"/>
          <w:color w:val="auto"/>
        </w:rPr>
      </w:pPr>
    </w:p>
    <w:p>
      <w:pPr>
        <w:jc w:val="both"/>
        <w:ind w:right="3339" w:firstLine="8"/>
        <w:spacing w:after="0" w:line="252" w:lineRule="auto"/>
        <w:tabs>
          <w:tab w:leader="none" w:pos="344"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computations made pursuant to this Agreement shall be made in accordance with Agreement Accounting Principles, and (ii) all financial statements shall be prepared in accordance with GAAP.</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22.4 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- 34 -</w:t>
      </w:r>
    </w:p>
    <w:p>
      <w:pPr>
        <w:sectPr>
          <w:pgSz w:w="11900" w:h="16838" w:orient="portrait"/>
          <w:cols w:equalWidth="0" w:num="1">
            <w:col w:w="10239"/>
          </w:cols>
          <w:pgMar w:left="220" w:top="616" w:right="1440" w:bottom="1440" w:gutter="0" w:footer="0" w:header="0"/>
        </w:sectPr>
      </w:pPr>
    </w:p>
    <w:bookmarkStart w:id="75" w:name="page76"/>
    <w:bookmarkEnd w:id="75"/>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22.5 CONSTRUCTION, ETC. 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64"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For the avoidance of doubt, all Schedules and Exhibits attached to this Agreement shall be deemed to be a part hereof.</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22.6 COUNTERPARTS. This Agreement may be executed in any number of counterparts, each of which shall be an original but all of which together shall constitute one instrument. Each counterpart may consist of a number of copies hereof, each signed by less than all, but together signed by all, of the parties hereto.</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22.7 GOVERNING LAW. This Agreement shall be construed and enforced in accordance with, and the rights of the parties shall be governed by, the law of the State of New York excluding choice-of-law principles of the law of such State that would permit the application of the laws of a jurisdiction other than such State.</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 * * * *</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- 35 -</w:t>
      </w:r>
    </w:p>
    <w:p>
      <w:pPr>
        <w:sectPr>
          <w:pgSz w:w="11900" w:h="16838" w:orient="portrait"/>
          <w:cols w:equalWidth="0" w:num="1">
            <w:col w:w="10239"/>
          </w:cols>
          <w:pgMar w:left="220" w:top="616" w:right="1440" w:bottom="1440" w:gutter="0" w:footer="0" w:header="0"/>
        </w:sectPr>
      </w:pPr>
    </w:p>
    <w:bookmarkStart w:id="76" w:name="page77"/>
    <w:bookmarkEnd w:id="76"/>
    <w:p>
      <w:pPr>
        <w:jc w:val="both"/>
        <w:ind w:right="3339" w:firstLine="431"/>
        <w:spacing w:after="0" w:line="253" w:lineRule="auto"/>
        <w:rPr>
          <w:sz w:val="20"/>
          <w:szCs w:val="20"/>
          <w:color w:val="auto"/>
        </w:rPr>
      </w:pPr>
      <w:r>
        <w:rPr>
          <w:rFonts w:ascii="Courier New" w:cs="Courier New" w:eastAsia="Courier New" w:hAnsi="Courier New"/>
          <w:sz w:val="14"/>
          <w:szCs w:val="14"/>
          <w:color w:val="auto"/>
        </w:rPr>
        <w:t>If you are in agreement with the foregoing, please sign the form of agreement on a counterpart of this Agreement and return it to the Company, whereupon this Agreement shall become a binding agreement between you and the Company.</w:t>
      </w:r>
    </w:p>
    <w:p>
      <w:pPr>
        <w:spacing w:after="0" w:line="32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ALLETE, INC.</w:t>
      </w: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By: /s/ Mark A. Schober</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tabs>
          <w:tab w:leader="none" w:pos="4460" w:val="left"/>
        </w:tabs>
        <w:rPr>
          <w:sz w:val="20"/>
          <w:szCs w:val="20"/>
          <w:color w:val="auto"/>
        </w:rPr>
      </w:pPr>
      <w:r>
        <w:rPr>
          <w:rFonts w:ascii="Courier New" w:cs="Courier New" w:eastAsia="Courier New" w:hAnsi="Courier New"/>
          <w:sz w:val="14"/>
          <w:szCs w:val="14"/>
          <w:color w:val="auto"/>
        </w:rPr>
        <w:t>Name:</w:t>
        <w:tab/>
        <w:t>Mark A. Schober</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 Sr. Vice President &amp; CFO</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- 36 -</w:t>
      </w:r>
    </w:p>
    <w:p>
      <w:pPr>
        <w:sectPr>
          <w:pgSz w:w="11900" w:h="16838" w:orient="portrait"/>
          <w:cols w:equalWidth="0" w:num="1">
            <w:col w:w="10239"/>
          </w:cols>
          <w:pgMar w:left="220" w:top="616"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4"/>
          <w:szCs w:val="14"/>
          <w:color w:val="auto"/>
        </w:rPr>
        <w:t>This Agreement is hereby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 to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date thereof.</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THE NORTHWESTERN MUTUAL LIFE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INSURANCE COMPANY</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By: /s/ David A. Barras</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tabs>
          <w:tab w:leader="none" w:pos="4460" w:val="left"/>
        </w:tabs>
        <w:rPr>
          <w:sz w:val="20"/>
          <w:szCs w:val="20"/>
          <w:color w:val="auto"/>
        </w:rPr>
      </w:pPr>
      <w:r>
        <w:rPr>
          <w:rFonts w:ascii="Courier New" w:cs="Courier New" w:eastAsia="Courier New" w:hAnsi="Courier New"/>
          <w:sz w:val="14"/>
          <w:szCs w:val="14"/>
          <w:color w:val="auto"/>
        </w:rPr>
        <w:t>Name:</w:t>
        <w:tab/>
        <w:t>David A. Barras</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Its 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Purchase Agreement</w:t>
      </w:r>
    </w:p>
    <w:p>
      <w:pPr>
        <w:sectPr>
          <w:pgSz w:w="11900" w:h="16838" w:orient="portrait"/>
          <w:cols w:equalWidth="0" w:num="1">
            <w:col w:w="10239"/>
          </w:cols>
          <w:pgMar w:left="220" w:top="616"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4"/>
          <w:szCs w:val="14"/>
          <w:color w:val="auto"/>
        </w:rPr>
        <w:t>This Agreement is hereby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 to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date thereof.</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THRIVENT FINANCIAL FOR LUTHERANS</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By: /s/ Alan D. Onstad</w:t>
      </w:r>
    </w:p>
    <w:p>
      <w:pPr>
        <w:spacing w:after="0" w:line="7" w:lineRule="exact"/>
        <w:rPr>
          <w:sz w:val="20"/>
          <w:szCs w:val="20"/>
          <w:color w:val="auto"/>
        </w:rPr>
      </w:pPr>
    </w:p>
    <w:p>
      <w:pPr>
        <w:ind w:left="3880"/>
        <w:spacing w:after="0"/>
        <w:tabs>
          <w:tab w:leader="none" w:pos="4460" w:val="left"/>
        </w:tabs>
        <w:rPr>
          <w:sz w:val="20"/>
          <w:szCs w:val="20"/>
          <w:color w:val="auto"/>
        </w:rPr>
      </w:pPr>
      <w:r>
        <w:rPr>
          <w:rFonts w:ascii="Courier New" w:cs="Courier New" w:eastAsia="Courier New" w:hAnsi="Courier New"/>
          <w:sz w:val="14"/>
          <w:szCs w:val="14"/>
          <w:color w:val="auto"/>
        </w:rPr>
        <w:t>Name:</w:t>
        <w:tab/>
        <w:t>Alan D. Onstad</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Title: Associate Portfolio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Purchase Agreement</w:t>
      </w:r>
    </w:p>
    <w:p>
      <w:pPr>
        <w:sectPr>
          <w:pgSz w:w="11900" w:h="16838" w:orient="portrait"/>
          <w:cols w:equalWidth="0" w:num="1">
            <w:col w:w="10239"/>
          </w:cols>
          <w:pgMar w:left="220" w:top="616" w:right="1440" w:bottom="1440" w:gutter="0" w:footer="0" w:header="0"/>
        </w:sectPr>
      </w:pPr>
    </w:p>
    <w:bookmarkStart w:id="79" w:name="page80"/>
    <w:bookmarkEnd w:id="79"/>
    <w:p>
      <w:pPr>
        <w:ind w:left="6040"/>
        <w:spacing w:after="0"/>
        <w:rPr>
          <w:sz w:val="20"/>
          <w:szCs w:val="20"/>
          <w:color w:val="auto"/>
        </w:rPr>
      </w:pPr>
      <w:r>
        <w:rPr>
          <w:rFonts w:ascii="Courier New" w:cs="Courier New" w:eastAsia="Courier New" w:hAnsi="Courier New"/>
          <w:sz w:val="14"/>
          <w:szCs w:val="14"/>
          <w:color w:val="auto"/>
        </w:rPr>
        <w:t>SCHEDULE A</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Relating to Purchasers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 OF PURCHASER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PRINCIPAL AMOUNT 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BE PURCHASED</w:t>
      </w:r>
    </w:p>
    <w:p>
      <w:pPr>
        <w:spacing w:after="0" w:line="173" w:lineRule="exact"/>
        <w:rPr>
          <w:sz w:val="20"/>
          <w:szCs w:val="20"/>
          <w:color w:val="auto"/>
        </w:rPr>
      </w:pPr>
    </w:p>
    <w:p>
      <w:pPr>
        <w:sectPr>
          <w:pgSz w:w="11900" w:h="16838" w:orient="portrait"/>
          <w:cols w:equalWidth="0" w:num="2">
            <w:col w:w="4380" w:space="720"/>
            <w:col w:w="5139"/>
          </w:cols>
          <w:pgMar w:left="220" w:top="616" w:right="1440" w:bottom="1440" w:gutter="0" w:footer="0" w:header="0"/>
          <w:type w:val="continuous"/>
        </w:sectPr>
      </w:pPr>
    </w:p>
    <w:p>
      <w:pPr>
        <w:ind w:right="1940"/>
        <w:spacing w:after="0" w:line="251" w:lineRule="auto"/>
        <w:rPr>
          <w:sz w:val="20"/>
          <w:szCs w:val="20"/>
          <w:color w:val="auto"/>
        </w:rPr>
      </w:pPr>
      <w:r>
        <w:rPr>
          <w:rFonts w:ascii="Courier New" w:cs="Courier New" w:eastAsia="Courier New" w:hAnsi="Courier New"/>
          <w:sz w:val="14"/>
          <w:szCs w:val="14"/>
          <w:color w:val="auto"/>
        </w:rPr>
        <w:t>THE NORTHWESTERN MUTUAL LIFE INSURANCE COMPANY 720 East Wisconsin Avenue Milwaukee, Wisconsin 53202 Attention: Securities Department Fax Number: (414) 665-7124</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$25,000,000</w:t>
      </w:r>
    </w:p>
    <w:p>
      <w:pPr>
        <w:spacing w:after="0" w:line="834" w:lineRule="exact"/>
        <w:rPr>
          <w:sz w:val="20"/>
          <w:szCs w:val="20"/>
          <w:color w:val="auto"/>
        </w:rPr>
      </w:pPr>
    </w:p>
    <w:p>
      <w:pPr>
        <w:sectPr>
          <w:pgSz w:w="11900" w:h="16838" w:orient="portrait"/>
          <w:cols w:equalWidth="0" w:num="2">
            <w:col w:w="4800" w:space="720"/>
            <w:col w:w="47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Payments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Payments shall be made by bank wire transfer of immediately available funds, providing sufficient information to identify the source of the transfer, the amount of interest and/or principal and the series of Notes and PPN, to:</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US Bank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777 East Wisconsin Avenue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Milwaukee, WI 53202</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ABA# 075000022</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the account of: Northwestern Mutual Life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Account No. 182380324521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All notices and communications to be addressed as first provided above, except notices with respect to payments and written confirmation of each such payment to be addressed, Attention: Investment Operations Department, Fax Number: (414) 665-6998.</w:t>
      </w:r>
    </w:p>
    <w:p>
      <w:pPr>
        <w:spacing w:after="0" w:line="162"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4"/>
          <w:szCs w:val="14"/>
          <w:color w:val="auto"/>
        </w:rPr>
        <w:t>Name of Nominee in which Notes are to be issued:</w:t>
        <w:tab/>
        <w:t>None</w:t>
      </w:r>
    </w:p>
    <w:p>
      <w:pPr>
        <w:spacing w:after="0" w:line="173"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Taxpayer I.D. Number:</w:t>
        <w:tab/>
        <w:t>39-0509570</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SCHEDULE A</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 Note Purchase Agreement)</w:t>
      </w:r>
    </w:p>
    <w:p>
      <w:pPr>
        <w:sectPr>
          <w:pgSz w:w="11900" w:h="16838" w:orient="portrait"/>
          <w:cols w:equalWidth="0" w:num="1">
            <w:col w:w="10239"/>
          </w:cols>
          <w:pgMar w:left="220" w:top="616" w:right="1440"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PRINCIPAL AMOUNT OF</w:t>
            </w:r>
          </w:p>
        </w:tc>
      </w:tr>
      <w:tr>
        <w:trPr>
          <w:trHeight w:val="166"/>
        </w:trPr>
        <w:tc>
          <w:tcPr>
            <w:tcW w:w="3920" w:type="dxa"/>
            <w:vAlign w:val="bottom"/>
            <w:gridSpan w:val="3"/>
          </w:tcPr>
          <w:p>
            <w:pPr>
              <w:spacing w:after="0"/>
              <w:rPr>
                <w:sz w:val="20"/>
                <w:szCs w:val="20"/>
                <w:color w:val="auto"/>
              </w:rPr>
            </w:pPr>
            <w:r>
              <w:rPr>
                <w:rFonts w:ascii="Courier New" w:cs="Courier New" w:eastAsia="Courier New" w:hAnsi="Courier New"/>
                <w:sz w:val="14"/>
                <w:szCs w:val="14"/>
                <w:color w:val="auto"/>
              </w:rPr>
              <w:t>NAME AND ADDRESS OF PURCHASER</w:t>
            </w:r>
          </w:p>
        </w:tc>
        <w:tc>
          <w:tcPr>
            <w:tcW w:w="2980" w:type="dxa"/>
            <w:vAlign w:val="bottom"/>
          </w:tcPr>
          <w:p>
            <w:pPr>
              <w:jc w:val="right"/>
              <w:spacing w:after="0"/>
              <w:rPr>
                <w:sz w:val="20"/>
                <w:szCs w:val="20"/>
                <w:color w:val="auto"/>
              </w:rPr>
            </w:pPr>
            <w:r>
              <w:rPr>
                <w:rFonts w:ascii="Courier New" w:cs="Courier New" w:eastAsia="Courier New" w:hAnsi="Courier New"/>
                <w:sz w:val="14"/>
                <w:szCs w:val="14"/>
                <w:color w:val="auto"/>
              </w:rPr>
              <w:t>NOTES TO BE PURCHASED</w:t>
            </w:r>
          </w:p>
        </w:tc>
      </w:tr>
      <w:tr>
        <w:trPr>
          <w:trHeight w:val="331"/>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THRIVENT FINANCIAL FOR</w:t>
            </w:r>
          </w:p>
        </w:tc>
        <w:tc>
          <w:tcPr>
            <w:tcW w:w="1940" w:type="dxa"/>
            <w:vAlign w:val="bottom"/>
          </w:tcPr>
          <w:p>
            <w:pPr>
              <w:spacing w:after="0"/>
              <w:rPr>
                <w:sz w:val="20"/>
                <w:szCs w:val="20"/>
                <w:color w:val="auto"/>
              </w:rPr>
            </w:pPr>
            <w:r>
              <w:rPr>
                <w:rFonts w:ascii="Courier New" w:cs="Courier New" w:eastAsia="Courier New" w:hAnsi="Courier New"/>
                <w:sz w:val="14"/>
                <w:szCs w:val="14"/>
                <w:color w:val="auto"/>
              </w:rPr>
              <w:t>LUTHERANS</w:t>
            </w:r>
          </w:p>
        </w:tc>
        <w:tc>
          <w:tcPr>
            <w:tcW w:w="2980" w:type="dxa"/>
            <w:vAlign w:val="bottom"/>
          </w:tcPr>
          <w:p>
            <w:pPr>
              <w:spacing w:after="0"/>
              <w:rPr>
                <w:sz w:val="24"/>
                <w:szCs w:val="24"/>
                <w:color w:val="auto"/>
              </w:rPr>
            </w:pP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625 Fourth Avenue South</w:t>
            </w:r>
          </w:p>
        </w:tc>
        <w:tc>
          <w:tcPr>
            <w:tcW w:w="1940" w:type="dxa"/>
            <w:vAlign w:val="bottom"/>
          </w:tcPr>
          <w:p>
            <w:pPr>
              <w:spacing w:after="0"/>
              <w:rPr>
                <w:sz w:val="14"/>
                <w:szCs w:val="14"/>
                <w:color w:val="auto"/>
              </w:rPr>
            </w:pPr>
          </w:p>
        </w:tc>
        <w:tc>
          <w:tcPr>
            <w:tcW w:w="2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$5,000,000</w:t>
            </w: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Minneapolis, Minnesota</w:t>
            </w:r>
          </w:p>
        </w:tc>
        <w:tc>
          <w:tcPr>
            <w:tcW w:w="19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55415</w:t>
            </w:r>
          </w:p>
        </w:tc>
        <w:tc>
          <w:tcPr>
            <w:tcW w:w="2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$5,000,000</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Attention:</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Investment</w:t>
            </w:r>
          </w:p>
        </w:tc>
        <w:tc>
          <w:tcPr>
            <w:tcW w:w="1940" w:type="dxa"/>
            <w:vAlign w:val="bottom"/>
          </w:tcPr>
          <w:p>
            <w:pPr>
              <w:spacing w:after="0"/>
              <w:rPr>
                <w:sz w:val="20"/>
                <w:szCs w:val="20"/>
                <w:color w:val="auto"/>
              </w:rPr>
            </w:pPr>
            <w:r>
              <w:rPr>
                <w:rFonts w:ascii="Courier New" w:cs="Courier New" w:eastAsia="Courier New" w:hAnsi="Courier New"/>
                <w:sz w:val="14"/>
                <w:szCs w:val="14"/>
                <w:color w:val="auto"/>
              </w:rPr>
              <w:t>Division</w:t>
            </w:r>
          </w:p>
        </w:tc>
        <w:tc>
          <w:tcPr>
            <w:tcW w:w="2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$5,000,000</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Fax Number:</w:t>
            </w:r>
          </w:p>
        </w:tc>
        <w:tc>
          <w:tcPr>
            <w:tcW w:w="2920" w:type="dxa"/>
            <w:vAlign w:val="bottom"/>
            <w:gridSpan w:val="2"/>
          </w:tcPr>
          <w:p>
            <w:pPr>
              <w:jc w:val="right"/>
              <w:ind w:right="1508"/>
              <w:spacing w:after="0"/>
              <w:rPr>
                <w:sz w:val="20"/>
                <w:szCs w:val="20"/>
                <w:color w:val="auto"/>
              </w:rPr>
            </w:pPr>
            <w:r>
              <w:rPr>
                <w:rFonts w:ascii="Courier New" w:cs="Courier New" w:eastAsia="Courier New" w:hAnsi="Courier New"/>
                <w:sz w:val="14"/>
                <w:szCs w:val="14"/>
                <w:color w:val="auto"/>
              </w:rPr>
              <w:t>(612) 340-4027</w:t>
            </w:r>
          </w:p>
        </w:tc>
        <w:tc>
          <w:tcPr>
            <w:tcW w:w="2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$5,000,000</w:t>
            </w:r>
          </w:p>
        </w:tc>
      </w:tr>
      <w:tr>
        <w:trPr>
          <w:trHeight w:val="166"/>
        </w:trPr>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$5,000,000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All payments of principal, premium or interest on the account of the Notes shall be made by bank wire transfer (in immediately available funds) to:</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ABA # 011000028</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State Street Bank &amp; Trust Co.</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DDA # A/C -- 6813-049-1</w:t>
      </w:r>
    </w:p>
    <w:p>
      <w:pPr>
        <w:spacing w:after="0" w:line="7" w:lineRule="exact"/>
        <w:rPr>
          <w:sz w:val="20"/>
          <w:szCs w:val="20"/>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Fund Number:</w:t>
        <w:tab/>
        <w:t>NCE1</w:t>
      </w:r>
    </w:p>
    <w:p>
      <w:pPr>
        <w:spacing w:after="0" w:line="7"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Fund Name:</w:t>
        <w:tab/>
        <w:t>Thrivent Financial for Lutherans</w:t>
      </w:r>
    </w:p>
    <w:p>
      <w:pPr>
        <w:spacing w:after="0" w:line="7" w:lineRule="exact"/>
        <w:rPr>
          <w:sz w:val="20"/>
          <w:szCs w:val="20"/>
          <w:color w:val="auto"/>
        </w:rPr>
      </w:pPr>
    </w:p>
    <w:p>
      <w:pPr>
        <w:ind w:left="440" w:right="4639"/>
        <w:spacing w:after="0" w:line="253" w:lineRule="auto"/>
        <w:rPr>
          <w:sz w:val="20"/>
          <w:szCs w:val="20"/>
          <w:color w:val="auto"/>
        </w:rPr>
      </w:pPr>
      <w:r>
        <w:rPr>
          <w:rFonts w:ascii="Courier New" w:cs="Courier New" w:eastAsia="Courier New" w:hAnsi="Courier New"/>
          <w:sz w:val="14"/>
          <w:szCs w:val="14"/>
          <w:color w:val="auto"/>
        </w:rPr>
        <w:t>All payments must include the following information: Security Description, Private Placement Number (018522 B*2), Reference Purpose of Payment and Interest and/or Principal Breakdown</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All notices and communications to be addressed as first provided above, except notices with respect to payment and written confirmation of each such payment, to be addressed:</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Thrivent Financial for Lutherans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625 Fourth Avenue South</w:t>
      </w:r>
    </w:p>
    <w:p>
      <w:pPr>
        <w:spacing w:after="0" w:line="7" w:lineRule="exact"/>
        <w:rPr>
          <w:sz w:val="20"/>
          <w:szCs w:val="20"/>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Minneapolis, Minnesota</w:t>
        <w:tab/>
        <w:t>55415</w:t>
      </w:r>
    </w:p>
    <w:p>
      <w:pPr>
        <w:spacing w:after="0" w:line="7"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Attention:</w:t>
        <w:tab/>
        <w:t>Investment Division-Private Placements</w:t>
      </w:r>
    </w:p>
    <w:p>
      <w:pPr>
        <w:spacing w:after="0" w:line="7"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Fax:</w:t>
        <w:tab/>
        <w:t>(612) 340-4027</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with a copy to:</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Thrivent Accounts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State Street Kansas City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801 Pennsylvania</w:t>
      </w:r>
    </w:p>
    <w:p>
      <w:pPr>
        <w:spacing w:after="0" w:line="7" w:lineRule="exact"/>
        <w:rPr>
          <w:sz w:val="20"/>
          <w:szCs w:val="20"/>
          <w:color w:val="auto"/>
        </w:rPr>
      </w:pPr>
    </w:p>
    <w:p>
      <w:pPr>
        <w:ind w:left="440"/>
        <w:spacing w:after="0"/>
        <w:tabs>
          <w:tab w:leader="none" w:pos="2400" w:val="left"/>
        </w:tabs>
        <w:rPr>
          <w:sz w:val="20"/>
          <w:szCs w:val="20"/>
          <w:color w:val="auto"/>
        </w:rPr>
      </w:pPr>
      <w:r>
        <w:rPr>
          <w:rFonts w:ascii="Courier New" w:cs="Courier New" w:eastAsia="Courier New" w:hAnsi="Courier New"/>
          <w:sz w:val="14"/>
          <w:szCs w:val="14"/>
          <w:color w:val="auto"/>
        </w:rPr>
        <w:t>Kansas City, Missouri</w:t>
        <w:tab/>
        <w:t>64105</w:t>
      </w:r>
    </w:p>
    <w:p>
      <w:pPr>
        <w:spacing w:after="0" w:line="7"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Attention:</w:t>
        <w:tab/>
        <w:t>Bart Woodson</w:t>
      </w:r>
    </w:p>
    <w:p>
      <w:pPr>
        <w:spacing w:after="0" w:line="7"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Fax:</w:t>
        <w:tab/>
        <w:t>(816) 691-3610</w:t>
      </w:r>
    </w:p>
    <w:p>
      <w:pPr>
        <w:spacing w:after="0" w:line="173"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4"/>
          <w:szCs w:val="14"/>
          <w:color w:val="auto"/>
        </w:rPr>
        <w:t>Name of Nominee in which Notes are to be issued:</w:t>
        <w:tab/>
        <w:t>Swanbird &amp; Co.</w:t>
      </w:r>
    </w:p>
    <w:p>
      <w:pPr>
        <w:spacing w:after="0" w:line="173"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4"/>
          <w:szCs w:val="14"/>
          <w:color w:val="auto"/>
        </w:rPr>
        <w:t>Taxpayer I.D. Number for Swanbird &amp; Co.:</w:t>
        <w:tab/>
        <w:t>04-3475606</w:t>
      </w:r>
    </w:p>
    <w:p>
      <w:pPr>
        <w:sectPr>
          <w:pgSz w:w="11900" w:h="16838" w:orient="portrait"/>
          <w:cols w:equalWidth="0" w:num="1">
            <w:col w:w="10239"/>
          </w:cols>
          <w:pgMar w:left="220" w:top="616" w:right="1440" w:bottom="1440" w:gutter="0" w:footer="0" w:header="0"/>
        </w:sectPr>
      </w:pPr>
    </w:p>
    <w:bookmarkStart w:id="81" w:name="page82"/>
    <w:bookmarkEnd w:id="81"/>
    <w:p>
      <w:pPr>
        <w:jc w:val="right"/>
        <w:ind w:right="3339"/>
        <w:spacing w:after="0"/>
        <w:rPr>
          <w:sz w:val="20"/>
          <w:szCs w:val="20"/>
          <w:color w:val="auto"/>
        </w:rPr>
      </w:pPr>
      <w:r>
        <w:rPr>
          <w:rFonts w:ascii="Courier New" w:cs="Courier New" w:eastAsia="Courier New" w:hAnsi="Courier New"/>
          <w:sz w:val="14"/>
          <w:szCs w:val="14"/>
          <w:color w:val="auto"/>
        </w:rPr>
        <w:t>SCHEDULE B</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DEFINED TERMS</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As used herein, the following terms have the respective meanings set forth below or set forth in the Section hereof following such term:</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"AFFILIATE" means, at any time, and with respect to any Person, any other Person that at such time directly or indirectly through one or more intermediaries Controls, or is Controlled by, or is under common Control with, such first Person, and, with respect to the Company, shall include any Person beneficially owning or holding, directly or indirectly, 10% or more of any class of voting or equity interests of the Company or any Subsidiary or any corporation of which the Company and its Subsidiaries beneficially own or hold, in the aggregate, directly or indirectly, 10% or more of any class of voting or equity interests.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"Affiliate" is a reference to an Affiliate of the Company.</w:t>
      </w:r>
    </w:p>
    <w:p>
      <w:pPr>
        <w:spacing w:after="0" w:line="32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"AGREEMENT ACCOUNTING PRINCIPLES" means GAAP, provided that with respect to the calculations for purposes of determining compliance with the covenant set forth in Section 10.5, such term means generally accepted accounting principles in effect as of the date of the Closing applied on a basis consistent with that used in the preparation of the most recent audited consolidated financial statements of the Company.</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"ANTI-TERRORISM ORDER" means Executive Order No. 13,224 of September 24, 2001, Blocking Property and Prohibiting Transactions with Persons Who Commit, Threaten to Commit or Support Terrorism, 66 U.S. Fed. Reg. 49, 079 (2001), as amended.</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"BUSINESS DAY" means (a) for the purposes of Section 8.7 only, any day other than a Saturday, a Sunday or a day on which commercial banks in New York City are required or authorized to be closed, and (b) for the purposes of any other provision of this Agreement, any day other than a Saturday, a Sunday or a day on which commercial banks in New York, New York or Duluth, Minnesota are required or authorized to be closed.</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"CAPITAL LEASE" means, at any time, a lease with respect to which the lessee is required concurrently to recognize the acquisition of an asset and the incurrence of a liability in accordance with GAAP.</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"CHANGE IN CONTROL" is defined in Section 8.3(f).</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"CHANGE IN CONTROL EVENT" is defined in Section 8.3(a).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"CLOSING" is defined in Section 3.</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"CODE" means the Internal Revenue Code of 1986, as amended from time to time, and the rules and regulations promulgated thereunder from time to time.</w:t>
      </w:r>
    </w:p>
    <w:p>
      <w:pPr>
        <w:spacing w:after="0" w:line="32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SCHEDULE B</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 Note Purchase Agreement)</w:t>
      </w:r>
    </w:p>
    <w:p>
      <w:pPr>
        <w:sectPr>
          <w:pgSz w:w="11900" w:h="16838" w:orient="portrait"/>
          <w:cols w:equalWidth="0" w:num="1">
            <w:col w:w="10239"/>
          </w:cols>
          <w:pgMar w:left="220" w:top="616" w:right="1440" w:bottom="1440" w:gutter="0" w:footer="0" w:header="0"/>
        </w:sectPr>
      </w:pPr>
    </w:p>
    <w:bookmarkStart w:id="82" w:name="page83"/>
    <w:bookmarkEnd w:id="82"/>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"COMPANY" means ALLETE, Inc., a Minnesota corporation or any successor that becomes such in the manner prescribed in Section 10.2.</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"CONFIDENTIAL INFORMATION" is defined in Section 20.</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"CONSOLIDATED ASSETS" means the total amount of assets shown on the consolidated balance sheet of the Company and its Subsidiaries, determined in accordance with GAAP and prepared as of the end of the fiscal quarter then most recently ended.</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"CONSOLIDATED NET WORTH" means, as of any date of determination, the sum of stockholders' equity (including preferred stock and QUIPs), PLUS additional paid-in capital, PLUS retained earnings (or MINUS accumulated deficits) PLUS preferred securities of the Company and its Subsidiaries, PROVIDED, however, that the computation of Consolidated Net Worth shall exclude Accumulated Other Comprehensive Income/Loss, unearned ESOP shares and market value of derivatives (FAS 133), all of the foregoing determined with respect to the Company and its Subsidiaries on a consolidated basis in accordance with Agreement Accounting Principles.</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"DEFAULT" means an event or condition the occurrence or existence of which would, with the lapse of time or the giving of notice or both, become an Event of Default.</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"DEFAULT RATE" means that rate of interest that is the greater of (i) 2.00% per annum above the rate of interest stated in clause (a) of the first paragraph of the Notes or (ii) 2.00% over the rate of interest publicly announced by U.S. Bank in New York, New York as its "base" or "prime" rate.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"DISCLOSURE DOCUMENTS" is defined in Section 5.3.</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"ELECTRONIC DELIVERY" is defined in Section 7.1(a).</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"ENVIRONMENTAL LAWS"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Materials.</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"ERISA" means the Employee Retirement Income Security Act of 1974, as amended from time to time, and the rules and regulations promulgated thereunder from time to time in effect.</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"ERISA AFFILIATE" means any trade or business (whether or not incorporated) that is treated as a single employer together with the Company under section 414 of the Code.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"Event of Default" is defined in Section 11.</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"EXCHANGE ACT" means the Securities Exchange Act of 1934, as amended from time to time, and the rules and regulations promulgated thereunder from time to time in effect.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"FORM 10-K" is defined in Section 7.1(b).</w:t>
      </w:r>
    </w:p>
    <w:p>
      <w:pPr>
        <w:sectPr>
          <w:pgSz w:w="11900" w:h="16838" w:orient="portrait"/>
          <w:cols w:equalWidth="0" w:num="1">
            <w:col w:w="10239"/>
          </w:cols>
          <w:pgMar w:left="220" w:top="616" w:right="1440" w:bottom="1440" w:gutter="0" w:footer="0" w:header="0"/>
        </w:sectPr>
      </w:pPr>
    </w:p>
    <w:bookmarkStart w:id="83" w:name="page84"/>
    <w:bookmarkEnd w:id="83"/>
    <w:p>
      <w:pPr>
        <w:ind w:left="440"/>
        <w:spacing w:after="0"/>
        <w:rPr>
          <w:sz w:val="20"/>
          <w:szCs w:val="20"/>
          <w:color w:val="auto"/>
        </w:rPr>
      </w:pPr>
      <w:r>
        <w:rPr>
          <w:rFonts w:ascii="Courier New" w:cs="Courier New" w:eastAsia="Courier New" w:hAnsi="Courier New"/>
          <w:sz w:val="14"/>
          <w:szCs w:val="14"/>
          <w:color w:val="auto"/>
        </w:rPr>
        <w:t>"FORM 10-Q" is defined in Section 7.1(a).</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"FUNDED DEBT" means, for any Person on a consolidated basis in accordance with Agreement Accounting Principles, without duplication:</w:t>
      </w:r>
    </w:p>
    <w:p>
      <w:pPr>
        <w:spacing w:after="0" w:line="160" w:lineRule="exact"/>
        <w:rPr>
          <w:sz w:val="20"/>
          <w:szCs w:val="20"/>
          <w:color w:val="auto"/>
        </w:rPr>
      </w:pPr>
    </w:p>
    <w:p>
      <w:pPr>
        <w:ind w:left="1640" w:hanging="598"/>
        <w:spacing w:after="0"/>
        <w:tabs>
          <w:tab w:leader="none" w:pos="164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indebtedness of such Person for borrowed money;</w:t>
      </w:r>
    </w:p>
    <w:p>
      <w:pPr>
        <w:spacing w:after="0" w:line="172" w:lineRule="exact"/>
        <w:rPr>
          <w:rFonts w:ascii="Courier New" w:cs="Courier New" w:eastAsia="Courier New" w:hAnsi="Courier New"/>
          <w:sz w:val="14"/>
          <w:szCs w:val="14"/>
          <w:color w:val="auto"/>
        </w:rPr>
      </w:pPr>
    </w:p>
    <w:p>
      <w:pPr>
        <w:jc w:val="both"/>
        <w:ind w:left="440" w:right="3339" w:firstLine="602"/>
        <w:spacing w:after="0" w:line="250" w:lineRule="auto"/>
        <w:tabs>
          <w:tab w:leader="none" w:pos="1646"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deferred and unpaid balance of the purchase price owing by such Person on account of any assets or services purchased (other than trade payables and other accrued liabilities incurred in the ordinary course of business that are not overdue by more than 180 days unless being contested in good faith) if such purchase price is (i) due more than nine months from the date of incurrence of the obligation in respect thereof or</w:t>
      </w:r>
    </w:p>
    <w:p>
      <w:pPr>
        <w:spacing w:after="0" w:line="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evidenced by a note or a similar written instrument;</w:t>
      </w:r>
    </w:p>
    <w:p>
      <w:pPr>
        <w:spacing w:after="0" w:line="172" w:lineRule="exact"/>
        <w:rPr>
          <w:rFonts w:ascii="Courier New" w:cs="Courier New" w:eastAsia="Courier New" w:hAnsi="Courier New"/>
          <w:sz w:val="14"/>
          <w:szCs w:val="14"/>
          <w:color w:val="auto"/>
        </w:rPr>
      </w:pPr>
    </w:p>
    <w:p>
      <w:pPr>
        <w:ind w:left="1640" w:hanging="598"/>
        <w:spacing w:after="0"/>
        <w:tabs>
          <w:tab w:leader="none" w:pos="164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capitalized lease obligations;</w:t>
      </w:r>
    </w:p>
    <w:p>
      <w:pPr>
        <w:spacing w:after="0" w:line="172" w:lineRule="exact"/>
        <w:rPr>
          <w:rFonts w:ascii="Courier New" w:cs="Courier New" w:eastAsia="Courier New" w:hAnsi="Courier New"/>
          <w:sz w:val="14"/>
          <w:szCs w:val="14"/>
          <w:color w:val="auto"/>
        </w:rPr>
      </w:pPr>
    </w:p>
    <w:p>
      <w:pPr>
        <w:jc w:val="both"/>
        <w:ind w:left="440" w:right="3339" w:firstLine="602"/>
        <w:spacing w:after="0" w:line="252" w:lineRule="auto"/>
        <w:tabs>
          <w:tab w:leader="none" w:pos="1646"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indebtedness secured by a Lien on any property owned by such Person, whether or not such indebtedness has been assumed by such entity or is nonrecourse to such Person;</w:t>
      </w:r>
    </w:p>
    <w:p>
      <w:pPr>
        <w:spacing w:after="0" w:line="162"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646"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 and drafts accepted representing extensions of credit whether or not representing obligations for borrowed money (other than such notes or drafts from the deferred purchase price of assets or services to the extent such purchase price is excluded from clause (b) above);</w:t>
      </w:r>
    </w:p>
    <w:p>
      <w:pPr>
        <w:spacing w:after="0" w:line="164" w:lineRule="exact"/>
        <w:rPr>
          <w:rFonts w:ascii="Courier New" w:cs="Courier New" w:eastAsia="Courier New" w:hAnsi="Courier New"/>
          <w:sz w:val="14"/>
          <w:szCs w:val="14"/>
          <w:color w:val="auto"/>
        </w:rPr>
      </w:pPr>
    </w:p>
    <w:p>
      <w:pPr>
        <w:ind w:left="1640" w:hanging="598"/>
        <w:spacing w:after="0"/>
        <w:tabs>
          <w:tab w:leader="none" w:pos="164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evidenced  by bonds,  notes or similar  written</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instrument;</w:t>
      </w:r>
    </w:p>
    <w:p>
      <w:pPr>
        <w:spacing w:after="0" w:line="172"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646"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face amount of all letters of credit and bankers' acceptances issued for the account of such entity, and without duplication, all drafts drawn thereunder (other than such letters of credit, bankers' acceptances and drafts for the deferred purchase price ...of assets or services to the extent such purchase price is under interest rate agreements or currency agreements); and</w:t>
      </w:r>
    </w:p>
    <w:p>
      <w:pPr>
        <w:spacing w:after="0" w:line="164" w:lineRule="exact"/>
        <w:rPr>
          <w:rFonts w:ascii="Courier New" w:cs="Courier New" w:eastAsia="Courier New" w:hAnsi="Courier New"/>
          <w:sz w:val="14"/>
          <w:szCs w:val="14"/>
          <w:color w:val="auto"/>
        </w:rPr>
      </w:pPr>
    </w:p>
    <w:p>
      <w:pPr>
        <w:jc w:val="both"/>
        <w:ind w:left="440" w:right="3339" w:firstLine="602"/>
        <w:spacing w:after="0" w:line="252" w:lineRule="auto"/>
        <w:tabs>
          <w:tab w:leader="none" w:pos="1646"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guaranty obligations of such Person with respect to indebtedness for borrowed money of another Person (including Affiliates) aggregating in excess of 2% of Consolidated Assets;</w:t>
      </w:r>
    </w:p>
    <w:p>
      <w:pPr>
        <w:spacing w:after="0" w:line="16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PROVIDED, however, that in no event shall any calculation of Funded Debt include (i) deferred taxes, (ii) securitized trade receivables or (iii) deferred credits including regulatory assets and contributions in aid of construction.</w:t>
      </w:r>
    </w:p>
    <w:p>
      <w:pPr>
        <w:spacing w:after="0" w:line="162"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"GAAP" means generally accepted accounting principles as in effect from time to time in the United States of America.</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"GOVERNMENTAL AUTHORITY" means</w:t>
      </w:r>
    </w:p>
    <w:p>
      <w:pPr>
        <w:spacing w:after="0" w:line="173" w:lineRule="exact"/>
        <w:rPr>
          <w:sz w:val="20"/>
          <w:szCs w:val="20"/>
          <w:color w:val="auto"/>
        </w:rPr>
      </w:pPr>
    </w:p>
    <w:p>
      <w:pPr>
        <w:ind w:left="1040"/>
        <w:spacing w:after="0"/>
        <w:tabs>
          <w:tab w:leader="none" w:pos="162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the government of</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- 3 -</w:t>
      </w:r>
    </w:p>
    <w:p>
      <w:pPr>
        <w:sectPr>
          <w:pgSz w:w="11900" w:h="16838" w:orient="portrait"/>
          <w:cols w:equalWidth="0" w:num="1">
            <w:col w:w="10239"/>
          </w:cols>
          <w:pgMar w:left="220" w:top="616" w:right="1440" w:bottom="1440" w:gutter="0" w:footer="0" w:header="0"/>
        </w:sectPr>
      </w:pPr>
    </w:p>
    <w:bookmarkStart w:id="84" w:name="page85"/>
    <w:bookmarkEnd w:id="84"/>
    <w:p>
      <w:pPr>
        <w:ind w:left="1040" w:right="3339" w:firstLine="605"/>
        <w:spacing w:after="0" w:line="255" w:lineRule="auto"/>
        <w:tabs>
          <w:tab w:leader="none" w:pos="21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United States of America or any State or other political subdivision thereof, or</w:t>
      </w:r>
    </w:p>
    <w:p>
      <w:pPr>
        <w:spacing w:after="0" w:line="159" w:lineRule="exact"/>
        <w:rPr>
          <w:rFonts w:ascii="Courier New" w:cs="Courier New" w:eastAsia="Courier New" w:hAnsi="Courier New"/>
          <w:sz w:val="14"/>
          <w:szCs w:val="14"/>
          <w:color w:val="auto"/>
        </w:rPr>
      </w:pPr>
    </w:p>
    <w:p>
      <w:pPr>
        <w:jc w:val="both"/>
        <w:ind w:left="1040" w:right="3339" w:firstLine="605"/>
        <w:spacing w:after="0" w:line="253" w:lineRule="auto"/>
        <w:tabs>
          <w:tab w:leader="none" w:pos="21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jurisdiction in which the Company or any Subsidiary conducts all or any part of its business, or which asserts jurisdiction over any properties of the Company or any Subsidiary, or</w:t>
      </w:r>
    </w:p>
    <w:p>
      <w:pPr>
        <w:spacing w:after="0" w:line="327" w:lineRule="exact"/>
        <w:rPr>
          <w:sz w:val="20"/>
          <w:szCs w:val="20"/>
          <w:color w:val="auto"/>
        </w:rPr>
      </w:pPr>
    </w:p>
    <w:p>
      <w:pPr>
        <w:jc w:val="both"/>
        <w:ind w:left="440" w:right="3339" w:firstLine="602"/>
        <w:spacing w:after="0" w:line="252" w:lineRule="auto"/>
        <w:tabs>
          <w:tab w:leader="none" w:pos="1646"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entity exercising executive, legislative, judicial, regulatory or administrative functions of, or pertaining to, any such government.</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"GUARANTY" means,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(without limitation) obligations incurred through an agreement, contingent or otherwise, by such Person:</w:t>
      </w:r>
    </w:p>
    <w:p>
      <w:pPr>
        <w:spacing w:after="0" w:line="164" w:lineRule="exact"/>
        <w:rPr>
          <w:sz w:val="20"/>
          <w:szCs w:val="20"/>
          <w:color w:val="auto"/>
        </w:rPr>
      </w:pPr>
    </w:p>
    <w:p>
      <w:pPr>
        <w:ind w:left="440" w:right="3339" w:firstLine="602"/>
        <w:spacing w:after="0" w:line="255" w:lineRule="auto"/>
        <w:tabs>
          <w:tab w:leader="none" w:pos="1646"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purchase such indebtedness or obligation or any property constituting security therefor;</w:t>
      </w:r>
    </w:p>
    <w:p>
      <w:pPr>
        <w:spacing w:after="0" w:line="159"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646"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advance or supply funds (i) for the purchase or payment of such indebtedness or obligation, or (ii) to maintain any working capital or other balance sheet condition or any income statement condition of any other Person or otherwise to advance or make available funds for the purchase or payment of such indebtedness or obligation;</w:t>
      </w:r>
    </w:p>
    <w:p>
      <w:pPr>
        <w:spacing w:after="0" w:line="164" w:lineRule="exact"/>
        <w:rPr>
          <w:rFonts w:ascii="Courier New" w:cs="Courier New" w:eastAsia="Courier New" w:hAnsi="Courier New"/>
          <w:sz w:val="14"/>
          <w:szCs w:val="14"/>
          <w:color w:val="auto"/>
        </w:rPr>
      </w:pPr>
    </w:p>
    <w:p>
      <w:pPr>
        <w:jc w:val="both"/>
        <w:ind w:left="440" w:right="3339" w:firstLine="602"/>
        <w:spacing w:after="0" w:line="252" w:lineRule="auto"/>
        <w:tabs>
          <w:tab w:leader="none" w:pos="1646"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lease properties or to purchase properties or services primarily for the purpose of assuring the owner of such indebtedness or obligation of the ability of any other Person to make payment of the indebtedness or obligation; or</w:t>
      </w:r>
    </w:p>
    <w:p>
      <w:pPr>
        <w:spacing w:after="0" w:line="162" w:lineRule="exact"/>
        <w:rPr>
          <w:rFonts w:ascii="Courier New" w:cs="Courier New" w:eastAsia="Courier New" w:hAnsi="Courier New"/>
          <w:sz w:val="14"/>
          <w:szCs w:val="14"/>
          <w:color w:val="auto"/>
        </w:rPr>
      </w:pPr>
    </w:p>
    <w:p>
      <w:pPr>
        <w:ind w:left="440" w:right="3339" w:firstLine="602"/>
        <w:spacing w:after="0" w:line="255" w:lineRule="auto"/>
        <w:tabs>
          <w:tab w:leader="none" w:pos="1646"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to assure the owner of such indebtedness or obligation against loss in respect thereof.</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any computation of the indebtedness or other liabilities of the obligor under any Guaranty, the indebtedness or other obligations that are the subject of such Guaranty shall be assumed to be direct obligations of such obligor.</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"HAZARDOUS MATERIAL" means any and all pollutants, toxic or hazardous wastes or other substances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but not limited to, asbestos, urea formaldehyde foam insulation, polychlorinated biphenyls, petroleum, petroleum products, lead based paint, radon gas or similar restricted, prohibited or penalized substances.</w:t>
      </w:r>
    </w:p>
    <w:p>
      <w:pPr>
        <w:spacing w:after="0" w:line="164" w:lineRule="exact"/>
        <w:rPr>
          <w:sz w:val="20"/>
          <w:szCs w:val="20"/>
          <w:color w:val="auto"/>
        </w:rPr>
      </w:pPr>
    </w:p>
    <w:p>
      <w:pPr>
        <w:jc w:val="both"/>
        <w:ind w:right="3339" w:firstLine="431"/>
        <w:spacing w:after="0" w:line="253" w:lineRule="auto"/>
        <w:rPr>
          <w:sz w:val="20"/>
          <w:szCs w:val="20"/>
          <w:color w:val="auto"/>
        </w:rPr>
      </w:pPr>
      <w:r>
        <w:rPr>
          <w:rFonts w:ascii="Courier New" w:cs="Courier New" w:eastAsia="Courier New" w:hAnsi="Courier New"/>
          <w:sz w:val="14"/>
          <w:szCs w:val="14"/>
          <w:color w:val="auto"/>
        </w:rPr>
        <w:t>"HOLDER" means, with respect to any Note, the Person in whose name such Note is registered in the register maintained by the Company pursuant to Section 13.1, except as otherwise defined in Section 8.3(b) for purposes of Section 8.3 only.</w:t>
      </w:r>
    </w:p>
    <w:p>
      <w:pPr>
        <w:spacing w:after="0" w:line="3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- 4 -</w:t>
      </w:r>
    </w:p>
    <w:p>
      <w:pPr>
        <w:sectPr>
          <w:pgSz w:w="11900" w:h="16838" w:orient="portrait"/>
          <w:cols w:equalWidth="0" w:num="1">
            <w:col w:w="10239"/>
          </w:cols>
          <w:pgMar w:left="220" w:top="616" w:right="1440" w:bottom="1440" w:gutter="0" w:footer="0" w:header="0"/>
        </w:sectPr>
      </w:pPr>
    </w:p>
    <w:bookmarkStart w:id="85" w:name="page86"/>
    <w:bookmarkEnd w:id="85"/>
    <w:p>
      <w:pPr>
        <w:ind w:right="3339" w:firstLine="431"/>
        <w:spacing w:after="0" w:line="255" w:lineRule="auto"/>
        <w:rPr>
          <w:sz w:val="20"/>
          <w:szCs w:val="20"/>
          <w:color w:val="auto"/>
        </w:rPr>
      </w:pPr>
      <w:r>
        <w:rPr>
          <w:rFonts w:ascii="Courier New" w:cs="Courier New" w:eastAsia="Courier New" w:hAnsi="Courier New"/>
          <w:sz w:val="14"/>
          <w:szCs w:val="14"/>
          <w:color w:val="auto"/>
        </w:rPr>
        <w:t>"INDEBTEDNESS" with respect to any Person means, at any time, without duplication,</w:t>
      </w:r>
    </w:p>
    <w:p>
      <w:pPr>
        <w:spacing w:after="0" w:line="160" w:lineRule="exact"/>
        <w:rPr>
          <w:sz w:val="20"/>
          <w:szCs w:val="20"/>
          <w:color w:val="auto"/>
        </w:rPr>
      </w:pPr>
    </w:p>
    <w:p>
      <w:pPr>
        <w:ind w:left="440" w:right="3339" w:firstLine="602"/>
        <w:spacing w:after="0" w:line="255" w:lineRule="auto"/>
        <w:tabs>
          <w:tab w:leader="none" w:pos="1646"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liabilities for borrowed money and its redemption obligations in respect of mandatorily redeemable Preferred Stock;</w:t>
      </w:r>
    </w:p>
    <w:p>
      <w:pPr>
        <w:spacing w:after="0" w:line="159"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646"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liabilities for the deferred purchase price of property acquired by such Person (excluding accounts payable arising in the ordinary course of business but including all liabilities created or arising under any conditional sale or other title retention agreement with respect to any such property);</w:t>
      </w:r>
    </w:p>
    <w:p>
      <w:pPr>
        <w:spacing w:after="0" w:line="164" w:lineRule="exact"/>
        <w:rPr>
          <w:rFonts w:ascii="Courier New" w:cs="Courier New" w:eastAsia="Courier New" w:hAnsi="Courier New"/>
          <w:sz w:val="14"/>
          <w:szCs w:val="14"/>
          <w:color w:val="auto"/>
        </w:rPr>
      </w:pPr>
    </w:p>
    <w:p>
      <w:pPr>
        <w:jc w:val="both"/>
        <w:ind w:left="440" w:right="3339" w:firstLine="602"/>
        <w:spacing w:after="0" w:line="251" w:lineRule="auto"/>
        <w:tabs>
          <w:tab w:leader="none" w:pos="1646"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all liabilities appearing on its balance sheet in accordance with GAAP in respect of Capital Leases and (ii) all liabilities which would appear on its balance sheet in accordance with GAAP in respect of Synthetic Leases assuming such Synthetic Leases were accounted for as Capital Leases;</w:t>
      </w:r>
    </w:p>
    <w:p>
      <w:pPr>
        <w:spacing w:after="0" w:line="164" w:lineRule="exact"/>
        <w:rPr>
          <w:rFonts w:ascii="Courier New" w:cs="Courier New" w:eastAsia="Courier New" w:hAnsi="Courier New"/>
          <w:sz w:val="14"/>
          <w:szCs w:val="14"/>
          <w:color w:val="auto"/>
        </w:rPr>
      </w:pPr>
    </w:p>
    <w:p>
      <w:pPr>
        <w:jc w:val="both"/>
        <w:ind w:left="440" w:right="3339" w:firstLine="602"/>
        <w:spacing w:after="0" w:line="252" w:lineRule="auto"/>
        <w:tabs>
          <w:tab w:leader="none" w:pos="1646"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liabilities for borrowed money secured by any Lien with respect to any property owned by such Person (whether or not it has assumed or otherwise become liable for such liabilities);</w:t>
      </w:r>
    </w:p>
    <w:p>
      <w:pPr>
        <w:spacing w:after="0" w:line="162" w:lineRule="exact"/>
        <w:rPr>
          <w:rFonts w:ascii="Courier New" w:cs="Courier New" w:eastAsia="Courier New" w:hAnsi="Courier New"/>
          <w:sz w:val="14"/>
          <w:szCs w:val="14"/>
          <w:color w:val="auto"/>
        </w:rPr>
      </w:pPr>
    </w:p>
    <w:p>
      <w:pPr>
        <w:jc w:val="both"/>
        <w:ind w:left="440" w:right="3339" w:firstLine="602"/>
        <w:spacing w:after="0" w:line="252" w:lineRule="auto"/>
        <w:tabs>
          <w:tab w:leader="none" w:pos="1646"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its liabilities in respect of letters of credit or instruments serving a similar function issued or accepted for its account by banks and other financial institutions (whether or not representing obligations for borrowed money);</w:t>
      </w:r>
    </w:p>
    <w:p>
      <w:pPr>
        <w:spacing w:after="0" w:line="162" w:lineRule="exact"/>
        <w:rPr>
          <w:rFonts w:ascii="Courier New" w:cs="Courier New" w:eastAsia="Courier New" w:hAnsi="Courier New"/>
          <w:sz w:val="14"/>
          <w:szCs w:val="14"/>
          <w:color w:val="auto"/>
        </w:rPr>
      </w:pPr>
    </w:p>
    <w:p>
      <w:pPr>
        <w:ind w:left="440" w:right="3339" w:firstLine="602"/>
        <w:spacing w:after="0" w:line="255" w:lineRule="auto"/>
        <w:tabs>
          <w:tab w:leader="none" w:pos="1646"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Swap Termination Value of all Swap Contracts of such Person; and</w:t>
      </w:r>
    </w:p>
    <w:p>
      <w:pPr>
        <w:spacing w:after="0" w:line="159" w:lineRule="exact"/>
        <w:rPr>
          <w:rFonts w:ascii="Courier New" w:cs="Courier New" w:eastAsia="Courier New" w:hAnsi="Courier New"/>
          <w:sz w:val="14"/>
          <w:szCs w:val="14"/>
          <w:color w:val="auto"/>
        </w:rPr>
      </w:pPr>
    </w:p>
    <w:p>
      <w:pPr>
        <w:ind w:left="440" w:right="3339" w:firstLine="602"/>
        <w:spacing w:after="0" w:line="255" w:lineRule="auto"/>
        <w:tabs>
          <w:tab w:leader="none" w:pos="1646"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Guaranty of such Person with respect to liabilities of a type described in any of clauses (a) through (f) hereof.</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Indebtedness of any Person shall include all obligations of such Person of the character described in clauses (a) through (g) to the extent such Person remains legally liable in respect thereof notwithstanding that any such obligation is deemed to be extinguished under GAAP.</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"INSTITUTIONAL INVESTOR" means (a) any Purchaser of a Note, (b) any holder of a Note holding (together with one or more of its affiliates) more than 5% of the aggregate principal amount of the Notes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Note.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"INVESTMENT GRADE RATING" is defined in Section 8.3(f).</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"LIEN" 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ectPr>
          <w:pgSz w:w="11900" w:h="16838" w:orient="portrait"/>
          <w:cols w:equalWidth="0" w:num="1">
            <w:col w:w="10239"/>
          </w:cols>
          <w:pgMar w:left="220" w:top="616" w:right="1440" w:bottom="1440" w:gutter="0" w:footer="0" w:header="0"/>
        </w:sectPr>
      </w:pPr>
    </w:p>
    <w:bookmarkStart w:id="86" w:name="page87"/>
    <w:bookmarkEnd w:id="86"/>
    <w:p>
      <w:pPr>
        <w:ind w:left="440"/>
        <w:spacing w:after="0"/>
        <w:rPr>
          <w:sz w:val="20"/>
          <w:szCs w:val="20"/>
          <w:color w:val="auto"/>
        </w:rPr>
      </w:pPr>
      <w:r>
        <w:rPr>
          <w:rFonts w:ascii="Courier New" w:cs="Courier New" w:eastAsia="Courier New" w:hAnsi="Courier New"/>
          <w:sz w:val="14"/>
          <w:szCs w:val="14"/>
          <w:color w:val="auto"/>
        </w:rPr>
        <w:t>"MAKE-WHOLE AMOUNT" is defined in Section 8.7.</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"MATERIAL" means material in relation to the business, operations, affairs, financial condition, assets or properties of the Company and its Subsidiaries taken as a whole.</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"MATERIAL ADVERSE EFFECT" means a material adverse effect on (a) the business, operations, affairs, financial condition, assets or properties of the Company and its Subsidiaries taken as a whole, or (b) the ability of the Company to perform its obligations under this Agreement and the Notes, or (c) the validity or enforceability of this Agreement or the Notes.</w:t>
      </w:r>
    </w:p>
    <w:p>
      <w:pPr>
        <w:spacing w:after="0" w:line="165"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"MULTIEMPLOYER PLAN" means any Plan that is a "multiemployer plan" (as such term is defined in section 4001(a)(3) of ERISA).</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"NAIC" means the National Association of Insurance Commissioners or any successor thereto.</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"NOTES" is defined in Section 1.</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"OFFICER'S CERTIFICATE" means a certificate of a Senior Financial Officer or of any other officer of the Company whose responsibilities extend to the subject matter of such certificate.</w:t>
      </w:r>
    </w:p>
    <w:p>
      <w:pPr>
        <w:spacing w:after="0" w:line="16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"PBGC" means the Pension Benefit Guaranty Corporation referred to and defined in ERISA or any successor thereto.</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"PERSON" means an individual, partnership, corporation, limited liability company, association, trust, unincorporated organization, business entity or Governmental Authority.</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"PLAN" means an "employee benefit plan" (as defined in section 3(3) of ERISA) subject to Title I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"PREFERRED STOCK" means any class of capital stock of a Person that is preferred over any other class of capital stock (or similar equity interests) of such Person as to the payment of dividends or the payment of any amount upon liquidation or dissolution of such Person.</w:t>
      </w:r>
    </w:p>
    <w:p>
      <w:pPr>
        <w:spacing w:after="0" w:line="162" w:lineRule="exact"/>
        <w:rPr>
          <w:sz w:val="20"/>
          <w:szCs w:val="20"/>
          <w:color w:val="auto"/>
        </w:rPr>
      </w:pPr>
    </w:p>
    <w:p>
      <w:pPr>
        <w:jc w:val="both"/>
        <w:ind w:right="3339" w:firstLine="431"/>
        <w:spacing w:after="0" w:line="257" w:lineRule="auto"/>
        <w:rPr>
          <w:sz w:val="20"/>
          <w:szCs w:val="20"/>
          <w:color w:val="auto"/>
        </w:rPr>
      </w:pPr>
      <w:r>
        <w:rPr>
          <w:rFonts w:ascii="Courier New" w:cs="Courier New" w:eastAsia="Courier New" w:hAnsi="Courier New"/>
          <w:sz w:val="14"/>
          <w:szCs w:val="14"/>
          <w:color w:val="auto"/>
        </w:rPr>
        <w:t>"PROPERTY" or "PROPERTIES" means, unless otherwise specifically limited, real or personal property of any kind, tangible or intangible, choate or inchoate.</w:t>
      </w:r>
    </w:p>
    <w:p>
      <w:pPr>
        <w:spacing w:after="0" w:line="32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"PROPOSED PREPAYMENT DATE" is defined in Section 8.3(b).</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"PTE" is defined in Section 6.2(a).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"PURCHASER" is defined in the first paragraph of this Agreement.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firstLine="431"/>
        <w:spacing w:after="0" w:line="252" w:lineRule="auto"/>
        <w:rPr>
          <w:sz w:val="20"/>
          <w:szCs w:val="20"/>
          <w:color w:val="auto"/>
        </w:rPr>
      </w:pPr>
      <w:r>
        <w:rPr>
          <w:rFonts w:ascii="Courier New" w:cs="Courier New" w:eastAsia="Courier New" w:hAnsi="Courier New"/>
          <w:sz w:val="14"/>
          <w:szCs w:val="14"/>
          <w:color w:val="auto"/>
        </w:rPr>
        <w:t>"QUALIFIED INSTITUTIONAL BUYER" means institutional buyer" within the meaning 144A(a)(1) under the Securities Act.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any</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of such</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spacing w:after="0"/>
        <w:tabs>
          <w:tab w:leader="none" w:pos="680" w:val="left"/>
          <w:tab w:leader="none" w:pos="1540" w:val="left"/>
        </w:tabs>
        <w:rPr>
          <w:sz w:val="20"/>
          <w:szCs w:val="20"/>
          <w:color w:val="auto"/>
        </w:rPr>
      </w:pPr>
      <w:r>
        <w:rPr>
          <w:rFonts w:ascii="Courier New" w:cs="Courier New" w:eastAsia="Courier New" w:hAnsi="Courier New"/>
          <w:sz w:val="14"/>
          <w:szCs w:val="14"/>
          <w:color w:val="auto"/>
        </w:rPr>
        <w:t>Person</w:t>
        <w:tab/>
        <w:t>who is a</w:t>
        <w:tab/>
        <w:t>"qualified</w:t>
      </w:r>
    </w:p>
    <w:p>
      <w:pPr>
        <w:spacing w:after="0" w:line="7" w:lineRule="exact"/>
        <w:rPr>
          <w:sz w:val="20"/>
          <w:szCs w:val="20"/>
          <w:color w:val="auto"/>
        </w:rPr>
      </w:pPr>
    </w:p>
    <w:p>
      <w:pPr>
        <w:jc w:val="right"/>
        <w:ind w:right="3339"/>
        <w:spacing w:after="0"/>
        <w:tabs>
          <w:tab w:leader="none" w:pos="1100" w:val="left"/>
        </w:tabs>
        <w:rPr>
          <w:sz w:val="20"/>
          <w:szCs w:val="20"/>
          <w:color w:val="auto"/>
        </w:rPr>
      </w:pPr>
      <w:r>
        <w:rPr>
          <w:rFonts w:ascii="Courier New" w:cs="Courier New" w:eastAsia="Courier New" w:hAnsi="Courier New"/>
          <w:sz w:val="14"/>
          <w:szCs w:val="14"/>
          <w:color w:val="auto"/>
        </w:rPr>
        <w:t>term as set</w:t>
        <w:tab/>
        <w:t>forth in Rule</w:t>
      </w:r>
    </w:p>
    <w:p>
      <w:pPr>
        <w:spacing w:after="0" w:line="338" w:lineRule="exact"/>
        <w:rPr>
          <w:sz w:val="20"/>
          <w:szCs w:val="20"/>
          <w:color w:val="auto"/>
        </w:rPr>
      </w:pPr>
    </w:p>
    <w:p>
      <w:pPr>
        <w:sectPr>
          <w:pgSz w:w="11900" w:h="16838" w:orient="portrait"/>
          <w:cols w:equalWidth="0" w:num="3">
            <w:col w:w="3880" w:space="0"/>
            <w:col w:w="600" w:space="0"/>
            <w:col w:w="575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- 6 -</w:t>
      </w:r>
    </w:p>
    <w:p>
      <w:pPr>
        <w:sectPr>
          <w:pgSz w:w="11900" w:h="16838" w:orient="portrait"/>
          <w:cols w:equalWidth="0" w:num="1">
            <w:col w:w="10239"/>
          </w:cols>
          <w:pgMar w:left="220" w:top="616" w:right="1440" w:bottom="1440" w:gutter="0" w:footer="0" w:header="0"/>
          <w:type w:val="continuous"/>
        </w:sectPr>
      </w:pPr>
    </w:p>
    <w:bookmarkStart w:id="87" w:name="page88"/>
    <w:bookmarkEnd w:id="87"/>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"RELATED FUND" means, with respect to any holder of any Note, any fund or entity that (i) invests in Securities or bank loans, and (ii) is advised or managed by such holder, the same investment advisor as such holder or by an affiliate of such holder or such investment advisor.</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"REQUIRED HOLDERS" means, at any time, the holders of at least 51% in principal amount of the Notes at the time outstanding (exclusive of Notes then owned by the Company or any of its Affiliates).</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"RESPONSIBLE OFFICER" means any Senior Financial Officer and any other officer of the Company with responsibility for the administration of the relevant portion of this Agreement.</w:t>
      </w:r>
    </w:p>
    <w:p>
      <w:pPr>
        <w:spacing w:after="0" w:line="16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"SEC" shall mean the Securities and Exchange Commission of the United States, or any successor thereto.</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"SECURITIES" OR "SECURITY" shall have the meaning specified in Section 2(1) of the Securities Act.</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"SECURITIES ACT" means the Securities Act of 1933, as amended from time to time, and the rules and regulations promulgated thereunder from time to time in effect.</w:t>
      </w:r>
    </w:p>
    <w:p>
      <w:pPr>
        <w:spacing w:after="0" w:line="16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"SENIOR FINANCIAL OFFICER" means the chief financial officer, principal accounting officer, treasurer or comptroller of the Company.</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"SIGNIFICANT SUBSIDIARY" has the meaning set forth in Item 1.02(w) of Regulation S-X under the Securities Act.</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"SUBSIDIARY" means, as to any Person, any other Person in which such first Person or one or 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16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"SVO" means the Securities Valuation Office of the NAIC or any successor to such Office.</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"SWAP CONTRACT" means (a) any and all interest rate swap transactions, basis swap transactions, basis swaps, credit derivative transactions, forward rate transactions, commodity swaps, commodity options, forward commodity contracts, equity or equity index swaps or options, bond or bond price or bond index swaps or options or forward foreign exchange transactions, cap transactions, floor transactions, currency options, spot contracts or any other similar transactions or any of the foregoing (including, but without limitation, any options to enter into any of the foregoing), and (b) any and all transactions of any kind, and the related confirmations, which are subject to the terms and conditions of, or governed by, any form of</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- 7 -</w:t>
      </w:r>
    </w:p>
    <w:p>
      <w:pPr>
        <w:sectPr>
          <w:pgSz w:w="11900" w:h="16838" w:orient="portrait"/>
          <w:cols w:equalWidth="0" w:num="1">
            <w:col w:w="10239"/>
          </w:cols>
          <w:pgMar w:left="220" w:top="616" w:right="1440" w:bottom="1440" w:gutter="0" w:footer="0" w:header="0"/>
        </w:sectPr>
      </w:pPr>
    </w:p>
    <w:bookmarkStart w:id="88" w:name="page89"/>
    <w:bookmarkEnd w:id="88"/>
    <w:p>
      <w:pPr>
        <w:jc w:val="both"/>
        <w:ind w:right="3339"/>
        <w:spacing w:after="0" w:line="255" w:lineRule="auto"/>
        <w:rPr>
          <w:sz w:val="20"/>
          <w:szCs w:val="20"/>
          <w:color w:val="auto"/>
        </w:rPr>
      </w:pPr>
      <w:r>
        <w:rPr>
          <w:rFonts w:ascii="Courier New" w:cs="Courier New" w:eastAsia="Courier New" w:hAnsi="Courier New"/>
          <w:sz w:val="14"/>
          <w:szCs w:val="14"/>
          <w:color w:val="auto"/>
        </w:rPr>
        <w:t>master agreement published by the International Swaps and Derivatives Association, Inc., any International Foreign Exchange Master Agreement.</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"SWAP TERMINATION VALUE"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amounts(s) determined as the mark-to-market values(s) for such Swap Contracts, as determined based upon one or more mid-market or other readily available quotations provided by any recognized dealer in such Swap Contracts.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"SWL&amp;P" is defined in Section 5.4(d).</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"SYNTHETIC LEASE" means, at any time, any lease (including leases that may be terminated by the lessee at any time) of any property (a) that is accounted for as an operating lease under GAAP and (b) in respect of which the lessee retains or obtains ownership of the property so leased for U.S. federal income tax purposes, other than any such lease under which such Person is the lessor.</w:t>
      </w:r>
    </w:p>
    <w:p>
      <w:pPr>
        <w:spacing w:after="0" w:line="165"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"TOTAL CAPITAL" means, as of any date of determination, the sum of Consolidated Net Worth and Funded Debt.</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"USA PATRIOT ACT" means United States Public Law 107-56, Uniting and Strengthening America by Providing Appropriate Tools Required to Intercept and Obstruct Terrorism (USA PATRIOT ACT) Act of 2001, as amended from time to time, and the rules and regulations promulgated thereunder from time to time in effect.</w:t>
      </w:r>
    </w:p>
    <w:p>
      <w:pPr>
        <w:spacing w:after="0" w:line="328"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"UTILITY PROPERTY" means all property and assets of the Company and its Subsidiaries used principally in the electric, natural gas and water operations that are regulated by applicable Governmental Authorities.</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"WHOLLY-OWNED SUBSIDIARY" means, at any time, any Subsidiary one hundred percent of all of the equity interests (except directors' qualifying shares) and voting interests of which are owned by any one or more of the Company and the Company's other Wholly-Owned Subsidiaries at such time.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- 8 -</w:t>
      </w:r>
    </w:p>
    <w:p>
      <w:pPr>
        <w:sectPr>
          <w:pgSz w:w="11900" w:h="16838" w:orient="portrait"/>
          <w:cols w:equalWidth="0" w:num="1">
            <w:col w:w="10239"/>
          </w:cols>
          <w:pgMar w:left="220" w:top="616" w:right="1440" w:bottom="1440" w:gutter="0" w:footer="0" w:header="0"/>
        </w:sectPr>
      </w:pPr>
    </w:p>
    <w:bookmarkStart w:id="89" w:name="page90"/>
    <w:bookmarkEnd w:id="89"/>
    <w:p>
      <w:pPr>
        <w:jc w:val="center"/>
        <w:ind w:right="4640"/>
        <w:spacing w:after="0"/>
        <w:rPr>
          <w:sz w:val="20"/>
          <w:szCs w:val="20"/>
          <w:color w:val="auto"/>
        </w:rPr>
      </w:pPr>
      <w:r>
        <w:rPr>
          <w:rFonts w:ascii="Courier New" w:cs="Courier New" w:eastAsia="Courier New" w:hAnsi="Courier New"/>
          <w:sz w:val="14"/>
          <w:szCs w:val="14"/>
          <w:color w:val="auto"/>
        </w:rPr>
        <w:t>SCHEDULE 5.4</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SUBSIDIARIES OF THE COMPANY AND OWNERSHIP OF SUBSIDIARY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5.4(a)</w:t>
      </w:r>
    </w:p>
    <w:p>
      <w:pPr>
        <w:spacing w:after="0" w:line="338" w:lineRule="exact"/>
        <w:rPr>
          <w:sz w:val="20"/>
          <w:szCs w:val="20"/>
          <w:color w:val="auto"/>
        </w:rPr>
      </w:pPr>
    </w:p>
    <w:p>
      <w:pPr>
        <w:ind w:left="180" w:hanging="172"/>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w:t>
      </w:r>
    </w:p>
    <w:p>
      <w:pPr>
        <w:spacing w:after="0" w:line="7" w:lineRule="exact"/>
        <w:rPr>
          <w:sz w:val="20"/>
          <w:szCs w:val="20"/>
          <w:color w:val="auto"/>
        </w:rPr>
      </w:pPr>
    </w:p>
    <w:p>
      <w:pPr>
        <w:ind w:left="2420"/>
        <w:spacing w:after="0"/>
        <w:tabs>
          <w:tab w:leader="none" w:pos="9980" w:val="left"/>
        </w:tabs>
        <w:rPr>
          <w:sz w:val="20"/>
          <w:szCs w:val="20"/>
          <w:color w:val="auto"/>
        </w:rPr>
      </w:pPr>
      <w:r>
        <w:rPr>
          <w:rFonts w:ascii="Courier New" w:cs="Courier New" w:eastAsia="Courier New" w:hAnsi="Courier New"/>
          <w:sz w:val="14"/>
          <w:szCs w:val="14"/>
          <w:color w:val="auto"/>
        </w:rPr>
        <w:t>OF</w:t>
      </w:r>
      <w:r>
        <w:rPr>
          <w:sz w:val="20"/>
          <w:szCs w:val="20"/>
          <w:color w:val="auto"/>
        </w:rPr>
        <w:tab/>
      </w:r>
      <w:r>
        <w:rPr>
          <w:rFonts w:ascii="Courier New" w:cs="Courier New" w:eastAsia="Courier New" w:hAnsi="Courier New"/>
          <w:sz w:val="14"/>
          <w:szCs w:val="14"/>
          <w:color w:val="auto"/>
        </w:rPr>
        <w:t>PERCENT</w:t>
      </w:r>
    </w:p>
    <w:p>
      <w:pPr>
        <w:spacing w:after="0" w:line="7" w:lineRule="exact"/>
        <w:rPr>
          <w:sz w:val="20"/>
          <w:szCs w:val="20"/>
          <w:color w:val="auto"/>
        </w:rPr>
      </w:pPr>
    </w:p>
    <w:p>
      <w:pPr>
        <w:ind w:left="180"/>
        <w:spacing w:after="0"/>
        <w:tabs>
          <w:tab w:leader="none" w:pos="9900" w:val="left"/>
        </w:tabs>
        <w:rPr>
          <w:sz w:val="20"/>
          <w:szCs w:val="20"/>
          <w:color w:val="auto"/>
        </w:rPr>
      </w:pPr>
      <w:r>
        <w:rPr>
          <w:rFonts w:ascii="Courier New" w:cs="Courier New" w:eastAsia="Courier New" w:hAnsi="Courier New"/>
          <w:sz w:val="14"/>
          <w:szCs w:val="14"/>
          <w:color w:val="auto"/>
        </w:rPr>
        <w:t>ALLETE, INC. (D/B/A ALLETE; MINNESOTA POWER; MINNESOTA</w:t>
      </w:r>
      <w:r>
        <w:rPr>
          <w:sz w:val="20"/>
          <w:szCs w:val="20"/>
          <w:color w:val="auto"/>
        </w:rPr>
        <w:tab/>
      </w:r>
      <w:r>
        <w:rPr>
          <w:rFonts w:ascii="Courier New" w:cs="Courier New" w:eastAsia="Courier New" w:hAnsi="Courier New"/>
          <w:sz w:val="14"/>
          <w:szCs w:val="14"/>
          <w:color w:val="auto"/>
        </w:rPr>
        <w:t>OF VOTING</w:t>
      </w:r>
    </w:p>
    <w:p>
      <w:pPr>
        <w:spacing w:after="0" w:line="7" w:lineRule="exact"/>
        <w:rPr>
          <w:sz w:val="20"/>
          <w:szCs w:val="20"/>
          <w:color w:val="auto"/>
        </w:rPr>
      </w:pPr>
    </w:p>
    <w:p>
      <w:pPr>
        <w:spacing w:after="0"/>
        <w:tabs>
          <w:tab w:leader="none" w:pos="7400" w:val="left"/>
          <w:tab w:leader="none" w:pos="10060" w:val="left"/>
        </w:tabs>
        <w:rPr>
          <w:sz w:val="20"/>
          <w:szCs w:val="20"/>
          <w:color w:val="auto"/>
        </w:rPr>
      </w:pPr>
      <w:r>
        <w:rPr>
          <w:rFonts w:ascii="Courier New" w:cs="Courier New" w:eastAsia="Courier New" w:hAnsi="Courier New"/>
          <w:sz w:val="14"/>
          <w:szCs w:val="14"/>
          <w:color w:val="auto"/>
        </w:rPr>
        <w:t>POWER, INC.; MINNESOTA POWER &amp; LIGHT COMPANY; MPEX; MPEX</w:t>
      </w:r>
      <w:r>
        <w:rPr>
          <w:sz w:val="20"/>
          <w:szCs w:val="20"/>
          <w:color w:val="auto"/>
        </w:rPr>
        <w:tab/>
      </w:r>
      <w:r>
        <w:rPr>
          <w:rFonts w:ascii="Courier New" w:cs="Courier New" w:eastAsia="Courier New" w:hAnsi="Courier New"/>
          <w:sz w:val="14"/>
          <w:szCs w:val="14"/>
          <w:color w:val="auto"/>
        </w:rPr>
        <w:t>STATE OF</w:t>
      </w:r>
      <w:r>
        <w:rPr>
          <w:sz w:val="20"/>
          <w:szCs w:val="20"/>
          <w:color w:val="auto"/>
        </w:rPr>
        <w:tab/>
      </w:r>
      <w:r>
        <w:rPr>
          <w:rFonts w:ascii="Courier New" w:cs="Courier New" w:eastAsia="Courier New" w:hAnsi="Courier New"/>
          <w:sz w:val="14"/>
          <w:szCs w:val="14"/>
          <w:color w:val="auto"/>
        </w:rPr>
        <w:t>STOCK</w:t>
      </w:r>
    </w:p>
    <w:p>
      <w:pPr>
        <w:spacing w:after="0" w:line="7" w:lineRule="exact"/>
        <w:rPr>
          <w:sz w:val="20"/>
          <w:szCs w:val="20"/>
          <w:color w:val="auto"/>
        </w:rPr>
      </w:pPr>
    </w:p>
    <w:p>
      <w:pPr>
        <w:ind w:left="1120"/>
        <w:spacing w:after="0"/>
        <w:tabs>
          <w:tab w:leader="none" w:pos="7220" w:val="left"/>
          <w:tab w:leader="none" w:pos="10060" w:val="left"/>
        </w:tabs>
        <w:rPr>
          <w:sz w:val="20"/>
          <w:szCs w:val="20"/>
          <w:color w:val="auto"/>
        </w:rPr>
      </w:pPr>
      <w:r>
        <w:rPr>
          <w:rFonts w:ascii="Courier New" w:cs="Courier New" w:eastAsia="Courier New" w:hAnsi="Courier New"/>
          <w:sz w:val="14"/>
          <w:szCs w:val="14"/>
          <w:color w:val="auto"/>
        </w:rPr>
        <w:t>A DIVISION OF MINNESOTA POWER)</w:t>
      </w:r>
      <w:r>
        <w:rPr>
          <w:sz w:val="20"/>
          <w:szCs w:val="20"/>
          <w:color w:val="auto"/>
        </w:rPr>
        <w:tab/>
      </w:r>
      <w:r>
        <w:rPr>
          <w:rFonts w:ascii="Courier New" w:cs="Courier New" w:eastAsia="Courier New" w:hAnsi="Courier New"/>
          <w:sz w:val="14"/>
          <w:szCs w:val="14"/>
          <w:color w:val="auto"/>
        </w:rPr>
        <w:t>ORGANIZATION</w:t>
      </w:r>
      <w:r>
        <w:rPr>
          <w:sz w:val="20"/>
          <w:szCs w:val="20"/>
          <w:color w:val="auto"/>
        </w:rPr>
        <w:tab/>
      </w:r>
      <w:r>
        <w:rPr>
          <w:rFonts w:ascii="Courier New" w:cs="Courier New" w:eastAsia="Courier New" w:hAnsi="Courier New"/>
          <w:sz w:val="14"/>
          <w:szCs w:val="14"/>
          <w:color w:val="auto"/>
        </w:rPr>
        <w:t>OWNED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3" w:lineRule="exact"/>
        <w:rPr>
          <w:sz w:val="20"/>
          <w:szCs w:val="20"/>
          <w:color w:val="auto"/>
        </w:rPr>
      </w:pPr>
    </w:p>
    <w:p>
      <w:pPr>
        <w:spacing w:after="0"/>
        <w:tabs>
          <w:tab w:leader="none" w:pos="7300" w:val="left"/>
          <w:tab w:leader="none" w:pos="10160" w:val="left"/>
        </w:tabs>
        <w:rPr>
          <w:sz w:val="20"/>
          <w:szCs w:val="20"/>
          <w:color w:val="auto"/>
        </w:rPr>
      </w:pPr>
      <w:r>
        <w:rPr>
          <w:rFonts w:ascii="Courier New" w:cs="Courier New" w:eastAsia="Courier New" w:hAnsi="Courier New"/>
          <w:sz w:val="14"/>
          <w:szCs w:val="14"/>
          <w:color w:val="auto"/>
        </w:rPr>
        <w:t>ALLETE Automotive Services, LLC</w:t>
      </w:r>
      <w:r>
        <w:rPr>
          <w:sz w:val="20"/>
          <w:szCs w:val="20"/>
          <w:color w:val="auto"/>
        </w:rPr>
        <w:tab/>
      </w:r>
      <w:r>
        <w:rPr>
          <w:rFonts w:ascii="Courier New" w:cs="Courier New" w:eastAsia="Courier New" w:hAnsi="Courier New"/>
          <w:sz w:val="14"/>
          <w:szCs w:val="14"/>
          <w:color w:val="auto"/>
        </w:rPr>
        <w:t>Minnesota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7300" w:val="left"/>
          <w:tab w:leader="none" w:pos="10160" w:val="left"/>
        </w:tabs>
        <w:rPr>
          <w:sz w:val="20"/>
          <w:szCs w:val="20"/>
          <w:color w:val="auto"/>
        </w:rPr>
      </w:pPr>
      <w:r>
        <w:rPr>
          <w:rFonts w:ascii="Courier New" w:cs="Courier New" w:eastAsia="Courier New" w:hAnsi="Courier New"/>
          <w:sz w:val="14"/>
          <w:szCs w:val="14"/>
          <w:color w:val="auto"/>
        </w:rPr>
        <w:t>ALLETE Properties, LLC (d/b/a ALLETE Properties)</w:t>
      </w:r>
      <w:r>
        <w:rPr>
          <w:sz w:val="20"/>
          <w:szCs w:val="20"/>
          <w:color w:val="auto"/>
        </w:rPr>
        <w:tab/>
      </w:r>
      <w:r>
        <w:rPr>
          <w:rFonts w:ascii="Courier New" w:cs="Courier New" w:eastAsia="Courier New" w:hAnsi="Courier New"/>
          <w:sz w:val="14"/>
          <w:szCs w:val="14"/>
          <w:color w:val="auto"/>
        </w:rPr>
        <w:t>Minnesota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440"/>
        <w:spacing w:after="0"/>
        <w:tabs>
          <w:tab w:leader="none" w:pos="7400" w:val="left"/>
          <w:tab w:leader="none" w:pos="10160" w:val="left"/>
        </w:tabs>
        <w:rPr>
          <w:sz w:val="20"/>
          <w:szCs w:val="20"/>
          <w:color w:val="auto"/>
        </w:rPr>
      </w:pPr>
      <w:r>
        <w:rPr>
          <w:rFonts w:ascii="Courier New" w:cs="Courier New" w:eastAsia="Courier New" w:hAnsi="Courier New"/>
          <w:sz w:val="14"/>
          <w:szCs w:val="14"/>
          <w:color w:val="auto"/>
        </w:rPr>
        <w:t>ALLETE Commercial, LLC</w:t>
      </w:r>
      <w:r>
        <w:rPr>
          <w:sz w:val="20"/>
          <w:szCs w:val="20"/>
          <w:color w:val="auto"/>
        </w:rPr>
        <w:tab/>
      </w:r>
      <w:r>
        <w:rPr>
          <w:rFonts w:ascii="Courier New" w:cs="Courier New" w:eastAsia="Courier New" w:hAnsi="Courier New"/>
          <w:sz w:val="14"/>
          <w:szCs w:val="14"/>
          <w:color w:val="auto"/>
        </w:rPr>
        <w:t>Florida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440"/>
        <w:spacing w:after="0"/>
        <w:tabs>
          <w:tab w:leader="none" w:pos="7400" w:val="left"/>
          <w:tab w:leader="none" w:pos="10160" w:val="left"/>
        </w:tabs>
        <w:rPr>
          <w:sz w:val="20"/>
          <w:szCs w:val="20"/>
          <w:color w:val="auto"/>
        </w:rPr>
      </w:pPr>
      <w:r>
        <w:rPr>
          <w:rFonts w:ascii="Courier New" w:cs="Courier New" w:eastAsia="Courier New" w:hAnsi="Courier New"/>
          <w:sz w:val="14"/>
          <w:szCs w:val="14"/>
          <w:color w:val="auto"/>
        </w:rPr>
        <w:t>Cape Coral Holdings, Inc.</w:t>
      </w:r>
      <w:r>
        <w:rPr>
          <w:sz w:val="20"/>
          <w:szCs w:val="20"/>
          <w:color w:val="auto"/>
        </w:rPr>
        <w:tab/>
      </w:r>
      <w:r>
        <w:rPr>
          <w:rFonts w:ascii="Courier New" w:cs="Courier New" w:eastAsia="Courier New" w:hAnsi="Courier New"/>
          <w:sz w:val="14"/>
          <w:szCs w:val="14"/>
          <w:color w:val="auto"/>
        </w:rPr>
        <w:t>Florida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440"/>
        <w:spacing w:after="0"/>
        <w:tabs>
          <w:tab w:leader="none" w:pos="7400" w:val="left"/>
          <w:tab w:leader="none" w:pos="10160" w:val="left"/>
        </w:tabs>
        <w:rPr>
          <w:sz w:val="20"/>
          <w:szCs w:val="20"/>
          <w:color w:val="auto"/>
        </w:rPr>
      </w:pPr>
      <w:r>
        <w:rPr>
          <w:rFonts w:ascii="Courier New" w:cs="Courier New" w:eastAsia="Courier New" w:hAnsi="Courier New"/>
          <w:sz w:val="14"/>
          <w:szCs w:val="14"/>
          <w:color w:val="auto"/>
        </w:rPr>
        <w:t>Cape Properties, Inc.</w:t>
      </w:r>
      <w:r>
        <w:rPr>
          <w:sz w:val="20"/>
          <w:szCs w:val="20"/>
          <w:color w:val="auto"/>
        </w:rPr>
        <w:tab/>
      </w:r>
      <w:r>
        <w:rPr>
          <w:rFonts w:ascii="Courier New" w:cs="Courier New" w:eastAsia="Courier New" w:hAnsi="Courier New"/>
          <w:sz w:val="14"/>
          <w:szCs w:val="14"/>
          <w:color w:val="auto"/>
        </w:rPr>
        <w:t>Florida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440"/>
        <w:spacing w:after="0"/>
        <w:tabs>
          <w:tab w:leader="none" w:pos="7400" w:val="left"/>
          <w:tab w:leader="none" w:pos="10240" w:val="left"/>
        </w:tabs>
        <w:rPr>
          <w:sz w:val="20"/>
          <w:szCs w:val="20"/>
          <w:color w:val="auto"/>
        </w:rPr>
      </w:pPr>
      <w:r>
        <w:rPr>
          <w:rFonts w:ascii="Courier New" w:cs="Courier New" w:eastAsia="Courier New" w:hAnsi="Courier New"/>
          <w:sz w:val="14"/>
          <w:szCs w:val="14"/>
          <w:color w:val="auto"/>
        </w:rPr>
        <w:t>Lehigh Acquisition Corporation</w:t>
      </w:r>
      <w:r>
        <w:rPr>
          <w:sz w:val="20"/>
          <w:szCs w:val="20"/>
          <w:color w:val="auto"/>
        </w:rPr>
        <w:tab/>
      </w:r>
      <w:r>
        <w:rPr>
          <w:rFonts w:ascii="Courier New" w:cs="Courier New" w:eastAsia="Courier New" w:hAnsi="Courier New"/>
          <w:sz w:val="14"/>
          <w:szCs w:val="14"/>
          <w:color w:val="auto"/>
        </w:rPr>
        <w:t>Delaware</w:t>
      </w:r>
      <w:r>
        <w:rPr>
          <w:sz w:val="20"/>
          <w:szCs w:val="20"/>
          <w:color w:val="auto"/>
        </w:rPr>
        <w:tab/>
      </w:r>
      <w:r>
        <w:rPr>
          <w:rFonts w:ascii="Courier New" w:cs="Courier New" w:eastAsia="Courier New" w:hAnsi="Courier New"/>
          <w:sz w:val="14"/>
          <w:szCs w:val="14"/>
          <w:color w:val="auto"/>
        </w:rPr>
        <w:t>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960"/>
        <w:spacing w:after="0"/>
        <w:tabs>
          <w:tab w:leader="none" w:pos="7400" w:val="left"/>
          <w:tab w:leader="none" w:pos="10240" w:val="left"/>
        </w:tabs>
        <w:rPr>
          <w:sz w:val="20"/>
          <w:szCs w:val="20"/>
          <w:color w:val="auto"/>
        </w:rPr>
      </w:pPr>
      <w:r>
        <w:rPr>
          <w:rFonts w:ascii="Courier New" w:cs="Courier New" w:eastAsia="Courier New" w:hAnsi="Courier New"/>
          <w:sz w:val="14"/>
          <w:szCs w:val="14"/>
          <w:color w:val="auto"/>
        </w:rPr>
        <w:t>Florida Landmark Communities, Inc.</w:t>
      </w:r>
      <w:r>
        <w:rPr>
          <w:sz w:val="20"/>
          <w:szCs w:val="20"/>
          <w:color w:val="auto"/>
        </w:rPr>
        <w:tab/>
      </w:r>
      <w:r>
        <w:rPr>
          <w:rFonts w:ascii="Courier New" w:cs="Courier New" w:eastAsia="Courier New" w:hAnsi="Courier New"/>
          <w:sz w:val="14"/>
          <w:szCs w:val="14"/>
          <w:color w:val="auto"/>
        </w:rPr>
        <w:t>Florida</w:t>
      </w:r>
      <w:r>
        <w:rPr>
          <w:sz w:val="20"/>
          <w:szCs w:val="20"/>
          <w:color w:val="auto"/>
        </w:rPr>
        <w:tab/>
      </w:r>
      <w:r>
        <w:rPr>
          <w:rFonts w:ascii="Courier New" w:cs="Courier New" w:eastAsia="Courier New" w:hAnsi="Courier New"/>
          <w:sz w:val="14"/>
          <w:szCs w:val="14"/>
          <w:color w:val="auto"/>
        </w:rPr>
        <w:t>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560"/>
        <w:spacing w:after="0"/>
        <w:tabs>
          <w:tab w:leader="none" w:pos="7300" w:val="left"/>
          <w:tab w:leader="none" w:pos="10240" w:val="left"/>
        </w:tabs>
        <w:rPr>
          <w:sz w:val="20"/>
          <w:szCs w:val="20"/>
          <w:color w:val="auto"/>
        </w:rPr>
      </w:pPr>
      <w:r>
        <w:rPr>
          <w:rFonts w:ascii="Courier New" w:cs="Courier New" w:eastAsia="Courier New" w:hAnsi="Courier New"/>
          <w:sz w:val="14"/>
          <w:szCs w:val="14"/>
          <w:color w:val="auto"/>
        </w:rPr>
        <w:t>Cliffside Properties, Inc.</w:t>
      </w:r>
      <w:r>
        <w:rPr>
          <w:sz w:val="20"/>
          <w:szCs w:val="20"/>
          <w:color w:val="auto"/>
        </w:rPr>
        <w:tab/>
      </w:r>
      <w:r>
        <w:rPr>
          <w:rFonts w:ascii="Courier New" w:cs="Courier New" w:eastAsia="Courier New" w:hAnsi="Courier New"/>
          <w:sz w:val="14"/>
          <w:szCs w:val="14"/>
          <w:color w:val="auto"/>
        </w:rPr>
        <w:t>California</w:t>
      </w:r>
      <w:r>
        <w:rPr>
          <w:sz w:val="20"/>
          <w:szCs w:val="20"/>
          <w:color w:val="auto"/>
        </w:rPr>
        <w:tab/>
      </w:r>
      <w:r>
        <w:rPr>
          <w:rFonts w:ascii="Courier New" w:cs="Courier New" w:eastAsia="Courier New" w:hAnsi="Courier New"/>
          <w:sz w:val="14"/>
          <w:szCs w:val="14"/>
          <w:color w:val="auto"/>
        </w:rPr>
        <w:t>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560"/>
        <w:spacing w:after="0"/>
        <w:tabs>
          <w:tab w:leader="none" w:pos="7400" w:val="left"/>
          <w:tab w:leader="none" w:pos="10240" w:val="left"/>
        </w:tabs>
        <w:rPr>
          <w:sz w:val="20"/>
          <w:szCs w:val="20"/>
          <w:color w:val="auto"/>
        </w:rPr>
      </w:pPr>
      <w:r>
        <w:rPr>
          <w:rFonts w:ascii="Courier New" w:cs="Courier New" w:eastAsia="Courier New" w:hAnsi="Courier New"/>
          <w:sz w:val="14"/>
          <w:szCs w:val="14"/>
          <w:color w:val="auto"/>
        </w:rPr>
        <w:t>Enterprise Lehigh, Inc.</w:t>
      </w:r>
      <w:r>
        <w:rPr>
          <w:sz w:val="20"/>
          <w:szCs w:val="20"/>
          <w:color w:val="auto"/>
        </w:rPr>
        <w:tab/>
      </w:r>
      <w:r>
        <w:rPr>
          <w:rFonts w:ascii="Courier New" w:cs="Courier New" w:eastAsia="Courier New" w:hAnsi="Courier New"/>
          <w:sz w:val="14"/>
          <w:szCs w:val="14"/>
          <w:color w:val="auto"/>
        </w:rPr>
        <w:t>Florida</w:t>
      </w:r>
      <w:r>
        <w:rPr>
          <w:sz w:val="20"/>
          <w:szCs w:val="20"/>
          <w:color w:val="auto"/>
        </w:rPr>
        <w:tab/>
      </w:r>
      <w:r>
        <w:rPr>
          <w:rFonts w:ascii="Courier New" w:cs="Courier New" w:eastAsia="Courier New" w:hAnsi="Courier New"/>
          <w:sz w:val="14"/>
          <w:szCs w:val="14"/>
          <w:color w:val="auto"/>
        </w:rPr>
        <w:t>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560"/>
        <w:spacing w:after="0"/>
        <w:tabs>
          <w:tab w:leader="none" w:pos="7400" w:val="left"/>
          <w:tab w:leader="none" w:pos="10240" w:val="left"/>
        </w:tabs>
        <w:rPr>
          <w:sz w:val="20"/>
          <w:szCs w:val="20"/>
          <w:color w:val="auto"/>
        </w:rPr>
      </w:pPr>
      <w:r>
        <w:rPr>
          <w:rFonts w:ascii="Courier New" w:cs="Courier New" w:eastAsia="Courier New" w:hAnsi="Courier New"/>
          <w:sz w:val="14"/>
          <w:szCs w:val="14"/>
          <w:color w:val="auto"/>
        </w:rPr>
        <w:t>Lehigh Corporation</w:t>
      </w:r>
      <w:r>
        <w:rPr>
          <w:sz w:val="20"/>
          <w:szCs w:val="20"/>
          <w:color w:val="auto"/>
        </w:rPr>
        <w:tab/>
      </w:r>
      <w:r>
        <w:rPr>
          <w:rFonts w:ascii="Courier New" w:cs="Courier New" w:eastAsia="Courier New" w:hAnsi="Courier New"/>
          <w:sz w:val="14"/>
          <w:szCs w:val="14"/>
          <w:color w:val="auto"/>
        </w:rPr>
        <w:t>Florida</w:t>
      </w:r>
      <w:r>
        <w:rPr>
          <w:sz w:val="20"/>
          <w:szCs w:val="20"/>
          <w:color w:val="auto"/>
        </w:rPr>
        <w:tab/>
      </w:r>
      <w:r>
        <w:rPr>
          <w:rFonts w:ascii="Courier New" w:cs="Courier New" w:eastAsia="Courier New" w:hAnsi="Courier New"/>
          <w:sz w:val="14"/>
          <w:szCs w:val="14"/>
          <w:color w:val="auto"/>
        </w:rPr>
        <w:t>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560"/>
        <w:spacing w:after="0"/>
        <w:tabs>
          <w:tab w:leader="none" w:pos="7400" w:val="left"/>
          <w:tab w:leader="none" w:pos="10240" w:val="left"/>
        </w:tabs>
        <w:rPr>
          <w:sz w:val="20"/>
          <w:szCs w:val="20"/>
          <w:color w:val="auto"/>
        </w:rPr>
      </w:pPr>
      <w:r>
        <w:rPr>
          <w:rFonts w:ascii="Courier New" w:cs="Courier New" w:eastAsia="Courier New" w:hAnsi="Courier New"/>
          <w:sz w:val="14"/>
          <w:szCs w:val="14"/>
          <w:color w:val="auto"/>
        </w:rPr>
        <w:t>Lehigh Land &amp; Investment, Inc.</w:t>
      </w:r>
      <w:r>
        <w:rPr>
          <w:sz w:val="20"/>
          <w:szCs w:val="20"/>
          <w:color w:val="auto"/>
        </w:rPr>
        <w:tab/>
      </w:r>
      <w:r>
        <w:rPr>
          <w:rFonts w:ascii="Courier New" w:cs="Courier New" w:eastAsia="Courier New" w:hAnsi="Courier New"/>
          <w:sz w:val="14"/>
          <w:szCs w:val="14"/>
          <w:color w:val="auto"/>
        </w:rPr>
        <w:t>Florida</w:t>
      </w:r>
      <w:r>
        <w:rPr>
          <w:sz w:val="20"/>
          <w:szCs w:val="20"/>
          <w:color w:val="auto"/>
        </w:rPr>
        <w:tab/>
      </w:r>
      <w:r>
        <w:rPr>
          <w:rFonts w:ascii="Courier New" w:cs="Courier New" w:eastAsia="Courier New" w:hAnsi="Courier New"/>
          <w:sz w:val="14"/>
          <w:szCs w:val="14"/>
          <w:color w:val="auto"/>
        </w:rPr>
        <w:t>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560"/>
        <w:spacing w:after="0"/>
        <w:tabs>
          <w:tab w:leader="none" w:pos="7400" w:val="left"/>
          <w:tab w:leader="none" w:pos="10240" w:val="left"/>
        </w:tabs>
        <w:rPr>
          <w:sz w:val="20"/>
          <w:szCs w:val="20"/>
          <w:color w:val="auto"/>
        </w:rPr>
      </w:pPr>
      <w:r>
        <w:rPr>
          <w:rFonts w:ascii="Courier New" w:cs="Courier New" w:eastAsia="Courier New" w:hAnsi="Courier New"/>
          <w:sz w:val="14"/>
          <w:szCs w:val="14"/>
          <w:color w:val="auto"/>
        </w:rPr>
        <w:t>Mardem, LLC</w:t>
      </w:r>
      <w:r>
        <w:rPr>
          <w:sz w:val="20"/>
          <w:szCs w:val="20"/>
          <w:color w:val="auto"/>
        </w:rPr>
        <w:tab/>
      </w:r>
      <w:r>
        <w:rPr>
          <w:rFonts w:ascii="Courier New" w:cs="Courier New" w:eastAsia="Courier New" w:hAnsi="Courier New"/>
          <w:sz w:val="14"/>
          <w:szCs w:val="14"/>
          <w:color w:val="auto"/>
        </w:rPr>
        <w:t>Florida</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560"/>
        <w:spacing w:after="0"/>
        <w:tabs>
          <w:tab w:leader="none" w:pos="7400" w:val="left"/>
          <w:tab w:leader="none" w:pos="10240" w:val="left"/>
        </w:tabs>
        <w:rPr>
          <w:sz w:val="20"/>
          <w:szCs w:val="20"/>
          <w:color w:val="auto"/>
        </w:rPr>
      </w:pPr>
      <w:r>
        <w:rPr>
          <w:rFonts w:ascii="Courier New" w:cs="Courier New" w:eastAsia="Courier New" w:hAnsi="Courier New"/>
          <w:sz w:val="14"/>
          <w:szCs w:val="14"/>
          <w:color w:val="auto"/>
        </w:rPr>
        <w:t>Palm Coast Holdings, Inc.</w:t>
      </w:r>
      <w:r>
        <w:rPr>
          <w:sz w:val="20"/>
          <w:szCs w:val="20"/>
          <w:color w:val="auto"/>
        </w:rPr>
        <w:tab/>
      </w:r>
      <w:r>
        <w:rPr>
          <w:rFonts w:ascii="Courier New" w:cs="Courier New" w:eastAsia="Courier New" w:hAnsi="Courier New"/>
          <w:sz w:val="14"/>
          <w:szCs w:val="14"/>
          <w:color w:val="auto"/>
        </w:rPr>
        <w:t>Florida</w:t>
      </w:r>
      <w:r>
        <w:rPr>
          <w:sz w:val="20"/>
          <w:szCs w:val="20"/>
          <w:color w:val="auto"/>
        </w:rPr>
        <w:tab/>
      </w:r>
      <w:r>
        <w:rPr>
          <w:rFonts w:ascii="Courier New" w:cs="Courier New" w:eastAsia="Courier New" w:hAnsi="Courier New"/>
          <w:sz w:val="14"/>
          <w:szCs w:val="14"/>
          <w:color w:val="auto"/>
        </w:rPr>
        <w:t>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560"/>
        <w:spacing w:after="0"/>
        <w:tabs>
          <w:tab w:leader="none" w:pos="7400" w:val="left"/>
          <w:tab w:leader="none" w:pos="10240" w:val="left"/>
        </w:tabs>
        <w:rPr>
          <w:sz w:val="20"/>
          <w:szCs w:val="20"/>
          <w:color w:val="auto"/>
        </w:rPr>
      </w:pPr>
      <w:r>
        <w:rPr>
          <w:rFonts w:ascii="Courier New" w:cs="Courier New" w:eastAsia="Courier New" w:hAnsi="Courier New"/>
          <w:sz w:val="14"/>
          <w:szCs w:val="14"/>
          <w:color w:val="auto"/>
        </w:rPr>
        <w:t>Port Orange Holdings, LLC</w:t>
      </w:r>
      <w:r>
        <w:rPr>
          <w:sz w:val="20"/>
          <w:szCs w:val="20"/>
          <w:color w:val="auto"/>
        </w:rPr>
        <w:tab/>
      </w:r>
      <w:r>
        <w:rPr>
          <w:rFonts w:ascii="Courier New" w:cs="Courier New" w:eastAsia="Courier New" w:hAnsi="Courier New"/>
          <w:sz w:val="14"/>
          <w:szCs w:val="14"/>
          <w:color w:val="auto"/>
        </w:rPr>
        <w:t>Florida</w:t>
      </w:r>
      <w:r>
        <w:rPr>
          <w:sz w:val="20"/>
          <w:szCs w:val="20"/>
          <w:color w:val="auto"/>
        </w:rPr>
        <w:tab/>
      </w:r>
      <w:r>
        <w:rPr>
          <w:rFonts w:ascii="Courier New" w:cs="Courier New" w:eastAsia="Courier New" w:hAnsi="Courier New"/>
          <w:sz w:val="14"/>
          <w:szCs w:val="14"/>
          <w:color w:val="auto"/>
        </w:rPr>
        <w:t>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960"/>
        <w:spacing w:after="0"/>
        <w:tabs>
          <w:tab w:leader="none" w:pos="7400" w:val="left"/>
          <w:tab w:leader="none" w:pos="10240" w:val="left"/>
        </w:tabs>
        <w:rPr>
          <w:sz w:val="20"/>
          <w:szCs w:val="20"/>
          <w:color w:val="auto"/>
        </w:rPr>
      </w:pPr>
      <w:r>
        <w:rPr>
          <w:rFonts w:ascii="Courier New" w:cs="Courier New" w:eastAsia="Courier New" w:hAnsi="Courier New"/>
          <w:sz w:val="14"/>
          <w:szCs w:val="14"/>
          <w:color w:val="auto"/>
        </w:rPr>
        <w:t>Interlachen Lakes Estates, Inc.</w:t>
      </w:r>
      <w:r>
        <w:rPr>
          <w:sz w:val="20"/>
          <w:szCs w:val="20"/>
          <w:color w:val="auto"/>
        </w:rPr>
        <w:tab/>
      </w:r>
      <w:r>
        <w:rPr>
          <w:rFonts w:ascii="Courier New" w:cs="Courier New" w:eastAsia="Courier New" w:hAnsi="Courier New"/>
          <w:sz w:val="14"/>
          <w:szCs w:val="14"/>
          <w:color w:val="auto"/>
        </w:rPr>
        <w:t>Florida</w:t>
      </w:r>
      <w:r>
        <w:rPr>
          <w:sz w:val="20"/>
          <w:szCs w:val="20"/>
          <w:color w:val="auto"/>
        </w:rPr>
        <w:tab/>
      </w:r>
      <w:r>
        <w:rPr>
          <w:rFonts w:ascii="Courier New" w:cs="Courier New" w:eastAsia="Courier New" w:hAnsi="Courier New"/>
          <w:sz w:val="14"/>
          <w:szCs w:val="14"/>
          <w:color w:val="auto"/>
        </w:rPr>
        <w:t>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960"/>
        <w:spacing w:after="0"/>
        <w:tabs>
          <w:tab w:leader="none" w:pos="7400" w:val="left"/>
          <w:tab w:leader="none" w:pos="10240" w:val="left"/>
        </w:tabs>
        <w:rPr>
          <w:sz w:val="20"/>
          <w:szCs w:val="20"/>
          <w:color w:val="auto"/>
        </w:rPr>
      </w:pPr>
      <w:r>
        <w:rPr>
          <w:rFonts w:ascii="Courier New" w:cs="Courier New" w:eastAsia="Courier New" w:hAnsi="Courier New"/>
          <w:sz w:val="14"/>
          <w:szCs w:val="14"/>
          <w:color w:val="auto"/>
        </w:rPr>
        <w:t>SRC of Florida, Inc.</w:t>
      </w:r>
      <w:r>
        <w:rPr>
          <w:sz w:val="20"/>
          <w:szCs w:val="20"/>
          <w:color w:val="auto"/>
        </w:rPr>
        <w:tab/>
      </w:r>
      <w:r>
        <w:rPr>
          <w:rFonts w:ascii="Courier New" w:cs="Courier New" w:eastAsia="Courier New" w:hAnsi="Courier New"/>
          <w:sz w:val="14"/>
          <w:szCs w:val="14"/>
          <w:color w:val="auto"/>
        </w:rPr>
        <w:t>Florida</w:t>
      </w:r>
      <w:r>
        <w:rPr>
          <w:sz w:val="20"/>
          <w:szCs w:val="20"/>
          <w:color w:val="auto"/>
        </w:rPr>
        <w:tab/>
      </w:r>
      <w:r>
        <w:rPr>
          <w:rFonts w:ascii="Courier New" w:cs="Courier New" w:eastAsia="Courier New" w:hAnsi="Courier New"/>
          <w:sz w:val="14"/>
          <w:szCs w:val="14"/>
          <w:color w:val="auto"/>
        </w:rPr>
        <w:t>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960"/>
        <w:spacing w:after="0"/>
        <w:tabs>
          <w:tab w:leader="none" w:pos="7220" w:val="left"/>
          <w:tab w:leader="none" w:pos="10240" w:val="left"/>
        </w:tabs>
        <w:rPr>
          <w:sz w:val="20"/>
          <w:szCs w:val="20"/>
          <w:color w:val="auto"/>
        </w:rPr>
      </w:pPr>
      <w:r>
        <w:rPr>
          <w:rFonts w:ascii="Courier New" w:cs="Courier New" w:eastAsia="Courier New" w:hAnsi="Courier New"/>
          <w:sz w:val="14"/>
          <w:szCs w:val="14"/>
          <w:color w:val="auto"/>
        </w:rPr>
        <w:t>Sundowner Properties, Inc.</w:t>
      </w:r>
      <w:r>
        <w:rPr>
          <w:sz w:val="20"/>
          <w:szCs w:val="20"/>
          <w:color w:val="auto"/>
        </w:rPr>
        <w:tab/>
      </w:r>
      <w:r>
        <w:rPr>
          <w:rFonts w:ascii="Courier New" w:cs="Courier New" w:eastAsia="Courier New" w:hAnsi="Courier New"/>
          <w:sz w:val="14"/>
          <w:szCs w:val="14"/>
          <w:color w:val="auto"/>
        </w:rPr>
        <w:t>Pennsylvania</w:t>
      </w:r>
      <w:r>
        <w:rPr>
          <w:sz w:val="20"/>
          <w:szCs w:val="20"/>
          <w:color w:val="auto"/>
        </w:rPr>
        <w:tab/>
      </w:r>
      <w:r>
        <w:rPr>
          <w:rFonts w:ascii="Courier New" w:cs="Courier New" w:eastAsia="Courier New" w:hAnsi="Courier New"/>
          <w:sz w:val="14"/>
          <w:szCs w:val="14"/>
          <w:color w:val="auto"/>
        </w:rPr>
        <w:t>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440"/>
        <w:spacing w:after="0"/>
        <w:tabs>
          <w:tab w:leader="none" w:pos="7400" w:val="left"/>
          <w:tab w:leader="none" w:pos="10160" w:val="left"/>
        </w:tabs>
        <w:rPr>
          <w:sz w:val="20"/>
          <w:szCs w:val="20"/>
          <w:color w:val="auto"/>
        </w:rPr>
      </w:pPr>
      <w:r>
        <w:rPr>
          <w:rFonts w:ascii="Courier New" w:cs="Courier New" w:eastAsia="Courier New" w:hAnsi="Courier New"/>
          <w:sz w:val="14"/>
          <w:szCs w:val="14"/>
          <w:color w:val="auto"/>
        </w:rPr>
        <w:t>Palm Coast Forest, LLC</w:t>
      </w:r>
      <w:r>
        <w:rPr>
          <w:sz w:val="20"/>
          <w:szCs w:val="20"/>
          <w:color w:val="auto"/>
        </w:rPr>
        <w:tab/>
      </w:r>
      <w:r>
        <w:rPr>
          <w:rFonts w:ascii="Courier New" w:cs="Courier New" w:eastAsia="Courier New" w:hAnsi="Courier New"/>
          <w:sz w:val="14"/>
          <w:szCs w:val="14"/>
          <w:color w:val="auto"/>
        </w:rPr>
        <w:t>Florida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440"/>
        <w:spacing w:after="0"/>
        <w:tabs>
          <w:tab w:leader="none" w:pos="7400" w:val="left"/>
          <w:tab w:leader="none" w:pos="10160" w:val="left"/>
        </w:tabs>
        <w:rPr>
          <w:sz w:val="20"/>
          <w:szCs w:val="20"/>
          <w:color w:val="auto"/>
        </w:rPr>
      </w:pPr>
      <w:r>
        <w:rPr>
          <w:rFonts w:ascii="Courier New" w:cs="Courier New" w:eastAsia="Courier New" w:hAnsi="Courier New"/>
          <w:sz w:val="14"/>
          <w:szCs w:val="14"/>
          <w:color w:val="auto"/>
        </w:rPr>
        <w:t>Palm Coast Land, LLC</w:t>
      </w:r>
      <w:r>
        <w:rPr>
          <w:sz w:val="20"/>
          <w:szCs w:val="20"/>
          <w:color w:val="auto"/>
        </w:rPr>
        <w:tab/>
      </w:r>
      <w:r>
        <w:rPr>
          <w:rFonts w:ascii="Courier New" w:cs="Courier New" w:eastAsia="Courier New" w:hAnsi="Courier New"/>
          <w:sz w:val="14"/>
          <w:szCs w:val="14"/>
          <w:color w:val="auto"/>
        </w:rPr>
        <w:t>Florida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440"/>
        <w:spacing w:after="0"/>
        <w:tabs>
          <w:tab w:leader="none" w:pos="7400" w:val="left"/>
          <w:tab w:leader="none" w:pos="10160" w:val="left"/>
        </w:tabs>
        <w:rPr>
          <w:sz w:val="20"/>
          <w:szCs w:val="20"/>
          <w:color w:val="auto"/>
        </w:rPr>
      </w:pPr>
      <w:r>
        <w:rPr>
          <w:rFonts w:ascii="Courier New" w:cs="Courier New" w:eastAsia="Courier New" w:hAnsi="Courier New"/>
          <w:sz w:val="14"/>
          <w:szCs w:val="14"/>
          <w:color w:val="auto"/>
        </w:rPr>
        <w:t>Tomoka Holdings, LLC</w:t>
      </w:r>
      <w:r>
        <w:rPr>
          <w:sz w:val="20"/>
          <w:szCs w:val="20"/>
          <w:color w:val="auto"/>
        </w:rPr>
        <w:tab/>
      </w:r>
      <w:r>
        <w:rPr>
          <w:rFonts w:ascii="Courier New" w:cs="Courier New" w:eastAsia="Courier New" w:hAnsi="Courier New"/>
          <w:sz w:val="14"/>
          <w:szCs w:val="14"/>
          <w:color w:val="auto"/>
        </w:rPr>
        <w:t>Florida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440"/>
        <w:spacing w:after="0"/>
        <w:tabs>
          <w:tab w:leader="none" w:pos="7400" w:val="left"/>
          <w:tab w:leader="none" w:pos="10160" w:val="left"/>
        </w:tabs>
        <w:rPr>
          <w:sz w:val="20"/>
          <w:szCs w:val="20"/>
          <w:color w:val="auto"/>
        </w:rPr>
      </w:pPr>
      <w:r>
        <w:rPr>
          <w:rFonts w:ascii="Courier New" w:cs="Courier New" w:eastAsia="Courier New" w:hAnsi="Courier New"/>
          <w:sz w:val="14"/>
          <w:szCs w:val="14"/>
          <w:color w:val="auto"/>
        </w:rPr>
        <w:t>Winter Haven Citi Centre, LLC</w:t>
      </w:r>
      <w:r>
        <w:rPr>
          <w:sz w:val="20"/>
          <w:szCs w:val="20"/>
          <w:color w:val="auto"/>
        </w:rPr>
        <w:tab/>
      </w:r>
      <w:r>
        <w:rPr>
          <w:rFonts w:ascii="Courier New" w:cs="Courier New" w:eastAsia="Courier New" w:hAnsi="Courier New"/>
          <w:sz w:val="14"/>
          <w:szCs w:val="14"/>
          <w:color w:val="auto"/>
        </w:rPr>
        <w:t>Florida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7300" w:val="left"/>
          <w:tab w:leader="none" w:pos="10160" w:val="left"/>
        </w:tabs>
        <w:rPr>
          <w:sz w:val="20"/>
          <w:szCs w:val="20"/>
          <w:color w:val="auto"/>
        </w:rPr>
      </w:pPr>
      <w:r>
        <w:rPr>
          <w:rFonts w:ascii="Courier New" w:cs="Courier New" w:eastAsia="Courier New" w:hAnsi="Courier New"/>
          <w:sz w:val="14"/>
          <w:szCs w:val="14"/>
          <w:color w:val="auto"/>
        </w:rPr>
        <w:t>ALLETE Water Services, Inc.</w:t>
      </w:r>
      <w:r>
        <w:rPr>
          <w:sz w:val="20"/>
          <w:szCs w:val="20"/>
          <w:color w:val="auto"/>
        </w:rPr>
        <w:tab/>
      </w:r>
      <w:r>
        <w:rPr>
          <w:rFonts w:ascii="Courier New" w:cs="Courier New" w:eastAsia="Courier New" w:hAnsi="Courier New"/>
          <w:sz w:val="14"/>
          <w:szCs w:val="14"/>
          <w:color w:val="auto"/>
        </w:rPr>
        <w:t>Minnesota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440"/>
        <w:spacing w:after="0"/>
        <w:tabs>
          <w:tab w:leader="none" w:pos="7400" w:val="left"/>
          <w:tab w:leader="none" w:pos="10160" w:val="left"/>
        </w:tabs>
        <w:rPr>
          <w:sz w:val="20"/>
          <w:szCs w:val="20"/>
          <w:color w:val="auto"/>
        </w:rPr>
      </w:pPr>
      <w:r>
        <w:rPr>
          <w:rFonts w:ascii="Courier New" w:cs="Courier New" w:eastAsia="Courier New" w:hAnsi="Courier New"/>
          <w:sz w:val="14"/>
          <w:szCs w:val="14"/>
          <w:color w:val="auto"/>
        </w:rPr>
        <w:t>Florida Water Services Corporation</w:t>
      </w:r>
      <w:r>
        <w:rPr>
          <w:sz w:val="20"/>
          <w:szCs w:val="20"/>
          <w:color w:val="auto"/>
        </w:rPr>
        <w:tab/>
      </w:r>
      <w:r>
        <w:rPr>
          <w:rFonts w:ascii="Courier New" w:cs="Courier New" w:eastAsia="Courier New" w:hAnsi="Courier New"/>
          <w:sz w:val="14"/>
          <w:szCs w:val="14"/>
          <w:color w:val="auto"/>
        </w:rPr>
        <w:t>Florida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960"/>
        <w:spacing w:after="0"/>
        <w:tabs>
          <w:tab w:leader="none" w:pos="7400" w:val="left"/>
          <w:tab w:leader="none" w:pos="10160" w:val="left"/>
        </w:tabs>
        <w:rPr>
          <w:sz w:val="20"/>
          <w:szCs w:val="20"/>
          <w:color w:val="auto"/>
        </w:rPr>
      </w:pPr>
      <w:r>
        <w:rPr>
          <w:rFonts w:ascii="Courier New" w:cs="Courier New" w:eastAsia="Courier New" w:hAnsi="Courier New"/>
          <w:sz w:val="14"/>
          <w:szCs w:val="14"/>
          <w:color w:val="auto"/>
        </w:rPr>
        <w:t>Auto Replacement Property, LLC</w:t>
      </w:r>
      <w:r>
        <w:rPr>
          <w:sz w:val="20"/>
          <w:szCs w:val="20"/>
          <w:color w:val="auto"/>
        </w:rPr>
        <w:tab/>
      </w:r>
      <w:r>
        <w:rPr>
          <w:rFonts w:ascii="Courier New" w:cs="Courier New" w:eastAsia="Courier New" w:hAnsi="Courier New"/>
          <w:sz w:val="14"/>
          <w:szCs w:val="14"/>
          <w:color w:val="auto"/>
        </w:rPr>
        <w:t>Indiana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960"/>
        <w:spacing w:after="0"/>
        <w:tabs>
          <w:tab w:leader="none" w:pos="7300" w:val="left"/>
          <w:tab w:leader="none" w:pos="10160" w:val="left"/>
        </w:tabs>
        <w:rPr>
          <w:sz w:val="20"/>
          <w:szCs w:val="20"/>
          <w:color w:val="auto"/>
        </w:rPr>
      </w:pPr>
      <w:r>
        <w:rPr>
          <w:rFonts w:ascii="Courier New" w:cs="Courier New" w:eastAsia="Courier New" w:hAnsi="Courier New"/>
          <w:sz w:val="14"/>
          <w:szCs w:val="14"/>
          <w:color w:val="auto"/>
        </w:rPr>
        <w:t>Energy Replacement Property, LLC</w:t>
      </w:r>
      <w:r>
        <w:rPr>
          <w:sz w:val="20"/>
          <w:szCs w:val="20"/>
          <w:color w:val="auto"/>
        </w:rPr>
        <w:tab/>
      </w:r>
      <w:r>
        <w:rPr>
          <w:rFonts w:ascii="Courier New" w:cs="Courier New" w:eastAsia="Courier New" w:hAnsi="Courier New"/>
          <w:sz w:val="14"/>
          <w:szCs w:val="14"/>
          <w:color w:val="auto"/>
        </w:rPr>
        <w:t>Minnesota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440"/>
        <w:spacing w:after="0"/>
        <w:tabs>
          <w:tab w:leader="none" w:pos="7400" w:val="left"/>
          <w:tab w:leader="none" w:pos="10160" w:val="left"/>
        </w:tabs>
        <w:rPr>
          <w:sz w:val="20"/>
          <w:szCs w:val="20"/>
          <w:color w:val="auto"/>
        </w:rPr>
      </w:pPr>
      <w:r>
        <w:rPr>
          <w:rFonts w:ascii="Courier New" w:cs="Courier New" w:eastAsia="Courier New" w:hAnsi="Courier New"/>
          <w:sz w:val="14"/>
          <w:szCs w:val="14"/>
          <w:color w:val="auto"/>
        </w:rPr>
        <w:t>Georgia Water Services Corporation</w:t>
      </w:r>
      <w:r>
        <w:rPr>
          <w:sz w:val="20"/>
          <w:szCs w:val="20"/>
          <w:color w:val="auto"/>
        </w:rPr>
        <w:tab/>
      </w:r>
      <w:r>
        <w:rPr>
          <w:rFonts w:ascii="Courier New" w:cs="Courier New" w:eastAsia="Courier New" w:hAnsi="Courier New"/>
          <w:sz w:val="14"/>
          <w:szCs w:val="14"/>
          <w:color w:val="auto"/>
        </w:rPr>
        <w:t>Georgia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7300" w:val="left"/>
          <w:tab w:leader="none" w:pos="10160" w:val="left"/>
        </w:tabs>
        <w:rPr>
          <w:sz w:val="20"/>
          <w:szCs w:val="20"/>
          <w:color w:val="auto"/>
        </w:rPr>
      </w:pPr>
      <w:r>
        <w:rPr>
          <w:rFonts w:ascii="Courier New" w:cs="Courier New" w:eastAsia="Courier New" w:hAnsi="Courier New"/>
          <w:sz w:val="14"/>
          <w:szCs w:val="14"/>
          <w:color w:val="auto"/>
        </w:rPr>
        <w:t>Minnesota Power Enterprises, Inc.</w:t>
      </w:r>
      <w:r>
        <w:rPr>
          <w:sz w:val="20"/>
          <w:szCs w:val="20"/>
          <w:color w:val="auto"/>
        </w:rPr>
        <w:tab/>
      </w:r>
      <w:r>
        <w:rPr>
          <w:rFonts w:ascii="Courier New" w:cs="Courier New" w:eastAsia="Courier New" w:hAnsi="Courier New"/>
          <w:sz w:val="14"/>
          <w:szCs w:val="14"/>
          <w:color w:val="auto"/>
        </w:rPr>
        <w:t>Minnesota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440"/>
        <w:spacing w:after="0"/>
        <w:tabs>
          <w:tab w:leader="none" w:pos="7220" w:val="left"/>
          <w:tab w:leader="none" w:pos="10160" w:val="left"/>
        </w:tabs>
        <w:rPr>
          <w:sz w:val="20"/>
          <w:szCs w:val="20"/>
          <w:color w:val="auto"/>
        </w:rPr>
      </w:pPr>
      <w:r>
        <w:rPr>
          <w:rFonts w:ascii="Courier New" w:cs="Courier New" w:eastAsia="Courier New" w:hAnsi="Courier New"/>
          <w:sz w:val="14"/>
          <w:szCs w:val="14"/>
          <w:color w:val="auto"/>
        </w:rPr>
        <w:t>BNI Coal, Ltd.</w:t>
      </w:r>
      <w:r>
        <w:rPr>
          <w:sz w:val="20"/>
          <w:szCs w:val="20"/>
          <w:color w:val="auto"/>
        </w:rPr>
        <w:tab/>
      </w:r>
      <w:r>
        <w:rPr>
          <w:rFonts w:ascii="Courier New" w:cs="Courier New" w:eastAsia="Courier New" w:hAnsi="Courier New"/>
          <w:sz w:val="14"/>
          <w:szCs w:val="14"/>
          <w:color w:val="auto"/>
        </w:rPr>
        <w:t>North Dakota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440"/>
        <w:spacing w:after="0"/>
        <w:tabs>
          <w:tab w:leader="none" w:pos="7300" w:val="left"/>
          <w:tab w:leader="none" w:pos="10160" w:val="left"/>
        </w:tabs>
        <w:rPr>
          <w:sz w:val="20"/>
          <w:szCs w:val="20"/>
          <w:color w:val="auto"/>
        </w:rPr>
      </w:pPr>
      <w:r>
        <w:rPr>
          <w:rFonts w:ascii="Courier New" w:cs="Courier New" w:eastAsia="Courier New" w:hAnsi="Courier New"/>
          <w:sz w:val="14"/>
          <w:szCs w:val="14"/>
          <w:color w:val="auto"/>
        </w:rPr>
        <w:t>MP Affiliate Resources, Inc.</w:t>
      </w:r>
      <w:r>
        <w:rPr>
          <w:sz w:val="20"/>
          <w:szCs w:val="20"/>
          <w:color w:val="auto"/>
        </w:rPr>
        <w:tab/>
      </w:r>
      <w:r>
        <w:rPr>
          <w:rFonts w:ascii="Courier New" w:cs="Courier New" w:eastAsia="Courier New" w:hAnsi="Courier New"/>
          <w:sz w:val="14"/>
          <w:szCs w:val="14"/>
          <w:color w:val="auto"/>
        </w:rPr>
        <w:t>Minnesota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440"/>
        <w:spacing w:after="0"/>
        <w:tabs>
          <w:tab w:leader="none" w:pos="7300" w:val="left"/>
          <w:tab w:leader="none" w:pos="10160" w:val="left"/>
        </w:tabs>
        <w:rPr>
          <w:sz w:val="20"/>
          <w:szCs w:val="20"/>
          <w:color w:val="auto"/>
        </w:rPr>
      </w:pPr>
      <w:r>
        <w:rPr>
          <w:rFonts w:ascii="Courier New" w:cs="Courier New" w:eastAsia="Courier New" w:hAnsi="Courier New"/>
          <w:sz w:val="14"/>
          <w:szCs w:val="14"/>
          <w:color w:val="auto"/>
        </w:rPr>
        <w:t>Rainy River Energy Corporation</w:t>
      </w:r>
      <w:r>
        <w:rPr>
          <w:sz w:val="20"/>
          <w:szCs w:val="20"/>
          <w:color w:val="auto"/>
        </w:rPr>
        <w:tab/>
      </w:r>
      <w:r>
        <w:rPr>
          <w:rFonts w:ascii="Courier New" w:cs="Courier New" w:eastAsia="Courier New" w:hAnsi="Courier New"/>
          <w:sz w:val="14"/>
          <w:szCs w:val="14"/>
          <w:color w:val="auto"/>
        </w:rPr>
        <w:t>Minnesota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440"/>
        <w:spacing w:after="0"/>
        <w:tabs>
          <w:tab w:leader="none" w:pos="7300" w:val="left"/>
          <w:tab w:leader="none" w:pos="10160" w:val="left"/>
        </w:tabs>
        <w:rPr>
          <w:sz w:val="20"/>
          <w:szCs w:val="20"/>
          <w:color w:val="auto"/>
        </w:rPr>
      </w:pPr>
      <w:r>
        <w:rPr>
          <w:rFonts w:ascii="Courier New" w:cs="Courier New" w:eastAsia="Courier New" w:hAnsi="Courier New"/>
          <w:sz w:val="14"/>
          <w:szCs w:val="14"/>
          <w:color w:val="auto"/>
        </w:rPr>
        <w:t>Rainy River Energy Corporation-Wisconsin</w:t>
      </w:r>
      <w:r>
        <w:rPr>
          <w:sz w:val="20"/>
          <w:szCs w:val="20"/>
          <w:color w:val="auto"/>
        </w:rPr>
        <w:tab/>
      </w:r>
      <w:r>
        <w:rPr>
          <w:rFonts w:ascii="Courier New" w:cs="Courier New" w:eastAsia="Courier New" w:hAnsi="Courier New"/>
          <w:sz w:val="14"/>
          <w:szCs w:val="14"/>
          <w:color w:val="auto"/>
        </w:rPr>
        <w:t>Wisconsin</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440"/>
        <w:spacing w:after="0"/>
        <w:tabs>
          <w:tab w:leader="none" w:pos="7300" w:val="left"/>
          <w:tab w:leader="none" w:pos="10160" w:val="left"/>
        </w:tabs>
        <w:rPr>
          <w:sz w:val="20"/>
          <w:szCs w:val="20"/>
          <w:color w:val="auto"/>
        </w:rPr>
      </w:pPr>
      <w:r>
        <w:rPr>
          <w:rFonts w:ascii="Courier New" w:cs="Courier New" w:eastAsia="Courier New" w:hAnsi="Courier New"/>
          <w:sz w:val="14"/>
          <w:szCs w:val="14"/>
          <w:color w:val="auto"/>
        </w:rPr>
        <w:t>Synertec, Incorporation</w:t>
      </w:r>
      <w:r>
        <w:rPr>
          <w:sz w:val="20"/>
          <w:szCs w:val="20"/>
          <w:color w:val="auto"/>
        </w:rPr>
        <w:tab/>
      </w:r>
      <w:r>
        <w:rPr>
          <w:rFonts w:ascii="Courier New" w:cs="Courier New" w:eastAsia="Courier New" w:hAnsi="Courier New"/>
          <w:sz w:val="14"/>
          <w:szCs w:val="14"/>
          <w:color w:val="auto"/>
        </w:rPr>
        <w:t>Minnesota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440"/>
        <w:spacing w:after="0"/>
        <w:tabs>
          <w:tab w:leader="none" w:pos="7300" w:val="left"/>
          <w:tab w:leader="none" w:pos="10160" w:val="left"/>
        </w:tabs>
        <w:rPr>
          <w:sz w:val="20"/>
          <w:szCs w:val="20"/>
          <w:color w:val="auto"/>
        </w:rPr>
      </w:pPr>
      <w:r>
        <w:rPr>
          <w:rFonts w:ascii="Courier New" w:cs="Courier New" w:eastAsia="Courier New" w:hAnsi="Courier New"/>
          <w:sz w:val="14"/>
          <w:szCs w:val="14"/>
          <w:color w:val="auto"/>
        </w:rPr>
        <w:t>Upper Minnesota Properties, Inc.</w:t>
      </w:r>
      <w:r>
        <w:rPr>
          <w:sz w:val="20"/>
          <w:szCs w:val="20"/>
          <w:color w:val="auto"/>
        </w:rPr>
        <w:tab/>
      </w:r>
      <w:r>
        <w:rPr>
          <w:rFonts w:ascii="Courier New" w:cs="Courier New" w:eastAsia="Courier New" w:hAnsi="Courier New"/>
          <w:sz w:val="14"/>
          <w:szCs w:val="14"/>
          <w:color w:val="auto"/>
        </w:rPr>
        <w:t>Minnesota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960"/>
        <w:spacing w:after="0"/>
        <w:tabs>
          <w:tab w:leader="none" w:pos="7300" w:val="left"/>
          <w:tab w:leader="none" w:pos="10160" w:val="left"/>
        </w:tabs>
        <w:rPr>
          <w:sz w:val="20"/>
          <w:szCs w:val="20"/>
          <w:color w:val="auto"/>
        </w:rPr>
      </w:pPr>
      <w:r>
        <w:rPr>
          <w:rFonts w:ascii="Courier New" w:cs="Courier New" w:eastAsia="Courier New" w:hAnsi="Courier New"/>
          <w:sz w:val="14"/>
          <w:szCs w:val="14"/>
          <w:color w:val="auto"/>
        </w:rPr>
        <w:t>Upper Minnesota Properties-Development, Inc.</w:t>
      </w:r>
      <w:r>
        <w:rPr>
          <w:sz w:val="20"/>
          <w:szCs w:val="20"/>
          <w:color w:val="auto"/>
        </w:rPr>
        <w:tab/>
      </w:r>
      <w:r>
        <w:rPr>
          <w:rFonts w:ascii="Courier New" w:cs="Courier New" w:eastAsia="Courier New" w:hAnsi="Courier New"/>
          <w:sz w:val="14"/>
          <w:szCs w:val="14"/>
          <w:color w:val="auto"/>
        </w:rPr>
        <w:t>Minnesota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960"/>
        <w:spacing w:after="0"/>
        <w:tabs>
          <w:tab w:leader="none" w:pos="7300" w:val="left"/>
          <w:tab w:leader="none" w:pos="10160" w:val="left"/>
        </w:tabs>
        <w:rPr>
          <w:sz w:val="20"/>
          <w:szCs w:val="20"/>
          <w:color w:val="auto"/>
        </w:rPr>
      </w:pPr>
      <w:r>
        <w:rPr>
          <w:rFonts w:ascii="Courier New" w:cs="Courier New" w:eastAsia="Courier New" w:hAnsi="Courier New"/>
          <w:sz w:val="14"/>
          <w:szCs w:val="14"/>
          <w:color w:val="auto"/>
        </w:rPr>
        <w:t>Upper Minnesota Properties-Irving, Inc.</w:t>
      </w:r>
      <w:r>
        <w:rPr>
          <w:sz w:val="20"/>
          <w:szCs w:val="20"/>
          <w:color w:val="auto"/>
        </w:rPr>
        <w:tab/>
      </w:r>
      <w:r>
        <w:rPr>
          <w:rFonts w:ascii="Courier New" w:cs="Courier New" w:eastAsia="Courier New" w:hAnsi="Courier New"/>
          <w:sz w:val="14"/>
          <w:szCs w:val="14"/>
          <w:color w:val="auto"/>
        </w:rPr>
        <w:t>Minnesota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960"/>
        <w:spacing w:after="0"/>
        <w:tabs>
          <w:tab w:leader="none" w:pos="7300" w:val="left"/>
          <w:tab w:leader="none" w:pos="10160" w:val="left"/>
        </w:tabs>
        <w:rPr>
          <w:sz w:val="20"/>
          <w:szCs w:val="20"/>
          <w:color w:val="auto"/>
        </w:rPr>
      </w:pPr>
      <w:r>
        <w:rPr>
          <w:rFonts w:ascii="Courier New" w:cs="Courier New" w:eastAsia="Courier New" w:hAnsi="Courier New"/>
          <w:sz w:val="14"/>
          <w:szCs w:val="14"/>
          <w:color w:val="auto"/>
        </w:rPr>
        <w:t>Upper Minnesota Properties-Meadowlands, Inc.</w:t>
      </w:r>
      <w:r>
        <w:rPr>
          <w:sz w:val="20"/>
          <w:szCs w:val="20"/>
          <w:color w:val="auto"/>
        </w:rPr>
        <w:tab/>
      </w:r>
      <w:r>
        <w:rPr>
          <w:rFonts w:ascii="Courier New" w:cs="Courier New" w:eastAsia="Courier New" w:hAnsi="Courier New"/>
          <w:sz w:val="14"/>
          <w:szCs w:val="14"/>
          <w:color w:val="auto"/>
        </w:rPr>
        <w:t>Minnesota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380"/>
        <w:spacing w:after="0"/>
        <w:tabs>
          <w:tab w:leader="none" w:pos="7300" w:val="left"/>
          <w:tab w:leader="none" w:pos="10160" w:val="left"/>
        </w:tabs>
        <w:rPr>
          <w:sz w:val="20"/>
          <w:szCs w:val="20"/>
          <w:color w:val="auto"/>
        </w:rPr>
      </w:pPr>
      <w:r>
        <w:rPr>
          <w:rFonts w:ascii="Courier New" w:cs="Courier New" w:eastAsia="Courier New" w:hAnsi="Courier New"/>
          <w:sz w:val="14"/>
          <w:szCs w:val="14"/>
          <w:color w:val="auto"/>
        </w:rPr>
        <w:t>Meadowlands Affordable Housing Limited Partnership</w:t>
      </w:r>
      <w:r>
        <w:rPr>
          <w:sz w:val="20"/>
          <w:szCs w:val="20"/>
          <w:color w:val="auto"/>
        </w:rPr>
        <w:tab/>
      </w:r>
      <w:r>
        <w:rPr>
          <w:rFonts w:ascii="Courier New" w:cs="Courier New" w:eastAsia="Courier New" w:hAnsi="Courier New"/>
          <w:sz w:val="14"/>
          <w:szCs w:val="14"/>
          <w:color w:val="auto"/>
        </w:rPr>
        <w:t>Minnesota</w:t>
      </w:r>
      <w:r>
        <w:rPr>
          <w:sz w:val="20"/>
          <w:szCs w:val="20"/>
          <w:color w:val="auto"/>
        </w:rPr>
        <w:tab/>
      </w:r>
      <w:r>
        <w:rPr>
          <w:rFonts w:ascii="Courier New" w:cs="Courier New" w:eastAsia="Courier New" w:hAnsi="Courier New"/>
          <w:sz w:val="14"/>
          <w:szCs w:val="14"/>
          <w:color w:val="auto"/>
        </w:rPr>
        <w:t>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7400" w:val="left"/>
          <w:tab w:leader="none" w:pos="10160" w:val="left"/>
        </w:tabs>
        <w:rPr>
          <w:sz w:val="20"/>
          <w:szCs w:val="20"/>
          <w:color w:val="auto"/>
        </w:rPr>
      </w:pPr>
      <w:r>
        <w:rPr>
          <w:rFonts w:ascii="Courier New" w:cs="Courier New" w:eastAsia="Courier New" w:hAnsi="Courier New"/>
          <w:sz w:val="14"/>
          <w:szCs w:val="14"/>
          <w:color w:val="auto"/>
        </w:rPr>
        <w:t>MP Investments, Inc.</w:t>
      </w:r>
      <w:r>
        <w:rPr>
          <w:sz w:val="20"/>
          <w:szCs w:val="20"/>
          <w:color w:val="auto"/>
        </w:rPr>
        <w:tab/>
      </w:r>
      <w:r>
        <w:rPr>
          <w:rFonts w:ascii="Courier New" w:cs="Courier New" w:eastAsia="Courier New" w:hAnsi="Courier New"/>
          <w:sz w:val="14"/>
          <w:szCs w:val="14"/>
          <w:color w:val="auto"/>
        </w:rPr>
        <w:t>Delaware</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7300" w:val="left"/>
          <w:tab w:leader="none" w:pos="10160" w:val="left"/>
        </w:tabs>
        <w:rPr>
          <w:sz w:val="20"/>
          <w:szCs w:val="20"/>
          <w:color w:val="auto"/>
        </w:rPr>
      </w:pPr>
      <w:r>
        <w:rPr>
          <w:rFonts w:ascii="Courier New" w:cs="Courier New" w:eastAsia="Courier New" w:hAnsi="Courier New"/>
          <w:sz w:val="14"/>
          <w:szCs w:val="14"/>
          <w:color w:val="auto"/>
        </w:rPr>
        <w:t>RendField Land Company, Inc.</w:t>
      </w:r>
      <w:r>
        <w:rPr>
          <w:sz w:val="20"/>
          <w:szCs w:val="20"/>
          <w:color w:val="auto"/>
        </w:rPr>
        <w:tab/>
      </w:r>
      <w:r>
        <w:rPr>
          <w:rFonts w:ascii="Courier New" w:cs="Courier New" w:eastAsia="Courier New" w:hAnsi="Courier New"/>
          <w:sz w:val="14"/>
          <w:szCs w:val="14"/>
          <w:color w:val="auto"/>
        </w:rPr>
        <w:t>Minnesota</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7300" w:val="left"/>
          <w:tab w:leader="none" w:pos="10160" w:val="left"/>
        </w:tabs>
        <w:rPr>
          <w:sz w:val="20"/>
          <w:szCs w:val="20"/>
          <w:color w:val="auto"/>
        </w:rPr>
      </w:pPr>
      <w:r>
        <w:rPr>
          <w:rFonts w:ascii="Courier New" w:cs="Courier New" w:eastAsia="Courier New" w:hAnsi="Courier New"/>
          <w:sz w:val="14"/>
          <w:szCs w:val="14"/>
          <w:color w:val="auto"/>
        </w:rPr>
        <w:t>Superior Water, Light and Power Company</w:t>
      </w:r>
      <w:r>
        <w:rPr>
          <w:sz w:val="20"/>
          <w:szCs w:val="20"/>
          <w:color w:val="auto"/>
        </w:rPr>
        <w:tab/>
      </w:r>
      <w:r>
        <w:rPr>
          <w:rFonts w:ascii="Courier New" w:cs="Courier New" w:eastAsia="Courier New" w:hAnsi="Courier New"/>
          <w:sz w:val="14"/>
          <w:szCs w:val="14"/>
          <w:color w:val="auto"/>
        </w:rPr>
        <w:t>Wisconsin</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ectPr>
          <w:pgSz w:w="11900" w:h="16838" w:orient="portrait"/>
          <w:cols w:equalWidth="0" w:num="1">
            <w:col w:w="11540"/>
          </w:cols>
          <w:pgMar w:left="220" w:top="616" w:right="139" w:bottom="94"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3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SCHEDULE 5.4</w:t>
            </w:r>
          </w:p>
        </w:tc>
      </w:tr>
      <w:tr>
        <w:trPr>
          <w:trHeight w:val="166"/>
        </w:trPr>
        <w:tc>
          <w:tcPr>
            <w:tcW w:w="700" w:type="dxa"/>
            <w:vAlign w:val="bottom"/>
          </w:tcPr>
          <w:p>
            <w:pPr>
              <w:spacing w:after="0"/>
              <w:rPr>
                <w:sz w:val="14"/>
                <w:szCs w:val="14"/>
                <w:color w:val="auto"/>
              </w:rPr>
            </w:pPr>
          </w:p>
        </w:tc>
        <w:tc>
          <w:tcPr>
            <w:tcW w:w="1840" w:type="dxa"/>
            <w:vAlign w:val="bottom"/>
          </w:tcPr>
          <w:p>
            <w:pPr>
              <w:ind w:left="160"/>
              <w:spacing w:after="0"/>
              <w:rPr>
                <w:sz w:val="20"/>
                <w:szCs w:val="20"/>
                <w:color w:val="auto"/>
              </w:rPr>
            </w:pPr>
            <w:r>
              <w:rPr>
                <w:rFonts w:ascii="Courier New" w:cs="Courier New" w:eastAsia="Courier New" w:hAnsi="Courier New"/>
                <w:sz w:val="14"/>
                <w:szCs w:val="14"/>
                <w:color w:val="auto"/>
              </w:rPr>
              <w:t>SUBSIDIARIES OF THE</w:t>
            </w:r>
          </w:p>
        </w:tc>
        <w:tc>
          <w:tcPr>
            <w:tcW w:w="1080" w:type="dxa"/>
            <w:vAlign w:val="bottom"/>
          </w:tcPr>
          <w:p>
            <w:pPr>
              <w:ind w:left="60"/>
              <w:spacing w:after="0"/>
              <w:rPr>
                <w:sz w:val="20"/>
                <w:szCs w:val="20"/>
                <w:color w:val="auto"/>
              </w:rPr>
            </w:pPr>
            <w:r>
              <w:rPr>
                <w:rFonts w:ascii="Courier New" w:cs="Courier New" w:eastAsia="Courier New" w:hAnsi="Courier New"/>
                <w:sz w:val="14"/>
                <w:szCs w:val="14"/>
                <w:color w:val="auto"/>
              </w:rPr>
              <w:t>COMPANY AND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OWNERSHIP OF SUBSIDIARY STOCK</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5.4(d)</w:t>
            </w:r>
          </w:p>
        </w:tc>
        <w:tc>
          <w:tcPr>
            <w:tcW w:w="29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Master  Loan  Agreement  between</w:t>
            </w: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Florida  Landmark  Communities, Inc.</w:t>
            </w:r>
          </w:p>
        </w:tc>
      </w:tr>
      <w:tr>
        <w:trPr>
          <w:trHeight w:val="166"/>
        </w:trPr>
        <w:tc>
          <w:tcPr>
            <w:tcW w:w="700" w:type="dxa"/>
            <w:vAlign w:val="bottom"/>
          </w:tcPr>
          <w:p>
            <w:pPr>
              <w:spacing w:after="0"/>
              <w:rPr>
                <w:sz w:val="14"/>
                <w:szCs w:val="14"/>
                <w:color w:val="auto"/>
              </w:rPr>
            </w:pPr>
          </w:p>
        </w:tc>
        <w:tc>
          <w:tcPr>
            <w:tcW w:w="1840" w:type="dxa"/>
            <w:vAlign w:val="bottom"/>
          </w:tcPr>
          <w:p>
            <w:pPr>
              <w:ind w:left="160"/>
              <w:spacing w:after="0"/>
              <w:rPr>
                <w:sz w:val="20"/>
                <w:szCs w:val="20"/>
                <w:color w:val="auto"/>
              </w:rPr>
            </w:pPr>
            <w:r>
              <w:rPr>
                <w:rFonts w:ascii="Courier New" w:cs="Courier New" w:eastAsia="Courier New" w:hAnsi="Courier New"/>
                <w:sz w:val="14"/>
                <w:szCs w:val="14"/>
                <w:color w:val="auto"/>
              </w:rPr>
              <w:t>and Cypress Coquina</w:t>
            </w:r>
          </w:p>
        </w:tc>
        <w:tc>
          <w:tcPr>
            <w:tcW w:w="1080" w:type="dxa"/>
            <w:vAlign w:val="bottom"/>
          </w:tcPr>
          <w:p>
            <w:pPr>
              <w:ind w:left="60"/>
              <w:spacing w:after="0"/>
              <w:rPr>
                <w:sz w:val="20"/>
                <w:szCs w:val="20"/>
                <w:color w:val="auto"/>
              </w:rPr>
            </w:pPr>
            <w:r>
              <w:rPr>
                <w:rFonts w:ascii="Courier New" w:cs="Courier New" w:eastAsia="Courier New" w:hAnsi="Courier New"/>
                <w:sz w:val="14"/>
                <w:szCs w:val="14"/>
                <w:color w:val="auto"/>
              </w:rPr>
              <w:t>Bank, dated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March 16, 2005, as amended.</w:t>
            </w:r>
          </w:p>
        </w:tc>
      </w:tr>
    </w:tbl>
    <w:p>
      <w:pPr>
        <w:sectPr>
          <w:pgSz w:w="11900" w:h="16838" w:orient="portrait"/>
          <w:cols w:equalWidth="0" w:num="1">
            <w:col w:w="10239"/>
          </w:cols>
          <w:pgMar w:left="220" w:top="616" w:right="1440" w:bottom="1440" w:gutter="0" w:footer="0" w:header="0"/>
        </w:sectPr>
      </w:pPr>
    </w:p>
    <w:bookmarkStart w:id="91" w:name="page92"/>
    <w:bookmarkEnd w:id="91"/>
    <w:p>
      <w:pPr>
        <w:jc w:val="center"/>
        <w:ind w:right="3419"/>
        <w:spacing w:after="0"/>
        <w:rPr>
          <w:sz w:val="20"/>
          <w:szCs w:val="20"/>
          <w:color w:val="auto"/>
        </w:rPr>
      </w:pPr>
      <w:r>
        <w:rPr>
          <w:rFonts w:ascii="Courier New" w:cs="Courier New" w:eastAsia="Courier New" w:hAnsi="Courier New"/>
          <w:sz w:val="14"/>
          <w:szCs w:val="14"/>
          <w:color w:val="auto"/>
        </w:rPr>
        <w:t>SCHEDULE 5.15</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EXISTING INDEBTEDNESS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5.15(a)</w:t>
            </w:r>
          </w:p>
        </w:tc>
        <w:tc>
          <w:tcPr>
            <w:tcW w:w="1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497"/>
        </w:trPr>
        <w:tc>
          <w:tcPr>
            <w:tcW w:w="480" w:type="dxa"/>
            <w:vAlign w:val="bottom"/>
          </w:tcPr>
          <w:p>
            <w:pPr>
              <w:spacing w:after="0"/>
              <w:rPr>
                <w:sz w:val="20"/>
                <w:szCs w:val="20"/>
                <w:color w:val="auto"/>
              </w:rPr>
            </w:pPr>
            <w:r>
              <w:rPr>
                <w:rFonts w:ascii="Courier New" w:cs="Courier New" w:eastAsia="Courier New" w:hAnsi="Courier New"/>
                <w:sz w:val="14"/>
                <w:szCs w:val="14"/>
                <w:color w:val="auto"/>
              </w:rPr>
              <w:t>SHORT</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TERM DEBT</w:t>
            </w:r>
          </w:p>
        </w:tc>
        <w:tc>
          <w:tcPr>
            <w:tcW w:w="1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20" w:type="dxa"/>
            <w:vAlign w:val="bottom"/>
          </w:tcPr>
          <w:p>
            <w:pPr>
              <w:ind w:left="480"/>
              <w:spacing w:after="0"/>
              <w:rPr>
                <w:sz w:val="20"/>
                <w:szCs w:val="20"/>
                <w:color w:val="auto"/>
              </w:rPr>
            </w:pPr>
            <w:r>
              <w:rPr>
                <w:rFonts w:ascii="Courier New" w:cs="Courier New" w:eastAsia="Courier New" w:hAnsi="Courier New"/>
                <w:sz w:val="14"/>
                <w:szCs w:val="14"/>
                <w:color w:val="auto"/>
              </w:rPr>
              <w:t>DRAWN LINES OF CREDIT</w:t>
            </w:r>
          </w:p>
        </w:tc>
        <w:tc>
          <w:tcPr>
            <w:tcW w:w="640" w:type="dxa"/>
            <w:vAlign w:val="bottom"/>
          </w:tcPr>
          <w:p>
            <w:pPr>
              <w:spacing w:after="0"/>
              <w:rPr>
                <w:sz w:val="14"/>
                <w:szCs w:val="1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31, 2007</w:t>
            </w:r>
          </w:p>
        </w:tc>
        <w:tc>
          <w:tcPr>
            <w:tcW w:w="1340" w:type="dxa"/>
            <w:vAlign w:val="bottom"/>
          </w:tcPr>
          <w:p>
            <w:pPr>
              <w:ind w:left="600"/>
              <w:spacing w:after="0"/>
              <w:rPr>
                <w:sz w:val="20"/>
                <w:szCs w:val="20"/>
                <w:color w:val="auto"/>
              </w:rPr>
            </w:pPr>
            <w:r>
              <w:rPr>
                <w:rFonts w:ascii="Courier New" w:cs="Courier New" w:eastAsia="Courier New" w:hAnsi="Courier New"/>
                <w:sz w:val="14"/>
                <w:szCs w:val="14"/>
                <w:color w:val="auto"/>
              </w:rPr>
              <w:t>Max</w:t>
            </w:r>
          </w:p>
        </w:tc>
        <w:tc>
          <w:tcPr>
            <w:tcW w:w="2420" w:type="dxa"/>
            <w:vAlign w:val="bottom"/>
          </w:tcPr>
          <w:p>
            <w:pPr>
              <w:ind w:left="1080"/>
              <w:spacing w:after="0"/>
              <w:rPr>
                <w:sz w:val="20"/>
                <w:szCs w:val="20"/>
                <w:color w:val="auto"/>
              </w:rPr>
            </w:pPr>
            <w:r>
              <w:rPr>
                <w:rFonts w:ascii="Courier New" w:cs="Courier New" w:eastAsia="Courier New" w:hAnsi="Courier New"/>
                <w:sz w:val="14"/>
                <w:szCs w:val="14"/>
                <w:color w:val="auto"/>
              </w:rPr>
              <w:t>Used</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w w:val="99"/>
              </w:rPr>
              <w:t>Unused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Florida Landmark</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$8,500,000</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$5,657,330</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$2,842,670</w:t>
      </w:r>
    </w:p>
    <w:p>
      <w:pPr>
        <w:spacing w:after="0" w:line="200" w:lineRule="exact"/>
        <w:rPr>
          <w:sz w:val="20"/>
          <w:szCs w:val="20"/>
          <w:color w:val="auto"/>
        </w:rPr>
      </w:pPr>
    </w:p>
    <w:p>
      <w:pPr>
        <w:sectPr>
          <w:pgSz w:w="11900" w:h="16838" w:orient="portrait"/>
          <w:cols w:equalWidth="0" w:num="4">
            <w:col w:w="1440" w:space="720"/>
            <w:col w:w="920" w:space="720"/>
            <w:col w:w="920" w:space="720"/>
            <w:col w:w="4799"/>
          </w:cols>
          <w:pgMar w:left="220" w:top="616" w:right="1440" w:bottom="1440" w:gutter="0" w:footer="0" w:header="0"/>
          <w:type w:val="continuous"/>
        </w:sectPr>
      </w:pPr>
    </w:p>
    <w:p>
      <w:pPr>
        <w:spacing w:after="0" w:line="138" w:lineRule="exact"/>
        <w:rPr>
          <w:sz w:val="20"/>
          <w:szCs w:val="20"/>
          <w:color w:val="auto"/>
        </w:rPr>
      </w:pPr>
    </w:p>
    <w:p>
      <w:pPr>
        <w:ind w:left="100"/>
        <w:spacing w:after="0"/>
        <w:tabs>
          <w:tab w:leader="none" w:pos="1100" w:val="left"/>
          <w:tab w:leader="none" w:pos="1460" w:val="left"/>
          <w:tab w:leader="none" w:pos="2140" w:val="left"/>
          <w:tab w:leader="none" w:pos="3260" w:val="left"/>
          <w:tab w:leader="none" w:pos="4460" w:val="left"/>
          <w:tab w:leader="none" w:pos="4980" w:val="left"/>
        </w:tabs>
        <w:rPr>
          <w:sz w:val="20"/>
          <w:szCs w:val="20"/>
          <w:color w:val="auto"/>
        </w:rPr>
      </w:pPr>
      <w:r>
        <w:rPr>
          <w:rFonts w:ascii="Courier New" w:cs="Courier New" w:eastAsia="Courier New" w:hAnsi="Courier New"/>
          <w:sz w:val="14"/>
          <w:szCs w:val="14"/>
          <w:color w:val="auto"/>
        </w:rPr>
        <w:t>Guaranteed</w:t>
        <w:tab/>
        <w:t>by</w:t>
        <w:tab/>
        <w:t>Lehigh</w:t>
        <w:tab/>
        <w:t>Acquisition</w:t>
        <w:tab/>
        <w:t>Corporation.</w:t>
        <w:tab/>
        <w:t>Used</w:t>
        <w:tab/>
        <w:t>portion of line of</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credit is classified as current maturities on the ALLETE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 TERM DEBT</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3/31/07</w:t>
      </w:r>
    </w:p>
    <w:p>
      <w:pPr>
        <w:spacing w:after="0" w:line="7" w:lineRule="exact"/>
        <w:rPr>
          <w:sz w:val="20"/>
          <w:szCs w:val="20"/>
          <w:color w:val="auto"/>
        </w:rPr>
      </w:pPr>
    </w:p>
    <w:p>
      <w:pPr>
        <w:ind w:left="180" w:hanging="172"/>
        <w:spacing w:after="0"/>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First Mortgage Bonds</w:t>
            </w:r>
          </w:p>
        </w:tc>
        <w:tc>
          <w:tcPr>
            <w:tcW w:w="1040" w:type="dxa"/>
            <w:vAlign w:val="bottom"/>
          </w:tcPr>
          <w:p>
            <w:pPr>
              <w:spacing w:after="0"/>
              <w:rPr>
                <w:sz w:val="14"/>
                <w:szCs w:val="14"/>
                <w:color w:val="auto"/>
              </w:rPr>
            </w:pP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6.68%</w:t>
            </w: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Series Due 2007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20.0</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5.99%</w:t>
            </w: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Series Due 2027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5.28%</w:t>
            </w: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Series Due 2020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4.95%</w:t>
            </w: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Pollution Control Series F Due 2022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111.0</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5.69%</w:t>
            </w: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Series Due 2036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r>
      <w:tr>
        <w:trPr>
          <w:trHeight w:val="166"/>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Variable Demand Revenue Refunding Bonds</w:t>
            </w:r>
          </w:p>
        </w:tc>
        <w:tc>
          <w:tcPr>
            <w:tcW w:w="1040" w:type="dxa"/>
            <w:vAlign w:val="bottom"/>
          </w:tcPr>
          <w:p>
            <w:pPr>
              <w:spacing w:after="0"/>
              <w:rPr>
                <w:sz w:val="14"/>
                <w:szCs w:val="14"/>
                <w:color w:val="auto"/>
              </w:rPr>
            </w:pPr>
          </w:p>
        </w:tc>
      </w:tr>
      <w:tr>
        <w:trPr>
          <w:trHeight w:val="166"/>
        </w:trPr>
        <w:tc>
          <w:tcPr>
            <w:tcW w:w="5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Series 1997 A, B, C and D Due 2007 - 2020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Industrial</w:t>
            </w: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Development Revenue Bonds 6.5% Due 2025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Industrial</w:t>
            </w: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Development Variable Rate Demand Refunding</w:t>
            </w:r>
          </w:p>
        </w:tc>
        <w:tc>
          <w:tcPr>
            <w:tcW w:w="1040" w:type="dxa"/>
            <w:vAlign w:val="bottom"/>
          </w:tcPr>
          <w:p>
            <w:pPr>
              <w:spacing w:after="0"/>
              <w:rPr>
                <w:sz w:val="14"/>
                <w:szCs w:val="14"/>
                <w:color w:val="auto"/>
              </w:rPr>
            </w:pPr>
          </w:p>
        </w:tc>
      </w:tr>
      <w:tr>
        <w:trPr>
          <w:trHeight w:val="166"/>
        </w:trPr>
        <w:tc>
          <w:tcPr>
            <w:tcW w:w="5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Revenue Bonds Series 2006 Due 2025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27.8</w:t>
            </w:r>
          </w:p>
        </w:tc>
      </w:tr>
      <w:tr>
        <w:trPr>
          <w:trHeight w:val="166"/>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Other Long-Term Debt, 2.0% - 8.5% Due 2007 - 2025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42.8</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Total Long-Term Debt</w:t>
            </w:r>
          </w:p>
        </w:tc>
        <w:tc>
          <w:tcPr>
            <w:tcW w:w="33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391.6</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Less Due Within One Year</w:t>
            </w:r>
          </w:p>
        </w:tc>
        <w:tc>
          <w:tcPr>
            <w:tcW w:w="33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32.3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Net Long-Term Debt</w:t>
            </w:r>
          </w:p>
        </w:tc>
        <w:tc>
          <w:tcPr>
            <w:tcW w:w="33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$ 359.3</w:t>
            </w:r>
          </w:p>
        </w:tc>
      </w:tr>
    </w:tbl>
    <w:p>
      <w:pPr>
        <w:spacing w:after="0" w:line="4" w:lineRule="exact"/>
        <w:rPr>
          <w:sz w:val="20"/>
          <w:szCs w:val="20"/>
          <w:color w:val="auto"/>
        </w:rPr>
      </w:pPr>
    </w:p>
    <w:p>
      <w:pPr>
        <w:ind w:left="180" w:hanging="172"/>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5.15(b)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5.15(c)</w:t>
      </w:r>
    </w:p>
    <w:p>
      <w:pPr>
        <w:spacing w:after="0" w:line="7"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Mortgage and Deed of Trust, dated September 1, 1945, between the Company and Irving Trust Company (now The Bank of New York) and Richard H. West (Douglas I. MacInnes, successor), as Trustees, as supplemented and amended.</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Fourth Amended and Restated Committed Facility Letter, dated January 11, 2006, as thereafter amended, by and among the Company and LaSalle Bank National Association, in its capacity as agent for the Banks party thereto.</w:t>
      </w:r>
    </w:p>
    <w:p>
      <w:pPr>
        <w:sectPr>
          <w:pgSz w:w="11900" w:h="16838" w:orient="portrait"/>
          <w:cols w:equalWidth="0" w:num="1">
            <w:col w:w="10239"/>
          </w:cols>
          <w:pgMar w:left="220" w:top="616" w:right="1440" w:bottom="1440" w:gutter="0" w:footer="0" w:header="0"/>
          <w:type w:val="continuous"/>
        </w:sectPr>
      </w:pPr>
    </w:p>
    <w:bookmarkStart w:id="92" w:name="page93"/>
    <w:bookmarkEnd w:id="92"/>
    <w:p>
      <w:pPr>
        <w:spacing w:after="0"/>
        <w:rPr>
          <w:sz w:val="20"/>
          <w:szCs w:val="20"/>
          <w:color w:val="auto"/>
        </w:rPr>
      </w:pPr>
      <w:r>
        <w:rPr>
          <w:rFonts w:ascii="Courier New" w:cs="Courier New" w:eastAsia="Courier New" w:hAnsi="Courier New"/>
          <w:sz w:val="14"/>
          <w:szCs w:val="14"/>
          <w:color w:val="auto"/>
        </w:rPr>
        <w:t>Letters of Credit:</w:t>
      </w:r>
    </w:p>
    <w:p>
      <w:pPr>
        <w:spacing w:after="0" w:line="173" w:lineRule="exact"/>
        <w:rPr>
          <w:sz w:val="20"/>
          <w:szCs w:val="20"/>
          <w:color w:val="auto"/>
        </w:rPr>
      </w:pPr>
    </w:p>
    <w:p>
      <w:pPr>
        <w:jc w:val="both"/>
        <w:ind w:left="1040" w:right="3419"/>
        <w:spacing w:after="0" w:line="255" w:lineRule="auto"/>
        <w:rPr>
          <w:sz w:val="20"/>
          <w:szCs w:val="20"/>
          <w:color w:val="auto"/>
        </w:rPr>
      </w:pPr>
      <w:r>
        <w:rPr>
          <w:rFonts w:ascii="Courier New" w:cs="Courier New" w:eastAsia="Courier New" w:hAnsi="Courier New"/>
          <w:sz w:val="14"/>
          <w:szCs w:val="14"/>
          <w:color w:val="auto"/>
        </w:rPr>
        <w:t>Letter of Credit Agreement, dated July 5, 2006, by and among the Company and Wells Fargo Bank, National Association.</w:t>
      </w:r>
    </w:p>
    <w:p>
      <w:pPr>
        <w:spacing w:after="0" w:line="160" w:lineRule="exact"/>
        <w:rPr>
          <w:sz w:val="20"/>
          <w:szCs w:val="20"/>
          <w:color w:val="auto"/>
        </w:rPr>
      </w:pPr>
    </w:p>
    <w:p>
      <w:pPr>
        <w:jc w:val="both"/>
        <w:ind w:left="1040" w:right="3419"/>
        <w:spacing w:after="0" w:line="252" w:lineRule="auto"/>
        <w:rPr>
          <w:sz w:val="20"/>
          <w:szCs w:val="20"/>
          <w:color w:val="auto"/>
        </w:rPr>
      </w:pPr>
      <w:r>
        <w:rPr>
          <w:rFonts w:ascii="Courier New" w:cs="Courier New" w:eastAsia="Courier New" w:hAnsi="Courier New"/>
          <w:sz w:val="14"/>
          <w:szCs w:val="14"/>
          <w:color w:val="auto"/>
        </w:rPr>
        <w:t>Letter of Credit Agreement, dated November 1, 2005, as thereafter amended, by and among the Company and LaSalle Bank National Association.</w:t>
      </w:r>
    </w:p>
    <w:p>
      <w:pPr>
        <w:spacing w:after="0" w:line="163" w:lineRule="exact"/>
        <w:rPr>
          <w:sz w:val="20"/>
          <w:szCs w:val="20"/>
          <w:color w:val="auto"/>
        </w:rPr>
      </w:pPr>
    </w:p>
    <w:p>
      <w:pPr>
        <w:jc w:val="both"/>
        <w:ind w:left="1040" w:right="3419"/>
        <w:spacing w:after="0" w:line="252" w:lineRule="auto"/>
        <w:rPr>
          <w:sz w:val="20"/>
          <w:szCs w:val="20"/>
          <w:color w:val="auto"/>
        </w:rPr>
      </w:pPr>
      <w:r>
        <w:rPr>
          <w:rFonts w:ascii="Courier New" w:cs="Courier New" w:eastAsia="Courier New" w:hAnsi="Courier New"/>
          <w:sz w:val="14"/>
          <w:szCs w:val="14"/>
          <w:color w:val="auto"/>
        </w:rPr>
        <w:t>Letter of Credit Agreement, dated May 1, 2003, as thereafter amended, by and among the Company and LaSalle Bank National Association.</w:t>
      </w:r>
    </w:p>
    <w:p>
      <w:pPr>
        <w:spacing w:after="0" w:line="163" w:lineRule="exact"/>
        <w:rPr>
          <w:sz w:val="20"/>
          <w:szCs w:val="20"/>
          <w:color w:val="auto"/>
        </w:rPr>
      </w:pPr>
    </w:p>
    <w:p>
      <w:pPr>
        <w:jc w:val="both"/>
        <w:ind w:left="1040" w:right="3419"/>
        <w:spacing w:after="0" w:line="255" w:lineRule="auto"/>
        <w:rPr>
          <w:sz w:val="20"/>
          <w:szCs w:val="20"/>
          <w:color w:val="auto"/>
        </w:rPr>
      </w:pPr>
      <w:r>
        <w:rPr>
          <w:rFonts w:ascii="Courier New" w:cs="Courier New" w:eastAsia="Courier New" w:hAnsi="Courier New"/>
          <w:sz w:val="14"/>
          <w:szCs w:val="14"/>
          <w:color w:val="auto"/>
        </w:rPr>
        <w:t>Reimbursement Agreement, dated May 1, 2002, as thereafter amended, by and among the Company and LaSalle Bank National Association.</w:t>
      </w:r>
    </w:p>
    <w:p>
      <w:pPr>
        <w:sectPr>
          <w:pgSz w:w="11900" w:h="16838" w:orient="portrait"/>
          <w:cols w:equalWidth="0" w:num="1">
            <w:col w:w="10239"/>
          </w:cols>
          <w:pgMar w:left="220" w:top="616" w:right="1440" w:bottom="1440" w:gutter="0" w:footer="0" w:header="0"/>
        </w:sectPr>
      </w:pPr>
    </w:p>
    <w:bookmarkStart w:id="93" w:name="page94"/>
    <w:bookmarkEnd w:id="93"/>
    <w:p>
      <w:pPr>
        <w:jc w:val="center"/>
        <w:ind w:right="3339"/>
        <w:spacing w:after="0"/>
        <w:rPr>
          <w:sz w:val="20"/>
          <w:szCs w:val="20"/>
          <w:color w:val="auto"/>
        </w:rPr>
      </w:pPr>
      <w:r>
        <w:rPr>
          <w:rFonts w:ascii="Courier New" w:cs="Courier New" w:eastAsia="Courier New" w:hAnsi="Courier New"/>
          <w:sz w:val="14"/>
          <w:szCs w:val="14"/>
          <w:color w:val="auto"/>
        </w:rPr>
        <w:t>[FORM OF NOTE]</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ALLETE, INC.</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5.99% SENIOR NOTE DUE JUNE 1,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20"/>
                <w:szCs w:val="20"/>
                <w:color w:val="auto"/>
              </w:rPr>
            </w:pPr>
            <w:r>
              <w:rPr>
                <w:rFonts w:ascii="Courier New" w:cs="Courier New" w:eastAsia="Courier New" w:hAnsi="Courier New"/>
                <w:sz w:val="14"/>
                <w:szCs w:val="14"/>
                <w:color w:val="auto"/>
              </w:rPr>
              <w:t>No. R-[___]</w:t>
            </w:r>
          </w:p>
        </w:tc>
        <w:tc>
          <w:tcPr>
            <w:tcW w:w="5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June 8, 2007</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$[_______]</w:t>
            </w:r>
          </w:p>
        </w:tc>
        <w:tc>
          <w:tcPr>
            <w:tcW w:w="5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PPN [_____________]</w:t>
            </w:r>
          </w:p>
        </w:tc>
      </w:tr>
      <w:tr>
        <w:trPr>
          <w:trHeight w:val="331"/>
        </w:trPr>
        <w:tc>
          <w:tcPr>
            <w:tcW w:w="69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FOR VALUE  RECEIVED,  the  undersigned,  ALLETE,  INC  (herein  called  the</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"COMPANY"),</w:t>
            </w:r>
          </w:p>
        </w:tc>
        <w:tc>
          <w:tcPr>
            <w:tcW w:w="49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 corporation organized and existing under the laws of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the State of</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Minnesota,</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hereby</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promises to pay to [____________],</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or registered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assigns, the</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principal</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sum of</w:t>
            </w:r>
          </w:p>
        </w:tc>
        <w:tc>
          <w:tcPr>
            <w:tcW w:w="53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[_____________________]  DOLLARS (or so much thereof as shall</w:t>
            </w:r>
          </w:p>
        </w:tc>
      </w:tr>
      <w:tr>
        <w:trPr>
          <w:trHeight w:val="166"/>
        </w:trPr>
        <w:tc>
          <w:tcPr>
            <w:tcW w:w="4620" w:type="dxa"/>
            <w:vAlign w:val="bottom"/>
            <w:gridSpan w:val="3"/>
          </w:tcPr>
          <w:p>
            <w:pPr>
              <w:spacing w:after="0"/>
              <w:rPr>
                <w:sz w:val="20"/>
                <w:szCs w:val="20"/>
                <w:color w:val="auto"/>
              </w:rPr>
            </w:pPr>
            <w:r>
              <w:rPr>
                <w:rFonts w:ascii="Courier New" w:cs="Courier New" w:eastAsia="Courier New" w:hAnsi="Courier New"/>
                <w:sz w:val="14"/>
                <w:szCs w:val="14"/>
                <w:color w:val="auto"/>
              </w:rPr>
              <w:t>not have been prepaid) on June 1, 2017, with interest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(computed on</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the basis of</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a 360-day year of</w:t>
            </w:r>
          </w:p>
        </w:tc>
        <w:tc>
          <w:tcPr>
            <w:tcW w:w="53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twelve 30-day  months) (a) on the unpaid balance hereof at the</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rate of 5.99% per</w:t>
            </w:r>
          </w:p>
        </w:tc>
        <w:tc>
          <w:tcPr>
            <w:tcW w:w="4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annum from the date hereof,  payable semiannually,</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on the 1st</w:t>
            </w:r>
          </w:p>
        </w:tc>
      </w:tr>
    </w:tbl>
    <w:p>
      <w:pPr>
        <w:spacing w:after="0" w:line="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day of June and December in each year, commencing with the June or December next succeeding the date hereof, until the principal hereof shall have become due and payable, and (b) to the extent permitted by law, on any overdue payment of interest and, during the continuance of an Event of Default, on such unpaid balance and on any overdue payment of any Make-Whole Amount, at a rate per annum from time to time equal to the greater of (i) 7.99% or (ii) 2.00% over the rate of interest publicly announced by U.S. Bank from time to time in New York, New York as its "base" or "prime" rate, payable semiannually as aforesaid (or, at the option of the registered holder hereof, on demand).</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Payments of principal of, interest on and any Make-Whole Amount with respect to this Note are to be made in lawful money of the United States of America at U.S. Bank or at such other place as the Company shall have designated by written notice to the holder of this Note as provided in the Note Purchase Agreement referred to below.</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This Note is one of a series of Senior Notes (herein called the "NOTES") issued pursuant to the Note Purchase Agreement, dated as of June 8, 2007 (as from time to time amended, the "NOTE PURCHASE AGREEMENT"), between the Company and the respective Purchasers named therein and is entitled to the benefits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This Note is registered on the books and records of the Company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spacing w:after="0" w:line="32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EXHIBIT 1</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(to Note Purchase Agreement</w:t>
      </w:r>
    </w:p>
    <w:p>
      <w:pPr>
        <w:sectPr>
          <w:pgSz w:w="11900" w:h="16838" w:orient="portrait"/>
          <w:cols w:equalWidth="0" w:num="1">
            <w:col w:w="10239"/>
          </w:cols>
          <w:pgMar w:left="220" w:top="616" w:right="1440" w:bottom="1440" w:gutter="0" w:footer="0" w:header="0"/>
        </w:sectPr>
      </w:pPr>
    </w:p>
    <w:bookmarkStart w:id="94" w:name="page95"/>
    <w:bookmarkEnd w:id="94"/>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This Note is subject to optional prepayment, in whole or from time to time in part, at the times and on the terms specified in the Note Purchase Agreement, but not otherwise.</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laws of a jurisdiction other than such State.</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- 2 -</w:t>
      </w:r>
    </w:p>
    <w:p>
      <w:pPr>
        <w:sectPr>
          <w:pgSz w:w="11900" w:h="16838" w:orient="portrait"/>
          <w:cols w:equalWidth="0" w:num="1">
            <w:col w:w="10239"/>
          </w:cols>
          <w:pgMar w:left="220" w:top="616" w:right="1440" w:bottom="1440" w:gutter="0" w:footer="0" w:header="0"/>
        </w:sectPr>
      </w:pPr>
    </w:p>
    <w:bookmarkStart w:id="95" w:name="page96"/>
    <w:bookmarkEnd w:id="95"/>
    <w:p>
      <w:pPr>
        <w:jc w:val="right"/>
        <w:ind w:right="3339"/>
        <w:spacing w:after="0"/>
        <w:rPr>
          <w:sz w:val="20"/>
          <w:szCs w:val="20"/>
          <w:color w:val="auto"/>
        </w:rPr>
      </w:pPr>
      <w:r>
        <w:rPr>
          <w:rFonts w:ascii="Courier New" w:cs="Courier New" w:eastAsia="Courier New" w:hAnsi="Courier New"/>
          <w:sz w:val="14"/>
          <w:szCs w:val="14"/>
          <w:color w:val="auto"/>
        </w:rPr>
        <w:t>EXHIBIT 4.4(a)</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OF OPINION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Deborah A. Amberg, Senior Vice President, General Counsel</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 Secretary of ALLETE, Inc.</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[ALLETE, INC. LETTERHEAD]</w:t>
      </w:r>
    </w:p>
    <w:p>
      <w:pPr>
        <w:spacing w:after="0" w:line="338"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June 8, 2007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Each of the Purchasers Listed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Schedule A to the Note Purchase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8, 2007</w:t>
      </w:r>
    </w:p>
    <w:p>
      <w:pPr>
        <w:spacing w:after="0" w:line="173" w:lineRule="exact"/>
        <w:rPr>
          <w:sz w:val="20"/>
          <w:szCs w:val="20"/>
          <w:color w:val="auto"/>
        </w:rPr>
      </w:pPr>
    </w:p>
    <w:p>
      <w:pPr>
        <w:ind w:left="1040"/>
        <w:spacing w:after="0"/>
        <w:tabs>
          <w:tab w:leader="none" w:pos="1620" w:val="left"/>
        </w:tabs>
        <w:rPr>
          <w:sz w:val="20"/>
          <w:szCs w:val="20"/>
          <w:color w:val="auto"/>
        </w:rPr>
      </w:pPr>
      <w:r>
        <w:rPr>
          <w:rFonts w:ascii="Courier New" w:cs="Courier New" w:eastAsia="Courier New" w:hAnsi="Courier New"/>
          <w:sz w:val="14"/>
          <w:szCs w:val="14"/>
          <w:color w:val="auto"/>
        </w:rPr>
        <w:t>Re:</w:t>
      </w:r>
      <w:r>
        <w:rPr>
          <w:sz w:val="20"/>
          <w:szCs w:val="20"/>
          <w:color w:val="auto"/>
        </w:rPr>
        <w:tab/>
      </w:r>
      <w:r>
        <w:rPr>
          <w:rFonts w:ascii="Courier New" w:cs="Courier New" w:eastAsia="Courier New" w:hAnsi="Courier New"/>
          <w:sz w:val="14"/>
          <w:szCs w:val="14"/>
          <w:color w:val="auto"/>
        </w:rPr>
        <w:t>$50,000,000 5.99% Senior Notes due June 1, 2017</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Issued by ALLETE, Inc.</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Reference is made to the sale by ALLETE, Inc., a Minnesota corporation ("Company") of $50,000,000 principal amount of its 5.99% Senior Notes due June 1, 2017 (the "Notes"). The Notes will be issued under the Note Purchase Agreement, dated as of June 8, 2007 (the "Agreement"). I advise you that I am General Counsel to the Company and have acted in that capacity in connection with such issuance and sale and I (or attorneys in the Company's legal department with whom I have consulted) have participated in the preparation of (i) the Agreement; and (ii) the petition filed by the Company with the Minnesota Public Utilities Commission seeking authorization to issue the Notes. In addition, I have reviewed the order issued by said Commission in response to said petition.</w:t>
      </w:r>
    </w:p>
    <w:p>
      <w:pPr>
        <w:sectPr>
          <w:pgSz w:w="11900" w:h="16838" w:orient="portrait"/>
          <w:cols w:equalWidth="0" w:num="1">
            <w:col w:w="10239"/>
          </w:cols>
          <w:pgMar w:left="220" w:top="616" w:right="1440" w:bottom="1440" w:gutter="0" w:footer="0" w:header="0"/>
        </w:sectPr>
      </w:pPr>
    </w:p>
    <w:p>
      <w:pPr>
        <w:spacing w:after="0" w:line="329" w:lineRule="exact"/>
        <w:rPr>
          <w:sz w:val="20"/>
          <w:szCs w:val="20"/>
          <w:color w:val="auto"/>
        </w:rPr>
      </w:pPr>
    </w:p>
    <w:p>
      <w:pPr>
        <w:ind w:left="1040"/>
        <w:spacing w:after="0"/>
        <w:tabs>
          <w:tab w:leader="none" w:pos="1460" w:val="left"/>
          <w:tab w:leader="none" w:pos="2660" w:val="left"/>
          <w:tab w:leader="none" w:pos="3340" w:val="left"/>
          <w:tab w:leader="none" w:pos="3960" w:val="left"/>
          <w:tab w:leader="none" w:pos="4640" w:val="left"/>
        </w:tabs>
        <w:rPr>
          <w:sz w:val="20"/>
          <w:szCs w:val="20"/>
          <w:color w:val="auto"/>
        </w:rPr>
      </w:pPr>
      <w:r>
        <w:rPr>
          <w:rFonts w:ascii="Courier New" w:cs="Courier New" w:eastAsia="Courier New" w:hAnsi="Courier New"/>
          <w:sz w:val="14"/>
          <w:szCs w:val="14"/>
          <w:color w:val="auto"/>
        </w:rPr>
        <w:t>All</w:t>
        <w:tab/>
        <w:t>capitalized</w:t>
      </w:r>
      <w:r>
        <w:rPr>
          <w:sz w:val="20"/>
          <w:szCs w:val="20"/>
          <w:color w:val="auto"/>
        </w:rPr>
        <w:tab/>
      </w:r>
      <w:r>
        <w:rPr>
          <w:rFonts w:ascii="Courier New" w:cs="Courier New" w:eastAsia="Courier New" w:hAnsi="Courier New"/>
          <w:sz w:val="14"/>
          <w:szCs w:val="14"/>
          <w:color w:val="auto"/>
        </w:rPr>
        <w:t>terms</w:t>
      </w:r>
      <w:r>
        <w:rPr>
          <w:sz w:val="20"/>
          <w:szCs w:val="20"/>
          <w:color w:val="auto"/>
        </w:rPr>
        <w:tab/>
      </w:r>
      <w:r>
        <w:rPr>
          <w:rFonts w:ascii="Courier New" w:cs="Courier New" w:eastAsia="Courier New" w:hAnsi="Courier New"/>
          <w:sz w:val="14"/>
          <w:szCs w:val="14"/>
          <w:color w:val="auto"/>
        </w:rPr>
        <w:t>used</w:t>
      </w:r>
      <w:r>
        <w:rPr>
          <w:sz w:val="20"/>
          <w:szCs w:val="20"/>
          <w:color w:val="auto"/>
        </w:rPr>
        <w:tab/>
      </w:r>
      <w:r>
        <w:rPr>
          <w:rFonts w:ascii="Courier New" w:cs="Courier New" w:eastAsia="Courier New" w:hAnsi="Courier New"/>
          <w:sz w:val="14"/>
          <w:szCs w:val="14"/>
          <w:color w:val="auto"/>
        </w:rPr>
        <w:t>herein</w:t>
        <w:tab/>
        <w:t>without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definition</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w:t>
      </w:r>
    </w:p>
    <w:p>
      <w:pPr>
        <w:spacing w:after="0" w:line="7" w:lineRule="exact"/>
        <w:rPr>
          <w:sz w:val="20"/>
          <w:szCs w:val="20"/>
          <w:color w:val="auto"/>
        </w:rPr>
      </w:pPr>
    </w:p>
    <w:p>
      <w:pPr>
        <w:sectPr>
          <w:pgSz w:w="11900" w:h="16838" w:orient="portrait"/>
          <w:cols w:equalWidth="0" w:num="3">
            <w:col w:w="5260" w:space="180"/>
            <w:col w:w="860" w:space="160"/>
            <w:col w:w="37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have the respective meanings set forth in the Agreement.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In furnishing this opinion, I have examined the Amended and Restated Articles of Incorporation, as amended (the "Charter"), and the Bylaws, as amended, of the Company and the Agreement, and have made such further investigation and examined such further documents and records of the Company and certificates of public officials as I have deemed necessary or appropriate for purposes of this opinion.</w:t>
      </w:r>
    </w:p>
    <w:p>
      <w:pPr>
        <w:spacing w:after="0" w:line="164"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I have also reviewed all corporate proceedings taken by the Company in respect of the authorization of the Agreement and the issuance and sale of the Notes thereunder and I have examined the Notes.</w:t>
      </w:r>
    </w:p>
    <w:p>
      <w:pPr>
        <w:spacing w:after="0" w:line="32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EXHIBIT 4.4(a)</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 Note Purchase Agreement)</w:t>
      </w:r>
    </w:p>
    <w:p>
      <w:pPr>
        <w:sectPr>
          <w:pgSz w:w="11900" w:h="16838" w:orient="portrait"/>
          <w:cols w:equalWidth="0" w:num="1">
            <w:col w:w="10239"/>
          </w:cols>
          <w:pgMar w:left="220" w:top="616" w:right="1440" w:bottom="1440" w:gutter="0" w:footer="0" w:header="0"/>
          <w:type w:val="continuous"/>
        </w:sectPr>
      </w:pPr>
    </w:p>
    <w:bookmarkStart w:id="96" w:name="page97"/>
    <w:bookmarkEnd w:id="96"/>
    <w:p>
      <w:pPr>
        <w:jc w:val="right"/>
        <w:ind w:right="3339"/>
        <w:spacing w:after="0"/>
        <w:tabs>
          <w:tab w:leader="none" w:pos="5400" w:val="left"/>
          <w:tab w:leader="none" w:pos="4540" w:val="left"/>
          <w:tab w:leader="none" w:pos="4200" w:val="left"/>
          <w:tab w:leader="none" w:pos="3780" w:val="left"/>
          <w:tab w:leader="none" w:pos="2900" w:val="left"/>
          <w:tab w:leader="none" w:pos="1960" w:val="left"/>
          <w:tab w:leader="none" w:pos="1280" w:val="left"/>
          <w:tab w:leader="none" w:pos="580" w:val="left"/>
        </w:tabs>
        <w:rPr>
          <w:sz w:val="20"/>
          <w:szCs w:val="20"/>
          <w:color w:val="auto"/>
        </w:rPr>
      </w:pPr>
      <w:r>
        <w:rPr>
          <w:rFonts w:ascii="Courier New" w:cs="Courier New" w:eastAsia="Courier New" w:hAnsi="Courier New"/>
          <w:sz w:val="14"/>
          <w:szCs w:val="14"/>
          <w:color w:val="auto"/>
        </w:rPr>
        <w:t>For</w:t>
        <w:tab/>
        <w:t>purposes</w:t>
        <w:tab/>
        <w:t>of</w:t>
        <w:tab/>
        <w:t>the</w:t>
        <w:tab/>
        <w:t>opinions</w:t>
        <w:tab/>
        <w:t>expressed</w:t>
        <w:tab/>
        <w:t>below,</w:t>
        <w:tab/>
        <w:t>I have</w:t>
        <w:tab/>
        <w:t>assumed</w:t>
      </w:r>
    </w:p>
    <w:p>
      <w:pPr>
        <w:spacing w:after="0" w:line="7" w:lineRule="exact"/>
        <w:rPr>
          <w:sz w:val="20"/>
          <w:szCs w:val="20"/>
          <w:color w:val="auto"/>
        </w:rPr>
      </w:pPr>
    </w:p>
    <w:p>
      <w:pPr>
        <w:jc w:val="both"/>
        <w:ind w:right="3339" w:firstLine="8"/>
        <w:spacing w:after="0" w:line="251" w:lineRule="auto"/>
        <w:tabs>
          <w:tab w:leader="none" w:pos="344"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authenticity of all documents submitted to me as originals, (ii) the conformity to the originals of all documents submitted to me as certified or photostatic copies and the authenticity of the originals of such copies, (iii) the genuineness of all signatures other than on behalf of the Company, (iv) the legal capacity of natural persons, (v) the power, corporate or otherwise, of all parties other than the Company to enter into and to perform all of its obligations under such documents, (vi) the due authorization, execution and delivery of all documents by all parties other than the Company, and (vii) that the consideration contemplated by the Agreement for the purchase of the Notes has been paid.</w:t>
      </w:r>
    </w:p>
    <w:p>
      <w:pPr>
        <w:spacing w:after="0" w:line="329"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For purposes of the opinions contained herein, I have made no independent investigation of the facts referred to herein, and with respect to such facts have relied, for the purpose of rendering this opinion and except as otherwise stated herein, exclusively on the statements contained and matters provided for in the Agreement and such other documents relating to the Agreement as I have deemed advisable, including the factual representations, warranties and covenants contained therein as made by the respective parties thereto and assumed that any such statement or representation that was given or dated on or prior to the date hereof continues to remain accurate and complete, insofar as relevant to my opinion, from such earlier date through and including the date of this opinion.</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Based on such examinations and investigation, it is my opinion that:</w:t>
      </w:r>
    </w:p>
    <w:p>
      <w:pPr>
        <w:spacing w:after="0" w:line="338" w:lineRule="exact"/>
        <w:rPr>
          <w:sz w:val="20"/>
          <w:szCs w:val="20"/>
          <w:color w:val="auto"/>
        </w:rPr>
      </w:pPr>
    </w:p>
    <w:p>
      <w:pPr>
        <w:jc w:val="both"/>
        <w:ind w:left="1640" w:right="3339" w:hanging="598"/>
        <w:spacing w:after="0" w:line="251" w:lineRule="auto"/>
        <w:tabs>
          <w:tab w:leader="none" w:pos="164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a validly organized and existing corporation and in good standing under the laws of the State of Minnesota and is duly qualified as a foreign corporation in each jurisdiction in which the character of the properties owned or leased by it or the nature of the business transacted by it makes such qualification necessary, except where the failure to be so qualified would not result in a Material Adverse Effect.</w:t>
      </w:r>
    </w:p>
    <w:p>
      <w:pPr>
        <w:spacing w:after="0" w:line="163" w:lineRule="exact"/>
        <w:rPr>
          <w:rFonts w:ascii="Courier New" w:cs="Courier New" w:eastAsia="Courier New" w:hAnsi="Courier New"/>
          <w:sz w:val="14"/>
          <w:szCs w:val="14"/>
          <w:color w:val="auto"/>
        </w:rPr>
      </w:pPr>
    </w:p>
    <w:p>
      <w:pPr>
        <w:jc w:val="both"/>
        <w:ind w:left="1640" w:right="3339" w:hanging="598"/>
        <w:spacing w:after="0" w:line="251" w:lineRule="auto"/>
        <w:tabs>
          <w:tab w:leader="none" w:pos="164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a corporation duly authorized by its Charter to conduct the business which it is now conducting as set forth in the Disclosure Documents and the Company holds valid and subsisting franchises, licenses and permits authorizing it to carry on the business in which it is engaged.</w:t>
      </w:r>
    </w:p>
    <w:p>
      <w:pPr>
        <w:spacing w:after="0" w:line="164" w:lineRule="exact"/>
        <w:rPr>
          <w:rFonts w:ascii="Courier New" w:cs="Courier New" w:eastAsia="Courier New" w:hAnsi="Courier New"/>
          <w:sz w:val="14"/>
          <w:szCs w:val="14"/>
          <w:color w:val="auto"/>
        </w:rPr>
      </w:pPr>
    </w:p>
    <w:p>
      <w:pPr>
        <w:jc w:val="both"/>
        <w:ind w:left="1640" w:right="3339" w:hanging="598"/>
        <w:spacing w:after="0" w:line="252" w:lineRule="auto"/>
        <w:tabs>
          <w:tab w:leader="none" w:pos="164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all requisite corporate power and authority to execute and deliver, and to perform all of its obligations under, the Agreement and the Notes.</w:t>
      </w:r>
    </w:p>
    <w:p>
      <w:pPr>
        <w:spacing w:after="0" w:line="162" w:lineRule="exact"/>
        <w:rPr>
          <w:rFonts w:ascii="Courier New" w:cs="Courier New" w:eastAsia="Courier New" w:hAnsi="Courier New"/>
          <w:sz w:val="14"/>
          <w:szCs w:val="14"/>
          <w:color w:val="auto"/>
        </w:rPr>
      </w:pPr>
    </w:p>
    <w:p>
      <w:pPr>
        <w:jc w:val="both"/>
        <w:ind w:left="1640" w:right="3339" w:hanging="598"/>
        <w:spacing w:after="0" w:line="251" w:lineRule="auto"/>
        <w:tabs>
          <w:tab w:leader="none" w:pos="164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has been duly and validly authorized by all necessary corporate action, has been duly and validly executed and delivered, and is a valid and binding obligation of the Company enforceable in accordance with its terms, except as (i) the enforceability thereof may be limited by bankruptcy, insolvency or similar laws affecting enforcement of creditors' rights generally and (ii) rights of acceleration and the availability of equitable remedies may be limited by equitable principles of general applicability.</w:t>
      </w:r>
    </w:p>
    <w:p>
      <w:pPr>
        <w:spacing w:after="0" w:line="163" w:lineRule="exact"/>
        <w:rPr>
          <w:rFonts w:ascii="Courier New" w:cs="Courier New" w:eastAsia="Courier New" w:hAnsi="Courier New"/>
          <w:sz w:val="14"/>
          <w:szCs w:val="14"/>
          <w:color w:val="auto"/>
        </w:rPr>
      </w:pPr>
    </w:p>
    <w:p>
      <w:pPr>
        <w:ind w:left="3460" w:hanging="179"/>
        <w:spacing w:after="0"/>
        <w:tabs>
          <w:tab w:leader="none" w:pos="3460"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2 -</w:t>
      </w:r>
    </w:p>
    <w:p>
      <w:pPr>
        <w:sectPr>
          <w:pgSz w:w="11900" w:h="16838" w:orient="portrait"/>
          <w:cols w:equalWidth="0" w:num="1">
            <w:col w:w="10239"/>
          </w:cols>
          <w:pgMar w:left="220" w:top="616" w:right="1440" w:bottom="1440" w:gutter="0" w:footer="0" w:header="0"/>
        </w:sectPr>
      </w:pPr>
    </w:p>
    <w:bookmarkStart w:id="97" w:name="page98"/>
    <w:bookmarkEnd w:id="97"/>
    <w:p>
      <w:pPr>
        <w:jc w:val="both"/>
        <w:ind w:left="600" w:right="3339" w:hanging="598"/>
        <w:spacing w:after="0" w:line="250" w:lineRule="auto"/>
        <w:tabs>
          <w:tab w:leader="none" w:pos="60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have been duly and validly authorized by all necessary corporate action and have been executed in accordance with the provisions of the Agreement and delivered and are entitled to the benefits of the Agreement and are valid and binding obligations of the Company enforceable in accordance with their terms, except as (i) the enforceability thereof may be limited by bankruptcy, insolvency or similar laws affecting enforcement of creditors' rights generally and</w:t>
      </w:r>
    </w:p>
    <w:p>
      <w:pPr>
        <w:spacing w:after="0" w:line="3" w:lineRule="exact"/>
        <w:rPr>
          <w:rFonts w:ascii="Courier New" w:cs="Courier New" w:eastAsia="Courier New" w:hAnsi="Courier New"/>
          <w:sz w:val="14"/>
          <w:szCs w:val="14"/>
          <w:color w:val="auto"/>
        </w:rPr>
      </w:pPr>
    </w:p>
    <w:p>
      <w:pPr>
        <w:jc w:val="both"/>
        <w:ind w:left="600" w:right="3339" w:firstLine="5"/>
        <w:spacing w:after="0" w:line="252" w:lineRule="auto"/>
        <w:tabs>
          <w:tab w:leader="none" w:pos="1031"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 acceleration and the availability of equitable remedies may be limited by equitable principles of general applicability.</w:t>
      </w:r>
    </w:p>
    <w:p>
      <w:pPr>
        <w:spacing w:after="0" w:line="162" w:lineRule="exact"/>
        <w:rPr>
          <w:rFonts w:ascii="Courier New" w:cs="Courier New" w:eastAsia="Courier New" w:hAnsi="Courier New"/>
          <w:sz w:val="14"/>
          <w:szCs w:val="14"/>
          <w:color w:val="auto"/>
        </w:rPr>
      </w:pPr>
    </w:p>
    <w:p>
      <w:pPr>
        <w:jc w:val="both"/>
        <w:ind w:left="600" w:right="3339" w:hanging="598"/>
        <w:spacing w:after="0" w:line="251" w:lineRule="auto"/>
        <w:tabs>
          <w:tab w:leader="none" w:pos="60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order has been issued by the Minnesota Public Utilities Commission certifying the Company's capital structure and authorizing the issuance and sale of the Notes, and to the best of my knowledge after such inquiry as I deem reasonable, said order is still in full force and effect; and no further approval, authorization, consent or order of any public board or body (other than in connection or in compliance with the provisions of the securities or "blue sky" laws of any jurisdiction) is legally required for the authorization of the issuance and sale of the Notes or, as of the date hereof, the performance of the Notes or the Agreement.</w:t>
      </w:r>
    </w:p>
    <w:p>
      <w:pPr>
        <w:spacing w:after="0" w:line="163" w:lineRule="exact"/>
        <w:rPr>
          <w:rFonts w:ascii="Courier New" w:cs="Courier New" w:eastAsia="Courier New" w:hAnsi="Courier New"/>
          <w:sz w:val="14"/>
          <w:szCs w:val="14"/>
          <w:color w:val="auto"/>
        </w:rPr>
      </w:pPr>
    </w:p>
    <w:p>
      <w:pPr>
        <w:jc w:val="both"/>
        <w:ind w:left="60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execution by the Company of the Agreement nor he issue and sale by the Company of the Notes as contemplated by the Agreement nor the consummation by the Company of the other transactions contemplated by the Agreement or, as of the date hereof, the performance of the Notes or the Agreement conflicts with, or results in a breach of, the Charter or Bylaws of the Company or any material agreement or instrument to which the Company is a party or by which the Company is bound, any law or regulation or, so far as is known to me after such inquiry as I deem reasonable, any</w:t>
      </w:r>
    </w:p>
    <w:p>
      <w:pPr>
        <w:spacing w:after="0" w:line="4" w:lineRule="exact"/>
        <w:rPr>
          <w:rFonts w:ascii="Courier New" w:cs="Courier New" w:eastAsia="Courier New" w:hAnsi="Courier New"/>
          <w:sz w:val="14"/>
          <w:szCs w:val="14"/>
          <w:color w:val="auto"/>
        </w:rPr>
      </w:pPr>
    </w:p>
    <w:p>
      <w:pPr>
        <w:jc w:val="both"/>
        <w:ind w:left="600" w:right="333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order or regulation of any court, governmental instrumentality or arbitrator, and which conflict or breach is material to the Company and its subsidiaries, taken as a whole.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4"/>
              </w:rPr>
              <w:t>8.</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The</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execution,</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delivery  and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99"/>
              </w:rPr>
              <w:t>performance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by  the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380" w:type="dxa"/>
            <w:vAlign w:val="bottom"/>
          </w:tcPr>
          <w:p>
            <w:pPr>
              <w:spacing w:after="0"/>
              <w:rPr>
                <w:sz w:val="14"/>
                <w:szCs w:val="14"/>
                <w:color w:val="auto"/>
              </w:rPr>
            </w:pPr>
          </w:p>
        </w:tc>
        <w:tc>
          <w:tcPr>
            <w:tcW w:w="182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of the  Agreement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and the Notes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do not and</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will not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violate</w:t>
            </w:r>
          </w:p>
        </w:tc>
      </w:tr>
      <w:tr>
        <w:trPr>
          <w:trHeight w:val="166"/>
        </w:trPr>
        <w:tc>
          <w:tcPr>
            <w:tcW w:w="380" w:type="dxa"/>
            <w:vAlign w:val="bottom"/>
          </w:tcPr>
          <w:p>
            <w:pPr>
              <w:spacing w:after="0"/>
              <w:rPr>
                <w:sz w:val="14"/>
                <w:szCs w:val="14"/>
                <w:color w:val="auto"/>
              </w:rPr>
            </w:pP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any</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provision</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Regulations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T,  U or X</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of the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Board  of</w:t>
            </w:r>
          </w:p>
        </w:tc>
      </w:tr>
      <w:tr>
        <w:trPr>
          <w:trHeight w:val="166"/>
        </w:trPr>
        <w:tc>
          <w:tcPr>
            <w:tcW w:w="38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Governors of the</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Federal Reserve</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System.</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70" w:lineRule="exact"/>
        <w:rPr>
          <w:sz w:val="20"/>
          <w:szCs w:val="20"/>
          <w:color w:val="auto"/>
        </w:rPr>
      </w:pPr>
    </w:p>
    <w:p>
      <w:pPr>
        <w:jc w:val="both"/>
        <w:ind w:left="600" w:right="3339" w:hanging="598"/>
        <w:spacing w:after="0" w:line="251" w:lineRule="auto"/>
        <w:tabs>
          <w:tab w:leader="none" w:pos="60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not necessary, in connection with the sale of the Notes to the Purchasers by the Company, in the manner contemplated by the Agreement, to register the Notes under the Securities Act of 1933, as amended, or to qualify the Agreement under the Trust Indenture Act of 1939, as amended.</w:t>
      </w:r>
    </w:p>
    <w:p>
      <w:pPr>
        <w:spacing w:after="0" w:line="164" w:lineRule="exact"/>
        <w:rPr>
          <w:rFonts w:ascii="Courier New" w:cs="Courier New" w:eastAsia="Courier New" w:hAnsi="Courier New"/>
          <w:sz w:val="14"/>
          <w:szCs w:val="14"/>
          <w:color w:val="auto"/>
        </w:rPr>
      </w:pPr>
    </w:p>
    <w:p>
      <w:pPr>
        <w:jc w:val="both"/>
        <w:ind w:left="600" w:right="3339" w:hanging="598"/>
        <w:spacing w:after="0" w:line="251" w:lineRule="auto"/>
        <w:tabs>
          <w:tab w:leader="none" w:pos="60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Disclosure Documents, there are no actions, suits, or proceedings pending or, to the best of my knowledge after due inquiry, threatened against the Company before any court or arbitrator or by or before any administrative agency or governmental authority, which,</w:t>
      </w:r>
    </w:p>
    <w:p>
      <w:pPr>
        <w:spacing w:after="0" w:line="164" w:lineRule="exact"/>
        <w:rPr>
          <w:rFonts w:ascii="Courier New" w:cs="Courier New" w:eastAsia="Courier New" w:hAnsi="Courier New"/>
          <w:sz w:val="14"/>
          <w:szCs w:val="14"/>
          <w:color w:val="auto"/>
        </w:rPr>
      </w:pPr>
    </w:p>
    <w:p>
      <w:pPr>
        <w:ind w:left="2420" w:hanging="179"/>
        <w:spacing w:after="0"/>
        <w:tabs>
          <w:tab w:leader="none" w:pos="2420"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3 -</w:t>
      </w:r>
    </w:p>
    <w:p>
      <w:pPr>
        <w:sectPr>
          <w:pgSz w:w="11900" w:h="16838" w:orient="portrait"/>
          <w:cols w:equalWidth="0" w:num="1">
            <w:col w:w="9199"/>
          </w:cols>
          <w:pgMar w:left="1260" w:top="616" w:right="1440" w:bottom="1440" w:gutter="0" w:footer="0" w:header="0"/>
        </w:sectPr>
      </w:pPr>
    </w:p>
    <w:bookmarkStart w:id="98" w:name="page99"/>
    <w:bookmarkEnd w:id="98"/>
    <w:p>
      <w:pPr>
        <w:jc w:val="both"/>
        <w:ind w:left="1640" w:right="3339"/>
        <w:spacing w:after="0" w:line="252" w:lineRule="auto"/>
        <w:rPr>
          <w:sz w:val="20"/>
          <w:szCs w:val="20"/>
          <w:color w:val="auto"/>
        </w:rPr>
      </w:pPr>
      <w:r>
        <w:rPr>
          <w:rFonts w:ascii="Courier New" w:cs="Courier New" w:eastAsia="Courier New" w:hAnsi="Courier New"/>
          <w:sz w:val="14"/>
          <w:szCs w:val="14"/>
          <w:color w:val="auto"/>
        </w:rPr>
        <w:t>if adversely determined, would prevent or have a material adverse effect on the ability of the Company to perform its obligations under the Agreement or the Notes.</w:t>
      </w:r>
    </w:p>
    <w:p>
      <w:pPr>
        <w:spacing w:after="0" w:line="163" w:lineRule="exact"/>
        <w:rPr>
          <w:sz w:val="20"/>
          <w:szCs w:val="20"/>
          <w:color w:val="auto"/>
        </w:rPr>
      </w:pPr>
    </w:p>
    <w:p>
      <w:pPr>
        <w:jc w:val="both"/>
        <w:ind w:left="1640" w:right="3339" w:hanging="598"/>
        <w:spacing w:after="0" w:line="252" w:lineRule="auto"/>
        <w:tabs>
          <w:tab w:leader="none" w:pos="16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not an "investment company" or a company "controlled" by an "investment company" within the meaning of the Investment Company Act of 1940, as amended.</w:t>
      </w:r>
    </w:p>
    <w:p>
      <w:pPr>
        <w:spacing w:after="0" w:line="163"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I am a member of the Minnesota Bar and do not hold myself out as an expert on the laws of any other jurisdiction. As to all matters of Minnesota law, Thelen Reid Brown Raysman &amp; Steiner LLP is hereby authorized to rely upon this opinion to the same extent as if this opinion had been addressed to them.</w:t>
      </w:r>
    </w:p>
    <w:p>
      <w:pPr>
        <w:spacing w:after="0" w:line="162"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The opinions expressed above are limited to the laws and facts in effect on the date hereof. I disclaim any obligation to advise you of facts, circumstances, events or developments which hereafter may be brought to my attention and which might alter, affect or modify the opinions expressed herein.</w:t>
      </w:r>
    </w:p>
    <w:p>
      <w:pPr>
        <w:spacing w:after="0" w:line="162"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opinion is rendered to you in connection with the above-described transaction. This opinion may not be relied upon by you for any other purpose, or relied upon or furnished to any other Person, without my prior written consent, except that (i) this opinion may be reviewed by, but not relied upon by, applicable legal or regulatory bodies and proposed transferees of the Notes, and (ii) this opinion may be relied upon by transferees of the Notes as of the date of original delivery hereof.</w:t>
      </w:r>
    </w:p>
    <w:p>
      <w:pPr>
        <w:spacing w:after="0" w:line="16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DEBORAH A. AMBERG</w:t>
      </w:r>
    </w:p>
    <w:p>
      <w:pPr>
        <w:sectPr>
          <w:pgSz w:w="11900" w:h="16838" w:orient="portrait"/>
          <w:cols w:equalWidth="0" w:num="1">
            <w:col w:w="10239"/>
          </w:cols>
          <w:pgMar w:left="220" w:top="450" w:right="1440" w:bottom="1440" w:gutter="0" w:footer="0" w:header="0"/>
        </w:sectPr>
      </w:pPr>
    </w:p>
    <w:bookmarkStart w:id="99" w:name="page100"/>
    <w:bookmarkEnd w:id="99"/>
    <w:p>
      <w:pPr>
        <w:jc w:val="right"/>
        <w:ind w:right="3339"/>
        <w:spacing w:after="0"/>
        <w:rPr>
          <w:sz w:val="20"/>
          <w:szCs w:val="20"/>
          <w:color w:val="auto"/>
        </w:rPr>
      </w:pPr>
      <w:r>
        <w:rPr>
          <w:rFonts w:ascii="Courier New" w:cs="Courier New" w:eastAsia="Courier New" w:hAnsi="Courier New"/>
          <w:sz w:val="14"/>
          <w:szCs w:val="14"/>
          <w:color w:val="auto"/>
        </w:rPr>
        <w:t>EXHIBIT 4.4(b)</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OF OPINION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THELEN REID BROWN RAYSMAN &amp; STEINER LLP</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[TRBRS LETTERHEAD]</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June 8, 2007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Each of the Purchasers Listed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Schedule A to the Note Purchase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8, 2007</w:t>
      </w:r>
    </w:p>
    <w:p>
      <w:pPr>
        <w:spacing w:after="0" w:line="173" w:lineRule="exact"/>
        <w:rPr>
          <w:sz w:val="20"/>
          <w:szCs w:val="20"/>
          <w:color w:val="auto"/>
        </w:rPr>
      </w:pPr>
    </w:p>
    <w:p>
      <w:pPr>
        <w:ind w:left="1040"/>
        <w:spacing w:after="0"/>
        <w:tabs>
          <w:tab w:leader="none" w:pos="1620" w:val="left"/>
        </w:tabs>
        <w:rPr>
          <w:sz w:val="20"/>
          <w:szCs w:val="20"/>
          <w:color w:val="auto"/>
        </w:rPr>
      </w:pPr>
      <w:r>
        <w:rPr>
          <w:rFonts w:ascii="Courier New" w:cs="Courier New" w:eastAsia="Courier New" w:hAnsi="Courier New"/>
          <w:sz w:val="14"/>
          <w:szCs w:val="14"/>
          <w:color w:val="auto"/>
        </w:rPr>
        <w:t>Re:</w:t>
      </w:r>
      <w:r>
        <w:rPr>
          <w:sz w:val="20"/>
          <w:szCs w:val="20"/>
          <w:color w:val="auto"/>
        </w:rPr>
        <w:tab/>
      </w:r>
      <w:r>
        <w:rPr>
          <w:rFonts w:ascii="Courier New" w:cs="Courier New" w:eastAsia="Courier New" w:hAnsi="Courier New"/>
          <w:sz w:val="14"/>
          <w:szCs w:val="14"/>
          <w:color w:val="auto"/>
        </w:rPr>
        <w:t>$50,000,000 5.99% Senior Notes due June 1, 2017</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Issued by ALLETE, Inc.</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Reference is made to the sale by ALLETE, Inc., a Minnesota corporation ("Company") of $50,000,000 principal amount of its 5.99% Senior Notes due June 1, 2017 (the "Notes"). The Notes will be issued under the Note Purchase Agreement, dated as of June 8, 2007 (the "Agreement"). We advise you that we have acted as counsel to the Company in connection with such issuance and sale and have participated in the preparation of the Agreement. In addition, we have reviewed the petition filed by the Company with the Minnesota Public Utilities Commission seeking authorization to issue the Notes, and the order issued by said Commission in response to said petition.</w:t>
      </w:r>
    </w:p>
    <w:p>
      <w:pPr>
        <w:spacing w:after="0" w:line="164" w:lineRule="exact"/>
        <w:rPr>
          <w:sz w:val="20"/>
          <w:szCs w:val="20"/>
          <w:color w:val="auto"/>
        </w:rPr>
      </w:pPr>
    </w:p>
    <w:p>
      <w:pPr>
        <w:jc w:val="both"/>
        <w:ind w:right="3339" w:firstLine="1034"/>
        <w:spacing w:after="0" w:line="255" w:lineRule="auto"/>
        <w:rPr>
          <w:sz w:val="20"/>
          <w:szCs w:val="20"/>
          <w:color w:val="auto"/>
        </w:rPr>
      </w:pPr>
      <w:r>
        <w:rPr>
          <w:rFonts w:ascii="Courier New" w:cs="Courier New" w:eastAsia="Courier New" w:hAnsi="Courier New"/>
          <w:sz w:val="14"/>
          <w:szCs w:val="14"/>
          <w:color w:val="auto"/>
        </w:rPr>
        <w:t>All capitalized terms used herein without definition shall have have the respective meanings set forth in the Agreement.</w:t>
      </w:r>
    </w:p>
    <w:p>
      <w:pPr>
        <w:spacing w:after="0" w:line="160"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In furnishing this opinion, we have examined the Amended and Restated Articles of Incorporation, as amended, and the Bylaws, as amended, of the Company, and the Agreement, and have made such further investigation and examined such further documents and records of the Company and certificates of public officials as we have deemed necessary or appropriate for purposes of this opinion.</w:t>
      </w:r>
    </w:p>
    <w:p>
      <w:pPr>
        <w:spacing w:after="0" w:line="327"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We have also reviewed all corporate proceedings taken by the Company in respect of the authorization of the Agreement and the issuance and sale of the Notes thereunder and we have examined the Notes.</w:t>
      </w:r>
    </w:p>
    <w:p>
      <w:pPr>
        <w:spacing w:after="0" w:line="163"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For purposes of the opinions expressed below, we have assumed (i) the authenticity of all documents submitted to us as originals, (ii) the conformity to the originals of all documents submitted to us as certified or photostatic copies and the authenticity of the</w:t>
      </w:r>
    </w:p>
    <w:p>
      <w:pPr>
        <w:spacing w:after="0" w:line="32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EXHIBIT 4.4(b)</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(To Note Purchase Agreement)</w:t>
      </w:r>
    </w:p>
    <w:p>
      <w:pPr>
        <w:sectPr>
          <w:pgSz w:w="11900" w:h="16838" w:orient="portrait"/>
          <w:cols w:equalWidth="0" w:num="1">
            <w:col w:w="10239"/>
          </w:cols>
          <w:pgMar w:left="220" w:top="450" w:right="1440" w:bottom="1440" w:gutter="0" w:footer="0" w:header="0"/>
        </w:sectPr>
      </w:pPr>
    </w:p>
    <w:bookmarkStart w:id="100" w:name="page101"/>
    <w:bookmarkEnd w:id="100"/>
    <w:p>
      <w:pPr>
        <w:jc w:val="both"/>
        <w:ind w:right="3339"/>
        <w:spacing w:after="0" w:line="251" w:lineRule="auto"/>
        <w:rPr>
          <w:sz w:val="20"/>
          <w:szCs w:val="20"/>
          <w:color w:val="auto"/>
        </w:rPr>
      </w:pPr>
      <w:r>
        <w:rPr>
          <w:rFonts w:ascii="Courier New" w:cs="Courier New" w:eastAsia="Courier New" w:hAnsi="Courier New"/>
          <w:sz w:val="14"/>
          <w:szCs w:val="14"/>
          <w:color w:val="auto"/>
        </w:rPr>
        <w:t>originals of such copies, (iii) the genuineness of all signatures other than on behalf of the Company, (iv) the legal capacity of natural persons, (v) the power, corporate or otherwise, of all parties other than the Company to enter into and to perform all of its obligations under such documents, (vi) the due authorization, execution and delivery of all documents by all parties other than the Company, and (vii) that the consideration contemplated by the Agreement for the purchase of the Notes has been paid.</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For purposes of the opinions contained herein, we have made no independent investigation of the facts referred to herein, and with respect to such facts have relied, for the purpose of rendering this opinion and except as otherwise stated herein, exclusively on the statements contained and matters provided for in the Agreement and such other documents relating to the Agreement as we have deemed advisable, including the factual representations, warranties and covenants contained therein as made by the respective parties thereto and assumed that any such statement or representation that was given or dated on or prior to the date hereof continues to remain accurate and complete, insofar as relevant to our opinion, from such earlier date through and including the date of this opinion.</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Based on such examinations and investigation, it is my opinion that:</w:t>
      </w:r>
    </w:p>
    <w:p>
      <w:pPr>
        <w:spacing w:after="0" w:line="173" w:lineRule="exact"/>
        <w:rPr>
          <w:sz w:val="20"/>
          <w:szCs w:val="20"/>
          <w:color w:val="auto"/>
        </w:rPr>
      </w:pPr>
    </w:p>
    <w:p>
      <w:pPr>
        <w:jc w:val="both"/>
        <w:ind w:left="1640" w:right="3339" w:hanging="598"/>
        <w:spacing w:after="0" w:line="252" w:lineRule="auto"/>
        <w:tabs>
          <w:tab w:leader="none" w:pos="164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all requisite corporate power and authority to execute and deliver, and to perform all of its obligations under, the Agreement and the Notes.</w:t>
      </w:r>
    </w:p>
    <w:p>
      <w:pPr>
        <w:spacing w:after="0" w:line="162" w:lineRule="exact"/>
        <w:rPr>
          <w:rFonts w:ascii="Courier New" w:cs="Courier New" w:eastAsia="Courier New" w:hAnsi="Courier New"/>
          <w:sz w:val="14"/>
          <w:szCs w:val="14"/>
          <w:color w:val="auto"/>
        </w:rPr>
      </w:pPr>
    </w:p>
    <w:p>
      <w:pPr>
        <w:ind w:left="1640" w:right="3339" w:hanging="598"/>
        <w:spacing w:after="0" w:line="251" w:lineRule="auto"/>
        <w:tabs>
          <w:tab w:leader="none" w:pos="164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has been duly and validly authorized by all necessary corporate action, has been duly and validly executed and delivered, and is a valid and binding obligation of the Company enforceable in accordance with its terms, except as (i) the enforceability thereof may be limited by bankruptcy, insolvency or similar laws affecting enforcement of creditors' rights generally and (ii) rights of acceleration and the availability of equitable remedies may be limited by equitable principles of general applicability.</w:t>
      </w:r>
    </w:p>
    <w:p>
      <w:pPr>
        <w:spacing w:after="0" w:line="163" w:lineRule="exact"/>
        <w:rPr>
          <w:rFonts w:ascii="Courier New" w:cs="Courier New" w:eastAsia="Courier New" w:hAnsi="Courier New"/>
          <w:sz w:val="14"/>
          <w:szCs w:val="14"/>
          <w:color w:val="auto"/>
        </w:rPr>
      </w:pPr>
    </w:p>
    <w:p>
      <w:pPr>
        <w:jc w:val="both"/>
        <w:ind w:left="1640" w:right="3339" w:hanging="598"/>
        <w:spacing w:after="0" w:line="250" w:lineRule="auto"/>
        <w:tabs>
          <w:tab w:leader="none" w:pos="164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have been duly and validly authorized by all necessary corporate action and have been executed and authenticated in accordance with the provisions of the Agreement and delivered and are entitled to the benefits of the Agreement and are valid and binding obligations of the Company enforceable in accordance with their terms, except as</w:t>
      </w:r>
    </w:p>
    <w:p>
      <w:pPr>
        <w:spacing w:after="0" w:line="2" w:lineRule="exact"/>
        <w:rPr>
          <w:rFonts w:ascii="Courier New" w:cs="Courier New" w:eastAsia="Courier New" w:hAnsi="Courier New"/>
          <w:sz w:val="14"/>
          <w:szCs w:val="14"/>
          <w:color w:val="auto"/>
        </w:rPr>
      </w:pPr>
    </w:p>
    <w:p>
      <w:pPr>
        <w:jc w:val="both"/>
        <w:ind w:left="1640" w:right="3339" w:firstLine="5"/>
        <w:spacing w:after="0" w:line="251" w:lineRule="auto"/>
        <w:tabs>
          <w:tab w:leader="none" w:pos="1985"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enforceability thereof may be limited by bankruptcy, insolvency or similar laws affecting enforcement of creditors' rights generally and (ii) rights of acceleration and the availability of equitable remedies may be limited by equitable principles of general applicability.</w:t>
      </w:r>
    </w:p>
    <w:p>
      <w:pPr>
        <w:spacing w:after="0" w:line="164" w:lineRule="exact"/>
        <w:rPr>
          <w:rFonts w:ascii="Courier New" w:cs="Courier New" w:eastAsia="Courier New" w:hAnsi="Courier New"/>
          <w:sz w:val="14"/>
          <w:szCs w:val="14"/>
          <w:color w:val="auto"/>
        </w:rPr>
      </w:pPr>
    </w:p>
    <w:p>
      <w:pPr>
        <w:jc w:val="both"/>
        <w:ind w:left="1640" w:right="3339" w:hanging="598"/>
        <w:spacing w:after="0" w:line="251" w:lineRule="auto"/>
        <w:tabs>
          <w:tab w:leader="none" w:pos="164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order has been issued by the Minnesota Public Utilities Commissioncertifying the Company's capital structure and authorizing the issuance and sale of the Notes, and to the best of our knowledge after such inquiry as we deem reasonable, said order is still in full force and effect; and no further approval, authorization, consent or order of any public board or</w:t>
      </w:r>
    </w:p>
    <w:p>
      <w:pPr>
        <w:spacing w:after="0" w:line="164" w:lineRule="exact"/>
        <w:rPr>
          <w:rFonts w:ascii="Courier New" w:cs="Courier New" w:eastAsia="Courier New" w:hAnsi="Courier New"/>
          <w:sz w:val="14"/>
          <w:szCs w:val="14"/>
          <w:color w:val="auto"/>
        </w:rPr>
      </w:pPr>
    </w:p>
    <w:p>
      <w:pPr>
        <w:ind w:left="3460" w:hanging="179"/>
        <w:spacing w:after="0"/>
        <w:tabs>
          <w:tab w:leader="none" w:pos="3460" w:val="left"/>
        </w:tabs>
        <w:numPr>
          <w:ilvl w:val="2"/>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2 -</w:t>
      </w:r>
    </w:p>
    <w:p>
      <w:pPr>
        <w:sectPr>
          <w:pgSz w:w="11900" w:h="16838" w:orient="portrait"/>
          <w:cols w:equalWidth="0" w:num="1">
            <w:col w:w="10239"/>
          </w:cols>
          <w:pgMar w:left="220" w:top="616" w:right="1440" w:bottom="1440" w:gutter="0" w:footer="0" w:header="0"/>
        </w:sectPr>
      </w:pPr>
    </w:p>
    <w:bookmarkStart w:id="101" w:name="page102"/>
    <w:bookmarkEnd w:id="101"/>
    <w:p>
      <w:pPr>
        <w:jc w:val="both"/>
        <w:ind w:left="1640" w:right="3339"/>
        <w:spacing w:after="0" w:line="251" w:lineRule="auto"/>
        <w:rPr>
          <w:sz w:val="20"/>
          <w:szCs w:val="20"/>
          <w:color w:val="auto"/>
        </w:rPr>
      </w:pPr>
      <w:r>
        <w:rPr>
          <w:rFonts w:ascii="Courier New" w:cs="Courier New" w:eastAsia="Courier New" w:hAnsi="Courier New"/>
          <w:sz w:val="14"/>
          <w:szCs w:val="14"/>
          <w:color w:val="auto"/>
        </w:rPr>
        <w:t>body (other than in connection or in compliance with the provisions of the securities or "blue sky" laws of any jurisdiction) is legally required for the authorization of the issuance and sale of the Notes or, as of the date hereof, the performance of the Notes or the Agreement.</w:t>
      </w:r>
    </w:p>
    <w:p>
      <w:pPr>
        <w:spacing w:after="0" w:line="165"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38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4"/>
              </w:rPr>
              <w:t>5.</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The</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execution,</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delivery  and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99"/>
              </w:rPr>
              <w:t>performance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by  the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380" w:type="dxa"/>
            <w:vAlign w:val="bottom"/>
          </w:tcPr>
          <w:p>
            <w:pPr>
              <w:spacing w:after="0"/>
              <w:rPr>
                <w:sz w:val="14"/>
                <w:szCs w:val="14"/>
                <w:color w:val="auto"/>
              </w:rPr>
            </w:pPr>
          </w:p>
        </w:tc>
        <w:tc>
          <w:tcPr>
            <w:tcW w:w="182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of the  Agreement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and the Notes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do not and</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will not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violate</w:t>
            </w:r>
          </w:p>
        </w:tc>
      </w:tr>
      <w:tr>
        <w:trPr>
          <w:trHeight w:val="166"/>
        </w:trPr>
        <w:tc>
          <w:tcPr>
            <w:tcW w:w="380" w:type="dxa"/>
            <w:vAlign w:val="bottom"/>
          </w:tcPr>
          <w:p>
            <w:pPr>
              <w:spacing w:after="0"/>
              <w:rPr>
                <w:sz w:val="14"/>
                <w:szCs w:val="14"/>
                <w:color w:val="auto"/>
              </w:rPr>
            </w:pP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any</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provision</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Regulations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T,  U or X</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of the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Board  of</w:t>
            </w:r>
          </w:p>
        </w:tc>
      </w:tr>
      <w:tr>
        <w:trPr>
          <w:trHeight w:val="166"/>
        </w:trPr>
        <w:tc>
          <w:tcPr>
            <w:tcW w:w="38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Governors of the</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Federal Reserve</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System.</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70" w:lineRule="exact"/>
        <w:rPr>
          <w:sz w:val="20"/>
          <w:szCs w:val="20"/>
          <w:color w:val="auto"/>
        </w:rPr>
      </w:pPr>
    </w:p>
    <w:p>
      <w:pPr>
        <w:jc w:val="both"/>
        <w:ind w:left="1640" w:right="3339" w:hanging="598"/>
        <w:spacing w:after="0" w:line="251" w:lineRule="auto"/>
        <w:tabs>
          <w:tab w:leader="none" w:pos="164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not necessary, in connection with the sale of the Notes to the Purchasers by the Company, in the manner contemplated by the Agreement, to register the Notes under the Securities Act of 1933, as amended, or to qualify the Agreement under the Trust Indenture Act of 1939, as amended.</w:t>
      </w:r>
    </w:p>
    <w:p>
      <w:pPr>
        <w:spacing w:after="0" w:line="164" w:lineRule="exact"/>
        <w:rPr>
          <w:rFonts w:ascii="Courier New" w:cs="Courier New" w:eastAsia="Courier New" w:hAnsi="Courier New"/>
          <w:sz w:val="14"/>
          <w:szCs w:val="14"/>
          <w:color w:val="auto"/>
        </w:rPr>
      </w:pPr>
    </w:p>
    <w:p>
      <w:pPr>
        <w:jc w:val="both"/>
        <w:ind w:left="1640" w:right="3339" w:hanging="598"/>
        <w:spacing w:after="0" w:line="252" w:lineRule="auto"/>
        <w:tabs>
          <w:tab w:leader="none" w:pos="164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not an "investment company" or a company "controlled" by an "investment company" within the meaning of the Investment Company Act of 1940, as amended.</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This opinion is limited to the laws of the States of Minnesota and New York and the federal laws of the United States of America. As to all matters of Minnesota law, we have relied with your consent upon an opinion of even date herewith addressed to you by Deborah A. Amberg, Esq., Senior Vice President, General Counsel and Secretary of the Company.</w:t>
      </w:r>
    </w:p>
    <w:p>
      <w:pPr>
        <w:spacing w:after="0" w:line="165"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The opinions expressed above are limited to the laws and facts in in effect on the date hereof. We disclaim any obligation to advise you of facts, circumstances, events or developments which hereafter may be brought to our attention and which might alter, affect or modify the opinions expressed herein.</w:t>
      </w:r>
    </w:p>
    <w:p>
      <w:pPr>
        <w:spacing w:after="0" w:line="162"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opinion is rendered to you in connection with the above-described transaction. This opinion may not be relied upon by you for any other purpose, or relied upon or furnished to any other Person, without our prior written consent, except that (i) this opinion may be reviewed by, but not relied upon by, applicable legal or regulatory bodies and proposed transferees of the Notes, and (ii) this opinion may be relied upon by transferees of the Notes as of the date of original delivery hereof.</w:t>
      </w:r>
    </w:p>
    <w:p>
      <w:pPr>
        <w:spacing w:after="0" w:line="16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THELEN REID BROWN RAYSMAN &amp; STEINER LLP</w:t>
      </w:r>
    </w:p>
    <w:p>
      <w:pPr>
        <w:sectPr>
          <w:pgSz w:w="11900" w:h="16838" w:orient="portrait"/>
          <w:cols w:equalWidth="0" w:num="1">
            <w:col w:w="10239"/>
          </w:cols>
          <w:pgMar w:left="220" w:top="616" w:right="1440" w:bottom="1440" w:gutter="0" w:footer="0" w:header="0"/>
        </w:sectPr>
      </w:pPr>
    </w:p>
    <w:bookmarkStart w:id="102" w:name="page103"/>
    <w:bookmarkEnd w:id="102"/>
    <w:p>
      <w:pPr>
        <w:jc w:val="right"/>
        <w:ind w:right="3339"/>
        <w:spacing w:after="0"/>
        <w:rPr>
          <w:sz w:val="20"/>
          <w:szCs w:val="20"/>
          <w:color w:val="auto"/>
        </w:rPr>
      </w:pPr>
      <w:r>
        <w:rPr>
          <w:rFonts w:ascii="Courier New" w:cs="Courier New" w:eastAsia="Courier New" w:hAnsi="Courier New"/>
          <w:sz w:val="14"/>
          <w:szCs w:val="14"/>
          <w:color w:val="auto"/>
        </w:rPr>
        <w:t>EXHIBIT 4.4(b)</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OF OPINION 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CHAPMAN AND CUTLER LLP</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closing opinion of Chapman and Cutler LLP, special counsel to the Purchasers, called for by Section 4.4(b) of the Note Purchase Agreement, shall be dated the date of Closing and addressed to each purchaser, shall be satisfactory in form and substance to the Purchasers and shall be to the effect that:</w:t>
      </w:r>
    </w:p>
    <w:p>
      <w:pPr>
        <w:spacing w:after="0" w:line="328" w:lineRule="exact"/>
        <w:rPr>
          <w:sz w:val="20"/>
          <w:szCs w:val="20"/>
          <w:color w:val="auto"/>
        </w:rPr>
      </w:pPr>
    </w:p>
    <w:p>
      <w:pPr>
        <w:jc w:val="both"/>
        <w:ind w:right="3339" w:firstLine="439"/>
        <w:spacing w:after="0" w:line="252" w:lineRule="auto"/>
        <w:tabs>
          <w:tab w:leader="none" w:pos="103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Purchase Agreement and the Notes are enforceable in accordance with their respective terms (subject to bankruptcy, insolvency, fraudulent transfer, reorganization, moratorium and laws of general applicability relating to or affecting creditors' rights and to general equity principles).</w:t>
      </w:r>
    </w:p>
    <w:p>
      <w:pPr>
        <w:spacing w:after="0" w:line="327" w:lineRule="exact"/>
        <w:rPr>
          <w:rFonts w:ascii="Courier New" w:cs="Courier New" w:eastAsia="Courier New" w:hAnsi="Courier New"/>
          <w:sz w:val="14"/>
          <w:szCs w:val="14"/>
          <w:color w:val="auto"/>
        </w:rPr>
      </w:pPr>
    </w:p>
    <w:p>
      <w:pPr>
        <w:jc w:val="both"/>
        <w:ind w:right="3339" w:firstLine="439"/>
        <w:spacing w:after="0" w:line="252" w:lineRule="auto"/>
        <w:tabs>
          <w:tab w:leader="none" w:pos="103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sale and delivery of the Notes under the circumstances contemplated by the Note Purchase Agreement do not, under existing law, require the registration of the Notes under the Securities Act of 1933, as amended, or the qualification of an indenture under the Trust Indenture Act of 1939, as amended.</w:t>
      </w:r>
    </w:p>
    <w:p>
      <w:pPr>
        <w:spacing w:after="0" w:line="200" w:lineRule="exact"/>
        <w:rPr>
          <w:sz w:val="20"/>
          <w:szCs w:val="20"/>
          <w:color w:val="auto"/>
        </w:rPr>
      </w:pPr>
    </w:p>
    <w:p>
      <w:pPr>
        <w:spacing w:after="0" w:line="29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EXHIBIT 4.4(c)</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(To Note Purchase Agreement)</w:t>
      </w:r>
    </w:p>
    <w:p>
      <w:pPr>
        <w:sectPr>
          <w:pgSz w:w="11900" w:h="16838" w:orient="portrait"/>
          <w:cols w:equalWidth="0" w:num="1">
            <w:col w:w="10239"/>
          </w:cols>
          <w:pgMar w:left="220" w:top="450" w:right="1440" w:bottom="1440" w:gutter="0" w:footer="0" w:header="0"/>
        </w:sectPr>
      </w:pPr>
    </w:p>
    <w:bookmarkStart w:id="103" w:name="page104"/>
    <w:bookmarkEnd w:id="103"/>
    <w:p>
      <w:pPr>
        <w:jc w:val="right"/>
        <w:ind w:right="3339"/>
        <w:spacing w:after="0"/>
        <w:rPr>
          <w:sz w:val="20"/>
          <w:szCs w:val="20"/>
          <w:color w:val="auto"/>
        </w:rPr>
      </w:pPr>
      <w:r>
        <w:rPr>
          <w:rFonts w:ascii="Courier New" w:cs="Courier New" w:eastAsia="Courier New" w:hAnsi="Courier New"/>
          <w:sz w:val="14"/>
          <w:szCs w:val="14"/>
          <w:color w:val="auto"/>
        </w:rPr>
        <w:t>EXHIBIT 31(a)</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Second Quarter 2007 Form 10-Q</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RULE 13a-14(a)/15d-14(a) CERTIFICATION BY THE CHIEF EXECUTIVE OFFICER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PURSUANT TO SECTION 302 OF THE SARBANES-OXLEY ACT OF 2002</w:t>
      </w:r>
    </w:p>
    <w:p>
      <w:pPr>
        <w:spacing w:after="0" w:line="338" w:lineRule="exact"/>
        <w:rPr>
          <w:sz w:val="20"/>
          <w:szCs w:val="20"/>
          <w:color w:val="auto"/>
        </w:rPr>
      </w:pPr>
    </w:p>
    <w:p>
      <w:pPr>
        <w:ind w:left="440"/>
        <w:spacing w:after="0"/>
        <w:tabs>
          <w:tab w:leader="none" w:pos="3260" w:val="left"/>
          <w:tab w:leader="none" w:pos="4560" w:val="left"/>
          <w:tab w:leader="none" w:pos="6700" w:val="left"/>
        </w:tabs>
        <w:rPr>
          <w:sz w:val="20"/>
          <w:szCs w:val="20"/>
          <w:color w:val="auto"/>
        </w:rPr>
      </w:pPr>
      <w:r>
        <w:rPr>
          <w:rFonts w:ascii="Courier New" w:cs="Courier New" w:eastAsia="Courier New" w:hAnsi="Courier New"/>
          <w:sz w:val="14"/>
          <w:szCs w:val="14"/>
          <w:color w:val="auto"/>
        </w:rPr>
        <w:t>I, Donald J. Shippar, Chairman,</w:t>
        <w:tab/>
        <w:t>President and</w:t>
        <w:tab/>
        <w:t>Chief Executive Officer</w:t>
        <w:tab/>
        <w:t>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 (ALLETE), certify that:</w:t>
      </w:r>
    </w:p>
    <w:p>
      <w:pPr>
        <w:spacing w:after="0" w:line="173" w:lineRule="exact"/>
        <w:rPr>
          <w:sz w:val="20"/>
          <w:szCs w:val="20"/>
          <w:color w:val="auto"/>
        </w:rPr>
      </w:pPr>
    </w:p>
    <w:p>
      <w:pPr>
        <w:ind w:left="440" w:right="3339" w:hanging="432"/>
        <w:spacing w:after="0" w:line="255" w:lineRule="auto"/>
        <w:tabs>
          <w:tab w:leader="none" w:pos="44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for the quarterly period ended June 30, 2007, of ALLETE;</w:t>
      </w:r>
    </w:p>
    <w:p>
      <w:pPr>
        <w:spacing w:after="0" w:line="159"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Courier New" w:cs="Courier New" w:eastAsia="Courier New" w:hAnsi="Courier New"/>
          <w:sz w:val="14"/>
          <w:szCs w:val="14"/>
          <w:color w:val="auto"/>
        </w:rPr>
      </w:pPr>
    </w:p>
    <w:p>
      <w:pPr>
        <w:ind w:left="440" w:right="3339" w:hanging="432"/>
        <w:spacing w:after="0" w:line="252" w:lineRule="auto"/>
        <w:tabs>
          <w:tab w:leader="none" w:pos="44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440" w:right="3339" w:hanging="432"/>
        <w:spacing w:after="0" w:line="250" w:lineRule="auto"/>
        <w:tabs>
          <w:tab w:leader="none" w:pos="44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15d-15(f)) for the registrant and have:</w:t>
      </w:r>
    </w:p>
    <w:p>
      <w:pPr>
        <w:spacing w:after="0" w:line="17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307"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26, 2007</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President and Chief Executive Officer</w:t>
      </w:r>
    </w:p>
    <w:p>
      <w:pPr>
        <w:sectPr>
          <w:pgSz w:w="11900" w:h="16838" w:orient="portrait"/>
          <w:cols w:equalWidth="0" w:num="3">
            <w:col w:w="440" w:space="180"/>
            <w:col w:w="1520" w:space="720"/>
            <w:col w:w="7379"/>
          </w:cols>
          <w:pgMar w:left="220" w:top="307" w:right="1440" w:bottom="1440" w:gutter="0" w:footer="0" w:header="0"/>
          <w:type w:val="continuous"/>
        </w:sectPr>
      </w:pPr>
    </w:p>
    <w:bookmarkStart w:id="104" w:name="page105"/>
    <w:bookmarkEnd w:id="104"/>
    <w:p>
      <w:pPr>
        <w:jc w:val="right"/>
        <w:ind w:right="3339"/>
        <w:spacing w:after="0"/>
        <w:rPr>
          <w:sz w:val="20"/>
          <w:szCs w:val="20"/>
          <w:color w:val="auto"/>
        </w:rPr>
      </w:pPr>
      <w:r>
        <w:rPr>
          <w:rFonts w:ascii="Courier New" w:cs="Courier New" w:eastAsia="Courier New" w:hAnsi="Courier New"/>
          <w:sz w:val="14"/>
          <w:szCs w:val="14"/>
          <w:color w:val="auto"/>
        </w:rPr>
        <w:t>EXHIBIT 31(b)</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Second Quarter 2007 Form 10-Q</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RULE 13a-14(a)/15d-14(a) CERTIFICATION BY THE CHIEF FINANCIAL OFFICER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PURSUANT TO SECTION 302 OF THE SARBANES-OXLEY ACT OF 2002</w:t>
      </w:r>
    </w:p>
    <w:p>
      <w:pPr>
        <w:spacing w:after="0" w:line="338" w:lineRule="exact"/>
        <w:rPr>
          <w:sz w:val="20"/>
          <w:szCs w:val="20"/>
          <w:color w:val="auto"/>
        </w:rPr>
      </w:pPr>
    </w:p>
    <w:p>
      <w:pPr>
        <w:ind w:left="440"/>
        <w:spacing w:after="0"/>
        <w:tabs>
          <w:tab w:leader="none" w:pos="2840" w:val="left"/>
          <w:tab w:leader="none" w:pos="5080" w:val="left"/>
          <w:tab w:leader="none" w:pos="6700" w:val="left"/>
        </w:tabs>
        <w:rPr>
          <w:sz w:val="20"/>
          <w:szCs w:val="20"/>
          <w:color w:val="auto"/>
        </w:rPr>
      </w:pPr>
      <w:r>
        <w:rPr>
          <w:rFonts w:ascii="Courier New" w:cs="Courier New" w:eastAsia="Courier New" w:hAnsi="Courier New"/>
          <w:sz w:val="14"/>
          <w:szCs w:val="14"/>
          <w:color w:val="auto"/>
        </w:rPr>
        <w:t>I, Mark A. Schober, Senior</w:t>
        <w:tab/>
        <w:t>Vice President and Chief</w:t>
        <w:tab/>
        <w:t>Financial Officer</w:t>
        <w:tab/>
        <w:t>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 (ALLETE), certify that:</w:t>
      </w:r>
    </w:p>
    <w:p>
      <w:pPr>
        <w:spacing w:after="0" w:line="173" w:lineRule="exact"/>
        <w:rPr>
          <w:sz w:val="20"/>
          <w:szCs w:val="20"/>
          <w:color w:val="auto"/>
        </w:rPr>
      </w:pPr>
    </w:p>
    <w:p>
      <w:pPr>
        <w:ind w:left="440" w:right="3339" w:hanging="432"/>
        <w:spacing w:after="0" w:line="255" w:lineRule="auto"/>
        <w:tabs>
          <w:tab w:leader="none" w:pos="44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for the quarterly period ended June 30, 2007, of ALLETE;</w:t>
      </w:r>
    </w:p>
    <w:p>
      <w:pPr>
        <w:spacing w:after="0" w:line="159"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440" w:right="3339" w:hanging="432"/>
        <w:spacing w:after="0" w:line="250" w:lineRule="auto"/>
        <w:tabs>
          <w:tab w:leader="none" w:pos="44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15d-15(f)) for the registrant and have:</w:t>
      </w:r>
    </w:p>
    <w:p>
      <w:pPr>
        <w:spacing w:after="0" w:line="17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307"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26, 2007</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A. Schober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A. Schober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Chief Financial Officer</w:t>
      </w:r>
    </w:p>
    <w:p>
      <w:pPr>
        <w:sectPr>
          <w:pgSz w:w="11900" w:h="16838" w:orient="portrait"/>
          <w:cols w:equalWidth="0" w:num="3">
            <w:col w:w="440" w:space="180"/>
            <w:col w:w="1340" w:space="720"/>
            <w:col w:w="7559"/>
          </w:cols>
          <w:pgMar w:left="220" w:top="307" w:right="1440" w:bottom="1440" w:gutter="0" w:footer="0" w:header="0"/>
          <w:type w:val="continuous"/>
        </w:sectPr>
      </w:pPr>
    </w:p>
    <w:bookmarkStart w:id="105" w:name="page106"/>
    <w:bookmarkEnd w:id="105"/>
    <w:p>
      <w:pPr>
        <w:jc w:val="right"/>
        <w:ind w:right="3339"/>
        <w:spacing w:after="0"/>
        <w:rPr>
          <w:sz w:val="20"/>
          <w:szCs w:val="20"/>
          <w:color w:val="auto"/>
        </w:rPr>
      </w:pPr>
      <w:r>
        <w:rPr>
          <w:rFonts w:ascii="Courier New" w:cs="Courier New" w:eastAsia="Courier New" w:hAnsi="Courier New"/>
          <w:sz w:val="14"/>
          <w:szCs w:val="14"/>
          <w:color w:val="auto"/>
        </w:rPr>
        <w:t>EXHIBIT 32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Second Quarter 2007 Form 10-Q</w:t>
      </w:r>
    </w:p>
    <w:p>
      <w:pPr>
        <w:spacing w:after="0" w:line="33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SECTION 1350 CERTIFICATION OF PERIODIC REPORT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BY THE CHIEF EXECUTIVE OFFICER AND CHIEF FINANCIAL OFFICER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PURSUANT TO SECTION 906 OF THE SARBANES-OXLEY ACT OF 2002</w:t>
      </w:r>
    </w:p>
    <w:p>
      <w:pPr>
        <w:spacing w:after="0" w:line="33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Pursuant to Section 906 of the Sarbanes-Oxley Act of 2002, 18 U.S.C. Section 1350, each of the undersigned officers of ALLETE, Inc. (ALLETE), does hereby certify that:</w:t>
      </w:r>
    </w:p>
    <w:p>
      <w:pPr>
        <w:spacing w:after="0" w:line="163" w:lineRule="exact"/>
        <w:rPr>
          <w:sz w:val="20"/>
          <w:szCs w:val="20"/>
          <w:color w:val="auto"/>
        </w:rPr>
      </w:pPr>
    </w:p>
    <w:p>
      <w:pPr>
        <w:jc w:val="both"/>
        <w:ind w:left="260" w:right="3339" w:hanging="252"/>
        <w:spacing w:after="0" w:line="252" w:lineRule="auto"/>
        <w:tabs>
          <w:tab w:leader="none" w:pos="2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Quarterly Report on Form 10-Q of ALLETE for the quarterly period ended June 30, 2007, (Report) fully complies with the requirements of Section 13(a) of the Securities Exchange Act of 1934 (15 U.S.C. 78m); and</w:t>
      </w:r>
    </w:p>
    <w:p>
      <w:pPr>
        <w:spacing w:after="0" w:line="162" w:lineRule="exact"/>
        <w:rPr>
          <w:rFonts w:ascii="Courier New" w:cs="Courier New" w:eastAsia="Courier New" w:hAnsi="Courier New"/>
          <w:sz w:val="14"/>
          <w:szCs w:val="14"/>
          <w:color w:val="auto"/>
        </w:rPr>
      </w:pPr>
    </w:p>
    <w:p>
      <w:pPr>
        <w:ind w:left="260" w:right="3339" w:hanging="252"/>
        <w:spacing w:after="0" w:line="255" w:lineRule="auto"/>
        <w:tabs>
          <w:tab w:leader="none" w:pos="2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results of operations of ALLETE.</w:t>
      </w:r>
    </w:p>
    <w:p>
      <w:pPr>
        <w:sectPr>
          <w:pgSz w:w="11900" w:h="16838" w:orient="portrait"/>
          <w:cols w:equalWidth="0" w:num="1">
            <w:col w:w="10239"/>
          </w:cols>
          <w:pgMar w:left="220" w:top="307" w:right="1440" w:bottom="1440" w:gutter="0" w:footer="0" w:header="0"/>
        </w:sect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26, 2007</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0" w:lineRule="exact"/>
        <w:rPr>
          <w:sz w:val="20"/>
          <w:szCs w:val="20"/>
          <w:color w:val="auto"/>
        </w:rPr>
      </w:pPr>
    </w:p>
    <w:p>
      <w:pPr>
        <w:sectPr>
          <w:pgSz w:w="11900" w:h="16838" w:orient="portrait"/>
          <w:cols w:equalWidth="0" w:num="3">
            <w:col w:w="440" w:space="180"/>
            <w:col w:w="1340" w:space="720"/>
            <w:col w:w="7559"/>
          </w:cols>
          <w:pgMar w:left="220" w:top="307"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26, 2007</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A. Schober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A. Schober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200" w:lineRule="exact"/>
        <w:rPr>
          <w:sz w:val="20"/>
          <w:szCs w:val="20"/>
          <w:color w:val="auto"/>
        </w:rPr>
      </w:pPr>
    </w:p>
    <w:p>
      <w:pPr>
        <w:sectPr>
          <w:pgSz w:w="11900" w:h="16838" w:orient="portrait"/>
          <w:cols w:equalWidth="0" w:num="3">
            <w:col w:w="440" w:space="180"/>
            <w:col w:w="1340" w:space="720"/>
            <w:col w:w="7559"/>
          </w:cols>
          <w:pgMar w:left="220" w:top="307" w:right="1440" w:bottom="1440" w:gutter="0" w:footer="0" w:header="0"/>
          <w:type w:val="continuous"/>
        </w:sectPr>
      </w:pPr>
    </w:p>
    <w:p>
      <w:pPr>
        <w:spacing w:after="0" w:line="13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32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0239"/>
          </w:cols>
          <w:pgMar w:left="220" w:top="307" w:right="1440" w:bottom="1440" w:gutter="0" w:footer="0" w:header="0"/>
          <w:type w:val="continuous"/>
        </w:sectPr>
      </w:pPr>
    </w:p>
    <w:bookmarkStart w:id="106" w:name="page107"/>
    <w:bookmarkEnd w:id="106"/>
    <w:p>
      <w:pPr>
        <w:jc w:val="right"/>
        <w:ind w:right="3339"/>
        <w:spacing w:after="0"/>
        <w:rPr>
          <w:sz w:val="20"/>
          <w:szCs w:val="20"/>
          <w:color w:val="auto"/>
        </w:rPr>
      </w:pPr>
      <w:r>
        <w:rPr>
          <w:rFonts w:ascii="Courier New" w:cs="Courier New" w:eastAsia="Courier New" w:hAnsi="Courier New"/>
          <w:sz w:val="14"/>
          <w:szCs w:val="14"/>
          <w:color w:val="auto"/>
        </w:rPr>
        <w:t>EXHIBIT 99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Second Quarter 2007 Form 10-Q</w:t>
      </w:r>
    </w:p>
    <w:p>
      <w:pPr>
        <w:sectPr>
          <w:pgSz w:w="11900" w:h="16838" w:orient="portrait"/>
          <w:cols w:equalWidth="0" w:num="1">
            <w:col w:w="10239"/>
          </w:cols>
          <w:pgMar w:left="220" w:top="307"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LOGO]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Release: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CONTACT: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27, 2007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Eric Olson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218-723-3947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eolson@allete.com</w:t>
      </w:r>
    </w:p>
    <w:p>
      <w:pPr>
        <w:spacing w:after="0" w:line="173" w:lineRule="exact"/>
        <w:rPr>
          <w:sz w:val="20"/>
          <w:szCs w:val="20"/>
          <w:color w:val="auto"/>
        </w:rPr>
      </w:pPr>
    </w:p>
    <w:p>
      <w:pPr>
        <w:sectPr>
          <w:pgSz w:w="11900" w:h="16838" w:orient="portrait"/>
          <w:cols w:equalWidth="0" w:num="3">
            <w:col w:w="3080" w:space="720"/>
            <w:col w:w="1040" w:space="600"/>
            <w:col w:w="4799"/>
          </w:cols>
          <w:pgMar w:left="220" w:top="307" w:right="1440" w:bottom="1440" w:gutter="0" w:footer="0" w:header="0"/>
          <w:type w:val="continuous"/>
        </w:sectPr>
      </w:pPr>
    </w:p>
    <w:p>
      <w:pPr>
        <w:ind w:left="3800"/>
        <w:spacing w:after="0"/>
        <w:rPr>
          <w:sz w:val="20"/>
          <w:szCs w:val="20"/>
          <w:color w:val="auto"/>
        </w:rPr>
      </w:pPr>
      <w:r>
        <w:rPr>
          <w:rFonts w:ascii="Courier New" w:cs="Courier New" w:eastAsia="Courier New" w:hAnsi="Courier New"/>
          <w:sz w:val="14"/>
          <w:szCs w:val="14"/>
          <w:color w:val="auto"/>
        </w:rPr>
        <w:t>INVESTOR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Tim Thorp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218-723-3953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tthorp@allete.com</w:t>
      </w:r>
    </w:p>
    <w:p>
      <w:pPr>
        <w:spacing w:after="0" w:line="173" w:lineRule="exact"/>
        <w:rPr>
          <w:sz w:val="20"/>
          <w:szCs w:val="20"/>
          <w:color w:val="auto"/>
        </w:rPr>
      </w:pPr>
    </w:p>
    <w:p>
      <w:pPr>
        <w:sectPr>
          <w:pgSz w:w="11900" w:h="16838" w:orient="portrait"/>
          <w:cols w:equalWidth="0" w:num="2">
            <w:col w:w="4720" w:space="720"/>
            <w:col w:w="4799"/>
          </w:cols>
          <w:pgMar w:left="220" w:top="3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NEWS</w:t>
      </w:r>
    </w:p>
    <w:p>
      <w:pPr>
        <w:sectPr>
          <w:pgSz w:w="11900" w:h="16838" w:orient="portrait"/>
          <w:cols w:equalWidth="0" w:num="1">
            <w:col w:w="10239"/>
          </w:cols>
          <w:pgMar w:left="220" w:top="307" w:right="1440" w:bottom="1440" w:gutter="0" w:footer="0" w:header="0"/>
          <w:type w:val="continuous"/>
        </w:sectPr>
      </w:pP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TWO REAL ESTATE SALES BOOST ALLETE'S SECOND QUARTER EPS TO 80 CENTS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COMPARED TO 47 CENTS IN SECOND QUARTER OF 2006</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FIRST CLOSING OF SAWMILL CREEK SALE INCLUDED IN QUARTERLY RESULTS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ALLETE, Inc. (NYSE: ALE) today reported second quarter 2007 earnings per share of 80 cents compared to 47 cents per share in the second quarter a year ago.</w:t>
      </w:r>
    </w:p>
    <w:p>
      <w:pPr>
        <w:spacing w:after="0" w:line="160"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Net income in the second quarter of 2007 was $22.6 million on operating revenue of $223.3 million, compared to net income of $13.2 million on operating revenue of $178.3 million in the second quarter of 2006.</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ALLETE's Real Estate segment recorded net income of $11.5 million during the second quarter compared to $5.6 million in the corresponding period a year ago. ALLETE Properties closed a $12.6 million sale of property for a Super Target and associated retail stores at its Town Center at Palm Coast development. At its Palm Coast Park development, ALLETE Properties closed a $13.1 million sale to a subsidiary of Lowe Enterprises, which represents the first phase of Lowe's Sawmill Creek project.</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"We're particularly pleased to report the first closing of the sale to Lowe," said Don Shippar, ALLETE's Chairman, President and Chief Executive Officer. "The Sawmill Creek development will enhance the value of the surrounding property we are marketing in Palm Coast Park."</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ALLETE's Regulated Utility net income was down from $6.8 million in the second quarter of 2006 to $6.1 million in 2007, primarily due to higher operations and maintenance costs related to outage schedules at the Boswell and Taconite Harbor Energy Centers. Total kilowatthour sales were about the same as a year ago.</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Net income from ALLETE's investment in ATC, which commenced in May of 2006, grew to $1.9 million during the second quarter of 2007, compared to $54,000 in the second quarter a year ago. As of June 30, 2007, ALLETE had an investment balance of $64.4 million in ATC.</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ALLETE's Other segment recorded net income of $2.5 million in the second quarter of 2007, compared to $321,000 in the second quarter of 2006. The increase was primarily due to a $1.5 million after-tax resolution of a tax audit, and release of a $1 million loan guarantee for the now-vacant Northwest Airlines maintenance base in Duluth.</w:t>
      </w:r>
    </w:p>
    <w:p>
      <w:pPr>
        <w:spacing w:after="0" w:line="165"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ALLETE anticipates its earnings will be between $3.00 and $3.05 per share in 2007. This guidance assumes lower real estate sales during the second half of 2007 compared to 2006, normal weather patterns in Minnesota Power's service territory compared to a warmer than normal third quarter in 2006, and higher income from the investment in ATC due to a larger investment balance in 2007.</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ALLETE'S CORPORATE HEADQUARTERS ARE LOCATED IN DULUTH, MINNESOTA. ALLETE PROVIDES ENERGY SERVICES IN THE UPPER MIDWEST AND HAS SIGNIFICANT REAL ESTATE HOLDINGS IN FLORIDA. MORE INFORMATION ABOUT THE COMPANY IS AVAILABLE ON ALLETE'S WEB SITE AT WWW.ALLETE.COM.</w:t>
      </w:r>
    </w:p>
    <w:p>
      <w:pPr>
        <w:spacing w:after="0" w:line="16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07" w:right="1440"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ALLETE NEWS RELEASE</w:t>
            </w:r>
          </w:p>
        </w:tc>
        <w:tc>
          <w:tcPr>
            <w:tcW w:w="1880" w:type="dxa"/>
            <w:vAlign w:val="bottom"/>
          </w:tcPr>
          <w:p>
            <w:pPr>
              <w:ind w:left="640"/>
              <w:spacing w:after="0"/>
              <w:rPr>
                <w:sz w:val="20"/>
                <w:szCs w:val="20"/>
                <w:color w:val="auto"/>
              </w:rPr>
            </w:pPr>
            <w:r>
              <w:rPr>
                <w:rFonts w:ascii="Courier New" w:cs="Courier New" w:eastAsia="Courier New" w:hAnsi="Courier New"/>
                <w:sz w:val="14"/>
                <w:szCs w:val="14"/>
                <w:color w:val="auto"/>
              </w:rPr>
              <w:t>July 27, 2007</w:t>
            </w:r>
          </w:p>
        </w:tc>
        <w:tc>
          <w:tcPr>
            <w:tcW w:w="402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PAGE 2 of 3</w:t>
            </w: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8200" w:type="dxa"/>
            <w:vAlign w:val="bottom"/>
            <w:gridSpan w:val="3"/>
          </w:tcPr>
          <w:p>
            <w:pPr>
              <w:jc w:val="right"/>
              <w:ind w:right="1048"/>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97"/>
        </w:trPr>
        <w:tc>
          <w:tcPr>
            <w:tcW w:w="2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20" w:type="dxa"/>
            <w:vAlign w:val="bottom"/>
          </w:tcPr>
          <w:p>
            <w:pPr>
              <w:jc w:val="center"/>
              <w:ind w:right="908"/>
              <w:spacing w:after="0"/>
              <w:rPr>
                <w:sz w:val="20"/>
                <w:szCs w:val="20"/>
                <w:color w:val="auto"/>
              </w:rPr>
            </w:pPr>
            <w:r>
              <w:rPr>
                <w:rFonts w:ascii="Courier New" w:cs="Courier New" w:eastAsia="Courier New" w:hAnsi="Courier New"/>
                <w:sz w:val="14"/>
                <w:szCs w:val="14"/>
                <w:color w:val="auto"/>
              </w:rPr>
              <w:t>ALLETE, INC.</w:t>
            </w: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2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20" w:type="dxa"/>
            <w:vAlign w:val="bottom"/>
          </w:tcPr>
          <w:p>
            <w:pPr>
              <w:jc w:val="center"/>
              <w:ind w:right="908"/>
              <w:spacing w:after="0"/>
              <w:rPr>
                <w:sz w:val="20"/>
                <w:szCs w:val="20"/>
                <w:color w:val="auto"/>
              </w:rPr>
            </w:pPr>
            <w:r>
              <w:rPr>
                <w:rFonts w:ascii="Courier New" w:cs="Courier New" w:eastAsia="Courier New" w:hAnsi="Courier New"/>
                <w:sz w:val="14"/>
                <w:szCs w:val="14"/>
                <w:color w:val="auto"/>
              </w:rPr>
              <w:t>CONSOLIDATED STATEMENT OF INCOME</w:t>
            </w: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5900" w:type="dxa"/>
            <w:vAlign w:val="bottom"/>
            <w:gridSpan w:val="2"/>
          </w:tcPr>
          <w:p>
            <w:pPr>
              <w:jc w:val="center"/>
              <w:ind w:left="808"/>
              <w:spacing w:after="0"/>
              <w:rPr>
                <w:sz w:val="20"/>
                <w:szCs w:val="20"/>
                <w:color w:val="auto"/>
              </w:rPr>
            </w:pPr>
            <w:r>
              <w:rPr>
                <w:rFonts w:ascii="Courier New" w:cs="Courier New" w:eastAsia="Courier New" w:hAnsi="Courier New"/>
                <w:sz w:val="14"/>
                <w:szCs w:val="14"/>
                <w:color w:val="auto"/>
              </w:rPr>
              <w:t>FOR THE PERIODS ENDED JUNE 30, 2007 AND 2006</w:t>
            </w: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Millions Except Per Share Amounts</w:t>
            </w: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97"/>
        </w:trPr>
        <w:tc>
          <w:tcPr>
            <w:tcW w:w="2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20" w:type="dxa"/>
            <w:vAlign w:val="bottom"/>
          </w:tcPr>
          <w:p>
            <w:pPr>
              <w:jc w:val="right"/>
              <w:spacing w:after="0"/>
              <w:rPr>
                <w:sz w:val="20"/>
                <w:szCs w:val="20"/>
                <w:color w:val="auto"/>
              </w:rPr>
            </w:pPr>
            <w:r>
              <w:rPr>
                <w:rFonts w:ascii="Courier New" w:cs="Courier New" w:eastAsia="Courier New" w:hAnsi="Courier New"/>
                <w:sz w:val="14"/>
                <w:szCs w:val="14"/>
                <w:color w:val="auto"/>
              </w:rPr>
              <w:t>QUARTER ENDED</w:t>
            </w:r>
          </w:p>
        </w:tc>
        <w:tc>
          <w:tcPr>
            <w:tcW w:w="8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YEAR TO DATE</w:t>
            </w:r>
          </w:p>
        </w:tc>
        <w:tc>
          <w:tcPr>
            <w:tcW w:w="340" w:type="dxa"/>
            <w:vAlign w:val="bottom"/>
          </w:tcPr>
          <w:p>
            <w:pPr>
              <w:spacing w:after="0"/>
              <w:rPr>
                <w:sz w:val="24"/>
                <w:szCs w:val="24"/>
                <w:color w:val="auto"/>
              </w:rPr>
            </w:pPr>
          </w:p>
        </w:tc>
      </w:tr>
      <w:tr>
        <w:trPr>
          <w:trHeight w:val="166"/>
        </w:trPr>
        <w:tc>
          <w:tcPr>
            <w:tcW w:w="2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2007</w:t>
            </w: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2006</w:t>
            </w:r>
          </w:p>
        </w:tc>
        <w:tc>
          <w:tcPr>
            <w:tcW w:w="18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2006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3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$223.3</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$178.3</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$428.6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$370.8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3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Fuel and Purchased Power</w:t>
            </w:r>
          </w:p>
        </w:tc>
        <w:tc>
          <w:tcPr>
            <w:tcW w:w="3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92.9</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63.0</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132.4</w:t>
            </w: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Operating and Maintenance</w:t>
            </w:r>
          </w:p>
        </w:tc>
        <w:tc>
          <w:tcPr>
            <w:tcW w:w="3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84.6</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76.8</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159.2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151.3</w:t>
            </w: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Depreciation</w:t>
            </w:r>
          </w:p>
        </w:tc>
        <w:tc>
          <w:tcPr>
            <w:tcW w:w="3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11.9</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12.2</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2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189.4</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152.0</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353.4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OPERATING INCOME FROM CONTINUING OPERATIONS</w:t>
            </w:r>
          </w:p>
        </w:tc>
        <w:tc>
          <w:tcPr>
            <w:tcW w:w="2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33.9</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26.3</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75.2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360" w:type="dxa"/>
            <w:vAlign w:val="bottom"/>
          </w:tcPr>
          <w:p>
            <w:pPr>
              <w:ind w:left="440"/>
              <w:spacing w:after="0"/>
              <w:rPr>
                <w:sz w:val="20"/>
                <w:szCs w:val="20"/>
                <w:color w:val="auto"/>
              </w:rPr>
            </w:pPr>
            <w:r>
              <w:rPr>
                <w:rFonts w:ascii="Courier New" w:cs="Courier New" w:eastAsia="Courier New" w:hAnsi="Courier New"/>
                <w:sz w:val="14"/>
                <w:szCs w:val="14"/>
                <w:color w:val="auto"/>
              </w:rPr>
              <w:t>Interest Expense</w:t>
            </w:r>
          </w:p>
        </w:tc>
        <w:tc>
          <w:tcPr>
            <w:tcW w:w="3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(6.1)</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(12.8)</w:t>
            </w:r>
          </w:p>
        </w:tc>
      </w:tr>
      <w:tr>
        <w:trPr>
          <w:trHeight w:val="166"/>
        </w:trPr>
        <w:tc>
          <w:tcPr>
            <w:tcW w:w="436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34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7.3</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260" w:type="dxa"/>
            <w:vAlign w:val="bottom"/>
          </w:tcPr>
          <w:p>
            <w:pPr>
              <w:spacing w:after="0"/>
              <w:rPr>
                <w:sz w:val="20"/>
                <w:szCs w:val="20"/>
                <w:color w:val="auto"/>
              </w:rPr>
            </w:pPr>
            <w:r>
              <w:rPr>
                <w:rFonts w:ascii="Courier New" w:cs="Courier New" w:eastAsia="Courier New" w:hAnsi="Courier New"/>
                <w:sz w:val="14"/>
                <w:szCs w:val="14"/>
                <w:color w:val="auto"/>
              </w:rPr>
              <w:t>Total Other Income (Expense)</w:t>
            </w:r>
          </w:p>
        </w:tc>
        <w:tc>
          <w:tcPr>
            <w:tcW w:w="2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440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2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BEFORE</w:t>
            </w:r>
          </w:p>
        </w:tc>
        <w:tc>
          <w:tcPr>
            <w:tcW w:w="4400" w:type="dxa"/>
            <w:vAlign w:val="bottom"/>
          </w:tcPr>
          <w:p>
            <w:pPr>
              <w:ind w:left="40"/>
              <w:spacing w:after="0"/>
              <w:rPr>
                <w:sz w:val="20"/>
                <w:szCs w:val="20"/>
                <w:color w:val="auto"/>
              </w:rPr>
            </w:pPr>
            <w:r>
              <w:rPr>
                <w:rFonts w:ascii="Courier New" w:cs="Courier New" w:eastAsia="Courier New" w:hAnsi="Courier New"/>
                <w:sz w:val="14"/>
                <w:szCs w:val="14"/>
                <w:color w:val="auto"/>
              </w:rPr>
              <w:t>MINORITY INTEREST AND INCOME TAXES</w:t>
            </w:r>
          </w:p>
        </w:tc>
        <w:tc>
          <w:tcPr>
            <w:tcW w:w="2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35.1</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23.3</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55.0</w:t>
            </w:r>
          </w:p>
        </w:tc>
      </w:tr>
      <w:tr>
        <w:trPr>
          <w:trHeight w:val="166"/>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MINORITY INTEREST</w:t>
            </w:r>
          </w:p>
        </w:tc>
        <w:tc>
          <w:tcPr>
            <w:tcW w:w="2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5140" w:type="dxa"/>
            <w:vAlign w:val="bottom"/>
          </w:tcPr>
          <w:p>
            <w:pPr>
              <w:ind w:left="60"/>
              <w:spacing w:after="0"/>
              <w:rPr>
                <w:sz w:val="20"/>
                <w:szCs w:val="20"/>
                <w:color w:val="auto"/>
              </w:rPr>
            </w:pPr>
            <w:r>
              <w:rPr>
                <w:rFonts w:ascii="Courier New" w:cs="Courier New" w:eastAsia="Courier New" w:hAnsi="Courier New"/>
                <w:sz w:val="14"/>
                <w:szCs w:val="14"/>
                <w:color w:val="auto"/>
              </w:rPr>
              <w:t>FROM CONTINUING OPERATIONS BEFORE INCOME TAXES</w:t>
            </w: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33.8</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52.9</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5140" w:type="dxa"/>
            <w:vAlign w:val="bottom"/>
          </w:tcPr>
          <w:p>
            <w:pPr>
              <w:ind w:left="60"/>
              <w:spacing w:after="0"/>
              <w:rPr>
                <w:sz w:val="20"/>
                <w:szCs w:val="20"/>
                <w:color w:val="auto"/>
              </w:rPr>
            </w:pPr>
            <w:r>
              <w:rPr>
                <w:rFonts w:ascii="Courier New" w:cs="Courier New" w:eastAsia="Courier New" w:hAnsi="Courier New"/>
                <w:sz w:val="14"/>
                <w:szCs w:val="14"/>
                <w:color w:val="auto"/>
              </w:rPr>
              <w:t>TAX EXPENSE</w:t>
            </w: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11.2</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8.9</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FROM</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2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22.6</w:t>
            </w: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13.6</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48.9</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rPr>
              <w:t>32.4</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FROM</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DISCONTINUED OPERATIONS - NET OF TAX</w:t>
            </w:r>
          </w:p>
        </w:tc>
        <w:tc>
          <w:tcPr>
            <w:tcW w:w="2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$ 22.6</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$ 13.2</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$ 48.9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$ 32.0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AVERAGE SHARES OF COMMON STOCK</w:t>
            </w:r>
          </w:p>
        </w:tc>
        <w:tc>
          <w:tcPr>
            <w:tcW w:w="3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3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28.2</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27.7</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27.6</w:t>
            </w: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3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28.3</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27.9</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BASIC EARNINGS PER SHARE OF COMMON STOCK</w:t>
            </w:r>
          </w:p>
        </w:tc>
        <w:tc>
          <w:tcPr>
            <w:tcW w:w="2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10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2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$0.80</w:t>
            </w:r>
          </w:p>
        </w:tc>
        <w:tc>
          <w:tcPr>
            <w:tcW w:w="1460" w:type="dxa"/>
            <w:vAlign w:val="bottom"/>
          </w:tcPr>
          <w:p>
            <w:pPr>
              <w:ind w:left="560"/>
              <w:spacing w:after="0"/>
              <w:rPr>
                <w:sz w:val="20"/>
                <w:szCs w:val="20"/>
                <w:color w:val="auto"/>
              </w:rPr>
            </w:pPr>
            <w:r>
              <w:rPr>
                <w:rFonts w:ascii="Courier New" w:cs="Courier New" w:eastAsia="Courier New" w:hAnsi="Courier New"/>
                <w:sz w:val="14"/>
                <w:szCs w:val="14"/>
                <w:color w:val="auto"/>
              </w:rPr>
              <w:t>$0.50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$1.74</w:t>
            </w:r>
          </w:p>
        </w:tc>
        <w:tc>
          <w:tcPr>
            <w:tcW w:w="940" w:type="dxa"/>
            <w:vAlign w:val="bottom"/>
          </w:tcPr>
          <w:p>
            <w:pPr>
              <w:ind w:left="420"/>
              <w:spacing w:after="0"/>
              <w:rPr>
                <w:sz w:val="20"/>
                <w:szCs w:val="20"/>
                <w:color w:val="auto"/>
              </w:rPr>
            </w:pPr>
            <w:r>
              <w:rPr>
                <w:rFonts w:ascii="Courier New" w:cs="Courier New" w:eastAsia="Courier New" w:hAnsi="Courier New"/>
                <w:sz w:val="14"/>
                <w:szCs w:val="14"/>
                <w:color w:val="auto"/>
              </w:rPr>
              <w:t>$1.18</w:t>
            </w:r>
          </w:p>
        </w:tc>
      </w:tr>
      <w:tr>
        <w:trPr>
          <w:trHeight w:val="166"/>
        </w:trPr>
        <w:tc>
          <w:tcPr>
            <w:tcW w:w="510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560"/>
              <w:spacing w:after="0"/>
              <w:rPr>
                <w:sz w:val="20"/>
                <w:szCs w:val="20"/>
                <w:color w:val="auto"/>
              </w:rPr>
            </w:pPr>
            <w:r>
              <w:rPr>
                <w:rFonts w:ascii="Courier New" w:cs="Courier New" w:eastAsia="Courier New" w:hAnsi="Courier New"/>
                <w:sz w:val="14"/>
                <w:szCs w:val="14"/>
                <w:color w:val="auto"/>
              </w:rPr>
              <w:t>(0.02)</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420"/>
              <w:spacing w:after="0"/>
              <w:rPr>
                <w:sz w:val="20"/>
                <w:szCs w:val="20"/>
                <w:color w:val="auto"/>
              </w:rPr>
            </w:pPr>
            <w:r>
              <w:rPr>
                <w:rFonts w:ascii="Courier New" w:cs="Courier New" w:eastAsia="Courier New" w:hAnsi="Courier New"/>
                <w:sz w:val="14"/>
                <w:szCs w:val="14"/>
                <w:color w:val="auto"/>
                <w:w w:val="99"/>
              </w:rPr>
              <w:t>(0.02)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720"/>
        <w:spacing w:after="0"/>
        <w:tabs>
          <w:tab w:leader="none" w:pos="8260" w:val="left"/>
          <w:tab w:leader="none" w:pos="9540" w:val="left"/>
          <w:tab w:leader="none" w:pos="10840" w:val="left"/>
        </w:tabs>
        <w:rPr>
          <w:sz w:val="20"/>
          <w:szCs w:val="20"/>
          <w:color w:val="auto"/>
        </w:rPr>
      </w:pPr>
      <w:r>
        <w:rPr>
          <w:rFonts w:ascii="Courier New" w:cs="Courier New" w:eastAsia="Courier New" w:hAnsi="Courier New"/>
          <w:sz w:val="14"/>
          <w:szCs w:val="14"/>
          <w:color w:val="auto"/>
        </w:rPr>
        <w:t>$0.80</w:t>
      </w:r>
      <w:r>
        <w:rPr>
          <w:sz w:val="20"/>
          <w:szCs w:val="20"/>
          <w:color w:val="auto"/>
        </w:rPr>
        <w:tab/>
      </w:r>
      <w:r>
        <w:rPr>
          <w:rFonts w:ascii="Courier New" w:cs="Courier New" w:eastAsia="Courier New" w:hAnsi="Courier New"/>
          <w:sz w:val="14"/>
          <w:szCs w:val="14"/>
          <w:color w:val="auto"/>
        </w:rPr>
        <w:t>$0.48</w:t>
      </w:r>
      <w:r>
        <w:rPr>
          <w:sz w:val="20"/>
          <w:szCs w:val="20"/>
          <w:color w:val="auto"/>
        </w:rPr>
        <w:tab/>
      </w:r>
      <w:r>
        <w:rPr>
          <w:rFonts w:ascii="Courier New" w:cs="Courier New" w:eastAsia="Courier New" w:hAnsi="Courier New"/>
          <w:sz w:val="14"/>
          <w:szCs w:val="14"/>
          <w:color w:val="auto"/>
        </w:rPr>
        <w:t>$1.74</w:t>
      </w:r>
      <w:r>
        <w:rPr>
          <w:sz w:val="20"/>
          <w:szCs w:val="20"/>
          <w:color w:val="auto"/>
        </w:rPr>
        <w:tab/>
      </w:r>
      <w:r>
        <w:rPr>
          <w:rFonts w:ascii="Courier New" w:cs="Courier New" w:eastAsia="Courier New" w:hAnsi="Courier New"/>
          <w:sz w:val="14"/>
          <w:szCs w:val="14"/>
          <w:color w:val="auto"/>
        </w:rPr>
        <w:t>$1.16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jc w:val="right"/>
              <w:spacing w:after="0"/>
              <w:rPr>
                <w:sz w:val="20"/>
                <w:szCs w:val="20"/>
                <w:color w:val="auto"/>
              </w:rPr>
            </w:pPr>
            <w:r>
              <w:rPr>
                <w:rFonts w:ascii="Courier New" w:cs="Courier New" w:eastAsia="Courier New" w:hAnsi="Courier New"/>
                <w:sz w:val="14"/>
                <w:szCs w:val="14"/>
                <w:color w:val="auto"/>
              </w:rPr>
              <w:t>DILUTED EARNINGS PER SHARE</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OF COMMON STOCK</w:t>
            </w:r>
          </w:p>
        </w:tc>
        <w:tc>
          <w:tcPr>
            <w:tcW w:w="2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00" w:type="dxa"/>
            <w:vAlign w:val="bottom"/>
          </w:tcPr>
          <w:p>
            <w:pPr>
              <w:jc w:val="right"/>
              <w:spacing w:after="0"/>
              <w:rPr>
                <w:sz w:val="20"/>
                <w:szCs w:val="20"/>
                <w:color w:val="auto"/>
              </w:rPr>
            </w:pPr>
            <w:r>
              <w:rPr>
                <w:rFonts w:ascii="Courier New" w:cs="Courier New" w:eastAsia="Courier New" w:hAnsi="Courier New"/>
                <w:sz w:val="14"/>
                <w:szCs w:val="14"/>
                <w:color w:val="auto"/>
              </w:rPr>
              <w:t>Continuing Operations</w:t>
            </w:r>
          </w:p>
        </w:tc>
        <w:tc>
          <w:tcPr>
            <w:tcW w:w="2880" w:type="dxa"/>
            <w:vAlign w:val="bottom"/>
          </w:tcPr>
          <w:p>
            <w:pPr>
              <w:spacing w:after="0"/>
              <w:rPr>
                <w:sz w:val="14"/>
                <w:szCs w:val="14"/>
                <w:color w:val="auto"/>
              </w:rPr>
            </w:pPr>
          </w:p>
        </w:tc>
        <w:tc>
          <w:tcPr>
            <w:tcW w:w="2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$0.80</w:t>
            </w:r>
          </w:p>
        </w:tc>
        <w:tc>
          <w:tcPr>
            <w:tcW w:w="1460" w:type="dxa"/>
            <w:vAlign w:val="bottom"/>
          </w:tcPr>
          <w:p>
            <w:pPr>
              <w:ind w:left="560"/>
              <w:spacing w:after="0"/>
              <w:rPr>
                <w:sz w:val="20"/>
                <w:szCs w:val="20"/>
                <w:color w:val="auto"/>
              </w:rPr>
            </w:pPr>
            <w:r>
              <w:rPr>
                <w:rFonts w:ascii="Courier New" w:cs="Courier New" w:eastAsia="Courier New" w:hAnsi="Courier New"/>
                <w:sz w:val="14"/>
                <w:szCs w:val="14"/>
                <w:color w:val="auto"/>
              </w:rPr>
              <w:t>$0.49</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$1.73</w:t>
            </w:r>
          </w:p>
        </w:tc>
        <w:tc>
          <w:tcPr>
            <w:tcW w:w="940" w:type="dxa"/>
            <w:vAlign w:val="bottom"/>
          </w:tcPr>
          <w:p>
            <w:pPr>
              <w:ind w:left="420"/>
              <w:spacing w:after="0"/>
              <w:rPr>
                <w:sz w:val="20"/>
                <w:szCs w:val="20"/>
                <w:color w:val="auto"/>
              </w:rPr>
            </w:pPr>
            <w:r>
              <w:rPr>
                <w:rFonts w:ascii="Courier New" w:cs="Courier New" w:eastAsia="Courier New" w:hAnsi="Courier New"/>
                <w:sz w:val="14"/>
                <w:szCs w:val="14"/>
                <w:color w:val="auto"/>
              </w:rPr>
              <w:t>$1.17</w:t>
            </w:r>
          </w:p>
        </w:tc>
      </w:tr>
      <w:tr>
        <w:trPr>
          <w:trHeight w:val="166"/>
        </w:trPr>
        <w:tc>
          <w:tcPr>
            <w:tcW w:w="51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560"/>
              <w:spacing w:after="0"/>
              <w:rPr>
                <w:sz w:val="20"/>
                <w:szCs w:val="20"/>
                <w:color w:val="auto"/>
              </w:rPr>
            </w:pPr>
            <w:r>
              <w:rPr>
                <w:rFonts w:ascii="Courier New" w:cs="Courier New" w:eastAsia="Courier New" w:hAnsi="Courier New"/>
                <w:sz w:val="14"/>
                <w:szCs w:val="14"/>
                <w:color w:val="auto"/>
              </w:rPr>
              <w:t>(0.02)</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420"/>
              <w:spacing w:after="0"/>
              <w:rPr>
                <w:sz w:val="20"/>
                <w:szCs w:val="20"/>
                <w:color w:val="auto"/>
              </w:rPr>
            </w:pPr>
            <w:r>
              <w:rPr>
                <w:rFonts w:ascii="Courier New" w:cs="Courier New" w:eastAsia="Courier New" w:hAnsi="Courier New"/>
                <w:sz w:val="14"/>
                <w:szCs w:val="14"/>
                <w:color w:val="auto"/>
                <w:w w:val="99"/>
              </w:rPr>
              <w:t>(0.02)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720"/>
        <w:spacing w:after="0"/>
        <w:tabs>
          <w:tab w:leader="none" w:pos="8260" w:val="left"/>
          <w:tab w:leader="none" w:pos="9540" w:val="left"/>
          <w:tab w:leader="none" w:pos="10840" w:val="left"/>
        </w:tabs>
        <w:rPr>
          <w:sz w:val="20"/>
          <w:szCs w:val="20"/>
          <w:color w:val="auto"/>
        </w:rPr>
      </w:pPr>
      <w:r>
        <w:rPr>
          <w:rFonts w:ascii="Courier New" w:cs="Courier New" w:eastAsia="Courier New" w:hAnsi="Courier New"/>
          <w:sz w:val="14"/>
          <w:szCs w:val="14"/>
          <w:color w:val="auto"/>
        </w:rPr>
        <w:t>$0.80</w:t>
      </w:r>
      <w:r>
        <w:rPr>
          <w:sz w:val="20"/>
          <w:szCs w:val="20"/>
          <w:color w:val="auto"/>
        </w:rPr>
        <w:tab/>
      </w:r>
      <w:r>
        <w:rPr>
          <w:rFonts w:ascii="Courier New" w:cs="Courier New" w:eastAsia="Courier New" w:hAnsi="Courier New"/>
          <w:sz w:val="14"/>
          <w:szCs w:val="14"/>
          <w:color w:val="auto"/>
        </w:rPr>
        <w:t>$0.47</w:t>
      </w:r>
      <w:r>
        <w:rPr>
          <w:sz w:val="20"/>
          <w:szCs w:val="20"/>
          <w:color w:val="auto"/>
        </w:rPr>
        <w:tab/>
      </w:r>
      <w:r>
        <w:rPr>
          <w:rFonts w:ascii="Courier New" w:cs="Courier New" w:eastAsia="Courier New" w:hAnsi="Courier New"/>
          <w:sz w:val="14"/>
          <w:szCs w:val="14"/>
          <w:color w:val="auto"/>
        </w:rPr>
        <w:t>$1.73</w:t>
      </w:r>
      <w:r>
        <w:rPr>
          <w:sz w:val="20"/>
          <w:szCs w:val="20"/>
          <w:color w:val="auto"/>
        </w:rPr>
        <w:tab/>
      </w:r>
      <w:r>
        <w:rPr>
          <w:rFonts w:ascii="Courier New" w:cs="Courier New" w:eastAsia="Courier New" w:hAnsi="Courier New"/>
          <w:sz w:val="14"/>
          <w:szCs w:val="14"/>
          <w:color w:val="auto"/>
        </w:rPr>
        <w:t>$1.15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DIVIDENDS PER SHARE OF COMMON STOCK</w:t>
            </w:r>
          </w:p>
        </w:tc>
        <w:tc>
          <w:tcPr>
            <w:tcW w:w="2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$0.4100</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$0.3625</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$0.8200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$0.7250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CONSOLIDATED BALANCE SHEET</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p>
      <w:pPr>
        <w:ind w:left="4220"/>
        <w:spacing w:after="0"/>
        <w:tabs>
          <w:tab w:leader="none" w:pos="5420" w:val="left"/>
        </w:tabs>
        <w:rPr>
          <w:sz w:val="20"/>
          <w:szCs w:val="20"/>
          <w:color w:val="auto"/>
        </w:rPr>
      </w:pPr>
      <w:r>
        <w:rPr>
          <w:rFonts w:ascii="Courier New" w:cs="Courier New" w:eastAsia="Courier New" w:hAnsi="Courier New"/>
          <w:sz w:val="14"/>
          <w:szCs w:val="14"/>
          <w:color w:val="auto"/>
        </w:rPr>
        <w:t>JUN. 30,</w:t>
      </w:r>
      <w:r>
        <w:rPr>
          <w:sz w:val="20"/>
          <w:szCs w:val="20"/>
          <w:color w:val="auto"/>
        </w:rPr>
        <w:tab/>
      </w:r>
      <w:r>
        <w:rPr>
          <w:rFonts w:ascii="Courier New" w:cs="Courier New" w:eastAsia="Courier New" w:hAnsi="Courier New"/>
          <w:sz w:val="14"/>
          <w:szCs w:val="14"/>
          <w:color w:val="auto"/>
        </w:rPr>
        <w:t>DEC. 31,</w:t>
      </w:r>
    </w:p>
    <w:p>
      <w:pPr>
        <w:spacing w:after="0" w:line="7" w:lineRule="exact"/>
        <w:rPr>
          <w:sz w:val="20"/>
          <w:szCs w:val="20"/>
          <w:color w:val="auto"/>
        </w:rPr>
      </w:pPr>
    </w:p>
    <w:p>
      <w:pPr>
        <w:ind w:left="4320"/>
        <w:spacing w:after="0"/>
        <w:tabs>
          <w:tab w:leader="none" w:pos="5580" w:val="left"/>
        </w:tabs>
        <w:rPr>
          <w:sz w:val="20"/>
          <w:szCs w:val="20"/>
          <w:color w:val="auto"/>
        </w:rPr>
      </w:pP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Cash and Short-Term Investments</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158.9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149.3</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148.1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138.4</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977.2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921.6</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207.8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189.1</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137.7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 w:leader="none" w:pos="5420" w:val="left"/>
        </w:tabs>
        <w:rPr>
          <w:sz w:val="20"/>
          <w:szCs w:val="20"/>
          <w:color w:val="auto"/>
        </w:rPr>
      </w:pPr>
      <w:r>
        <w:rPr>
          <w:rFonts w:ascii="Courier New" w:cs="Courier New" w:eastAsia="Courier New" w:hAnsi="Courier New"/>
          <w:sz w:val="14"/>
          <w:szCs w:val="14"/>
          <w:color w:val="auto"/>
        </w:rPr>
        <w:t>TOTAL ASSETS</w:t>
      </w:r>
      <w:r>
        <w:rPr>
          <w:sz w:val="20"/>
          <w:szCs w:val="20"/>
          <w:color w:val="auto"/>
        </w:rPr>
        <w:tab/>
      </w:r>
      <w:r>
        <w:rPr>
          <w:rFonts w:ascii="Courier New" w:cs="Courier New" w:eastAsia="Courier New" w:hAnsi="Courier New"/>
          <w:sz w:val="14"/>
          <w:szCs w:val="14"/>
          <w:color w:val="auto"/>
        </w:rPr>
        <w:t>$1,629.7</w:t>
      </w:r>
      <w:r>
        <w:rPr>
          <w:sz w:val="20"/>
          <w:szCs w:val="20"/>
          <w:color w:val="auto"/>
        </w:rPr>
        <w:tab/>
      </w:r>
      <w:r>
        <w:rPr>
          <w:rFonts w:ascii="Courier New" w:cs="Courier New" w:eastAsia="Courier New" w:hAnsi="Courier New"/>
          <w:sz w:val="14"/>
          <w:szCs w:val="14"/>
          <w:color w:val="auto"/>
        </w:rPr>
        <w:t>$1,533.4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616" w:right="139" w:bottom="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130.5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143.5</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409.2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359.8</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376.7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364.3</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713.3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665.8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 w:leader="none" w:pos="542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$1,629.7</w:t>
      </w:r>
      <w:r>
        <w:rPr>
          <w:sz w:val="20"/>
          <w:szCs w:val="20"/>
          <w:color w:val="auto"/>
        </w:rPr>
        <w:tab/>
      </w:r>
      <w:r>
        <w:rPr>
          <w:rFonts w:ascii="Courier New" w:cs="Courier New" w:eastAsia="Courier New" w:hAnsi="Courier New"/>
          <w:sz w:val="14"/>
          <w:szCs w:val="14"/>
          <w:color w:val="auto"/>
        </w:rPr>
        <w:t>$1,533.4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41"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ALLETE NEWS RELEASE</w:t>
            </w:r>
          </w:p>
        </w:tc>
        <w:tc>
          <w:tcPr>
            <w:tcW w:w="2700" w:type="dxa"/>
            <w:vAlign w:val="bottom"/>
          </w:tcPr>
          <w:p>
            <w:pPr>
              <w:ind w:left="640"/>
              <w:spacing w:after="0"/>
              <w:rPr>
                <w:sz w:val="20"/>
                <w:szCs w:val="20"/>
                <w:color w:val="auto"/>
              </w:rPr>
            </w:pPr>
            <w:r>
              <w:rPr>
                <w:rFonts w:ascii="Courier New" w:cs="Courier New" w:eastAsia="Courier New" w:hAnsi="Courier New"/>
                <w:sz w:val="14"/>
                <w:szCs w:val="14"/>
                <w:color w:val="auto"/>
              </w:rPr>
              <w:t>July 27, 2007</w:t>
            </w:r>
          </w:p>
        </w:tc>
        <w:tc>
          <w:tcPr>
            <w:tcW w:w="1340" w:type="dxa"/>
            <w:vAlign w:val="bottom"/>
          </w:tcPr>
          <w:p>
            <w:pPr>
              <w:ind w:left="960"/>
              <w:spacing w:after="0"/>
              <w:rPr>
                <w:sz w:val="20"/>
                <w:szCs w:val="20"/>
                <w:color w:val="auto"/>
              </w:rPr>
            </w:pPr>
            <w:r>
              <w:rPr>
                <w:rFonts w:ascii="Courier New" w:cs="Courier New" w:eastAsia="Courier New" w:hAnsi="Courier New"/>
                <w:sz w:val="14"/>
                <w:szCs w:val="14"/>
                <w:color w:val="auto"/>
              </w:rPr>
              <w:t>PAGE</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3 of 3</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850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828"/>
        </w:trPr>
        <w:tc>
          <w:tcPr>
            <w:tcW w:w="2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QUARTER ENDED</w:t>
            </w:r>
          </w:p>
        </w:tc>
        <w:tc>
          <w:tcPr>
            <w:tcW w:w="1020" w:type="dxa"/>
            <w:vAlign w:val="bottom"/>
          </w:tcPr>
          <w:p>
            <w:pPr>
              <w:spacing w:after="0"/>
              <w:rPr>
                <w:sz w:val="24"/>
                <w:szCs w:val="24"/>
                <w:color w:val="auto"/>
              </w:rPr>
            </w:pPr>
          </w:p>
        </w:tc>
        <w:tc>
          <w:tcPr>
            <w:tcW w:w="152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YEAR TO DATE</w:t>
            </w:r>
          </w:p>
        </w:tc>
      </w:tr>
      <w:tr>
        <w:trPr>
          <w:trHeight w:val="166"/>
        </w:trPr>
        <w:tc>
          <w:tcPr>
            <w:tcW w:w="23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JUNE 30,</w:t>
            </w:r>
          </w:p>
        </w:tc>
        <w:tc>
          <w:tcPr>
            <w:tcW w:w="1020" w:type="dxa"/>
            <w:vAlign w:val="bottom"/>
          </w:tcPr>
          <w:p>
            <w:pPr>
              <w:spacing w:after="0"/>
              <w:rPr>
                <w:sz w:val="14"/>
                <w:szCs w:val="14"/>
                <w:color w:val="auto"/>
              </w:rPr>
            </w:pPr>
          </w:p>
        </w:tc>
        <w:tc>
          <w:tcPr>
            <w:tcW w:w="152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JUNE 30,</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ALLETE, INC.</w:t>
            </w:r>
          </w:p>
        </w:tc>
        <w:tc>
          <w:tcPr>
            <w:tcW w:w="2700" w:type="dxa"/>
            <w:vAlign w:val="bottom"/>
          </w:tcPr>
          <w:p>
            <w:pPr>
              <w:spacing w:after="0"/>
              <w:rPr>
                <w:sz w:val="14"/>
                <w:szCs w:val="14"/>
                <w:color w:val="auto"/>
              </w:rPr>
            </w:pPr>
          </w:p>
        </w:tc>
        <w:tc>
          <w:tcPr>
            <w:tcW w:w="1340" w:type="dxa"/>
            <w:vAlign w:val="bottom"/>
          </w:tcPr>
          <w:p>
            <w:pPr>
              <w:ind w:left="960"/>
              <w:spacing w:after="0"/>
              <w:rPr>
                <w:sz w:val="20"/>
                <w:szCs w:val="20"/>
                <w:color w:val="auto"/>
              </w:rPr>
            </w:pPr>
            <w:r>
              <w:rPr>
                <w:rFonts w:ascii="Courier New" w:cs="Courier New" w:eastAsia="Courier New" w:hAnsi="Courier New"/>
                <w:sz w:val="14"/>
                <w:szCs w:val="14"/>
                <w:color w:val="auto"/>
              </w:rPr>
              <w:t>2007</w:t>
            </w:r>
          </w:p>
        </w:tc>
        <w:tc>
          <w:tcPr>
            <w:tcW w:w="21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2007</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(LOSS)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6.1</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$ 6.8</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0.9</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ATC</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11.5</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5.6</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0.3</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Income from Continuing</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Operations</w:t>
            </w:r>
          </w:p>
        </w:tc>
        <w:tc>
          <w:tcPr>
            <w:tcW w:w="24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22.6</w:t>
            </w: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13.6</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48.9</w:t>
            </w:r>
          </w:p>
        </w:tc>
        <w:tc>
          <w:tcPr>
            <w:tcW w:w="1020" w:type="dxa"/>
            <w:vAlign w:val="bottom"/>
          </w:tcPr>
          <w:p>
            <w:pPr>
              <w:ind w:left="600"/>
              <w:spacing w:after="0"/>
              <w:rPr>
                <w:sz w:val="20"/>
                <w:szCs w:val="20"/>
                <w:color w:val="auto"/>
              </w:rPr>
            </w:pPr>
            <w:r>
              <w:rPr>
                <w:rFonts w:ascii="Courier New" w:cs="Courier New" w:eastAsia="Courier New" w:hAnsi="Courier New"/>
                <w:sz w:val="14"/>
                <w:szCs w:val="14"/>
                <w:color w:val="auto"/>
              </w:rPr>
              <w:t>32.4</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Loss from Discontinued</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Operations</w:t>
            </w:r>
          </w:p>
        </w:tc>
        <w:tc>
          <w:tcPr>
            <w:tcW w:w="24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(0.4)</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600"/>
              <w:spacing w:after="0"/>
              <w:rPr>
                <w:sz w:val="20"/>
                <w:szCs w:val="20"/>
                <w:color w:val="auto"/>
              </w:rPr>
            </w:pPr>
            <w:r>
              <w:rPr>
                <w:rFonts w:ascii="Courier New" w:cs="Courier New" w:eastAsia="Courier New" w:hAnsi="Courier New"/>
                <w:sz w:val="14"/>
                <w:szCs w:val="14"/>
                <w:color w:val="auto"/>
                <w:w w:val="95"/>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260" w:type="dxa"/>
        <w:tblCellMar>
          <w:top w:w="0" w:type="dxa"/>
          <w:left w:w="0" w:type="dxa"/>
          <w:bottom w:w="0" w:type="dxa"/>
          <w:right w:w="0" w:type="dxa"/>
        </w:tblCellMar>
      </w:tblPr>
      <w:tr>
        <w:trPr>
          <w:trHeight w:val="179"/>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$ 22.6</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$13.2</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$48.9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$32.0</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 EARNINGS PER SHARE</w:t>
      </w:r>
    </w:p>
    <w:p>
      <w:pPr>
        <w:spacing w:after="0" w:line="7" w:lineRule="exact"/>
        <w:rPr>
          <w:sz w:val="20"/>
          <w:szCs w:val="20"/>
          <w:color w:val="auto"/>
        </w:rPr>
      </w:pPr>
    </w:p>
    <w:p>
      <w:pPr>
        <w:ind w:left="260"/>
        <w:spacing w:after="0"/>
        <w:tabs>
          <w:tab w:leader="none" w:pos="5840" w:val="left"/>
          <w:tab w:leader="none" w:pos="7400" w:val="left"/>
          <w:tab w:leader="none" w:pos="9120" w:val="left"/>
          <w:tab w:leader="none" w:pos="10660" w:val="left"/>
        </w:tabs>
        <w:rPr>
          <w:sz w:val="20"/>
          <w:szCs w:val="20"/>
          <w:color w:val="auto"/>
        </w:rPr>
      </w:pPr>
      <w:r>
        <w:rPr>
          <w:rFonts w:ascii="Courier New" w:cs="Courier New" w:eastAsia="Courier New" w:hAnsi="Courier New"/>
          <w:sz w:val="14"/>
          <w:szCs w:val="14"/>
          <w:color w:val="auto"/>
        </w:rPr>
        <w:t>Continuing Operations</w:t>
      </w:r>
      <w:r>
        <w:rPr>
          <w:sz w:val="20"/>
          <w:szCs w:val="20"/>
          <w:color w:val="auto"/>
        </w:rPr>
        <w:tab/>
      </w:r>
      <w:r>
        <w:rPr>
          <w:rFonts w:ascii="Courier New" w:cs="Courier New" w:eastAsia="Courier New" w:hAnsi="Courier New"/>
          <w:sz w:val="14"/>
          <w:szCs w:val="14"/>
          <w:color w:val="auto"/>
        </w:rPr>
        <w:t>$ 0.80</w:t>
      </w:r>
      <w:r>
        <w:rPr>
          <w:sz w:val="20"/>
          <w:szCs w:val="20"/>
          <w:color w:val="auto"/>
        </w:rPr>
        <w:tab/>
      </w:r>
      <w:r>
        <w:rPr>
          <w:rFonts w:ascii="Courier New" w:cs="Courier New" w:eastAsia="Courier New" w:hAnsi="Courier New"/>
          <w:sz w:val="14"/>
          <w:szCs w:val="14"/>
          <w:color w:val="auto"/>
        </w:rPr>
        <w:t>$ 0.49</w:t>
      </w:r>
      <w:r>
        <w:rPr>
          <w:sz w:val="20"/>
          <w:szCs w:val="20"/>
          <w:color w:val="auto"/>
        </w:rPr>
        <w:tab/>
      </w:r>
      <w:r>
        <w:rPr>
          <w:rFonts w:ascii="Courier New" w:cs="Courier New" w:eastAsia="Courier New" w:hAnsi="Courier New"/>
          <w:sz w:val="14"/>
          <w:szCs w:val="14"/>
          <w:color w:val="auto"/>
        </w:rPr>
        <w:t>$1.73</w:t>
      </w:r>
      <w:r>
        <w:rPr>
          <w:sz w:val="20"/>
          <w:szCs w:val="20"/>
          <w:color w:val="auto"/>
        </w:rPr>
        <w:tab/>
      </w:r>
      <w:r>
        <w:rPr>
          <w:rFonts w:ascii="Courier New" w:cs="Courier New" w:eastAsia="Courier New" w:hAnsi="Courier New"/>
          <w:sz w:val="14"/>
          <w:szCs w:val="14"/>
          <w:color w:val="auto"/>
        </w:rPr>
        <w:t>$1.17</w:t>
      </w:r>
    </w:p>
    <w:p>
      <w:pPr>
        <w:spacing w:after="0" w:line="7" w:lineRule="exact"/>
        <w:rPr>
          <w:sz w:val="20"/>
          <w:szCs w:val="20"/>
          <w:color w:val="auto"/>
        </w:rPr>
      </w:pPr>
    </w:p>
    <w:p>
      <w:pPr>
        <w:ind w:left="260"/>
        <w:spacing w:after="0"/>
        <w:tabs>
          <w:tab w:leader="none" w:pos="6280" w:val="left"/>
          <w:tab w:leader="none" w:pos="7480" w:val="left"/>
          <w:tab w:leader="none" w:pos="9460" w:val="left"/>
          <w:tab w:leader="none" w:pos="10660" w:val="left"/>
        </w:tabs>
        <w:rPr>
          <w:sz w:val="20"/>
          <w:szCs w:val="20"/>
          <w:color w:val="auto"/>
        </w:rPr>
      </w:pPr>
      <w:r>
        <w:rPr>
          <w:rFonts w:ascii="Courier New" w:cs="Courier New" w:eastAsia="Courier New" w:hAnsi="Courier New"/>
          <w:sz w:val="14"/>
          <w:szCs w:val="14"/>
          <w:color w:val="auto"/>
        </w:rPr>
        <w:t>Discontinued Operations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(0.02)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860"/>
        <w:spacing w:after="0"/>
        <w:tabs>
          <w:tab w:leader="none" w:pos="7400" w:val="left"/>
          <w:tab w:leader="none" w:pos="9120" w:val="left"/>
          <w:tab w:leader="none" w:pos="10660" w:val="left"/>
        </w:tabs>
        <w:rPr>
          <w:sz w:val="20"/>
          <w:szCs w:val="20"/>
          <w:color w:val="auto"/>
        </w:rPr>
      </w:pPr>
      <w:r>
        <w:rPr>
          <w:rFonts w:ascii="Courier New" w:cs="Courier New" w:eastAsia="Courier New" w:hAnsi="Courier New"/>
          <w:sz w:val="14"/>
          <w:szCs w:val="14"/>
          <w:color w:val="auto"/>
        </w:rPr>
        <w:t>$ 0.80</w:t>
      </w:r>
      <w:r>
        <w:rPr>
          <w:sz w:val="20"/>
          <w:szCs w:val="20"/>
          <w:color w:val="auto"/>
        </w:rPr>
        <w:tab/>
      </w:r>
      <w:r>
        <w:rPr>
          <w:rFonts w:ascii="Courier New" w:cs="Courier New" w:eastAsia="Courier New" w:hAnsi="Courier New"/>
          <w:sz w:val="14"/>
          <w:szCs w:val="14"/>
          <w:color w:val="auto"/>
        </w:rPr>
        <w:t>$ 0.47</w:t>
      </w:r>
      <w:r>
        <w:rPr>
          <w:sz w:val="20"/>
          <w:szCs w:val="20"/>
          <w:color w:val="auto"/>
        </w:rPr>
        <w:tab/>
      </w:r>
      <w:r>
        <w:rPr>
          <w:rFonts w:ascii="Courier New" w:cs="Courier New" w:eastAsia="Courier New" w:hAnsi="Courier New"/>
          <w:sz w:val="14"/>
          <w:szCs w:val="14"/>
          <w:color w:val="auto"/>
        </w:rPr>
        <w:t>$1.73</w:t>
      </w:r>
      <w:r>
        <w:rPr>
          <w:sz w:val="20"/>
          <w:szCs w:val="20"/>
          <w:color w:val="auto"/>
        </w:rPr>
        <w:tab/>
      </w:r>
      <w:r>
        <w:rPr>
          <w:rFonts w:ascii="Courier New" w:cs="Courier New" w:eastAsia="Courier New" w:hAnsi="Courier New"/>
          <w:sz w:val="14"/>
          <w:szCs w:val="14"/>
          <w:color w:val="auto"/>
        </w:rPr>
        <w:t>$1.15</w:t>
      </w:r>
    </w:p>
    <w:p>
      <w:pPr>
        <w:spacing w:after="0" w:line="7" w:lineRule="exact"/>
        <w:rPr>
          <w:sz w:val="20"/>
          <w:szCs w:val="20"/>
          <w:color w:val="auto"/>
        </w:rPr>
      </w:pPr>
    </w:p>
    <w:p>
      <w:pPr>
        <w:ind w:left="180" w:hanging="172"/>
        <w:spacing w:after="0"/>
        <w:tabs>
          <w:tab w:leader="none" w:pos="1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STATISTICAL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2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Common Stock</w:t>
            </w:r>
          </w:p>
        </w:tc>
        <w:tc>
          <w:tcPr>
            <w:tcW w:w="2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00" w:type="dxa"/>
            <w:vAlign w:val="bottom"/>
          </w:tcPr>
          <w:p>
            <w:pPr>
              <w:ind w:left="620"/>
              <w:spacing w:after="0"/>
              <w:rPr>
                <w:sz w:val="20"/>
                <w:szCs w:val="20"/>
                <w:color w:val="auto"/>
              </w:rPr>
            </w:pPr>
            <w:r>
              <w:rPr>
                <w:rFonts w:ascii="Courier New" w:cs="Courier New" w:eastAsia="Courier New" w:hAnsi="Courier New"/>
                <w:sz w:val="14"/>
                <w:szCs w:val="14"/>
                <w:color w:val="auto"/>
              </w:rPr>
              <w:t>High</w:t>
            </w:r>
          </w:p>
        </w:tc>
        <w:tc>
          <w:tcPr>
            <w:tcW w:w="2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$51.30</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$48.55</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$51.30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$48.55</w:t>
            </w:r>
          </w:p>
        </w:tc>
      </w:tr>
      <w:tr>
        <w:trPr>
          <w:trHeight w:val="166"/>
        </w:trPr>
        <w:tc>
          <w:tcPr>
            <w:tcW w:w="4100" w:type="dxa"/>
            <w:vAlign w:val="bottom"/>
          </w:tcPr>
          <w:p>
            <w:pPr>
              <w:ind w:left="620"/>
              <w:spacing w:after="0"/>
              <w:rPr>
                <w:sz w:val="20"/>
                <w:szCs w:val="20"/>
                <w:color w:val="auto"/>
              </w:rPr>
            </w:pPr>
            <w:r>
              <w:rPr>
                <w:rFonts w:ascii="Courier New" w:cs="Courier New" w:eastAsia="Courier New" w:hAnsi="Courier New"/>
                <w:sz w:val="14"/>
                <w:szCs w:val="14"/>
                <w:color w:val="auto"/>
              </w:rPr>
              <w:t>Low</w:t>
            </w:r>
          </w:p>
        </w:tc>
        <w:tc>
          <w:tcPr>
            <w:tcW w:w="2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$45.39</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$44.34</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$44.93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$42.99</w:t>
            </w:r>
          </w:p>
        </w:tc>
      </w:tr>
      <w:tr>
        <w:trPr>
          <w:trHeight w:val="166"/>
        </w:trPr>
        <w:tc>
          <w:tcPr>
            <w:tcW w:w="4100" w:type="dxa"/>
            <w:vAlign w:val="bottom"/>
          </w:tcPr>
          <w:p>
            <w:pPr>
              <w:ind w:left="620"/>
              <w:spacing w:after="0"/>
              <w:rPr>
                <w:sz w:val="20"/>
                <w:szCs w:val="20"/>
                <w:color w:val="auto"/>
              </w:rPr>
            </w:pPr>
            <w:r>
              <w:rPr>
                <w:rFonts w:ascii="Courier New" w:cs="Courier New" w:eastAsia="Courier New" w:hAnsi="Courier New"/>
                <w:sz w:val="14"/>
                <w:szCs w:val="14"/>
                <w:color w:val="auto"/>
              </w:rPr>
              <w:t>Close</w:t>
            </w:r>
          </w:p>
        </w:tc>
        <w:tc>
          <w:tcPr>
            <w:tcW w:w="2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$47.05</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$47.35</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$47.05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$47.35</w:t>
            </w:r>
          </w:p>
        </w:tc>
      </w:tr>
      <w:tr>
        <w:trPr>
          <w:trHeight w:val="331"/>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Book Value</w:t>
            </w:r>
          </w:p>
        </w:tc>
        <w:tc>
          <w:tcPr>
            <w:tcW w:w="2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$23.23</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$20.70</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$23.23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$20.70</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KILOWATTHOURS SOLD</w:t>
            </w:r>
          </w:p>
        </w:tc>
        <w:tc>
          <w:tcPr>
            <w:tcW w:w="2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Millions</w:t>
            </w:r>
          </w:p>
        </w:tc>
        <w:tc>
          <w:tcPr>
            <w:tcW w:w="2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Regulated Utility</w:t>
            </w:r>
          </w:p>
        </w:tc>
        <w:tc>
          <w:tcPr>
            <w:tcW w:w="2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100" w:type="dxa"/>
            <w:vAlign w:val="bottom"/>
          </w:tcPr>
          <w:p>
            <w:pPr>
              <w:ind w:left="620"/>
              <w:spacing w:after="0"/>
              <w:rPr>
                <w:sz w:val="20"/>
                <w:szCs w:val="20"/>
                <w:color w:val="auto"/>
              </w:rPr>
            </w:pPr>
            <w:r>
              <w:rPr>
                <w:rFonts w:ascii="Courier New" w:cs="Courier New" w:eastAsia="Courier New" w:hAnsi="Courier New"/>
                <w:sz w:val="14"/>
                <w:szCs w:val="14"/>
                <w:color w:val="auto"/>
              </w:rPr>
              <w:t>Retail and Municipals</w:t>
            </w:r>
          </w:p>
        </w:tc>
        <w:tc>
          <w:tcPr>
            <w:tcW w:w="2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00" w:type="dxa"/>
            <w:vAlign w:val="bottom"/>
          </w:tcPr>
          <w:p>
            <w:pPr>
              <w:ind w:left="960"/>
              <w:spacing w:after="0"/>
              <w:rPr>
                <w:sz w:val="20"/>
                <w:szCs w:val="20"/>
                <w:color w:val="auto"/>
              </w:rPr>
            </w:pPr>
            <w:r>
              <w:rPr>
                <w:rFonts w:ascii="Courier New" w:cs="Courier New" w:eastAsia="Courier New" w:hAnsi="Courier New"/>
                <w:sz w:val="14"/>
                <w:szCs w:val="14"/>
                <w:color w:val="auto"/>
              </w:rPr>
              <w:t>Residential</w:t>
            </w:r>
          </w:p>
        </w:tc>
        <w:tc>
          <w:tcPr>
            <w:tcW w:w="2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231.7</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229.1</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573.3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537.1</w:t>
            </w:r>
          </w:p>
        </w:tc>
      </w:tr>
      <w:tr>
        <w:trPr>
          <w:trHeight w:val="166"/>
        </w:trPr>
        <w:tc>
          <w:tcPr>
            <w:tcW w:w="4100" w:type="dxa"/>
            <w:vAlign w:val="bottom"/>
          </w:tcPr>
          <w:p>
            <w:pPr>
              <w:ind w:left="960"/>
              <w:spacing w:after="0"/>
              <w:rPr>
                <w:sz w:val="20"/>
                <w:szCs w:val="20"/>
                <w:color w:val="auto"/>
              </w:rPr>
            </w:pPr>
            <w:r>
              <w:rPr>
                <w:rFonts w:ascii="Courier New" w:cs="Courier New" w:eastAsia="Courier New" w:hAnsi="Courier New"/>
                <w:sz w:val="14"/>
                <w:szCs w:val="14"/>
                <w:color w:val="auto"/>
              </w:rPr>
              <w:t>Commercial</w:t>
            </w:r>
          </w:p>
        </w:tc>
        <w:tc>
          <w:tcPr>
            <w:tcW w:w="2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320.9</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315.5</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673.1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644.2</w:t>
            </w:r>
          </w:p>
        </w:tc>
      </w:tr>
      <w:tr>
        <w:trPr>
          <w:trHeight w:val="166"/>
        </w:trPr>
        <w:tc>
          <w:tcPr>
            <w:tcW w:w="4100" w:type="dxa"/>
            <w:vAlign w:val="bottom"/>
          </w:tcPr>
          <w:p>
            <w:pPr>
              <w:ind w:left="960"/>
              <w:spacing w:after="0"/>
              <w:rPr>
                <w:sz w:val="20"/>
                <w:szCs w:val="20"/>
                <w:color w:val="auto"/>
              </w:rPr>
            </w:pPr>
            <w:r>
              <w:rPr>
                <w:rFonts w:ascii="Courier New" w:cs="Courier New" w:eastAsia="Courier New" w:hAnsi="Courier New"/>
                <w:sz w:val="14"/>
                <w:szCs w:val="14"/>
                <w:color w:val="auto"/>
              </w:rPr>
              <w:t>Municipals</w:t>
            </w:r>
          </w:p>
        </w:tc>
        <w:tc>
          <w:tcPr>
            <w:tcW w:w="2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229.2</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216.1</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495.6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435.4</w:t>
            </w:r>
          </w:p>
        </w:tc>
      </w:tr>
      <w:tr>
        <w:trPr>
          <w:trHeight w:val="166"/>
        </w:trPr>
        <w:tc>
          <w:tcPr>
            <w:tcW w:w="4100" w:type="dxa"/>
            <w:vAlign w:val="bottom"/>
          </w:tcPr>
          <w:p>
            <w:pPr>
              <w:ind w:left="960"/>
              <w:spacing w:after="0"/>
              <w:rPr>
                <w:sz w:val="20"/>
                <w:szCs w:val="20"/>
                <w:color w:val="auto"/>
              </w:rPr>
            </w:pPr>
            <w:r>
              <w:rPr>
                <w:rFonts w:ascii="Courier New" w:cs="Courier New" w:eastAsia="Courier New" w:hAnsi="Courier New"/>
                <w:sz w:val="14"/>
                <w:szCs w:val="14"/>
                <w:color w:val="auto"/>
              </w:rPr>
              <w:t>Industrial</w:t>
            </w:r>
          </w:p>
        </w:tc>
        <w:tc>
          <w:tcPr>
            <w:tcW w:w="2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1,734.0</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1,769.9</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3,439.4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3,592.2</w:t>
            </w:r>
          </w:p>
        </w:tc>
      </w:tr>
      <w:tr>
        <w:trPr>
          <w:trHeight w:val="166"/>
        </w:trPr>
        <w:tc>
          <w:tcPr>
            <w:tcW w:w="4100" w:type="dxa"/>
            <w:vAlign w:val="bottom"/>
          </w:tcPr>
          <w:p>
            <w:pPr>
              <w:ind w:left="960"/>
              <w:spacing w:after="0"/>
              <w:rPr>
                <w:sz w:val="20"/>
                <w:szCs w:val="20"/>
                <w:color w:val="auto"/>
              </w:rPr>
            </w:pPr>
            <w:r>
              <w:rPr>
                <w:rFonts w:ascii="Courier New" w:cs="Courier New" w:eastAsia="Courier New" w:hAnsi="Courier New"/>
                <w:sz w:val="14"/>
                <w:szCs w:val="14"/>
                <w:color w:val="auto"/>
              </w:rPr>
              <w:t>Other</w:t>
            </w:r>
          </w:p>
        </w:tc>
        <w:tc>
          <w:tcPr>
            <w:tcW w:w="2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19.0</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18.6</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Total Retail</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and Municipal</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2,534.8</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2,549.2</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5,222.7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5,247.5</w:t>
            </w:r>
          </w:p>
        </w:tc>
      </w:tr>
      <w:tr>
        <w:trPr>
          <w:trHeight w:val="166"/>
        </w:trPr>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Other Power Suppliers</w:t>
            </w:r>
          </w:p>
        </w:tc>
        <w:tc>
          <w:tcPr>
            <w:tcW w:w="2240" w:type="dxa"/>
            <w:vAlign w:val="bottom"/>
          </w:tcPr>
          <w:p>
            <w:pPr>
              <w:spacing w:after="0"/>
              <w:rPr>
                <w:sz w:val="14"/>
                <w:szCs w:val="14"/>
                <w:color w:val="auto"/>
              </w:rPr>
            </w:pP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513.0</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515.5</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1,036.9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1,020.6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320" w:type="dxa"/>
            <w:vAlign w:val="bottom"/>
          </w:tcPr>
          <w:p>
            <w:pPr>
              <w:ind w:left="1120"/>
              <w:spacing w:after="0"/>
              <w:rPr>
                <w:sz w:val="20"/>
                <w:szCs w:val="20"/>
                <w:color w:val="auto"/>
              </w:rPr>
            </w:pPr>
            <w:r>
              <w:rPr>
                <w:rFonts w:ascii="Courier New" w:cs="Courier New" w:eastAsia="Courier New" w:hAnsi="Courier New"/>
                <w:sz w:val="14"/>
                <w:szCs w:val="14"/>
                <w:color w:val="auto"/>
              </w:rPr>
              <w:t>Total Regulated Utility</w:t>
            </w:r>
          </w:p>
        </w:tc>
        <w:tc>
          <w:tcPr>
            <w:tcW w:w="2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3,047.8</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3,064.7</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6,259.6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6,268.1</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2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59.8</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55.3</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123.5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Total Kilowatthours Sold</w:t>
            </w:r>
          </w:p>
        </w:tc>
        <w:tc>
          <w:tcPr>
            <w:tcW w:w="2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3,107.6</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3,120.0</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6,383.1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6,389.0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2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Town Center Development Project</w:t>
            </w:r>
          </w:p>
        </w:tc>
        <w:tc>
          <w:tcPr>
            <w:tcW w:w="2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540" w:type="dxa"/>
            <w:vAlign w:val="bottom"/>
          </w:tcPr>
          <w:p>
            <w:pPr>
              <w:ind w:left="620"/>
              <w:spacing w:after="0"/>
              <w:rPr>
                <w:sz w:val="20"/>
                <w:szCs w:val="20"/>
                <w:color w:val="auto"/>
              </w:rPr>
            </w:pPr>
            <w:r>
              <w:rPr>
                <w:rFonts w:ascii="Courier New" w:cs="Courier New" w:eastAsia="Courier New" w:hAnsi="Courier New"/>
                <w:sz w:val="14"/>
                <w:szCs w:val="14"/>
                <w:color w:val="auto"/>
              </w:rPr>
              <w:t>Commercial Square Footage Sold</w:t>
            </w:r>
          </w:p>
        </w:tc>
        <w:tc>
          <w:tcPr>
            <w:tcW w:w="2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435,000</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170,695</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435,000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250,695</w:t>
            </w:r>
          </w:p>
        </w:tc>
      </w:tr>
      <w:tr>
        <w:trPr>
          <w:trHeight w:val="166"/>
        </w:trPr>
        <w:tc>
          <w:tcPr>
            <w:tcW w:w="4540" w:type="dxa"/>
            <w:vAlign w:val="bottom"/>
          </w:tcPr>
          <w:p>
            <w:pPr>
              <w:ind w:left="620"/>
              <w:spacing w:after="0"/>
              <w:rPr>
                <w:sz w:val="20"/>
                <w:szCs w:val="20"/>
                <w:color w:val="auto"/>
              </w:rPr>
            </w:pPr>
            <w:r>
              <w:rPr>
                <w:rFonts w:ascii="Courier New" w:cs="Courier New" w:eastAsia="Courier New" w:hAnsi="Courier New"/>
                <w:sz w:val="14"/>
                <w:szCs w:val="14"/>
                <w:color w:val="auto"/>
              </w:rPr>
              <w:t>Residential Units</w:t>
            </w:r>
          </w:p>
        </w:tc>
        <w:tc>
          <w:tcPr>
            <w:tcW w:w="2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130</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186</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186</w:t>
            </w:r>
          </w:p>
        </w:tc>
      </w:tr>
      <w:tr>
        <w:trPr>
          <w:trHeight w:val="331"/>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Palm Coast Park Development Project</w:t>
            </w:r>
          </w:p>
        </w:tc>
        <w:tc>
          <w:tcPr>
            <w:tcW w:w="2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540" w:type="dxa"/>
            <w:vAlign w:val="bottom"/>
          </w:tcPr>
          <w:p>
            <w:pPr>
              <w:ind w:left="620"/>
              <w:spacing w:after="0"/>
              <w:rPr>
                <w:sz w:val="20"/>
                <w:szCs w:val="20"/>
                <w:color w:val="auto"/>
              </w:rPr>
            </w:pPr>
            <w:r>
              <w:rPr>
                <w:rFonts w:ascii="Courier New" w:cs="Courier New" w:eastAsia="Courier New" w:hAnsi="Courier New"/>
                <w:sz w:val="14"/>
                <w:szCs w:val="14"/>
                <w:color w:val="auto"/>
              </w:rPr>
              <w:t>Commercial Square Footage Sold</w:t>
            </w:r>
          </w:p>
        </w:tc>
        <w:tc>
          <w:tcPr>
            <w:tcW w:w="2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40,000</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620"/>
              <w:spacing w:after="0"/>
              <w:rPr>
                <w:sz w:val="20"/>
                <w:szCs w:val="20"/>
                <w:color w:val="auto"/>
              </w:rPr>
            </w:pPr>
            <w:r>
              <w:rPr>
                <w:rFonts w:ascii="Courier New" w:cs="Courier New" w:eastAsia="Courier New" w:hAnsi="Courier New"/>
                <w:sz w:val="14"/>
                <w:szCs w:val="14"/>
                <w:color w:val="auto"/>
              </w:rPr>
              <w:t>Residential Units</w:t>
            </w:r>
          </w:p>
        </w:tc>
        <w:tc>
          <w:tcPr>
            <w:tcW w:w="2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406</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Other Land</w:t>
            </w:r>
          </w:p>
        </w:tc>
        <w:tc>
          <w:tcPr>
            <w:tcW w:w="2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540" w:type="dxa"/>
            <w:vAlign w:val="bottom"/>
          </w:tcPr>
          <w:p>
            <w:pPr>
              <w:ind w:left="620"/>
              <w:spacing w:after="0"/>
              <w:rPr>
                <w:sz w:val="20"/>
                <w:szCs w:val="20"/>
                <w:color w:val="auto"/>
              </w:rPr>
            </w:pPr>
            <w:r>
              <w:rPr>
                <w:rFonts w:ascii="Courier New" w:cs="Courier New" w:eastAsia="Courier New" w:hAnsi="Courier New"/>
                <w:sz w:val="14"/>
                <w:szCs w:val="14"/>
                <w:color w:val="auto"/>
              </w:rPr>
              <w:t>Acres Sold</w:t>
            </w:r>
          </w:p>
        </w:tc>
        <w:tc>
          <w:tcPr>
            <w:tcW w:w="2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466</w:t>
            </w:r>
          </w:p>
        </w:tc>
      </w:tr>
      <w:tr>
        <w:trPr>
          <w:trHeight w:val="166"/>
        </w:trPr>
        <w:tc>
          <w:tcPr>
            <w:tcW w:w="4540" w:type="dxa"/>
            <w:vAlign w:val="bottom"/>
          </w:tcPr>
          <w:p>
            <w:pPr>
              <w:ind w:left="620"/>
              <w:spacing w:after="0"/>
              <w:rPr>
                <w:sz w:val="20"/>
                <w:szCs w:val="20"/>
                <w:color w:val="auto"/>
              </w:rPr>
            </w:pPr>
            <w:r>
              <w:rPr>
                <w:rFonts w:ascii="Courier New" w:cs="Courier New" w:eastAsia="Courier New" w:hAnsi="Courier New"/>
                <w:sz w:val="14"/>
                <w:szCs w:val="14"/>
                <w:color w:val="auto"/>
              </w:rPr>
              <w:t>Lots Sold</w:t>
            </w:r>
          </w:p>
        </w:tc>
        <w:tc>
          <w:tcPr>
            <w:tcW w:w="2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jc w:val="both"/>
        <w:ind w:right="4640"/>
        <w:spacing w:after="0" w:line="252" w:lineRule="auto"/>
        <w:rPr>
          <w:sz w:val="20"/>
          <w:szCs w:val="20"/>
          <w:color w:val="auto"/>
        </w:rPr>
      </w:pPr>
      <w:r>
        <w:rPr>
          <w:rFonts w:ascii="Courier New" w:cs="Courier New" w:eastAsia="Courier New" w:hAnsi="Courier New"/>
          <w:sz w:val="14"/>
          <w:szCs w:val="14"/>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ectPr>
          <w:pgSz w:w="11900" w:h="16838" w:orient="portrait"/>
          <w:cols w:equalWidth="0" w:num="1">
            <w:col w:w="11540"/>
          </w:cols>
          <w:pgMar w:left="220" w:top="616" w:right="139" w:bottom="580" w:gutter="0" w:footer="0" w:header="0"/>
        </w:sectPr>
      </w:pPr>
    </w:p>
    <w:bookmarkStart w:id="110" w:name="page111"/>
    <w:bookmarkEnd w:id="1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1)"/>
      <w:numFmt w:val="lowerLetter"/>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1"/>
      <w:numFmt w:val="decimal"/>
      <w:start w:val="32"/>
    </w:lvl>
  </w:abstractNum>
  <w:abstractNum w:abstractNumId="36">
    <w:nsid w:val="5F5E7FD0"/>
    <w:multiLevelType w:val="hybridMultilevel"/>
    <w:lvl w:ilvl="0">
      <w:lvlJc w:val="left"/>
      <w:lvlText w:val="(%1)"/>
      <w:numFmt w:val="lowerLetter"/>
      <w:start w:val="2"/>
    </w:lvl>
  </w:abstractNum>
  <w:abstractNum w:abstractNumId="37">
    <w:nsid w:val="98A3148"/>
    <w:multiLevelType w:val="hybridMultilevel"/>
    <w:lvl w:ilvl="0">
      <w:lvlJc w:val="left"/>
      <w:lvlText w:val="(%1)"/>
      <w:numFmt w:val="lowerLetter"/>
      <w:start w:val="1"/>
    </w:lvl>
    <w:lvl w:ilvl="1">
      <w:lvlJc w:val="left"/>
      <w:lvlText w:val="-"/>
      <w:numFmt w:val="bullet"/>
      <w:start w:val="1"/>
    </w:lvl>
  </w:abstractNum>
  <w:abstractNum w:abstractNumId="38">
    <w:nsid w:val="799D0247"/>
    <w:multiLevelType w:val="hybridMultilevel"/>
    <w:lvl w:ilvl="0">
      <w:lvlJc w:val="left"/>
      <w:lvlText w:val="(%1)"/>
      <w:numFmt w:val="lowerLetter"/>
      <w:start w:val="3"/>
    </w:lvl>
  </w:abstractNum>
  <w:abstractNum w:abstractNumId="39">
    <w:nsid w:val="6B94764"/>
    <w:multiLevelType w:val="hybridMultilevel"/>
    <w:lvl w:ilvl="0">
      <w:lvlJc w:val="left"/>
      <w:lvlText w:val="(%1)"/>
      <w:numFmt w:val="lowerRoman"/>
      <w:start w:val="1"/>
    </w:lvl>
    <w:lvl w:ilvl="1">
      <w:lvlJc w:val="left"/>
      <w:lvlText w:val="-"/>
      <w:numFmt w:val="bullet"/>
      <w:start w:val="1"/>
    </w:lvl>
  </w:abstractNum>
  <w:abstractNum w:abstractNumId="40">
    <w:nsid w:val="42C296BD"/>
    <w:multiLevelType w:val="hybridMultilevel"/>
    <w:lvl w:ilvl="0">
      <w:lvlJc w:val="left"/>
      <w:lvlText w:val="(%1)"/>
      <w:numFmt w:val="lowerLetter"/>
      <w:start w:val="2"/>
    </w:lvl>
  </w:abstractNum>
  <w:abstractNum w:abstractNumId="41">
    <w:nsid w:val="168E121F"/>
    <w:multiLevelType w:val="hybridMultilevel"/>
    <w:lvl w:ilvl="0">
      <w:lvlJc w:val="left"/>
      <w:lvlText w:val="(%1)"/>
      <w:numFmt w:val="lowerLetter"/>
      <w:start w:val="1"/>
    </w:lvl>
  </w:abstractNum>
  <w:abstractNum w:abstractNumId="42">
    <w:nsid w:val="1EBA5D23"/>
    <w:multiLevelType w:val="hybridMultilevel"/>
    <w:lvl w:ilvl="0">
      <w:lvlJc w:val="left"/>
      <w:lvlText w:val="(%1)"/>
      <w:numFmt w:val="lowerLetter"/>
      <w:start w:val="1"/>
    </w:lvl>
    <w:lvl w:ilvl="1">
      <w:lvlJc w:val="left"/>
      <w:lvlText w:val="-"/>
      <w:numFmt w:val="bullet"/>
      <w:start w:val="1"/>
    </w:lvl>
  </w:abstractNum>
  <w:abstractNum w:abstractNumId="43">
    <w:nsid w:val="661E3F1E"/>
    <w:multiLevelType w:val="hybridMultilevel"/>
    <w:lvl w:ilvl="0">
      <w:lvlJc w:val="left"/>
      <w:lvlText w:val="(%1)"/>
      <w:numFmt w:val="lowerLetter"/>
      <w:start w:val="2"/>
    </w:lvl>
  </w:abstractNum>
  <w:abstractNum w:abstractNumId="44">
    <w:nsid w:val="5DC79EA8"/>
    <w:multiLevelType w:val="hybridMultilevel"/>
    <w:lvl w:ilvl="0">
      <w:lvlJc w:val="left"/>
      <w:lvlText w:val="(%1)"/>
      <w:numFmt w:val="lowerLetter"/>
      <w:start w:val="1"/>
    </w:lvl>
    <w:lvl w:ilvl="1">
      <w:lvlJc w:val="left"/>
      <w:lvlText w:val="-"/>
      <w:numFmt w:val="bullet"/>
      <w:start w:val="1"/>
    </w:lvl>
  </w:abstractNum>
  <w:abstractNum w:abstractNumId="45">
    <w:nsid w:val="540A471C"/>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46">
    <w:nsid w:val="7BD3EE7B"/>
    <w:multiLevelType w:val="hybridMultilevel"/>
    <w:lvl w:ilvl="0">
      <w:lvlJc w:val="left"/>
      <w:lvlText w:val="(%1)"/>
      <w:numFmt w:val="lowerLetter"/>
      <w:start w:val="9"/>
    </w:lvl>
    <w:lvl w:ilvl="1">
      <w:lvlJc w:val="left"/>
      <w:lvlText w:val="(%2)"/>
      <w:numFmt w:val="lowerLetter"/>
      <w:start w:val="6"/>
    </w:lvl>
    <w:lvl w:ilvl="2">
      <w:lvlJc w:val="left"/>
      <w:lvlText w:val="-"/>
      <w:numFmt w:val="bullet"/>
      <w:start w:val="1"/>
    </w:lvl>
  </w:abstractNum>
  <w:abstractNum w:abstractNumId="47">
    <w:nsid w:val="51D9C564"/>
    <w:multiLevelType w:val="hybridMultilevel"/>
    <w:lvl w:ilvl="0">
      <w:lvlJc w:val="left"/>
      <w:lvlText w:val="(%1)"/>
      <w:numFmt w:val="lowerLetter"/>
      <w:start w:val="7"/>
    </w:lvl>
  </w:abstractNum>
  <w:abstractNum w:abstractNumId="48">
    <w:nsid w:val="613EFDC5"/>
    <w:multiLevelType w:val="hybridMultilevel"/>
    <w:lvl w:ilvl="0">
      <w:lvlJc w:val="left"/>
      <w:lvlText w:val="(%1)"/>
      <w:numFmt w:val="lowerLetter"/>
      <w:start w:val="1"/>
    </w:lvl>
    <w:lvl w:ilvl="1">
      <w:lvlJc w:val="left"/>
      <w:lvlText w:val="(%2)"/>
      <w:numFmt w:val="lowerRoman"/>
      <w:start w:val="1"/>
    </w:lvl>
  </w:abstractNum>
  <w:abstractNum w:abstractNumId="49">
    <w:nsid w:val="BF72B14"/>
    <w:multiLevelType w:val="hybridMultilevel"/>
    <w:lvl w:ilvl="0">
      <w:lvlJc w:val="left"/>
      <w:lvlText w:val="(%1)"/>
      <w:numFmt w:val="lowerLetter"/>
      <w:start w:val="2"/>
    </w:lvl>
  </w:abstractNum>
  <w:abstractNum w:abstractNumId="50">
    <w:nsid w:val="11447B73"/>
    <w:multiLevelType w:val="hybridMultilevel"/>
    <w:lvl w:ilvl="0">
      <w:lvlJc w:val="left"/>
      <w:lvlText w:val="(%1)"/>
      <w:numFmt w:val="lowerRoman"/>
      <w:start w:val="1"/>
    </w:lvl>
  </w:abstractNum>
  <w:abstractNum w:abstractNumId="51">
    <w:nsid w:val="42963E5A"/>
    <w:multiLevelType w:val="hybridMultilevel"/>
    <w:lvl w:ilvl="0">
      <w:lvlJc w:val="left"/>
      <w:lvlText w:val="(%1)"/>
      <w:numFmt w:val="lowerLetter"/>
      <w:start w:val="3"/>
    </w:lvl>
    <w:lvl w:ilvl="1">
      <w:lvlJc w:val="left"/>
      <w:lvlText w:val="-"/>
      <w:numFmt w:val="bullet"/>
      <w:start w:val="1"/>
    </w:lvl>
  </w:abstractNum>
  <w:abstractNum w:abstractNumId="52">
    <w:nsid w:val="A0382C5"/>
    <w:multiLevelType w:val="hybridMultilevel"/>
    <w:lvl w:ilvl="0">
      <w:lvlJc w:val="left"/>
      <w:lvlText w:val="(%1)"/>
      <w:numFmt w:val="lowerRoman"/>
      <w:start w:val="1"/>
    </w:lvl>
  </w:abstractNum>
  <w:abstractNum w:abstractNumId="53">
    <w:nsid w:val="8F2B15E"/>
    <w:multiLevelType w:val="hybridMultilevel"/>
    <w:lvl w:ilvl="0">
      <w:lvlJc w:val="left"/>
      <w:lvlText w:val="(%1)"/>
      <w:numFmt w:val="lowerRoman"/>
      <w:start w:val="3"/>
    </w:lvl>
  </w:abstractNum>
  <w:abstractNum w:abstractNumId="54">
    <w:nsid w:val="1A32234B"/>
    <w:multiLevelType w:val="hybridMultilevel"/>
    <w:lvl w:ilvl="0">
      <w:lvlJc w:val="left"/>
      <w:lvlText w:val="(%1)"/>
      <w:numFmt w:val="lowerLetter"/>
      <w:start w:val="6"/>
    </w:lvl>
  </w:abstractNum>
  <w:abstractNum w:abstractNumId="55">
    <w:nsid w:val="3B0FD379"/>
    <w:multiLevelType w:val="hybridMultilevel"/>
    <w:lvl w:ilvl="0">
      <w:lvlJc w:val="left"/>
      <w:lvlText w:val="(%1)"/>
      <w:numFmt w:val="lowerLetter"/>
      <w:start w:val="1"/>
    </w:lvl>
    <w:lvl w:ilvl="1">
      <w:lvlJc w:val="left"/>
      <w:lvlText w:val="-"/>
      <w:numFmt w:val="bullet"/>
      <w:start w:val="1"/>
    </w:lvl>
  </w:abstractNum>
  <w:abstractNum w:abstractNumId="56">
    <w:nsid w:val="68EB2F63"/>
    <w:multiLevelType w:val="hybridMultilevel"/>
    <w:lvl w:ilvl="0">
      <w:lvlJc w:val="left"/>
      <w:lvlText w:val="(%1)"/>
      <w:numFmt w:val="lowerLetter"/>
      <w:start w:val="1"/>
    </w:lvl>
  </w:abstractNum>
  <w:abstractNum w:abstractNumId="57">
    <w:nsid w:val="4962813B"/>
    <w:multiLevelType w:val="hybridMultilevel"/>
    <w:lvl w:ilvl="0">
      <w:lvlJc w:val="left"/>
      <w:lvlText w:val="(%1)"/>
      <w:numFmt w:val="lowerLetter"/>
      <w:start w:val="1"/>
    </w:lvl>
  </w:abstractNum>
  <w:abstractNum w:abstractNumId="58">
    <w:nsid w:val="60B6DF70"/>
    <w:multiLevelType w:val="hybridMultilevel"/>
    <w:lvl w:ilvl="0">
      <w:lvlJc w:val="left"/>
      <w:lvlText w:val="(%1)"/>
      <w:numFmt w:val="lowerLetter"/>
      <w:start w:val="7"/>
    </w:lvl>
  </w:abstractNum>
  <w:abstractNum w:abstractNumId="59">
    <w:nsid w:val="6A5EE64"/>
    <w:multiLevelType w:val="hybridMultilevel"/>
    <w:lvl w:ilvl="0">
      <w:lvlJc w:val="left"/>
      <w:lvlText w:val="%1"/>
      <w:numFmt w:val="lowerLetter"/>
      <w:start w:val="1"/>
    </w:lvl>
    <w:lvl w:ilvl="1">
      <w:lvlJc w:val="left"/>
      <w:lvlText w:val="(%2)"/>
      <w:numFmt w:val="lowerLetter"/>
      <w:start w:val="1"/>
    </w:lvl>
  </w:abstractNum>
  <w:abstractNum w:abstractNumId="60">
    <w:nsid w:val="14330624"/>
    <w:multiLevelType w:val="hybridMultilevel"/>
    <w:lvl w:ilvl="0">
      <w:lvlJc w:val="left"/>
      <w:lvlText w:val="(%1)"/>
      <w:numFmt w:val="lowerLetter"/>
      <w:start w:val="9"/>
    </w:lvl>
    <w:lvl w:ilvl="1">
      <w:lvlJc w:val="left"/>
      <w:lvlText w:val="(%2)"/>
      <w:numFmt w:val="lowerLetter"/>
      <w:start w:val="2"/>
    </w:lvl>
  </w:abstractNum>
  <w:abstractNum w:abstractNumId="61">
    <w:nsid w:val="7FFFCA11"/>
    <w:multiLevelType w:val="hybridMultilevel"/>
    <w:lvl w:ilvl="0">
      <w:lvlJc w:val="left"/>
      <w:lvlText w:val="(%1)"/>
      <w:numFmt w:val="lowerLetter"/>
      <w:start w:val="1"/>
    </w:lvl>
    <w:lvl w:ilvl="1">
      <w:lvlJc w:val="left"/>
      <w:lvlText w:val="-"/>
      <w:numFmt w:val="bullet"/>
      <w:start w:val="1"/>
    </w:lvl>
  </w:abstractNum>
  <w:abstractNum w:abstractNumId="62">
    <w:nsid w:val="1A27709E"/>
    <w:multiLevelType w:val="hybridMultilevel"/>
    <w:lvl w:ilvl="0">
      <w:lvlJc w:val="left"/>
      <w:lvlText w:val="(%1)"/>
      <w:numFmt w:val="lowerLetter"/>
      <w:start w:val="2"/>
    </w:lvl>
  </w:abstractNum>
  <w:abstractNum w:abstractNumId="63">
    <w:nsid w:val="71EA1109"/>
    <w:multiLevelType w:val="hybridMultilevel"/>
    <w:lvl w:ilvl="0">
      <w:lvlJc w:val="left"/>
      <w:lvlText w:val="(%1)"/>
      <w:numFmt w:val="lowerLetter"/>
      <w:start w:val="9"/>
    </w:lvl>
  </w:abstractNum>
  <w:abstractNum w:abstractNumId="64">
    <w:nsid w:val="100F59DC"/>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65">
    <w:nsid w:val="7FB7E0AA"/>
    <w:multiLevelType w:val="hybridMultilevel"/>
    <w:lvl w:ilvl="0">
      <w:lvlJc w:val="left"/>
      <w:lvlText w:val="(%1)"/>
      <w:numFmt w:val="lowerLetter"/>
      <w:start w:val="11"/>
    </w:lvl>
    <w:lvl w:ilvl="1">
      <w:lvlJc w:val="left"/>
      <w:lvlText w:val="%2"/>
      <w:numFmt w:val="lowerRoman"/>
      <w:start w:val="1"/>
    </w:lvl>
    <w:lvl w:ilvl="2">
      <w:lvlJc w:val="left"/>
      <w:lvlText w:val="-"/>
      <w:numFmt w:val="bullet"/>
      <w:start w:val="1"/>
    </w:lvl>
  </w:abstractNum>
  <w:abstractNum w:abstractNumId="66">
    <w:nsid w:val="6EB5BD4"/>
    <w:multiLevelType w:val="hybridMultilevel"/>
    <w:lvl w:ilvl="0">
      <w:lvlJc w:val="left"/>
      <w:lvlText w:val="(%1)"/>
      <w:numFmt w:val="lowerLetter"/>
      <w:start w:val="15"/>
    </w:lvl>
  </w:abstractNum>
  <w:abstractNum w:abstractNumId="67">
    <w:nsid w:val="6F6DD9AC"/>
    <w:multiLevelType w:val="hybridMultilevel"/>
    <w:lvl w:ilvl="0">
      <w:lvlJc w:val="left"/>
      <w:lvlText w:val="(%1)"/>
      <w:numFmt w:val="lowerLetter"/>
      <w:start w:val="21"/>
    </w:lvl>
  </w:abstractNum>
  <w:abstractNum w:abstractNumId="68">
    <w:nsid w:val="94211F2"/>
    <w:multiLevelType w:val="hybridMultilevel"/>
    <w:lvl w:ilvl="0">
      <w:lvlJc w:val="left"/>
      <w:lvlText w:val="(%1)"/>
      <w:numFmt w:val="lowerLetter"/>
      <w:start w:val="22"/>
    </w:lvl>
  </w:abstractNum>
  <w:abstractNum w:abstractNumId="69">
    <w:nsid w:val="885E1B"/>
    <w:multiLevelType w:val="hybridMultilevel"/>
    <w:lvl w:ilvl="0">
      <w:lvlJc w:val="left"/>
      <w:lvlText w:val="(%1)"/>
      <w:numFmt w:val="lowerLetter"/>
      <w:start w:val="25"/>
    </w:lvl>
  </w:abstractNum>
  <w:abstractNum w:abstractNumId="70">
    <w:nsid w:val="76272110"/>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71">
    <w:nsid w:val="4C04A8AF"/>
    <w:multiLevelType w:val="hybridMultilevel"/>
    <w:lvl w:ilvl="0">
      <w:lvlJc w:val="left"/>
      <w:lvlText w:val="(%1)"/>
      <w:numFmt w:val="lowerLetter"/>
      <w:start w:val="2"/>
    </w:lvl>
    <w:lvl w:ilvl="1">
      <w:lvlJc w:val="left"/>
      <w:lvlText w:val="(%2)"/>
      <w:numFmt w:val="lowerLetter"/>
      <w:start w:val="5"/>
    </w:lvl>
    <w:lvl w:ilvl="2">
      <w:lvlJc w:val="left"/>
      <w:lvlText w:val="-"/>
      <w:numFmt w:val="bullet"/>
      <w:start w:val="1"/>
    </w:lvl>
  </w:abstractNum>
  <w:abstractNum w:abstractNumId="72">
    <w:nsid w:val="1716703B"/>
    <w:multiLevelType w:val="hybridMultilevel"/>
    <w:lvl w:ilvl="0">
      <w:lvlJc w:val="left"/>
      <w:lvlText w:val="%1"/>
      <w:numFmt w:val="lowerRoman"/>
      <w:start w:val="1"/>
    </w:lvl>
    <w:lvl w:ilvl="1">
      <w:lvlJc w:val="left"/>
      <w:lvlText w:val="(%2)"/>
      <w:numFmt w:val="lowerLetter"/>
      <w:start w:val="8"/>
    </w:lvl>
    <w:lvl w:ilvl="2">
      <w:lvlJc w:val="left"/>
      <w:lvlText w:val="-"/>
      <w:numFmt w:val="bullet"/>
      <w:start w:val="1"/>
    </w:lvl>
  </w:abstractNum>
  <w:abstractNum w:abstractNumId="73">
    <w:nsid w:val="14E17E33"/>
    <w:multiLevelType w:val="hybridMultilevel"/>
    <w:lvl w:ilvl="0">
      <w:lvlJc w:val="left"/>
      <w:lvlText w:val="(%1)"/>
      <w:numFmt w:val="lowerRoman"/>
      <w:start w:val="4"/>
    </w:lvl>
    <w:lvl w:ilvl="1">
      <w:lvlJc w:val="left"/>
      <w:lvlText w:val="%2"/>
      <w:numFmt w:val="lowerLetter"/>
      <w:start w:val="1"/>
    </w:lvl>
    <w:lvl w:ilvl="2">
      <w:lvlJc w:val="left"/>
      <w:lvlText w:val="-"/>
      <w:numFmt w:val="bullet"/>
      <w:start w:val="1"/>
    </w:lvl>
  </w:abstractNum>
  <w:abstractNum w:abstractNumId="74">
    <w:nsid w:val="3222E7CD"/>
    <w:multiLevelType w:val="hybridMultilevel"/>
    <w:lvl w:ilvl="0">
      <w:lvlJc w:val="left"/>
      <w:lvlText w:val="(%1)"/>
      <w:numFmt w:val="lowerRoman"/>
      <w:start w:val="6"/>
    </w:lvl>
    <w:lvl w:ilvl="1">
      <w:lvlJc w:val="left"/>
      <w:lvlText w:val="%2"/>
      <w:numFmt w:val="lowerLetter"/>
      <w:start w:val="1"/>
    </w:lvl>
    <w:lvl w:ilvl="2">
      <w:lvlJc w:val="left"/>
      <w:lvlText w:val="-"/>
      <w:numFmt w:val="bullet"/>
      <w:start w:val="1"/>
    </w:lvl>
  </w:abstractNum>
  <w:abstractNum w:abstractNumId="75">
    <w:nsid w:val="74DE0EE3"/>
    <w:multiLevelType w:val="hybridMultilevel"/>
    <w:lvl w:ilvl="0">
      <w:lvlJc w:val="left"/>
      <w:lvlText w:val="(%1)"/>
      <w:numFmt w:val="lowerLetter"/>
      <w:start w:val="2"/>
    </w:lvl>
  </w:abstractNum>
  <w:abstractNum w:abstractNumId="76">
    <w:nsid w:val="68EBC550"/>
    <w:multiLevelType w:val="hybridMultilevel"/>
    <w:lvl w:ilvl="0">
      <w:lvlJc w:val="left"/>
      <w:lvlText w:val="(%1)"/>
      <w:numFmt w:val="lowerLetter"/>
      <w:start w:val="1"/>
    </w:lvl>
  </w:abstractNum>
  <w:abstractNum w:abstractNumId="77">
    <w:nsid w:val="2DF6D648"/>
    <w:multiLevelType w:val="hybridMultilevel"/>
    <w:lvl w:ilvl="0">
      <w:lvlJc w:val="left"/>
      <w:lvlText w:val="(%1)"/>
      <w:numFmt w:val="lowerLetter"/>
      <w:start w:val="1"/>
    </w:lvl>
  </w:abstractNum>
  <w:abstractNum w:abstractNumId="78">
    <w:nsid w:val="46B7D447"/>
    <w:multiLevelType w:val="hybridMultilevel"/>
    <w:lvl w:ilvl="0">
      <w:lvlJc w:val="left"/>
      <w:lvlText w:val="(%1)"/>
      <w:numFmt w:val="lowerLetter"/>
      <w:start w:val="3"/>
    </w:lvl>
  </w:abstractNum>
  <w:abstractNum w:abstractNumId="79">
    <w:nsid w:val="4A2AC315"/>
    <w:multiLevelType w:val="hybridMultilevel"/>
    <w:lvl w:ilvl="0">
      <w:lvlJc w:val="left"/>
      <w:lvlText w:val="(%1)"/>
      <w:numFmt w:val="lowerLetter"/>
      <w:start w:val="2"/>
    </w:lvl>
    <w:lvl w:ilvl="1">
      <w:lvlJc w:val="left"/>
      <w:lvlText w:val="(%2)"/>
      <w:numFmt w:val="lowerRoman"/>
      <w:start w:val="1"/>
    </w:lvl>
  </w:abstractNum>
  <w:abstractNum w:abstractNumId="80">
    <w:nsid w:val="39EE015C"/>
    <w:multiLevelType w:val="hybridMultilevel"/>
    <w:lvl w:ilvl="0">
      <w:lvlJc w:val="left"/>
      <w:lvlText w:val="(%1)"/>
      <w:numFmt w:val="lowerLetter"/>
      <w:start w:val="4"/>
    </w:lvl>
    <w:lvl w:ilvl="1">
      <w:lvlJc w:val="left"/>
      <w:lvlText w:val="-"/>
      <w:numFmt w:val="bullet"/>
      <w:start w:val="1"/>
    </w:lvl>
  </w:abstractNum>
  <w:abstractNum w:abstractNumId="81">
    <w:nsid w:val="57FC4FBB"/>
    <w:multiLevelType w:val="hybridMultilevel"/>
    <w:lvl w:ilvl="0">
      <w:lvlJc w:val="left"/>
      <w:lvlText w:val="(%1)"/>
      <w:numFmt w:val="lowerRoman"/>
      <w:start w:val="1"/>
    </w:lvl>
  </w:abstractNum>
  <w:abstractNum w:abstractNumId="82">
    <w:nsid w:val="CC1016F"/>
    <w:multiLevelType w:val="hybridMultilevel"/>
    <w:lvl w:ilvl="0">
      <w:lvlJc w:val="left"/>
      <w:lvlText w:val="%1"/>
      <w:numFmt w:val="lowerLetter"/>
      <w:start w:val="1"/>
    </w:lvl>
    <w:lvl w:ilvl="1">
      <w:lvlJc w:val="left"/>
      <w:lvlText w:val="(%2)"/>
      <w:numFmt w:val="lowerLetter"/>
      <w:start w:val="1"/>
    </w:lvl>
  </w:abstractNum>
  <w:abstractNum w:abstractNumId="83">
    <w:nsid w:val="43F18422"/>
    <w:multiLevelType w:val="hybridMultilevel"/>
    <w:lvl w:ilvl="0">
      <w:lvlJc w:val="left"/>
      <w:lvlText w:val="(%1)"/>
      <w:numFmt w:val="lowerLetter"/>
      <w:start w:val="35"/>
    </w:lvl>
    <w:lvl w:ilvl="1">
      <w:lvlJc w:val="left"/>
      <w:lvlText w:val="(%2)"/>
      <w:numFmt w:val="lowerLetter"/>
      <w:start w:val="3"/>
    </w:lvl>
  </w:abstractNum>
  <w:abstractNum w:abstractNumId="84">
    <w:nsid w:val="60EF0119"/>
    <w:multiLevelType w:val="hybridMultilevel"/>
    <w:lvl w:ilvl="0">
      <w:lvlJc w:val="left"/>
      <w:lvlText w:val="(%1)"/>
      <w:numFmt w:val="lowerRoman"/>
      <w:start w:val="1"/>
    </w:lvl>
  </w:abstractNum>
  <w:abstractNum w:abstractNumId="85">
    <w:nsid w:val="26F324BA"/>
    <w:multiLevelType w:val="hybridMultilevel"/>
    <w:lvl w:ilvl="0">
      <w:lvlJc w:val="left"/>
      <w:lvlText w:val="(%1)"/>
      <w:numFmt w:val="lowerLetter"/>
      <w:start w:val="2"/>
    </w:lvl>
  </w:abstractNum>
  <w:abstractNum w:abstractNumId="86">
    <w:nsid w:val="7F01579B"/>
    <w:multiLevelType w:val="hybridMultilevel"/>
    <w:lvl w:ilvl="0">
      <w:lvlJc w:val="left"/>
      <w:lvlText w:val="(%1)"/>
      <w:numFmt w:val="lowerLetter"/>
      <w:start w:val="1"/>
    </w:lvl>
  </w:abstractNum>
  <w:abstractNum w:abstractNumId="87">
    <w:nsid w:val="49DA307D"/>
    <w:multiLevelType w:val="hybridMultilevel"/>
    <w:lvl w:ilvl="0">
      <w:lvlJc w:val="left"/>
      <w:lvlText w:val="(%1)"/>
      <w:numFmt w:val="lowerLetter"/>
      <w:start w:val="1"/>
    </w:lvl>
  </w:abstractNum>
  <w:abstractNum w:abstractNumId="88">
    <w:nsid w:val="7055A5F5"/>
    <w:multiLevelType w:val="hybridMultilevel"/>
    <w:lvl w:ilvl="0">
      <w:lvlJc w:val="left"/>
      <w:lvlText w:val="-"/>
      <w:numFmt w:val="bullet"/>
      <w:start w:val="1"/>
    </w:lvl>
  </w:abstractNum>
  <w:abstractNum w:abstractNumId="89">
    <w:nsid w:val="5FB8370B"/>
    <w:multiLevelType w:val="hybridMultilevel"/>
    <w:lvl w:ilvl="0">
      <w:lvlJc w:val="left"/>
      <w:lvlText w:val="-"/>
      <w:numFmt w:val="bullet"/>
      <w:start w:val="1"/>
    </w:lvl>
  </w:abstractNum>
  <w:abstractNum w:abstractNumId="90">
    <w:nsid w:val="50801EE1"/>
    <w:multiLevelType w:val="hybridMultilevel"/>
    <w:lvl w:ilvl="0">
      <w:lvlJc w:val="left"/>
      <w:lvlText w:val="-"/>
      <w:numFmt w:val="bullet"/>
      <w:start w:val="1"/>
    </w:lvl>
  </w:abstractNum>
  <w:abstractNum w:abstractNumId="91">
    <w:nsid w:val="488AC1A"/>
    <w:multiLevelType w:val="hybridMultilevel"/>
    <w:lvl w:ilvl="0">
      <w:lvlJc w:val="left"/>
      <w:lvlText w:val="(%1)"/>
      <w:numFmt w:val="lowerRoman"/>
      <w:start w:val="1"/>
    </w:lvl>
  </w:abstractNum>
  <w:abstractNum w:abstractNumId="92">
    <w:nsid w:val="5FB8011C"/>
    <w:multiLevelType w:val="hybridMultilevel"/>
    <w:lvl w:ilvl="0">
      <w:lvlJc w:val="left"/>
      <w:lvlText w:val="%1."/>
      <w:numFmt w:val="decimal"/>
      <w:start w:val="1"/>
    </w:lvl>
    <w:lvl w:ilvl="1">
      <w:lvlJc w:val="left"/>
      <w:lvlText w:val="-"/>
      <w:numFmt w:val="bullet"/>
      <w:start w:val="1"/>
    </w:lvl>
  </w:abstractNum>
  <w:abstractNum w:abstractNumId="93">
    <w:nsid w:val="6AA78F7F"/>
    <w:multiLevelType w:val="hybridMultilevel"/>
    <w:lvl w:ilvl="0">
      <w:lvlJc w:val="left"/>
      <w:lvlText w:val="%1."/>
      <w:numFmt w:val="decimal"/>
      <w:start w:val="5"/>
    </w:lvl>
    <w:lvl w:ilvl="1">
      <w:lvlJc w:val="left"/>
      <w:lvlText w:val="(%2)"/>
      <w:numFmt w:val="lowerRoman"/>
      <w:start w:val="2"/>
    </w:lvl>
  </w:abstractNum>
  <w:abstractNum w:abstractNumId="94">
    <w:nsid w:val="7672BD23"/>
    <w:multiLevelType w:val="hybridMultilevel"/>
    <w:lvl w:ilvl="0">
      <w:lvlJc w:val="left"/>
      <w:lvlText w:val="%1."/>
      <w:numFmt w:val="decimal"/>
      <w:start w:val="9"/>
    </w:lvl>
    <w:lvl w:ilvl="1">
      <w:lvlJc w:val="left"/>
      <w:lvlText w:val="-"/>
      <w:numFmt w:val="bullet"/>
      <w:start w:val="1"/>
    </w:lvl>
  </w:abstractNum>
  <w:abstractNum w:abstractNumId="95">
    <w:nsid w:val="6FC75AF8"/>
    <w:multiLevelType w:val="hybridMultilevel"/>
    <w:lvl w:ilvl="0">
      <w:lvlJc w:val="left"/>
      <w:lvlText w:val="%1."/>
      <w:numFmt w:val="decimal"/>
      <w:start w:val="11"/>
    </w:lvl>
  </w:abstractNum>
  <w:abstractNum w:abstractNumId="96">
    <w:nsid w:val="6A5F7029"/>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97">
    <w:nsid w:val="7D5E18F8"/>
    <w:multiLevelType w:val="hybridMultilevel"/>
    <w:lvl w:ilvl="0">
      <w:lvlJc w:val="left"/>
      <w:lvlText w:val="%1."/>
      <w:numFmt w:val="decimal"/>
      <w:start w:val="6"/>
    </w:lvl>
  </w:abstractNum>
  <w:abstractNum w:abstractNumId="98">
    <w:nsid w:val="5F3534A4"/>
    <w:multiLevelType w:val="hybridMultilevel"/>
    <w:lvl w:ilvl="0">
      <w:lvlJc w:val="left"/>
      <w:lvlText w:val="%1."/>
      <w:numFmt w:val="decimal"/>
      <w:start w:val="1"/>
    </w:lvl>
  </w:abstractNum>
  <w:abstractNum w:abstractNumId="99">
    <w:nsid w:val="73A1821B"/>
    <w:multiLevelType w:val="hybridMultilevel"/>
    <w:lvl w:ilvl="0">
      <w:lvlJc w:val="left"/>
      <w:lvlText w:val="%1."/>
      <w:numFmt w:val="decimal"/>
      <w:start w:val="1"/>
    </w:lvl>
    <w:lvl w:ilvl="1">
      <w:lvlJc w:val="left"/>
      <w:lvlText w:val="%2."/>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2019-12-13T04:16:27Z</dcterms:created>
  <dcterms:modified xsi:type="dcterms:W3CDTF">2019-12-13T04:16:27Z</dcterms:modified>
</cp:coreProperties>
</file>