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6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(Mark One)</w:t>
      </w:r>
    </w:p>
    <w:p>
      <w:pPr>
        <w:spacing w:after="0" w:line="32" w:lineRule="exact"/>
        <w:rPr>
          <w:sz w:val="24"/>
          <w:szCs w:val="24"/>
          <w:color w:val="auto"/>
        </w:rPr>
      </w:pPr>
    </w:p>
    <w:p>
      <w:pPr>
        <w:ind w:left="1660" w:hanging="1020"/>
        <w:spacing w:after="0"/>
        <w:tabs>
          <w:tab w:leader="none" w:pos="1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5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For the year ended </w:t>
      </w:r>
      <w:r>
        <w:rPr>
          <w:rFonts w:ascii="Times New Roman" w:cs="Times New Roman" w:eastAsia="Times New Roman" w:hAnsi="Times New Roman"/>
          <w:sz w:val="16"/>
          <w:szCs w:val="16"/>
          <w:b w:val="1"/>
          <w:bCs w:val="1"/>
          <w:color w:val="auto"/>
        </w:rPr>
        <w:t>December 31, 2024</w:t>
      </w:r>
    </w:p>
    <w:p>
      <w:pPr>
        <w:spacing w:after="0" w:line="75" w:lineRule="exact"/>
        <w:rPr>
          <w:sz w:val="24"/>
          <w:szCs w:val="24"/>
          <w:color w:val="auto"/>
        </w:rPr>
      </w:pPr>
    </w:p>
    <w:p>
      <w:pPr>
        <w:ind w:left="1620" w:right="3820" w:hanging="1014"/>
        <w:spacing w:after="0" w:line="309" w:lineRule="auto"/>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______________ to ______________</w:t>
      </w:r>
    </w:p>
    <w:p>
      <w:pPr>
        <w:spacing w:after="0" w:line="7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1-3548</w:t>
      </w:r>
    </w:p>
    <w:p>
      <w:pPr>
        <w:spacing w:after="0" w:line="7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ALLETE,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963" w:right="339" w:bottom="1440" w:gutter="0" w:footer="0" w:header="0"/>
        </w:sectPr>
      </w:pPr>
    </w:p>
    <w:p>
      <w:pPr>
        <w:spacing w:after="0" w:line="44"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41-0418150</w:t>
      </w:r>
    </w:p>
    <w:p>
      <w:pPr>
        <w:spacing w:after="0" w:line="34" w:lineRule="exact"/>
        <w:rPr>
          <w:sz w:val="24"/>
          <w:szCs w:val="24"/>
          <w:color w:val="auto"/>
        </w:rPr>
      </w:pPr>
    </w:p>
    <w:p>
      <w:pPr>
        <w:sectPr>
          <w:pgSz w:w="11900" w:h="16838" w:orient="portrait"/>
          <w:cols w:equalWidth="0" w:num="2">
            <w:col w:w="7780" w:space="720"/>
            <w:col w:w="2740"/>
          </w:cols>
          <w:pgMar w:left="320" w:top="963"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65" w:lineRule="exact"/>
        <w:rPr>
          <w:sz w:val="24"/>
          <w:szCs w:val="24"/>
          <w:color w:val="auto"/>
        </w:rPr>
      </w:pPr>
    </w:p>
    <w:p>
      <w:pPr>
        <w:sectPr>
          <w:pgSz w:w="11900" w:h="16838" w:orient="portrait"/>
          <w:cols w:equalWidth="0" w:num="2">
            <w:col w:w="6980" w:space="720"/>
            <w:col w:w="3540"/>
          </w:cols>
          <w:pgMar w:left="320" w:top="963" w:right="339" w:bottom="1440" w:gutter="0" w:footer="0" w:header="0"/>
          <w:type w:val="continuous"/>
        </w:sectPr>
      </w:pPr>
    </w:p>
    <w:p>
      <w:pPr>
        <w:ind w:left="3700"/>
        <w:spacing w:after="0"/>
        <w:rPr>
          <w:sz w:val="20"/>
          <w:szCs w:val="20"/>
          <w:color w:val="auto"/>
        </w:rPr>
      </w:pPr>
      <w:r>
        <w:rPr>
          <w:rFonts w:ascii="Times New Roman" w:cs="Times New Roman" w:eastAsia="Times New Roman" w:hAnsi="Times New Roman"/>
          <w:sz w:val="16"/>
          <w:szCs w:val="16"/>
          <w:b w:val="1"/>
          <w:bCs w:val="1"/>
          <w:color w:val="auto"/>
        </w:rPr>
        <w:t>30 West Superior Street, Duluth, Minnesota 55802-2093</w:t>
      </w:r>
    </w:p>
    <w:p>
      <w:pPr>
        <w:spacing w:after="0" w:line="6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(218) 279-5000</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963" w:right="339" w:bottom="1440" w:gutter="0" w:footer="0" w:header="0"/>
          <w:type w:val="continuous"/>
        </w:sectPr>
      </w:pPr>
    </w:p>
    <w:p>
      <w:pPr>
        <w:spacing w:after="0" w:line="46"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30" w:lineRule="exact"/>
        <w:rPr>
          <w:sz w:val="24"/>
          <w:szCs w:val="24"/>
          <w:color w:val="auto"/>
        </w:rPr>
      </w:pPr>
    </w:p>
    <w:p>
      <w:pPr>
        <w:sectPr>
          <w:pgSz w:w="11900" w:h="16838" w:orient="portrait"/>
          <w:cols w:equalWidth="0" w:num="3">
            <w:col w:w="4420" w:space="720"/>
            <w:col w:w="1580" w:space="720"/>
            <w:col w:w="3800"/>
          </w:cols>
          <w:pgMar w:left="320" w:top="963" w:right="3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ALE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New York Stock Exchange</w:t>
      </w:r>
    </w:p>
    <w:p>
      <w:pPr>
        <w:spacing w:after="0" w:line="167" w:lineRule="exact"/>
        <w:rPr>
          <w:sz w:val="24"/>
          <w:szCs w:val="24"/>
          <w:color w:val="auto"/>
        </w:rPr>
      </w:pPr>
    </w:p>
    <w:p>
      <w:pPr>
        <w:sectPr>
          <w:pgSz w:w="11900" w:h="16838" w:orient="portrait"/>
          <w:cols w:equalWidth="0" w:num="3">
            <w:col w:w="4780" w:space="720"/>
            <w:col w:w="1740" w:space="720"/>
            <w:col w:w="3280"/>
          </w:cols>
          <w:pgMar w:left="320" w:top="963" w:right="339" w:bottom="1440" w:gutter="0" w:footer="0" w:header="0"/>
          <w:type w:val="continuous"/>
        </w:sectPr>
      </w:pPr>
    </w:p>
    <w:p>
      <w:pPr>
        <w:spacing w:after="0" w:line="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7" w:lineRule="exact"/>
        <w:rPr>
          <w:sz w:val="24"/>
          <w:szCs w:val="24"/>
          <w:color w:val="auto"/>
        </w:rPr>
      </w:pPr>
    </w:p>
    <w:p>
      <w:pPr>
        <w:sectPr>
          <w:pgSz w:w="11900" w:h="16838" w:orient="portrait"/>
          <w:cols w:equalWidth="0" w:num="2">
            <w:col w:w="7220" w:space="200"/>
            <w:col w:w="3820"/>
          </w:cols>
          <w:pgMar w:left="320" w:top="963" w:right="339" w:bottom="1440" w:gutter="0" w:footer="0" w:header="0"/>
          <w:type w:val="continuous"/>
        </w:sectPr>
      </w:pPr>
    </w:p>
    <w:p>
      <w:pPr>
        <w:spacing w:after="0" w:line="22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20"/>
        <w:spacing w:after="0" w:line="15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40" w:lineRule="exact"/>
        <w:rPr>
          <w:sz w:val="24"/>
          <w:szCs w:val="24"/>
          <w:color w:val="auto"/>
        </w:rPr>
      </w:pPr>
    </w:p>
    <w:p>
      <w:pPr>
        <w:sectPr>
          <w:pgSz w:w="11900" w:h="16838" w:orient="portrait"/>
          <w:cols w:equalWidth="0" w:num="2">
            <w:col w:w="8240" w:space="180"/>
            <w:col w:w="2820"/>
          </w:cols>
          <w:pgMar w:left="320" w:top="963" w:right="339" w:bottom="1440" w:gutter="0" w:footer="0" w:header="0"/>
          <w:type w:val="continuous"/>
        </w:sectPr>
      </w:pPr>
    </w:p>
    <w:p>
      <w:pPr>
        <w:jc w:val="both"/>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63" w:right="339" w:bottom="1440" w:gutter="0" w:footer="0" w:header="0"/>
          <w:type w:val="continuous"/>
        </w:sectPr>
      </w:pPr>
    </w:p>
    <w:p>
      <w:pPr>
        <w:spacing w:after="0" w:line="1" w:lineRule="exact"/>
        <w:rPr>
          <w:sz w:val="24"/>
          <w:szCs w:val="24"/>
          <w:color w:val="auto"/>
        </w:rPr>
      </w:pPr>
    </w:p>
    <w:p>
      <w:pPr>
        <w:ind w:left="360"/>
        <w:spacing w:after="0" w:line="184" w:lineRule="exact"/>
        <w:tabs>
          <w:tab w:leader="none" w:pos="2040" w:val="left"/>
          <w:tab w:leader="none" w:pos="2900" w:val="left"/>
          <w:tab w:leader="none" w:pos="41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73" w:lineRule="exact"/>
        <w:rPr>
          <w:sz w:val="24"/>
          <w:szCs w:val="24"/>
          <w:color w:val="auto"/>
        </w:rPr>
      </w:pPr>
    </w:p>
    <w:p>
      <w:pPr>
        <w:ind w:left="380"/>
        <w:spacing w:after="0" w:line="184" w:lineRule="exact"/>
        <w:tabs>
          <w:tab w:leader="none" w:pos="1960" w:val="left"/>
          <w:tab w:leader="none" w:pos="264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ectPr>
          <w:pgSz w:w="11900" w:h="16838" w:orient="portrait"/>
          <w:cols w:equalWidth="0" w:num="2">
            <w:col w:w="4520" w:space="160"/>
            <w:col w:w="6560"/>
          </w:cols>
          <w:pgMar w:left="320" w:top="963" w:right="339" w:bottom="1440" w:gutter="0" w:footer="0" w:header="0"/>
          <w:type w:val="continuous"/>
        </w:sectPr>
      </w:pPr>
    </w:p>
    <w:p>
      <w:pPr>
        <w:ind w:left="1180"/>
        <w:spacing w:after="0" w:line="184" w:lineRule="exact"/>
        <w:tabs>
          <w:tab w:leader="none" w:pos="316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 w:lineRule="exact"/>
        <w:rPr>
          <w:sz w:val="24"/>
          <w:szCs w:val="24"/>
          <w:color w:val="auto"/>
        </w:rPr>
      </w:pPr>
    </w:p>
    <w:p>
      <w:pPr>
        <w:ind w:right="20"/>
        <w:spacing w:after="0" w:line="204"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0" w:lineRule="exact"/>
        <w:rPr>
          <w:sz w:val="24"/>
          <w:szCs w:val="24"/>
          <w:color w:val="auto"/>
        </w:rPr>
      </w:pPr>
    </w:p>
    <w:p>
      <w:pPr>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right="2660"/>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aggregate market value of voting stock held by nonaffiliates on June 28, 2024, was $3,591,830,978.</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1, 2025, there were 57,901,153 shares of ALLETE Common Stock, without par value, outstanding.</w:t>
      </w:r>
    </w:p>
    <w:p>
      <w:pPr>
        <w:spacing w:after="0" w:line="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Proxy Statement for the 2025 Annual Meeting of Shareholders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4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Definitions</w:t>
            </w:r>
          </w:p>
        </w:tc>
        <w:tc>
          <w:tcPr>
            <w:tcW w:w="102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980" w:type="dxa"/>
            <w:vAlign w:val="bottom"/>
            <w:gridSpan w:val="4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Forward-Looking Statements</w:t>
            </w:r>
          </w:p>
        </w:tc>
        <w:tc>
          <w:tcPr>
            <w:tcW w:w="102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980" w:type="dxa"/>
            <w:vAlign w:val="bottom"/>
            <w:gridSpan w:val="4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Part I</w:t>
            </w:r>
          </w:p>
        </w:tc>
        <w:tc>
          <w:tcPr>
            <w:tcW w:w="102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860" w:type="dxa"/>
            <w:vAlign w:val="bottom"/>
            <w:tcBorders>
              <w:top w:val="single" w:sz="8" w:color="CCEEFF"/>
            </w:tcBorders>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1. Business</w:t>
            </w: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Regulated Operations</w:t>
            </w:r>
          </w:p>
        </w:tc>
        <w:tc>
          <w:tcPr>
            <w:tcW w:w="6300" w:type="dxa"/>
            <w:vAlign w:val="bottom"/>
            <w:gridSpan w:val="27"/>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Electric Sales / Customers</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Seasonality</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Power Supply</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Transmission and Distribution</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Investment in ATC</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Regulatory Matters</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Regional Organizations</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Minnesota Legislation</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Competition</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Franchises</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ALLETE Clean Energy</w:t>
            </w:r>
          </w:p>
        </w:tc>
        <w:tc>
          <w:tcPr>
            <w:tcW w:w="6160" w:type="dxa"/>
            <w:vAlign w:val="bottom"/>
            <w:gridSpan w:val="2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Corporate and Other</w:t>
            </w:r>
          </w:p>
        </w:tc>
        <w:tc>
          <w:tcPr>
            <w:tcW w:w="6160" w:type="dxa"/>
            <w:vAlign w:val="bottom"/>
            <w:gridSpan w:val="22"/>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New Energy</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Investment in Nobles 2</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South Shore Energy</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BNI Energy</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ALLETE Properties</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Non-Rate Base Generation and Miscellaneous</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Environmental Matters</w:t>
            </w:r>
          </w:p>
        </w:tc>
        <w:tc>
          <w:tcPr>
            <w:tcW w:w="6200" w:type="dxa"/>
            <w:vAlign w:val="bottom"/>
            <w:gridSpan w:val="24"/>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Human Capital Management</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Availability of Information</w:t>
            </w:r>
          </w:p>
        </w:tc>
        <w:tc>
          <w:tcPr>
            <w:tcW w:w="5920" w:type="dxa"/>
            <w:vAlign w:val="bottom"/>
            <w:gridSpan w:val="16"/>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1C. Cybersecurity</w:t>
            </w:r>
          </w:p>
        </w:tc>
        <w:tc>
          <w:tcPr>
            <w:tcW w:w="6180" w:type="dxa"/>
            <w:vAlign w:val="bottom"/>
            <w:gridSpan w:val="23"/>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6180" w:type="dxa"/>
            <w:vAlign w:val="bottom"/>
            <w:gridSpan w:val="23"/>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Legal Proceedings</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980" w:type="dxa"/>
            <w:vAlign w:val="bottom"/>
            <w:gridSpan w:val="4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Part II</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w:t>
            </w:r>
          </w:p>
        </w:tc>
        <w:tc>
          <w:tcPr>
            <w:tcW w:w="840" w:type="dxa"/>
            <w:vAlign w:val="bottom"/>
            <w:vMerge w:val="restart"/>
          </w:tcPr>
          <w:p>
            <w:pPr>
              <w:spacing w:after="0"/>
              <w:rPr>
                <w:sz w:val="16"/>
                <w:szCs w:val="16"/>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660" w:type="dxa"/>
            <w:vAlign w:val="bottom"/>
            <w:tcBorders>
              <w:top w:val="single" w:sz="8" w:color="0000FF"/>
            </w:tcBorders>
            <w:gridSpan w:val="39"/>
          </w:tcPr>
          <w:p>
            <w:pPr>
              <w:spacing w:after="0" w:line="142" w:lineRule="exact"/>
              <w:rPr>
                <w:sz w:val="20"/>
                <w:szCs w:val="20"/>
                <w:color w:val="auto"/>
              </w:rPr>
            </w:pPr>
            <w:r>
              <w:rPr>
                <w:rFonts w:ascii="Times New Roman" w:cs="Times New Roman" w:eastAsia="Times New Roman" w:hAnsi="Times New Roman"/>
                <w:sz w:val="16"/>
                <w:szCs w:val="16"/>
                <w:color w:val="0000FF"/>
              </w:rPr>
              <w:t>Issuer Purchases of Equity Securities</w:t>
            </w: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gridSpan w:val="1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8"/>
              </w:rPr>
              <w:t>Item 6. [Reserved]</w:t>
            </w:r>
          </w:p>
        </w:tc>
        <w:tc>
          <w:tcPr>
            <w:tcW w:w="6520" w:type="dxa"/>
            <w:vAlign w:val="bottom"/>
            <w:gridSpan w:val="29"/>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Overview</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2024 Compared to 2023</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Critical Accounting Policies</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Outlook</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Capital Requirements</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Environmental and Other Matters</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ind w:left="200"/>
              <w:spacing w:after="0" w:line="189" w:lineRule="exact"/>
              <w:rPr>
                <w:sz w:val="20"/>
                <w:szCs w:val="20"/>
                <w:color w:val="auto"/>
              </w:rPr>
            </w:pPr>
            <w:r>
              <w:rPr>
                <w:rFonts w:ascii="Times New Roman" w:cs="Times New Roman" w:eastAsia="Times New Roman" w:hAnsi="Times New Roman"/>
                <w:sz w:val="18"/>
                <w:szCs w:val="18"/>
                <w:color w:val="0000FF"/>
              </w:rPr>
              <w:t>Market Risk</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Recently Adopted Accounting Standards</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2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22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4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4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Index (Continued)</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2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9B. Other Information</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100" w:type="dxa"/>
            <w:vAlign w:val="bottom"/>
            <w:gridSpan w:val="3"/>
          </w:tcPr>
          <w:p>
            <w:pPr>
              <w:ind w:left="840"/>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980" w:type="dxa"/>
            <w:vAlign w:val="bottom"/>
            <w:gridSpan w:val="4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Part III</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840" w:type="dxa"/>
            <w:vAlign w:val="bottom"/>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11. Executive Compensation</w:t>
            </w:r>
          </w:p>
        </w:tc>
        <w:tc>
          <w:tcPr>
            <w:tcW w:w="5420" w:type="dxa"/>
            <w:vAlign w:val="bottom"/>
            <w:gridSpan w:val="2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w:t>
            </w:r>
          </w:p>
        </w:tc>
        <w:tc>
          <w:tcPr>
            <w:tcW w:w="840" w:type="dxa"/>
            <w:vAlign w:val="bottom"/>
            <w:vMerge w:val="restart"/>
          </w:tcPr>
          <w:p>
            <w:pPr>
              <w:spacing w:after="0"/>
              <w:rPr>
                <w:sz w:val="16"/>
                <w:szCs w:val="16"/>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Related Stockholder Matters</w:t>
            </w:r>
          </w:p>
        </w:tc>
        <w:tc>
          <w:tcPr>
            <w:tcW w:w="3520" w:type="dxa"/>
            <w:vAlign w:val="bottom"/>
            <w:tcBorders>
              <w:top w:val="single" w:sz="8" w:color="0000FF"/>
            </w:tcBorders>
            <w:gridSpan w:val="22"/>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2"/>
          </w:tcPr>
          <w:p>
            <w:pPr>
              <w:spacing w:after="0"/>
              <w:rPr>
                <w:sz w:val="13"/>
                <w:szCs w:val="13"/>
                <w:color w:val="auto"/>
              </w:rPr>
            </w:pPr>
          </w:p>
        </w:tc>
        <w:tc>
          <w:tcPr>
            <w:tcW w:w="8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60" w:type="dxa"/>
            <w:vAlign w:val="bottom"/>
            <w:gridSpan w:val="36"/>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100" w:type="dxa"/>
            <w:vAlign w:val="bottom"/>
            <w:gridSpan w:val="3"/>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0000FF"/>
              </w:rPr>
              <w:t>66</w:t>
            </w: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178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980" w:type="dxa"/>
            <w:vAlign w:val="bottom"/>
            <w:gridSpan w:val="4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Part IV</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67</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840" w:type="dxa"/>
            <w:vAlign w:val="bottom"/>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16. Form 10-K Summary</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980" w:type="dxa"/>
            <w:vAlign w:val="bottom"/>
            <w:gridSpan w:val="4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72</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4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80" w:type="dxa"/>
            <w:vAlign w:val="bottom"/>
            <w:gridSpan w:val="4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Consolidated Financial Statements - Audited</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w:t>
            </w:r>
          </w:p>
        </w:tc>
        <w:tc>
          <w:tcPr>
            <w:tcW w:w="5740" w:type="dxa"/>
            <w:vAlign w:val="bottom"/>
            <w:gridSpan w:val="29"/>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Income</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Comprehensive Income</w:t>
            </w:r>
          </w:p>
        </w:tc>
        <w:tc>
          <w:tcPr>
            <w:tcW w:w="1100" w:type="dxa"/>
            <w:vAlign w:val="bottom"/>
            <w:gridSpan w:val="3"/>
          </w:tcPr>
          <w:p>
            <w:pPr>
              <w:ind w:left="840"/>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Cash Flows</w:t>
            </w:r>
          </w:p>
        </w:tc>
        <w:tc>
          <w:tcPr>
            <w:tcW w:w="5060" w:type="dxa"/>
            <w:vAlign w:val="bottom"/>
            <w:gridSpan w:val="20"/>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Equity</w:t>
            </w:r>
          </w:p>
        </w:tc>
        <w:tc>
          <w:tcPr>
            <w:tcW w:w="5060" w:type="dxa"/>
            <w:vAlign w:val="bottom"/>
            <w:gridSpan w:val="20"/>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 Operations and Significant Accounting Policies</w:t>
            </w:r>
          </w:p>
        </w:tc>
        <w:tc>
          <w:tcPr>
            <w:tcW w:w="1100" w:type="dxa"/>
            <w:vAlign w:val="bottom"/>
            <w:gridSpan w:val="3"/>
          </w:tcPr>
          <w:p>
            <w:pPr>
              <w:ind w:left="840"/>
              <w:spacing w:after="0" w:line="189"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2. Property, Plant and Equipment</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3. Jointly-Owned Facilities and Assets</w:t>
            </w:r>
          </w:p>
        </w:tc>
        <w:tc>
          <w:tcPr>
            <w:tcW w:w="1100" w:type="dxa"/>
            <w:vAlign w:val="bottom"/>
            <w:gridSpan w:val="3"/>
          </w:tcPr>
          <w:p>
            <w:pPr>
              <w:ind w:left="840"/>
              <w:spacing w:after="0" w:line="189" w:lineRule="exact"/>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4. Regulatory Matters</w:t>
            </w:r>
          </w:p>
        </w:tc>
        <w:tc>
          <w:tcPr>
            <w:tcW w:w="1100" w:type="dxa"/>
            <w:vAlign w:val="bottom"/>
            <w:gridSpan w:val="3"/>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5. Acquisitions</w:t>
            </w:r>
          </w:p>
        </w:tc>
        <w:tc>
          <w:tcPr>
            <w:tcW w:w="2220" w:type="dxa"/>
            <w:vAlign w:val="bottom"/>
            <w:gridSpan w:val="5"/>
          </w:tcPr>
          <w:p>
            <w:pPr>
              <w:ind w:left="84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6. Equity Investments</w:t>
            </w:r>
          </w:p>
        </w:tc>
        <w:tc>
          <w:tcPr>
            <w:tcW w:w="2220" w:type="dxa"/>
            <w:vAlign w:val="bottom"/>
            <w:gridSpan w:val="5"/>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7. Fair Value</w:t>
            </w:r>
          </w:p>
        </w:tc>
        <w:tc>
          <w:tcPr>
            <w:tcW w:w="2220" w:type="dxa"/>
            <w:vAlign w:val="bottom"/>
            <w:gridSpan w:val="5"/>
          </w:tcPr>
          <w:p>
            <w:pPr>
              <w:ind w:left="840"/>
              <w:spacing w:after="0" w:line="189" w:lineRule="exact"/>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8. Short-Term and Long-Term Debt</w:t>
            </w:r>
          </w:p>
        </w:tc>
        <w:tc>
          <w:tcPr>
            <w:tcW w:w="2220" w:type="dxa"/>
            <w:vAlign w:val="bottom"/>
            <w:gridSpan w:val="5"/>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9. Commitments, Guarantees and Contingencies</w:t>
            </w:r>
          </w:p>
        </w:tc>
        <w:tc>
          <w:tcPr>
            <w:tcW w:w="2220" w:type="dxa"/>
            <w:vAlign w:val="bottom"/>
            <w:gridSpan w:val="5"/>
          </w:tcPr>
          <w:p>
            <w:pPr>
              <w:ind w:left="840"/>
              <w:spacing w:after="0" w:line="189" w:lineRule="exact"/>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10. Common Stock and Earnings Per Share</w:t>
            </w:r>
          </w:p>
        </w:tc>
        <w:tc>
          <w:tcPr>
            <w:tcW w:w="1120" w:type="dxa"/>
            <w:vAlign w:val="bottom"/>
            <w:gridSpan w:val="4"/>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w w:val="96"/>
              </w:rPr>
              <w:t>118</w:t>
            </w: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11. Income Tax Expense</w:t>
            </w:r>
          </w:p>
        </w:tc>
        <w:tc>
          <w:tcPr>
            <w:tcW w:w="1120" w:type="dxa"/>
            <w:vAlign w:val="bottom"/>
            <w:gridSpan w:val="4"/>
          </w:tcPr>
          <w:p>
            <w:pPr>
              <w:ind w:left="840"/>
              <w:spacing w:after="0" w:line="189" w:lineRule="exact"/>
              <w:rPr>
                <w:sz w:val="20"/>
                <w:szCs w:val="20"/>
                <w:color w:val="auto"/>
              </w:rPr>
            </w:pPr>
            <w:r>
              <w:rPr>
                <w:rFonts w:ascii="Times New Roman" w:cs="Times New Roman" w:eastAsia="Times New Roman" w:hAnsi="Times New Roman"/>
                <w:sz w:val="18"/>
                <w:szCs w:val="18"/>
                <w:color w:val="0000FF"/>
                <w:w w:val="96"/>
              </w:rPr>
              <w:t>119</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12. Pension and Other Postretirement Benefit Plans</w:t>
            </w:r>
          </w:p>
        </w:tc>
        <w:tc>
          <w:tcPr>
            <w:tcW w:w="2220" w:type="dxa"/>
            <w:vAlign w:val="bottom"/>
            <w:gridSpan w:val="5"/>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121</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13. Employee Stock and Incentive Plans</w:t>
            </w:r>
          </w:p>
        </w:tc>
        <w:tc>
          <w:tcPr>
            <w:tcW w:w="2220" w:type="dxa"/>
            <w:vAlign w:val="bottom"/>
            <w:gridSpan w:val="5"/>
          </w:tcPr>
          <w:p>
            <w:pPr>
              <w:ind w:left="840"/>
              <w:spacing w:after="0" w:line="189" w:lineRule="exact"/>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60" w:type="dxa"/>
            <w:vAlign w:val="bottom"/>
            <w:gridSpan w:val="36"/>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14. Business Segments</w:t>
            </w:r>
          </w:p>
        </w:tc>
        <w:tc>
          <w:tcPr>
            <w:tcW w:w="2220" w:type="dxa"/>
            <w:vAlign w:val="bottom"/>
            <w:gridSpan w:val="5"/>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131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60" w:type="dxa"/>
            <w:vAlign w:val="bottom"/>
            <w:gridSpan w:val="36"/>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15. Agreement and Plan of Merger</w:t>
            </w:r>
          </w:p>
        </w:tc>
        <w:tc>
          <w:tcPr>
            <w:tcW w:w="2220" w:type="dxa"/>
            <w:vAlign w:val="bottom"/>
            <w:gridSpan w:val="5"/>
          </w:tcPr>
          <w:p>
            <w:pPr>
              <w:ind w:left="840"/>
              <w:spacing w:after="0" w:line="189" w:lineRule="exact"/>
              <w:rPr>
                <w:sz w:val="20"/>
                <w:szCs w:val="20"/>
                <w:color w:val="auto"/>
              </w:rPr>
            </w:pPr>
            <w:r>
              <w:rPr>
                <w:rFonts w:ascii="Times New Roman" w:cs="Times New Roman" w:eastAsia="Times New Roman" w:hAnsi="Times New Roman"/>
                <w:sz w:val="18"/>
                <w:szCs w:val="18"/>
                <w:color w:val="0000FF"/>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60" w:type="dxa"/>
            <w:vAlign w:val="bottom"/>
            <w:gridSpan w:val="36"/>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Note 16. Quarterly Financial Data (Unaudited)</w:t>
            </w:r>
          </w:p>
        </w:tc>
        <w:tc>
          <w:tcPr>
            <w:tcW w:w="2220" w:type="dxa"/>
            <w:vAlign w:val="bottom"/>
            <w:gridSpan w:val="5"/>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0000FF"/>
              </w:rPr>
              <w:t>136</w:t>
            </w:r>
          </w:p>
        </w:tc>
        <w:tc>
          <w:tcPr>
            <w:tcW w:w="0" w:type="dxa"/>
            <w:vAlign w:val="bottom"/>
          </w:tcPr>
          <w:p>
            <w:pPr>
              <w:spacing w:after="0"/>
              <w:rPr>
                <w:sz w:val="1"/>
                <w:szCs w:val="1"/>
                <w:color w:val="auto"/>
              </w:rPr>
            </w:pPr>
          </w:p>
        </w:tc>
      </w:tr>
      <w:tr>
        <w:trPr>
          <w:trHeight w:val="189"/>
        </w:trPr>
        <w:tc>
          <w:tcPr>
            <w:tcW w:w="1320" w:type="dxa"/>
            <w:vAlign w:val="bottom"/>
            <w:tcBorders>
              <w:top w:val="single" w:sz="8" w:color="CCEEFF"/>
            </w:tcBorders>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Schedule II</w:t>
            </w:r>
          </w:p>
        </w:tc>
        <w:tc>
          <w:tcPr>
            <w:tcW w:w="3360" w:type="dxa"/>
            <w:vAlign w:val="bottom"/>
            <w:tcBorders>
              <w:top w:val="single" w:sz="8" w:color="0000FF"/>
            </w:tcBorders>
            <w:gridSpan w:val="23"/>
          </w:tcPr>
          <w:p>
            <w:pPr>
              <w:spacing w:after="0"/>
              <w:rPr>
                <w:sz w:val="16"/>
                <w:szCs w:val="16"/>
                <w:color w:val="auto"/>
              </w:rPr>
            </w:pPr>
          </w:p>
        </w:tc>
        <w:tc>
          <w:tcPr>
            <w:tcW w:w="4300" w:type="dxa"/>
            <w:vAlign w:val="bottom"/>
            <w:tcBorders>
              <w:top w:val="single" w:sz="8" w:color="CCEEFF"/>
            </w:tcBorders>
            <w:gridSpan w:val="12"/>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6"/>
              </w:rPr>
              <w:t>137</w:t>
            </w:r>
          </w:p>
        </w:tc>
        <w:tc>
          <w:tcPr>
            <w:tcW w:w="1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46"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abbreviations or acronyms are used in the text. References in this report to “we,” “us” and “our” are to ALLETE, Inc. and its subsidiaries, collectively.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Abbreviation or Acronym</w:t>
            </w:r>
          </w:p>
        </w:tc>
        <w:tc>
          <w:tcPr>
            <w:tcW w:w="1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76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AFUDC</w:t>
            </w:r>
          </w:p>
        </w:tc>
        <w:tc>
          <w:tcPr>
            <w:tcW w:w="8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Allowance for Funds Used During Construction - the cost of both debt and equity funds used to finance utility</w:t>
            </w:r>
          </w:p>
        </w:tc>
        <w:tc>
          <w:tcPr>
            <w:tcW w:w="4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plant additions during construction periods</w:t>
            </w:r>
          </w:p>
        </w:tc>
      </w:tr>
      <w:tr>
        <w:trPr>
          <w:trHeight w:val="238"/>
        </w:trPr>
        <w:tc>
          <w:tcPr>
            <w:tcW w:w="2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Inc.</w:t>
            </w:r>
          </w:p>
        </w:tc>
        <w:tc>
          <w:tcPr>
            <w:tcW w:w="4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Clean Energy</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Clean Energy, Inc. and its subsidiaries</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Properties, LLC and its subsidiaries</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South Wind</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South Wind, LLC</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Transmission Holdings</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Transmission Holdings, Inc.</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ArcelorMittal</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ArcelorMittal USA LLC</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Alloy Merger Sub</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Alloy Merger Sub LLC, a Delaware limited liability company and wholly owned subsidiary of Alloy Parent.</w:t>
            </w:r>
          </w:p>
        </w:tc>
        <w:tc>
          <w:tcPr>
            <w:tcW w:w="4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Alloy Parent</w:t>
            </w:r>
          </w:p>
        </w:tc>
        <w:tc>
          <w:tcPr>
            <w:tcW w:w="8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Alloy Parent LLC, a Delaware limited liability company which, upon closing, will be jointly owned by a</w:t>
            </w:r>
          </w:p>
        </w:tc>
        <w:tc>
          <w:tcPr>
            <w:tcW w:w="4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6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wholly owned subsidiary of Canada Pension Plan Investment Board and affiliates of investment vehicles</w:t>
            </w:r>
          </w:p>
        </w:tc>
      </w:tr>
      <w:tr>
        <w:trPr>
          <w:trHeight w:val="180"/>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6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affiliated with one or more funds, accounts, or other entities managed or advised by Global Infrastructure</w:t>
            </w: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Management, LLC</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ARO</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ASU</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ATC</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Transmission Company LLC</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Basin</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Basin Electric Power Cooperative</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Bison</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Bison Wind Energy Center</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BNI Energy</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BNI Energy, Inc. and its subsidiary</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Boswell</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Boswell Energy Center</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C&amp;I</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Caddo</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Energy’s Caddo Wind Energy Facility</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Camp Ripley</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Camp Ripley Solar Array</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CCR</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Coal Combustion Residuals from Electric Utilities</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Cenovus Energy</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Cenovus Energy Inc.</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Cliffs</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Cleveland-Cliffs Inc.</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Inc. and its subsidiaries</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novel coronavirus</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CSAPR</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Cross-State Air Pollution Rule</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CTO</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Current</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D.C. Circuit</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District of Columbia Circuit Court of Appeals</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Diamond Spring</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Clean Energy’s Diamond Spring Wind Energy Facility</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Commerce</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Conservation and Optimization</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EPA</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ELG</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Effluent Limitation Guidelines</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Ownership Plan</w:t>
            </w:r>
          </w:p>
        </w:tc>
        <w:tc>
          <w:tcPr>
            <w:tcW w:w="4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Executive Officers of ALLETE</w:t>
            </w:r>
          </w:p>
        </w:tc>
        <w:tc>
          <w:tcPr>
            <w:tcW w:w="8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Chair, President and Chief Executive Officer; Vice President and President of ALLETE Clean Energy; Senior</w:t>
            </w:r>
          </w:p>
        </w:tc>
        <w:tc>
          <w:tcPr>
            <w:tcW w:w="4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6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Vice President and Chief Financial Officer; Vice President, Chief Legal Officer and Corporate Secretary; Vice</w:t>
            </w: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Corporate Treasurer; and Vice President and Chief Operating Officer of Minnesota Power</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FASB</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40" w:type="dxa"/>
            <w:vAlign w:val="bottom"/>
          </w:tcPr>
          <w:p>
            <w:pPr>
              <w:spacing w:after="0"/>
              <w:rPr>
                <w:sz w:val="19"/>
                <w:szCs w:val="19"/>
                <w:color w:val="auto"/>
              </w:rPr>
            </w:pPr>
          </w:p>
        </w:tc>
      </w:tr>
      <w:tr>
        <w:trPr>
          <w:trHeight w:val="630"/>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ALLETE, Inc. 2024 Form 10-K</w:t>
            </w: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Abbreviation or Acronym</w:t>
            </w:r>
          </w:p>
        </w:tc>
        <w:tc>
          <w:tcPr>
            <w:tcW w:w="1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76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FGD</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Flue Gas Desulphurization</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FIP</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Implementation Plan</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Current Report on Form 8-K</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Annual Report on Form 10-K</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10-Q</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Quarterly Report on Form 10-Q</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 of America</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GHG</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Greenhouse Gases</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GNTL</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Northern Transmission Line</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Hibbing Taconite</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Hibbing Taconite Co.</w:t>
            </w:r>
          </w:p>
        </w:tc>
        <w:tc>
          <w:tcPr>
            <w:tcW w:w="4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HSR Act</w:t>
            </w:r>
          </w:p>
        </w:tc>
        <w:tc>
          <w:tcPr>
            <w:tcW w:w="8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Hart-Scott-Rodino Antitrust Improvements Act of 1976, as amended, and the rules and regulations</w:t>
            </w:r>
          </w:p>
        </w:tc>
        <w:tc>
          <w:tcPr>
            <w:tcW w:w="4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promulgated thereunder</w:t>
            </w:r>
          </w:p>
        </w:tc>
      </w:tr>
      <w:tr>
        <w:trPr>
          <w:trHeight w:val="238"/>
        </w:trPr>
        <w:tc>
          <w:tcPr>
            <w:tcW w:w="2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HLBV</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Hypothetical Liquidation at Book Value</w:t>
            </w:r>
          </w:p>
        </w:tc>
        <w:tc>
          <w:tcPr>
            <w:tcW w:w="4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Husky Energy</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Husky Energy Inc.</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HVDC</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High-Voltage Direct-Current</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IBEW</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Brotherhood of Electrical Workers</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 Direct</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ALLETE’s Direct Stock Purchase and Dividend Reinvestment Plan</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IRP</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Integrated Resource Plan</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___</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___ of this Form 10-K</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kV</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Kilovolt(s)</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kW / kWh</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Kilowatt(s) / Kilowatt-hour(s)</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Lampert Capital Markets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Lampert Capital Markets, Inc.</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Laskin</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Laskin Energy Center</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Liability Company</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MACT</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Achievable Control Technology</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Mercury and Air Toxics Standards</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Manitoba Hydro</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Manitoba Hydro-Electric Board</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MBtu</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 British thermal units</w:t>
            </w:r>
          </w:p>
        </w:tc>
        <w:tc>
          <w:tcPr>
            <w:tcW w:w="4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Merger</w:t>
            </w:r>
          </w:p>
        </w:tc>
        <w:tc>
          <w:tcPr>
            <w:tcW w:w="8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Pursuant to the Merger Agreement, on the terms and subject to the conditions set forth therein, Alloy Merger</w:t>
            </w:r>
          </w:p>
        </w:tc>
        <w:tc>
          <w:tcPr>
            <w:tcW w:w="40" w:type="dxa"/>
            <w:vAlign w:val="bottom"/>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Sub will merge with and into ALLETE (the “Merger”), with ALLETE continuing as the surviving corporation</w:t>
            </w:r>
          </w:p>
        </w:tc>
        <w:tc>
          <w:tcPr>
            <w:tcW w:w="40" w:type="dxa"/>
            <w:vAlign w:val="bottom"/>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the Merger and becoming a subsidiary of Alloy Parent</w:t>
            </w:r>
          </w:p>
        </w:tc>
        <w:tc>
          <w:tcPr>
            <w:tcW w:w="4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Merger Agreement</w:t>
            </w:r>
          </w:p>
        </w:tc>
        <w:tc>
          <w:tcPr>
            <w:tcW w:w="8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as of May 5, 2024, by and among ALLETE, Alloy Parent, and Alloy</w:t>
            </w:r>
          </w:p>
        </w:tc>
        <w:tc>
          <w:tcPr>
            <w:tcW w:w="4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Merger Sub</w:t>
            </w:r>
          </w:p>
        </w:tc>
      </w:tr>
      <w:tr>
        <w:trPr>
          <w:trHeight w:val="238"/>
        </w:trPr>
        <w:tc>
          <w:tcPr>
            <w:tcW w:w="2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Power</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 operating division of ALLETE, Inc.</w:t>
            </w:r>
          </w:p>
        </w:tc>
        <w:tc>
          <w:tcPr>
            <w:tcW w:w="4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Minnkota Power</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Minnkota Power Cooperative, Inc.</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MISO</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Midcontinent Independent System Operator, Inc.</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MPCA</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Pollution Control Agency</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MPUC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 Public Utilities Commission</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MRO</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Midwest Reliability Organization</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 / MWh</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Megawatt(s) / Megawatt-hour(s)</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NAAQS</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Ambient Air Quality Standards</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NDPSC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Dakota Public Service Commission</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NERC</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American Electric Reliability Corporation</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Energy</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Energy Equity LLC</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Nippon Steel</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Nippon Steel Corporation</w:t>
            </w:r>
          </w:p>
        </w:tc>
        <w:tc>
          <w:tcPr>
            <w:tcW w:w="40" w:type="dxa"/>
            <w:vAlign w:val="bottom"/>
          </w:tcPr>
          <w:p>
            <w:pPr>
              <w:spacing w:after="0"/>
              <w:rPr>
                <w:sz w:val="19"/>
                <w:szCs w:val="19"/>
                <w:color w:val="auto"/>
              </w:rPr>
            </w:pPr>
          </w:p>
        </w:tc>
      </w:tr>
      <w:tr>
        <w:trPr>
          <w:trHeight w:val="630"/>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ALLETE, Inc. 2024 Form 10-K</w:t>
            </w: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Abbreviation or Acronym</w:t>
            </w:r>
          </w:p>
        </w:tc>
        <w:tc>
          <w:tcPr>
            <w:tcW w:w="1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7600" w:type="dxa"/>
            <w:vAlign w:val="bottom"/>
            <w:tcBorders>
              <w:bottom w:val="single" w:sz="8" w:color="CCEEFF"/>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NIST</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Institute of Standards and Technology</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Nobles 2</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Nobles 2 Power Partners, LLC</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NOL</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3"/>
                <w:szCs w:val="23"/>
                <w:color w:val="auto"/>
                <w:vertAlign w:val="subscript"/>
              </w:rPr>
              <w:t>2</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Nitrogen Dioxide</w:t>
            </w: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3"/>
                <w:szCs w:val="23"/>
                <w:color w:val="auto"/>
                <w:vertAlign w:val="subscript"/>
              </w:rPr>
              <w:t>X</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Nitrogen Oxides</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States Power</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States Power Company, a subsidiary of Xcel Energy Inc.</w:t>
            </w: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Northshore Mining</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Northshore Mining Company, a wholly-owned subsidiary of Cliffs</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___</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___ to the consolidated financial statements in this Form 10-K</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NPDES</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Pollutant Discharge Elimination System</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NTEC</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Nemadji Trail Energy Center</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NYSE</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Oliver Wind I</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Oliver Wind I Energy Center</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Oliver Wind II</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Oliver Wind II Energy Center</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Palm Coast Park District</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Palm Coast Park Community Development District in Florida</w:t>
            </w: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PPA / PSA</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Purchase Agreement / Power Sales Agreement</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PPACA</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Patient Protection and Affordable Care Act of 2010</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PSCW</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Service Commission of Wisconsin</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PV</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Photovoltaic</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RFP</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Request for Proposals</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RSOP</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Savings and Stock Ownership Plan</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RTO</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Regional Transmission Organization</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Bay Power</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Bay Power Company, a wholly-owned subsidiary of Cliffs</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SIP</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Implementation Plan</w:t>
            </w: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23"/>
                <w:szCs w:val="23"/>
                <w:color w:val="auto"/>
                <w:vertAlign w:val="subscript"/>
              </w:rPr>
              <w:t>2</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Sulfur Dioxide</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SOC</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 and Organizational Controls</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Sofidel</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Sofidel Group</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Shore Energy</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Shore Energy, LLC</w:t>
            </w: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 Electric Cooperative, a North Dakota cooperative corporation</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 &amp; Poor’s / S&amp;P</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Global Ratings</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Paper</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Paper LLC</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SWL&amp;P</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Superior Water, Light and Power Company</w:t>
            </w: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 Energy Center</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Taconite Ridge</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Taconite Ridge Energy Center</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Town Center District</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Town Center at Palm Coast Community Development District in Florida</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Taconite</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Taconite LLC, a wholly-owned subsidiary of Cliffs</w:t>
            </w: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UPM Blandin</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UPM, Blandin paper mill owned by UPM-Kymmene Corporation</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 Corporation</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Steel Corporation</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VEBA</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Voluntary Employee Benefit Association</w:t>
            </w: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Interest Entities</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WTG</w:t>
            </w: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 Turbine Generator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4"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objectives;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domestic economic conditions affecting us or our customers;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laws and regulations, the direct and indirect effects of new or changes in existing tariffs, or changes in tax rates or policies;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rates of inflation or availability of key materials and suppliers;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and administrative proceedings (whether civil or criminal) and settlements;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and pandemic diseases;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 bank financing and other financing 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performance of the financial markets;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delays or changes in project costs;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 capital expenditures and our ability to raise revenues from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commodity prices on ALLETE and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skilled and experienced personnel;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emerging technology;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acts of terrorism and cybersecurity attacks;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expansion and integrate acquisitions;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growth rates and demographic patterns;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power market conditions;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including competition for retail and wholesale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restructuring initiatives in the electric industry;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on our businesses of climate change and future regulation to restrict the emissions of GHG;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increased deployment of distributed low-carbon electricity generation resources;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laws and regulations related to renewable and distributed generation;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availability and transportation of fuel and other commodities and the ability to recover the costs of such commodities;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industrial and municipal customers’ ability to execute announced expansion plans;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market conditions where our legacy Florida real estate investment is located may deteriorate;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realize value from, invest in, and develop new opportunities;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Alloy Parent or ALLETE may be unable to obtain governmental and regulatory approvals required for the Merger, or that required governmental and regulatory approvals or agreements with other parties interested therein may delay the Merger, may subject the Merger to or impose adverse conditions or costs, or may cause the parties to abandon the Merger;</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incurred to consummate the Merger;</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 or could otherwise cause the failure of the Merger to be consummated on the timeline anticipated;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 (Continued)</w:t>
      </w:r>
    </w:p>
    <w:p>
      <w:pPr>
        <w:spacing w:after="0" w:line="234" w:lineRule="exact"/>
        <w:rPr>
          <w:sz w:val="20"/>
          <w:szCs w:val="20"/>
          <w:color w:val="auto"/>
        </w:rPr>
      </w:pPr>
    </w:p>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and pendency of the Merger, during which ALLETE is subject to certain operating restrictions, could have an adverse effect on ALLETE’s businesses, results of operations, financial condition or cash flows.</w:t>
      </w:r>
    </w:p>
    <w:p>
      <w:pPr>
        <w:spacing w:after="0" w:line="18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Additional disclosures regarding factors that could cause our results or performance to differ from those anticipated by this report are discussed in Part 1, Item 1A under the heading “Risk Factors” of this Form 10-K. Any forward-looking statement speaks only as of the date on which such statement is made, and we undertake no obligation to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10-K and in other reports filed with the SEC that attempt to identify the risks and uncertainties that may affect ALLETE’s business.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537"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ALLETE is a leader in the nation’s clean-energy transformation. Our businesses and dedicated employees deliver sustainable energy solutions that mitigate climate change, build thriving communities, help customers reach their sustainability goals and drive value for shareholders. In 2020, ALLETE’s largest business, Minnesota Power, reached a milestone of providing 50 percent renewable energy to its retail and municipal customers in Minnesota, and in 2024 delivered 55 percent renewable energy to those customers. Minnesota Power is making significant progress toward 100 percent carbon-free energy supply —a vision grounded in a steadfast commitment to climate, customers and community through its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strategy. ALLETE Clean Energy, our second-largest business, is positioned at the heart of society’s clean-energy transformation and owns, operates and has developed for others more than 1,600 megawatts of wind energy generation across eight states—helping some of the largest companies in the country reduce their carbon footprint. Our newest business, New Energy, is a leading developer of community, commercial and industrial, and small utility-scale renewable energy projects that has completed more than 575 MW in its history.</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Minnesota Power’s latest IRP, approved by the MPUC in an order dated January 9, 2023, outlines its clean-energy transition plans 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Minnesota Power has transformed its company-owned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On February 7, 2023, the Minnesota Governor signed a law that updates the state’s renewable energy standard and requires Minnesota electric utilities to source retail sales with 100 percent carbon-free energy by 2040. Ongoing progress towards compliance with Minnesota's carbon-free standard is evaluated in IRP proceedings at the MPUC. Minnesota Power's next IRP will be filed in March 2025 and address progress towards compliance with the 2040 law. Minnesota Power is also working with various stakeholders and participating in the regulatory process to implement this law. (See </w:t>
      </w:r>
      <w:r>
        <w:rPr>
          <w:rFonts w:ascii="Times New Roman" w:cs="Times New Roman" w:eastAsia="Times New Roman" w:hAnsi="Times New Roman"/>
          <w:sz w:val="18"/>
          <w:szCs w:val="18"/>
          <w:i w:val="1"/>
          <w:iCs w:val="1"/>
          <w:color w:val="auto"/>
        </w:rPr>
        <w:t>Regulated Operations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Minnesota Legislation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2024, ALLETE entered into the Merger Agreement. The Merger Agreement provides that, on and subject to the conditions set forth therein, Alloy Merger Sub will merge with and into ALLETE, with ALLETE continuing as the surviving corporation in the Merger and becoming a subsidiary of Alloy Parent. (See Note 15. Agreement and Plan of Merger.)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terms of the Merger, including a copy of the Merger Agreement, see ALLETE’s Current Report on Form 8-K filed with the SEC on May 5, 2024, and ALLETE’s definitive proxy statement relating to the special meeting of shareholders filed with the SEC on July 10,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is committed to earning a financial return that rewards our shareholders, allows for reinvestment in our businesses, and sustains growth. ALLETE is predominately a regulated utility through Minnesota Power, SWL&amp;P, and an investment in ATC. ALLETE’s strategy is to remain predominately a regulated utility while investing in ALLETE Clean Energy, New Energy and its Corporate and Other businesses to complement its regulated businesses, balance exposure to the utility’s industrial customers, and provide potential long-term earnings growth.</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4. Regulatory Matters.)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Overview (Continued)</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or has developed more than 1,600 megawatts of wind energy generation in five major energy markets and eight states across the U.S. with a majority contracted under PSAs of various durations. In addition, ALLETE Clean Energy engages in the development of wind energy facilities to operate under long-term PSAs or for sale to others upon completion.</w:t>
      </w: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New Energy, a renewable development company; our investment in Nobles 2, an entity that owns and operates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is incorporated under the laws of Minnesota. Our corporate headquarters are in Duluth, Minnesota. Statistical information is presented as of December 31, 2024, unless otherwise indicated. All subsidiaries are wholly-owned unless otherwise specifically indicated. References in this report to “we,” “us” and “our” are to ALLETE and its subsidiaries, collectively.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6"/>
        </w:trPr>
        <w:tc>
          <w:tcPr>
            <w:tcW w:w="542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Consolidated Operating Revenue – Millions </w:t>
            </w:r>
            <w:r>
              <w:rPr>
                <w:rFonts w:ascii="Times New Roman" w:cs="Times New Roman" w:eastAsia="Times New Roman" w:hAnsi="Times New Roman"/>
                <w:sz w:val="16"/>
                <w:szCs w:val="16"/>
                <w:i w:val="1"/>
                <w:iCs w:val="1"/>
                <w:color w:val="auto"/>
              </w:rPr>
              <w:t>(a)</w:t>
            </w:r>
          </w:p>
        </w:tc>
        <w:tc>
          <w:tcPr>
            <w:tcW w:w="3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$1,529.8</w:t>
            </w:r>
          </w:p>
        </w:tc>
        <w:tc>
          <w:tcPr>
            <w:tcW w:w="15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$1,879.8</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$1,570.7</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Consolidated Operating Revenue</w:t>
            </w:r>
          </w:p>
        </w:tc>
        <w:tc>
          <w:tcPr>
            <w:tcW w:w="3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Regulated Operations</w:t>
            </w:r>
          </w:p>
        </w:tc>
        <w:tc>
          <w:tcPr>
            <w:tcW w:w="3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81 %</w:t>
            </w: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66 %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ALLETE Clean Energy </w:t>
            </w:r>
            <w:r>
              <w:rPr>
                <w:rFonts w:ascii="Times New Roman" w:cs="Times New Roman" w:eastAsia="Times New Roman" w:hAnsi="Times New Roman"/>
                <w:sz w:val="16"/>
                <w:szCs w:val="16"/>
                <w:i w:val="1"/>
                <w:iCs w:val="1"/>
                <w:color w:val="auto"/>
              </w:rPr>
              <w:t>(a)</w:t>
            </w:r>
          </w:p>
        </w:tc>
        <w:tc>
          <w:tcPr>
            <w:tcW w:w="3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6 %</w:t>
            </w:r>
          </w:p>
        </w:tc>
        <w:tc>
          <w:tcPr>
            <w:tcW w:w="1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22 %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5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13 %</w:t>
            </w:r>
          </w:p>
        </w:tc>
        <w:tc>
          <w:tcPr>
            <w:tcW w:w="1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542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100 %</w:t>
            </w:r>
          </w:p>
        </w:tc>
        <w:tc>
          <w:tcPr>
            <w:tcW w:w="15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65"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Consolidated operating revenue for 2023 includes the sales of ALLETE Clean Energy’s Northern Wind and Red Barn projects.</w:t>
      </w:r>
    </w:p>
    <w:p>
      <w:pPr>
        <w:spacing w:after="0" w:line="2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14. Business Segments.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5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Electric Sales / Customers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Kilowatt-hours Sold</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8"/>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and Municipal</w:t>
            </w:r>
          </w:p>
        </w:tc>
        <w:tc>
          <w:tcPr>
            <w:tcW w:w="1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1,069</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1,089</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1,148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8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1,322</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1,347</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1,359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7,022</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7,044</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6,745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w:t>
            </w: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469</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466</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9,882</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79</w:t>
            </w: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9,946</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9,792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Power Suppliers</w:t>
            </w: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2,680</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2,819</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3,149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1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12,562</w:t>
            </w: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12,765</w:t>
            </w: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12,941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Industrial Customers</w:t>
      </w:r>
      <w:r>
        <w:rPr>
          <w:rFonts w:ascii="Times New Roman" w:cs="Times New Roman" w:eastAsia="Times New Roman" w:hAnsi="Times New Roman"/>
          <w:sz w:val="18"/>
          <w:szCs w:val="18"/>
          <w:color w:val="auto"/>
        </w:rPr>
        <w:t>. In 2024, industrial customers represented 56 percent of total regulated utility kWh sales. Our industrial customers are primarily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taconite mining, paper, pulp and secondary wood products, and pipeline industries. Cliffs idled all production at its Northshore mine in 2022 and resumed partial pellet plant production in April 2023. (See Outlook – Regulated Operations – Industrial Customers – Taconite.)</w:t>
      </w:r>
    </w:p>
    <w:tbl>
      <w:tblPr>
        <w:tblLayout w:type="fixed"/>
        <w:tblInd w:w="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Industrial Customer Kilowatt-hours Sold</w:t>
            </w: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8"/>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Taconite</w:t>
            </w:r>
          </w:p>
        </w:tc>
        <w:tc>
          <w:tcPr>
            <w:tcW w:w="16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4,897</w:t>
            </w: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4,935</w:t>
            </w: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Paper, Pulp and Secondary Wood Products</w:t>
            </w: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714</w:t>
            </w: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669</w:t>
            </w: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735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Pipelines and Other Industrial</w:t>
            </w:r>
          </w:p>
        </w:tc>
        <w:tc>
          <w:tcPr>
            <w:tcW w:w="16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1,411</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1,440</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1,297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Industrial Customer Kilowatt-hours Sold</w:t>
            </w:r>
          </w:p>
        </w:tc>
        <w:tc>
          <w:tcPr>
            <w:tcW w:w="1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7,022</w:t>
            </w: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7,044</w:t>
            </w: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6,745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Six taconite facilities served by Minnesota Power made up approximately 80 percent of 2023 iron ore pellet production in the U.S. according to data from the Minnesota Department of Revenue 2024 Mining Tax Guide. These taconite facilities are owned by Cliffs and USS Corporation. (See </w:t>
      </w:r>
      <w:r>
        <w:rPr>
          <w:rFonts w:ascii="Times New Roman" w:cs="Times New Roman" w:eastAsia="Times New Roman" w:hAnsi="Times New Roman"/>
          <w:sz w:val="18"/>
          <w:szCs w:val="18"/>
          <w:i w:val="1"/>
          <w:iCs w:val="1"/>
          <w:color w:val="auto"/>
        </w:rPr>
        <w:t>Large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 Contracts</w:t>
      </w:r>
      <w:r>
        <w:rPr>
          <w:rFonts w:ascii="Times New Roman" w:cs="Times New Roman" w:eastAsia="Times New Roman" w:hAnsi="Times New Roman"/>
          <w:sz w:val="18"/>
          <w:szCs w:val="18"/>
          <w:color w:val="auto"/>
        </w:rPr>
        <w:t>.) Sales to taconite customers represented 4,897 million kWh, or 70 percent, of total industrial customer kWh sales in 2024. Taconite,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iron 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Minnesota Power’s taconite customers are capable of producing approximately 41 million tons of taconite pellets annually. Taconite pellets produced in Minnesota are primarily shipped to North American steelmaking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The demand for more renewable energy and the need for additional infrastructure to transport green energy from the point of generation to the end user both require steel. Historically, approximately 10 percent of Minnesota taconite production has been exported outside of North America.</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76 percent of capacity in 2024 (75 percent in 2023 and 78 percent in 2022). The World Steel Association, an association of steel producers, national and regional steel industry associations, and steel research institutes representing approximately 85 percent of world steel production, projected U.S. steel consumption in 2025 will increase by approximately 2 percent compared to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Customers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146050</wp:posOffset>
            </wp:positionV>
            <wp:extent cx="4791710" cy="2049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91710" cy="2049145"/>
                    </a:xfrm>
                    <a:prstGeom prst="rect">
                      <a:avLst/>
                    </a:prstGeom>
                    <a:noFill/>
                  </pic:spPr>
                </pic:pic>
              </a:graphicData>
            </a:graphic>
          </wp:anchor>
        </w:drawing>
      </w:r>
    </w:p>
    <w:p>
      <w:pPr>
        <w:spacing w:after="0" w:line="205"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Minnesota Power Taconite Customer Production</w:t>
            </w:r>
          </w:p>
        </w:tc>
      </w:tr>
      <w:tr>
        <w:trPr>
          <w:trHeight w:val="250"/>
        </w:trPr>
        <w:tc>
          <w:tcPr>
            <w:tcW w:w="19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740" w:type="dxa"/>
            <w:vAlign w:val="bottom"/>
            <w:tcBorders>
              <w:top w:val="single" w:sz="8" w:color="auto"/>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Tons (Millions)</w:t>
            </w:r>
          </w:p>
        </w:tc>
      </w:tr>
      <w:tr>
        <w:trPr>
          <w:trHeight w:val="223"/>
        </w:trPr>
        <w:tc>
          <w:tcPr>
            <w:tcW w:w="1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2024*</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34</w:t>
            </w:r>
          </w:p>
        </w:tc>
      </w:tr>
      <w:tr>
        <w:trPr>
          <w:trHeight w:val="229"/>
        </w:trPr>
        <w:tc>
          <w:tcPr>
            <w:tcW w:w="1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2023</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35</w:t>
            </w:r>
          </w:p>
        </w:tc>
      </w:tr>
      <w:tr>
        <w:trPr>
          <w:trHeight w:val="229"/>
        </w:trPr>
        <w:tc>
          <w:tcPr>
            <w:tcW w:w="1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2022</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32</w:t>
            </w:r>
          </w:p>
        </w:tc>
      </w:tr>
      <w:tr>
        <w:trPr>
          <w:trHeight w:val="230"/>
        </w:trPr>
        <w:tc>
          <w:tcPr>
            <w:tcW w:w="1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2021</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29"/>
        </w:trPr>
        <w:tc>
          <w:tcPr>
            <w:tcW w:w="1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2020</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30</w:t>
            </w:r>
          </w:p>
        </w:tc>
      </w:tr>
      <w:tr>
        <w:trPr>
          <w:trHeight w:val="230"/>
        </w:trPr>
        <w:tc>
          <w:tcPr>
            <w:tcW w:w="1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2019</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37</w:t>
            </w:r>
          </w:p>
        </w:tc>
      </w:tr>
      <w:tr>
        <w:trPr>
          <w:trHeight w:val="229"/>
        </w:trPr>
        <w:tc>
          <w:tcPr>
            <w:tcW w:w="1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2018</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39</w:t>
            </w:r>
          </w:p>
        </w:tc>
      </w:tr>
      <w:tr>
        <w:trPr>
          <w:trHeight w:val="229"/>
        </w:trPr>
        <w:tc>
          <w:tcPr>
            <w:tcW w:w="1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2017</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38</w:t>
            </w:r>
          </w:p>
        </w:tc>
      </w:tr>
      <w:tr>
        <w:trPr>
          <w:trHeight w:val="230"/>
        </w:trPr>
        <w:tc>
          <w:tcPr>
            <w:tcW w:w="1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2016</w:t>
            </w:r>
          </w:p>
        </w:tc>
        <w:tc>
          <w:tcPr>
            <w:tcW w:w="5640" w:type="dxa"/>
            <w:vAlign w:val="bottom"/>
            <w:gridSpan w:val="2"/>
            <w:shd w:val="clear" w:color="auto" w:fill="CCEEFF"/>
          </w:tcPr>
          <w:p>
            <w:pPr>
              <w:jc w:val="center"/>
              <w:ind w:left="3010"/>
              <w:spacing w:after="0"/>
              <w:rPr>
                <w:sz w:val="20"/>
                <w:szCs w:val="20"/>
                <w:color w:val="auto"/>
              </w:rPr>
            </w:pPr>
            <w:r>
              <w:rPr>
                <w:rFonts w:ascii="Times New Roman" w:cs="Times New Roman" w:eastAsia="Times New Roman" w:hAnsi="Times New Roman"/>
                <w:sz w:val="18"/>
                <w:szCs w:val="18"/>
                <w:color w:val="auto"/>
                <w:w w:val="99"/>
              </w:rPr>
              <w:t>28</w:t>
            </w:r>
          </w:p>
        </w:tc>
      </w:tr>
      <w:tr>
        <w:trPr>
          <w:trHeight w:val="234"/>
        </w:trPr>
        <w:tc>
          <w:tcPr>
            <w:tcW w:w="1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2015</w:t>
            </w:r>
          </w:p>
        </w:tc>
        <w:tc>
          <w:tcPr>
            <w:tcW w:w="5640" w:type="dxa"/>
            <w:vAlign w:val="bottom"/>
            <w:gridSpan w:val="2"/>
          </w:tcPr>
          <w:p>
            <w:pPr>
              <w:jc w:val="center"/>
              <w:ind w:left="3010"/>
              <w:spacing w:after="0"/>
              <w:rPr>
                <w:sz w:val="20"/>
                <w:szCs w:val="20"/>
                <w:color w:val="auto"/>
              </w:rPr>
            </w:pPr>
            <w:r>
              <w:rPr>
                <w:rFonts w:ascii="Times New Roman" w:cs="Times New Roman" w:eastAsia="Times New Roman" w:hAnsi="Times New Roman"/>
                <w:sz w:val="18"/>
                <w:szCs w:val="18"/>
                <w:color w:val="auto"/>
                <w:w w:val="99"/>
              </w:rPr>
              <w:t>31</w:t>
            </w:r>
          </w:p>
        </w:tc>
      </w:tr>
    </w:tbl>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Source: Minnesota Department of Revenue 2024 Mining Tax Guide for years 2015 - 2023.</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 Preliminary data from the Minnesota Department of Revenue.</w:t>
      </w: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$0.07,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serving the taconite industry, Minnesota Power serves a number of customers in the paper, pulp and secondary wood products industry, which represented 714 million kWh, or 10 percent of total industrial customer kWh sales in 2024. Minnesota Power also has an agreement to provide steam for one paper and pulp customer for use in the customer’s operations. The major paper and pulp mills we serve reported operating at similar levels in 2024 compared to 2023. Sofidel completed the acquisition of the Duluth Mill from ST Paper in the first quarter of 2024. In the third quarter of 2024, Sofidel announced plans to invest between $200 million and $250 million to add a conversion facility and automated warehouse to the tissue plant. (See Outlook – Regulated Operations – Industrial Customers – Paper, Pulp and Secondary Wood Products – Sofidel.)</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Large Power Customer Contracts. </w:t>
      </w:r>
      <w:r>
        <w:rPr>
          <w:rFonts w:ascii="Times New Roman" w:cs="Times New Roman" w:eastAsia="Times New Roman" w:hAnsi="Times New Roman"/>
          <w:sz w:val="18"/>
          <w:szCs w:val="18"/>
          <w:color w:val="auto"/>
        </w:rPr>
        <w:t>Minnesota Power had eight Large Power Customer contracts as of December 31, 2024, each serving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10 MW or more of customer load. Certain facilities with common ownership are served under combined contracts. The customers as of December 31, 2024, consisted of six taconite facilities owned by Cliffs and USS Corporation as well as four paper and pulp mills. Minnesota Power also serves Northshore Mining through a PSA with its affiliate Silver Bay Power, in addition to the load served through its Large Power Customer contract with United Taconite and Northshore Mining. (See </w:t>
      </w:r>
      <w:r>
        <w:rPr>
          <w:rFonts w:ascii="Times New Roman" w:cs="Times New Roman" w:eastAsia="Times New Roman" w:hAnsi="Times New Roman"/>
          <w:sz w:val="18"/>
          <w:szCs w:val="18"/>
          <w:i w:val="1"/>
          <w:iCs w:val="1"/>
          <w:color w:val="auto"/>
        </w:rPr>
        <w:t>Silver Bay Power PSA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 Power Customer Contracts (Continued)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three- to four-month basis and require that a portion of their megawatt needs be committed on a take-or-pay basis for at least a portion of the term of the agreement. In addition to the demand charge, each Large Power Customer is billed an energy charge for each kWh used that recovers the variable costs incurred in generating electricity. Five of the Large Power Customer contracts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contracts with Large Power Customers continue past the contract termination date unless the required advance notice of cancellation has been given. The required advance notice of cancellation varies from two to four years. Such contracts reduce the impact on earnings that otherwise would result from significant reductions in kWh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w:t>
      </w:r>
      <w:r>
        <w:rPr>
          <w:rFonts w:ascii="Times New Roman" w:cs="Times New Roman" w:eastAsia="Times New Roman" w:hAnsi="Times New Roman"/>
          <w:sz w:val="18"/>
          <w:szCs w:val="18"/>
          <w:i w:val="1"/>
          <w:iCs w:val="1"/>
          <w:color w:val="auto"/>
        </w:rPr>
        <w:t>Regulatory Matters – Electric Rates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 as permitted by the MPUC, requires its taconite-producing Large Power Customers to pay weekly for electric usage based on monthly energy usage estimates. These customers receive estimated bills or make weekly prepayments based on Minnesota Power’s estimate of the customer’s energy usage, forecasted energy prices and fuel adjustment clause estimates. Minnesota Power’s taconite producing Large Power Customers have generally predictable energy usage on a week-to-week basis and any differences that occur are trued-up the following month.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Status for Minnesota Power Large Power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46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200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04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080" w:type="dxa"/>
            <w:vAlign w:val="bottom"/>
            <w:tcBorders>
              <w:top w:val="single" w:sz="8" w:color="auto"/>
            </w:tcBorders>
          </w:tcPr>
          <w:p>
            <w:pPr>
              <w:jc w:val="center"/>
              <w:ind w:left="111"/>
              <w:spacing w:after="0" w:line="189" w:lineRule="exact"/>
              <w:rPr>
                <w:sz w:val="20"/>
                <w:szCs w:val="20"/>
                <w:color w:val="auto"/>
              </w:rPr>
            </w:pPr>
            <w:r>
              <w:rPr>
                <w:rFonts w:ascii="Times New Roman" w:cs="Times New Roman" w:eastAsia="Times New Roman" w:hAnsi="Times New Roman"/>
                <w:sz w:val="18"/>
                <w:szCs w:val="18"/>
                <w:b w:val="1"/>
                <w:bCs w:val="1"/>
                <w:color w:val="auto"/>
                <w:w w:val="99"/>
              </w:rPr>
              <w:t>Earliest</w:t>
            </w:r>
          </w:p>
        </w:tc>
        <w:tc>
          <w:tcPr>
            <w:tcW w:w="0" w:type="dxa"/>
            <w:vAlign w:val="bottom"/>
          </w:tcPr>
          <w:p>
            <w:pPr>
              <w:spacing w:after="0"/>
              <w:rPr>
                <w:sz w:val="1"/>
                <w:szCs w:val="1"/>
                <w:color w:val="auto"/>
              </w:rPr>
            </w:pPr>
          </w:p>
        </w:tc>
      </w:tr>
      <w:tr>
        <w:trPr>
          <w:trHeight w:val="243"/>
        </w:trPr>
        <w:tc>
          <w:tcPr>
            <w:tcW w:w="2640" w:type="dxa"/>
            <w:vAlign w:val="bottom"/>
            <w:tcBorders>
              <w:bottom w:val="single" w:sz="8" w:color="auto"/>
            </w:tcBorders>
            <w:vMerge w:val="continue"/>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2000" w:type="dxa"/>
            <w:vAlign w:val="bottom"/>
            <w:tcBorders>
              <w:bottom w:val="single" w:sz="8" w:color="auto"/>
            </w:tcBorders>
            <w:vMerge w:val="continue"/>
          </w:tcPr>
          <w:p>
            <w:pPr>
              <w:spacing w:after="0"/>
              <w:rPr>
                <w:sz w:val="21"/>
                <w:szCs w:val="21"/>
                <w:color w:val="auto"/>
              </w:rPr>
            </w:pPr>
          </w:p>
        </w:tc>
        <w:tc>
          <w:tcPr>
            <w:tcW w:w="3040" w:type="dxa"/>
            <w:vAlign w:val="bottom"/>
            <w:tcBorders>
              <w:bottom w:val="single" w:sz="8" w:color="auto"/>
            </w:tcBorders>
            <w:vMerge w:val="continue"/>
          </w:tcPr>
          <w:p>
            <w:pPr>
              <w:spacing w:after="0"/>
              <w:rPr>
                <w:sz w:val="21"/>
                <w:szCs w:val="21"/>
                <w:color w:val="auto"/>
              </w:rPr>
            </w:pPr>
          </w:p>
        </w:tc>
        <w:tc>
          <w:tcPr>
            <w:tcW w:w="208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Termination Date</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Cliffs – Minorca Mine </w:t>
            </w:r>
            <w:r>
              <w:rPr>
                <w:rFonts w:ascii="Times New Roman" w:cs="Times New Roman" w:eastAsia="Times New Roman" w:hAnsi="Times New Roman"/>
                <w:sz w:val="16"/>
                <w:szCs w:val="16"/>
                <w:i w:val="1"/>
                <w:iCs w:val="1"/>
                <w:color w:val="auto"/>
              </w:rPr>
              <w:t>(a)</w:t>
            </w:r>
          </w:p>
        </w:tc>
        <w:tc>
          <w:tcPr>
            <w:tcW w:w="1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Taconite</w:t>
            </w:r>
          </w:p>
        </w:tc>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Virginia, MN</w:t>
            </w:r>
          </w:p>
        </w:tc>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Cliffs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2028</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Hibbing Taconite </w:t>
            </w:r>
            <w:r>
              <w:rPr>
                <w:rFonts w:ascii="Times New Roman" w:cs="Times New Roman" w:eastAsia="Times New Roman" w:hAnsi="Times New Roman"/>
                <w:sz w:val="16"/>
                <w:szCs w:val="16"/>
                <w:i w:val="1"/>
                <w:iCs w:val="1"/>
                <w:color w:val="auto"/>
              </w:rPr>
              <w:t>(a)(d)</w:t>
            </w:r>
          </w:p>
        </w:tc>
        <w:tc>
          <w:tcPr>
            <w:tcW w:w="14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Taconite</w:t>
            </w:r>
          </w:p>
        </w:tc>
        <w:tc>
          <w:tcPr>
            <w:tcW w:w="2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Hibbing, MN</w:t>
            </w:r>
          </w:p>
        </w:tc>
        <w:tc>
          <w:tcPr>
            <w:tcW w:w="30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85.3% Cliffs</w:t>
            </w:r>
          </w:p>
        </w:tc>
        <w:tc>
          <w:tcPr>
            <w:tcW w:w="20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31, 2028</w:t>
            </w: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14.7% USS Corporation</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United Taconite and Northshore</w:t>
            </w:r>
          </w:p>
        </w:tc>
        <w:tc>
          <w:tcPr>
            <w:tcW w:w="146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8"/>
                <w:szCs w:val="18"/>
                <w:color w:val="auto"/>
              </w:rPr>
              <w:t>Taconite</w:t>
            </w:r>
          </w:p>
        </w:tc>
        <w:tc>
          <w:tcPr>
            <w:tcW w:w="20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Eveleth, MN and Babbitt,</w:t>
            </w:r>
          </w:p>
        </w:tc>
        <w:tc>
          <w:tcPr>
            <w:tcW w:w="304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Cliffs</w:t>
            </w:r>
          </w:p>
        </w:tc>
        <w:tc>
          <w:tcPr>
            <w:tcW w:w="2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December 31, 2028</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Mining </w:t>
            </w:r>
            <w:r>
              <w:rPr>
                <w:rFonts w:ascii="Times New Roman" w:cs="Times New Roman" w:eastAsia="Times New Roman" w:hAnsi="Times New Roman"/>
                <w:sz w:val="16"/>
                <w:szCs w:val="16"/>
                <w:i w:val="1"/>
                <w:iCs w:val="1"/>
                <w:color w:val="auto"/>
              </w:rPr>
              <w:t>(a)</w:t>
            </w:r>
          </w:p>
        </w:tc>
        <w:tc>
          <w:tcPr>
            <w:tcW w:w="1460" w:type="dxa"/>
            <w:vAlign w:val="bottom"/>
            <w:shd w:val="clear" w:color="auto" w:fill="CCEEFF"/>
          </w:tcPr>
          <w:p>
            <w:pPr>
              <w:spacing w:after="0"/>
              <w:rPr>
                <w:sz w:val="21"/>
                <w:szCs w:val="21"/>
                <w:color w:val="auto"/>
              </w:rPr>
            </w:pPr>
          </w:p>
        </w:tc>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MN</w:t>
            </w:r>
          </w:p>
        </w:tc>
        <w:tc>
          <w:tcPr>
            <w:tcW w:w="30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USS Corporation</w:t>
            </w:r>
          </w:p>
        </w:tc>
        <w:tc>
          <w:tcPr>
            <w:tcW w:w="14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Taconite</w:t>
            </w:r>
          </w:p>
        </w:tc>
        <w:tc>
          <w:tcPr>
            <w:tcW w:w="2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Mtn. Iron, MN and</w:t>
            </w:r>
          </w:p>
        </w:tc>
        <w:tc>
          <w:tcPr>
            <w:tcW w:w="30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USS Corporation</w:t>
            </w:r>
          </w:p>
        </w:tc>
        <w:tc>
          <w:tcPr>
            <w:tcW w:w="2080" w:type="dxa"/>
            <w:vAlign w:val="bottom"/>
          </w:tcPr>
          <w:p>
            <w:pPr>
              <w:jc w:val="center"/>
              <w:ind w:left="131"/>
              <w:spacing w:after="0" w:line="175" w:lineRule="exact"/>
              <w:rPr>
                <w:sz w:val="20"/>
                <w:szCs w:val="20"/>
                <w:color w:val="auto"/>
              </w:rPr>
            </w:pPr>
            <w:r>
              <w:rPr>
                <w:rFonts w:ascii="Times New Roman" w:cs="Times New Roman" w:eastAsia="Times New Roman" w:hAnsi="Times New Roman"/>
                <w:sz w:val="16"/>
                <w:szCs w:val="16"/>
                <w:i w:val="1"/>
                <w:iCs w:val="1"/>
                <w:color w:val="auto"/>
              </w:rPr>
              <w:t>(e)</w:t>
            </w:r>
          </w:p>
        </w:tc>
        <w:tc>
          <w:tcPr>
            <w:tcW w:w="0" w:type="dxa"/>
            <w:vAlign w:val="bottom"/>
          </w:tcPr>
          <w:p>
            <w:pPr>
              <w:spacing w:after="0"/>
              <w:rPr>
                <w:sz w:val="1"/>
                <w:szCs w:val="1"/>
                <w:color w:val="auto"/>
              </w:rPr>
            </w:pPr>
          </w:p>
        </w:tc>
      </w:tr>
      <w:tr>
        <w:trPr>
          <w:trHeight w:val="23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(USS – Minnesota Ore) </w:t>
            </w:r>
            <w:r>
              <w:rPr>
                <w:rFonts w:ascii="Times New Roman" w:cs="Times New Roman" w:eastAsia="Times New Roman" w:hAnsi="Times New Roman"/>
                <w:sz w:val="16"/>
                <w:szCs w:val="16"/>
                <w:i w:val="1"/>
                <w:iCs w:val="1"/>
                <w:color w:val="auto"/>
              </w:rPr>
              <w:t>(b)(d)</w:t>
            </w:r>
          </w:p>
        </w:tc>
        <w:tc>
          <w:tcPr>
            <w:tcW w:w="1460" w:type="dxa"/>
            <w:vAlign w:val="bottom"/>
          </w:tcPr>
          <w:p>
            <w:pPr>
              <w:spacing w:after="0"/>
              <w:rPr>
                <w:sz w:val="20"/>
                <w:szCs w:val="20"/>
                <w:color w:val="auto"/>
              </w:rPr>
            </w:pP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Keewatin, MN</w:t>
            </w:r>
          </w:p>
        </w:tc>
        <w:tc>
          <w:tcPr>
            <w:tcW w:w="3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Boise, Inc. </w:t>
            </w:r>
            <w:r>
              <w:rPr>
                <w:rFonts w:ascii="Times New Roman" w:cs="Times New Roman" w:eastAsia="Times New Roman" w:hAnsi="Times New Roman"/>
                <w:sz w:val="16"/>
                <w:szCs w:val="16"/>
                <w:i w:val="1"/>
                <w:iCs w:val="1"/>
                <w:color w:val="auto"/>
              </w:rPr>
              <w:t>(a)</w:t>
            </w:r>
          </w:p>
        </w:tc>
        <w:tc>
          <w:tcPr>
            <w:tcW w:w="1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Paper</w:t>
            </w:r>
          </w:p>
        </w:tc>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International Falls, MN</w:t>
            </w:r>
          </w:p>
        </w:tc>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Packaging Corporation of America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2028</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UPM Blandin</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Paper</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Grand Rapids, MN</w:t>
            </w: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UPM-Kymmene Corporation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2029</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Sappi Cloquet LLC </w:t>
            </w:r>
            <w:r>
              <w:rPr>
                <w:rFonts w:ascii="Times New Roman" w:cs="Times New Roman" w:eastAsia="Times New Roman" w:hAnsi="Times New Roman"/>
                <w:sz w:val="16"/>
                <w:szCs w:val="16"/>
                <w:i w:val="1"/>
                <w:iCs w:val="1"/>
                <w:color w:val="auto"/>
              </w:rPr>
              <w:t>(a)</w:t>
            </w:r>
          </w:p>
        </w:tc>
        <w:tc>
          <w:tcPr>
            <w:tcW w:w="1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Paper and Pulp</w:t>
            </w:r>
          </w:p>
        </w:tc>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Cloquet, MN</w:t>
            </w:r>
          </w:p>
        </w:tc>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Sappi Limited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2028</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Sofidel </w:t>
            </w:r>
            <w:r>
              <w:rPr>
                <w:rFonts w:ascii="Times New Roman" w:cs="Times New Roman" w:eastAsia="Times New Roman" w:hAnsi="Times New Roman"/>
                <w:sz w:val="16"/>
                <w:szCs w:val="16"/>
                <w:i w:val="1"/>
                <w:iCs w:val="1"/>
                <w:color w:val="auto"/>
              </w:rPr>
              <w:t>(c)</w:t>
            </w: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Paper</w:t>
            </w:r>
          </w:p>
        </w:tc>
        <w:tc>
          <w:tcPr>
            <w:tcW w:w="2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Duluth, MN</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Sofidel</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28, 2029</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December 31, 2028.</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USS Corporation owns both the Minntac Plant in Mountain Iron, MN, and the Keewatin Taconite Plant in Keewatin, MN.</w:t>
      </w:r>
    </w:p>
    <w:p>
      <w:pPr>
        <w:spacing w:after="0" w:line="8" w:lineRule="exact"/>
        <w:rPr>
          <w:rFonts w:ascii="Times New Roman" w:cs="Times New Roman" w:eastAsia="Times New Roman" w:hAnsi="Times New Roman"/>
          <w:sz w:val="16"/>
          <w:szCs w:val="16"/>
          <w:i w:val="1"/>
          <w:iCs w:val="1"/>
          <w:color w:val="auto"/>
        </w:rPr>
      </w:pPr>
    </w:p>
    <w:p>
      <w:pPr>
        <w:ind w:left="340" w:hanging="332"/>
        <w:spacing w:after="0" w:line="254" w:lineRule="auto"/>
        <w:tabs>
          <w:tab w:leader="none" w:pos="331"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Sofidel completed the acquisition of the Duluth Mill from ST Paper in the first quarter of 2024. (See Outlook – Regulated Operations – Industrial Customers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 xml:space="preserve"> Paper, Pulp and Secondary Wood Products.)</w:t>
      </w:r>
    </w:p>
    <w:p>
      <w:pPr>
        <w:ind w:left="340" w:hanging="332"/>
        <w:spacing w:after="0"/>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December 2023, USS Corporation announced it entered into a definitive agreement in which Nippon Steel will acquire all of USS Corporation’s stock. (See Outlook</w:t>
      </w:r>
    </w:p>
    <w:p>
      <w:pPr>
        <w:spacing w:after="0" w:line="8" w:lineRule="exact"/>
        <w:rPr>
          <w:rFonts w:ascii="Times New Roman" w:cs="Times New Roman" w:eastAsia="Times New Roman" w:hAnsi="Times New Roman"/>
          <w:sz w:val="16"/>
          <w:szCs w:val="16"/>
          <w:i w:val="1"/>
          <w:iCs w:val="1"/>
          <w:color w:val="auto"/>
        </w:rPr>
      </w:pPr>
    </w:p>
    <w:p>
      <w:pPr>
        <w:ind w:left="34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 Regulated Operations – Industrial Customers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 xml:space="preserve"> Taconite.)</w:t>
      </w:r>
    </w:p>
    <w:p>
      <w:pPr>
        <w:spacing w:after="0" w:line="3" w:lineRule="exact"/>
        <w:rPr>
          <w:rFonts w:ascii="Times New Roman" w:cs="Times New Roman" w:eastAsia="Times New Roman" w:hAnsi="Times New Roman"/>
          <w:sz w:val="16"/>
          <w:szCs w:val="16"/>
          <w:i w:val="1"/>
          <w:iCs w:val="1"/>
          <w:color w:val="auto"/>
        </w:rPr>
      </w:pPr>
    </w:p>
    <w:p>
      <w:pPr>
        <w:jc w:val="both"/>
        <w:ind w:left="340" w:hanging="332"/>
        <w:spacing w:after="0" w:line="250" w:lineRule="auto"/>
        <w:tabs>
          <w:tab w:leader="none" w:pos="331"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January 27, 2025, USS Corporation exercised its rights under its electric service agreement with Minnesota Power to provide a four-year notice of termination. Minnesota Power and USS Corporation are working together to meet USS Corporation’s evolving energy needs. Absent any other action by the parties, the termination of the current electric service agreement would be effective January 27, 2029, and USS Corporation would become a non-contract large power customer of Minnesota Power.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Silver Bay Power PSA</w:t>
      </w:r>
      <w:r>
        <w:rPr>
          <w:rFonts w:ascii="Times New Roman" w:cs="Times New Roman" w:eastAsia="Times New Roman" w:hAnsi="Times New Roman"/>
          <w:sz w:val="18"/>
          <w:szCs w:val="18"/>
          <w:color w:val="auto"/>
        </w:rPr>
        <w:t>. Minnesota Power has a PSA with Silver Bay Power through 2031 to supply its full energy requirements. Silver Bay Power supplies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90 MW of load to Northshore Mining, an affiliate of Silver Bay Power.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Residential and Commercial Customers. </w:t>
      </w:r>
      <w:r>
        <w:rPr>
          <w:rFonts w:ascii="Times New Roman" w:cs="Times New Roman" w:eastAsia="Times New Roman" w:hAnsi="Times New Roman"/>
          <w:sz w:val="18"/>
          <w:szCs w:val="18"/>
          <w:color w:val="auto"/>
        </w:rPr>
        <w:t>In 2024, residential and commercial customers represented 19 percent of total regulated utility kWh sales.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Municipal Customers. </w:t>
      </w:r>
      <w:r>
        <w:rPr>
          <w:rFonts w:ascii="Times New Roman" w:cs="Times New Roman" w:eastAsia="Times New Roman" w:hAnsi="Times New Roman"/>
          <w:sz w:val="18"/>
          <w:szCs w:val="18"/>
          <w:color w:val="auto"/>
        </w:rPr>
        <w:t>In 2024, municipal customers represented 4 percent of total regulated utility kWh sales.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Power’s wholesale electric contracts with 14 non-affiliated municipal customers in Minnesota have termination dates ranging from 2029 through 2037, with a majority of contracts expiring in 2029. One of these wholesale contracts includes a termination clause requiring a 3-year notice to terminate. (See Note 4. Regulatory Matters.)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Power Suppliers. </w:t>
      </w:r>
      <w:r>
        <w:rPr>
          <w:rFonts w:ascii="Times New Roman" w:cs="Times New Roman" w:eastAsia="Times New Roman" w:hAnsi="Times New Roman"/>
          <w:sz w:val="18"/>
          <w:szCs w:val="18"/>
          <w:color w:val="auto"/>
        </w:rPr>
        <w:t>The Company also enters into off-system sales with Other Power Suppliers. These sales are at market based prices into the MISO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on a daily basis or through bilateral agreements of various durations.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PSAs are detailed in Note 9. Commitments, Guarantees and Contingencies, with additional disclosure provided in the following paragraphs.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Minnkota Power PSA. </w:t>
      </w:r>
      <w:r>
        <w:rPr>
          <w:rFonts w:ascii="Times New Roman" w:cs="Times New Roman" w:eastAsia="Times New Roman" w:hAnsi="Times New Roman"/>
          <w:sz w:val="18"/>
          <w:szCs w:val="18"/>
          <w:color w:val="auto"/>
        </w:rPr>
        <w:t>Minnesota Power has a PSA with Minnkota Power where Minnesota Power is selling a portion of its entitlement from Square Butte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Minnkota Power, resulting in Minnkota Power’s net entitlement increasing and Minnesota Power’s net entitlement decreasing until Minnesota Power’s share is eliminated at the end of 2025. Of Minnesota Power’s 50 percent output entitlement, it sold approximately 41 percent to Minnkota Power in 2024 (37 percent in 2023 and 32 percent in 2022). Minnkota Power’s net entitlement increases to approximately 46 percent in 2025 and 50 percent in 2026. (See </w:t>
      </w:r>
      <w:r>
        <w:rPr>
          <w:rFonts w:ascii="Times New Roman" w:cs="Times New Roman" w:eastAsia="Times New Roman" w:hAnsi="Times New Roman"/>
          <w:sz w:val="18"/>
          <w:szCs w:val="18"/>
          <w:i w:val="1"/>
          <w:iCs w:val="1"/>
          <w:color w:val="auto"/>
        </w:rPr>
        <w:t>Power Supply – Long-Term Purchased Power</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Hibbing Public Utilities</w:t>
      </w:r>
      <w:r>
        <w:rPr>
          <w:rFonts w:ascii="Times New Roman" w:cs="Times New Roman" w:eastAsia="Times New Roman" w:hAnsi="Times New Roman"/>
          <w:sz w:val="18"/>
          <w:szCs w:val="18"/>
          <w:color w:val="auto"/>
        </w:rPr>
        <w:t>. Minnesota Power has a long-term power contract with Hibbing Public Utilities for the period of June 1, 2022, through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operations of our industrial customers, which make up a large portion of our electric sales, are not typically subject to significant seasonal variations. (See </w:t>
      </w:r>
      <w:r>
        <w:rPr>
          <w:rFonts w:ascii="Times New Roman" w:cs="Times New Roman" w:eastAsia="Times New Roman" w:hAnsi="Times New Roman"/>
          <w:sz w:val="18"/>
          <w:szCs w:val="18"/>
          <w:i w:val="1"/>
          <w:iCs w:val="1"/>
          <w:color w:val="auto"/>
        </w:rPr>
        <w:t>Electric Sales / Customers.</w:t>
      </w:r>
      <w:r>
        <w:rPr>
          <w:rFonts w:ascii="Times New Roman" w:cs="Times New Roman" w:eastAsia="Times New Roman" w:hAnsi="Times New Roman"/>
          <w:sz w:val="18"/>
          <w:szCs w:val="18"/>
          <w:color w:val="auto"/>
        </w:rPr>
        <w:t>) As a result, Minnesota Power is generally not subject to significant seasonal fluctuations in electric sales; however, Minnesota Power and SWL&amp;P electric and natural gas sales to other customers may be affected by seasonal differences in weather. In general, peak electric sales occur in the winter and summer months with fewer electric sales in the spring and fall months. Peak sales of natural gas generally occur in the winter months. Additionally, our regulated utilities have historically generated fewer sales and less revenue when weather conditions are milder in the winter and summer.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Supply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order to meet its customers’ electric requirements, Minnesota Power utilizes a mix of its own generation and purchased power. In 2024, 55 percent of Minnesota Power’s power supply for its retail and municipal customers in Minnesota has been provided by renewable energy sources. This was enabled by the completion of the 250 MW Nobles 2 wind energy facility in December 2020 and the GNTL in June 2020, which is used to deliver 250 MW of hydroelectric energy from Manitoba Hydro. Minnesota Power’s remaining operating coal-fired facilities are Boswell Units 3 and 4, which Minnesota Power plans to cease coal operations at by 2030 and 2035, respectively.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Renewable energy percentages may vary year to year based on weather, system demand and transmission constraints.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Minnesota Power’s generating capabilities as of December 31, 2024, and total electrical supply for 2024. Minnesota Power had an annual net peak load of 1,532 MW on January 19,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Supply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20" w:type="dxa"/>
            <w:vAlign w:val="bottom"/>
          </w:tcPr>
          <w:p>
            <w:pPr>
              <w:jc w:val="center"/>
              <w:ind w:left="115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20" w:type="dxa"/>
            <w:vAlign w:val="bottom"/>
          </w:tcPr>
          <w:p>
            <w:pPr>
              <w:spacing w:after="0"/>
              <w:rPr>
                <w:sz w:val="19"/>
                <w:szCs w:val="19"/>
                <w:color w:val="auto"/>
              </w:rPr>
            </w:pPr>
          </w:p>
        </w:tc>
      </w:tr>
      <w:tr>
        <w:trPr>
          <w:trHeight w:val="230"/>
        </w:trPr>
        <w:tc>
          <w:tcPr>
            <w:tcW w:w="3860" w:type="dxa"/>
            <w:vAlign w:val="bottom"/>
          </w:tcPr>
          <w:p>
            <w:pPr>
              <w:spacing w:after="0"/>
              <w:rPr>
                <w:sz w:val="19"/>
                <w:szCs w:val="19"/>
                <w:color w:val="auto"/>
              </w:rPr>
            </w:pPr>
          </w:p>
        </w:tc>
        <w:tc>
          <w:tcPr>
            <w:tcW w:w="198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304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Power Supply</w:t>
            </w:r>
          </w:p>
        </w:tc>
        <w:tc>
          <w:tcPr>
            <w:tcW w:w="198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No.</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Capability</w:t>
            </w:r>
          </w:p>
        </w:tc>
        <w:tc>
          <w:tcPr>
            <w:tcW w:w="3040" w:type="dxa"/>
            <w:vAlign w:val="bottom"/>
            <w:tcBorders>
              <w:bottom w:val="single" w:sz="8" w:color="auto"/>
            </w:tcBorders>
            <w:gridSpan w:val="2"/>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Generation and Purchases</w:t>
            </w:r>
          </w:p>
        </w:tc>
      </w:tr>
      <w:tr>
        <w:trPr>
          <w:trHeight w:val="223"/>
        </w:trPr>
        <w:tc>
          <w:tcPr>
            <w:tcW w:w="3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MW</w:t>
            </w:r>
          </w:p>
        </w:tc>
        <w:tc>
          <w:tcPr>
            <w:tcW w:w="2220" w:type="dxa"/>
            <w:vAlign w:val="bottom"/>
          </w:tcPr>
          <w:p>
            <w:pPr>
              <w:jc w:val="right"/>
              <w:ind w:right="851"/>
              <w:spacing w:after="0"/>
              <w:rPr>
                <w:sz w:val="20"/>
                <w:szCs w:val="20"/>
                <w:color w:val="auto"/>
              </w:rPr>
            </w:pPr>
            <w:r>
              <w:rPr>
                <w:rFonts w:ascii="Times New Roman" w:cs="Times New Roman" w:eastAsia="Times New Roman" w:hAnsi="Times New Roman"/>
                <w:sz w:val="18"/>
                <w:szCs w:val="18"/>
                <w:b w:val="1"/>
                <w:bCs w:val="1"/>
                <w:color w:val="auto"/>
              </w:rPr>
              <w:t>MWh</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Coal-Fired</w:t>
            </w:r>
          </w:p>
        </w:tc>
        <w:tc>
          <w:tcPr>
            <w:tcW w:w="1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Boswell Energy Center </w:t>
            </w:r>
            <w:r>
              <w:rPr>
                <w:rFonts w:ascii="Times New Roman" w:cs="Times New Roman" w:eastAsia="Times New Roman" w:hAnsi="Times New Roman"/>
                <w:sz w:val="16"/>
                <w:szCs w:val="16"/>
                <w:i w:val="1"/>
                <w:iCs w:val="1"/>
                <w:color w:val="auto"/>
              </w:rPr>
              <w:t>(a)</w:t>
            </w:r>
          </w:p>
        </w:tc>
        <w:tc>
          <w:tcPr>
            <w:tcW w:w="19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1973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2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 Cohasset, MN</w:t>
            </w:r>
          </w:p>
        </w:tc>
        <w:tc>
          <w:tcPr>
            <w:tcW w:w="19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1980</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2220" w:type="dxa"/>
            <w:vAlign w:val="bottom"/>
            <w:shd w:val="clear" w:color="auto" w:fill="CCEEFF"/>
          </w:tcPr>
          <w:p>
            <w:pPr>
              <w:jc w:val="right"/>
              <w:ind w:right="1911"/>
              <w:spacing w:after="0"/>
              <w:rPr>
                <w:sz w:val="20"/>
                <w:szCs w:val="20"/>
                <w:color w:val="auto"/>
              </w:rPr>
            </w:pPr>
            <w:r>
              <w:rPr>
                <w:rFonts w:ascii="Times New Roman" w:cs="Times New Roman" w:eastAsia="Times New Roman" w:hAnsi="Times New Roman"/>
                <w:sz w:val="16"/>
                <w:szCs w:val="16"/>
                <w:i w:val="1"/>
                <w:iCs w:val="1"/>
                <w:color w:val="auto"/>
              </w:rPr>
              <w:t>(b)</w:t>
            </w:r>
          </w:p>
        </w:tc>
        <w:tc>
          <w:tcPr>
            <w:tcW w:w="820" w:type="dxa"/>
            <w:vAlign w:val="bottom"/>
            <w:shd w:val="clear" w:color="auto" w:fill="CCEEFF"/>
          </w:tcPr>
          <w:p>
            <w:pPr>
              <w:spacing w:after="0"/>
              <w:rPr>
                <w:sz w:val="19"/>
                <w:szCs w:val="19"/>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2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3,794,254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38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Coal-Fired</w:t>
            </w:r>
          </w:p>
        </w:tc>
        <w:tc>
          <w:tcPr>
            <w:tcW w:w="19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222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3,794,254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Biomass Co-Fired / Natural Gas</w:t>
            </w: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Hibbard Renewable Energy Center in Duluth, MN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&amp; 4</w:t>
            </w:r>
          </w:p>
        </w:tc>
        <w:tc>
          <w:tcPr>
            <w:tcW w:w="14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8"/>
              </w:rPr>
              <w:t>1949, 1951</w:t>
            </w:r>
          </w:p>
        </w:tc>
        <w:tc>
          <w:tcPr>
            <w:tcW w:w="12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60</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66,884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Laskin Energy Center in Hoyt Lakes, MN</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 &amp; 2</w:t>
            </w: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1953</w:t>
            </w: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98</w:t>
            </w:r>
          </w:p>
        </w:tc>
        <w:tc>
          <w:tcPr>
            <w:tcW w:w="1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172,011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Biomass Co-Fired / Natural Gas</w:t>
            </w:r>
          </w:p>
        </w:tc>
        <w:tc>
          <w:tcPr>
            <w:tcW w:w="9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158</w:t>
            </w:r>
          </w:p>
        </w:tc>
        <w:tc>
          <w:tcPr>
            <w:tcW w:w="1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238,895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Hydro </w:t>
            </w:r>
            <w:r>
              <w:rPr>
                <w:rFonts w:ascii="Times New Roman" w:cs="Times New Roman" w:eastAsia="Times New Roman" w:hAnsi="Times New Roman"/>
                <w:sz w:val="16"/>
                <w:szCs w:val="16"/>
                <w:i w:val="1"/>
                <w:iCs w:val="1"/>
                <w:color w:val="auto"/>
              </w:rPr>
              <w:t>(c)</w:t>
            </w: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Group consisting of ten stations in MN</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4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Multiple</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120</w:t>
            </w:r>
          </w:p>
        </w:tc>
        <w:tc>
          <w:tcPr>
            <w:tcW w:w="1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504,384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Wind </w:t>
            </w:r>
            <w:r>
              <w:rPr>
                <w:rFonts w:ascii="Times New Roman" w:cs="Times New Roman" w:eastAsia="Times New Roman" w:hAnsi="Times New Roman"/>
                <w:sz w:val="16"/>
                <w:szCs w:val="16"/>
                <w:i w:val="1"/>
                <w:iCs w:val="1"/>
                <w:color w:val="auto"/>
              </w:rPr>
              <w:t>(d)</w:t>
            </w: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Taconite Ridge Energy Center in Mtn. Iron, MN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4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2008</w:t>
            </w:r>
          </w:p>
        </w:tc>
        <w:tc>
          <w:tcPr>
            <w:tcW w:w="12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25</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47,389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Bison Wind Energy Center in Oliver and Morton Counties, ND</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2010-2014</w:t>
            </w: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497</w:t>
            </w:r>
          </w:p>
        </w:tc>
        <w:tc>
          <w:tcPr>
            <w:tcW w:w="1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1,232,079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4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Wind</w:t>
            </w:r>
          </w:p>
        </w:tc>
        <w:tc>
          <w:tcPr>
            <w:tcW w:w="9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522</w:t>
            </w:r>
          </w:p>
        </w:tc>
        <w:tc>
          <w:tcPr>
            <w:tcW w:w="1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1,279,468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Solar </w:t>
            </w:r>
            <w:r>
              <w:rPr>
                <w:rFonts w:ascii="Times New Roman" w:cs="Times New Roman" w:eastAsia="Times New Roman" w:hAnsi="Times New Roman"/>
                <w:sz w:val="16"/>
                <w:szCs w:val="16"/>
                <w:i w:val="1"/>
                <w:iCs w:val="1"/>
                <w:color w:val="auto"/>
              </w:rPr>
              <w:t>(e)</w:t>
            </w: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Group consisting of two solar arrays in MN</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Multiple</w:t>
            </w:r>
          </w:p>
        </w:tc>
        <w:tc>
          <w:tcPr>
            <w:tcW w:w="14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Multiple</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15,104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Generation</w:t>
            </w:r>
          </w:p>
        </w:tc>
        <w:tc>
          <w:tcPr>
            <w:tcW w:w="9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1,630</w:t>
            </w:r>
          </w:p>
        </w:tc>
        <w:tc>
          <w:tcPr>
            <w:tcW w:w="1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5,832,105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7"/>
        </w:trPr>
        <w:tc>
          <w:tcPr>
            <w:tcW w:w="4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Purchased Power</w:t>
            </w: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Lignite Coal - Square Butte near Center, ND </w:t>
            </w:r>
            <w:r>
              <w:rPr>
                <w:rFonts w:ascii="Times New Roman" w:cs="Times New Roman" w:eastAsia="Times New Roman" w:hAnsi="Times New Roman"/>
                <w:sz w:val="16"/>
                <w:szCs w:val="16"/>
                <w:i w:val="1"/>
                <w:iCs w:val="1"/>
                <w:color w:val="auto"/>
              </w:rPr>
              <w:t>(f)</w:t>
            </w:r>
          </w:p>
        </w:tc>
        <w:tc>
          <w:tcPr>
            <w:tcW w:w="9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1,508,295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Wind - Oliver Wind I and II in Oliver County, ND</w:t>
            </w: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357,727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Wind - Nobles 2 in Nobles County, MN </w:t>
            </w:r>
            <w:r>
              <w:rPr>
                <w:rFonts w:ascii="Times New Roman" w:cs="Times New Roman" w:eastAsia="Times New Roman" w:hAnsi="Times New Roman"/>
                <w:sz w:val="16"/>
                <w:szCs w:val="16"/>
                <w:i w:val="1"/>
                <w:iCs w:val="1"/>
                <w:color w:val="auto"/>
              </w:rPr>
              <w:t>(g)</w:t>
            </w:r>
          </w:p>
        </w:tc>
        <w:tc>
          <w:tcPr>
            <w:tcW w:w="9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978,793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Hydro - Manitoba Hydro in Manitoba, Canada</w:t>
            </w:r>
          </w:p>
        </w:tc>
        <w:tc>
          <w:tcPr>
            <w:tcW w:w="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1,463,184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Solar - Purchases from five solar arrays in MN</w:t>
            </w:r>
          </w:p>
        </w:tc>
        <w:tc>
          <w:tcPr>
            <w:tcW w:w="9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40,791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Long-Term Purchased Power</w:t>
            </w:r>
          </w:p>
        </w:tc>
        <w:tc>
          <w:tcPr>
            <w:tcW w:w="9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4,348,790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Purchased Power </w:t>
            </w:r>
            <w:r>
              <w:rPr>
                <w:rFonts w:ascii="Times New Roman" w:cs="Times New Roman" w:eastAsia="Times New Roman" w:hAnsi="Times New Roman"/>
                <w:sz w:val="16"/>
                <w:szCs w:val="16"/>
                <w:i w:val="1"/>
                <w:iCs w:val="1"/>
                <w:color w:val="auto"/>
              </w:rPr>
              <w:t>(h)</w:t>
            </w:r>
          </w:p>
        </w:tc>
        <w:tc>
          <w:tcPr>
            <w:tcW w:w="9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2,798,454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Purchased Power</w:t>
            </w:r>
          </w:p>
        </w:tc>
        <w:tc>
          <w:tcPr>
            <w:tcW w:w="9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7,147,244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3"/>
        </w:trPr>
        <w:tc>
          <w:tcPr>
            <w:tcW w:w="4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Regulated Utility Power Supply</w:t>
            </w:r>
          </w:p>
        </w:tc>
        <w:tc>
          <w:tcPr>
            <w:tcW w:w="9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12,979,349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79"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Minnesota Power anticipates ceasing coal operations at Boswell Units 3 and 4 by 2030 and 2035, respectively. (See Regulatory Matters.)</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48" w:lineRule="auto"/>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Boswell Unit 4 net capability shown above reflects Minnesota Power’s ownership percentage of 80 percent. WPPI Energy owns 20 percent of Boswell Unit 4. (See Note 3. Jointly-Owned Facilities and Assets.)</w:t>
      </w:r>
    </w:p>
    <w:p>
      <w:pPr>
        <w:spacing w:after="0" w:line="1"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Hydro consists of 10 stations with 34 generating units.</w:t>
      </w:r>
    </w:p>
    <w:p>
      <w:pPr>
        <w:spacing w:after="0" w:line="1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Taconite Ridge consists of 10 WTGs and Bison consists of 165 WTGs.</w:t>
      </w:r>
    </w:p>
    <w:p>
      <w:pPr>
        <w:spacing w:after="0" w:line="8"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Solar includes the 10 MW Camp Ripley Solar Array near Little Falls, MN, and a 40 kW community solar garden in Duluth, MN.</w:t>
      </w:r>
    </w:p>
    <w:p>
      <w:pPr>
        <w:spacing w:after="0" w:line="15" w:lineRule="exact"/>
        <w:rPr>
          <w:rFonts w:ascii="Times New Roman" w:cs="Times New Roman" w:eastAsia="Times New Roman" w:hAnsi="Times New Roman"/>
          <w:sz w:val="16"/>
          <w:szCs w:val="16"/>
          <w:i w:val="1"/>
          <w:iCs w:val="1"/>
          <w:color w:val="auto"/>
        </w:rPr>
      </w:pPr>
    </w:p>
    <w:p>
      <w:pPr>
        <w:ind w:left="340" w:right="20" w:hanging="332"/>
        <w:spacing w:after="0" w:line="248" w:lineRule="auto"/>
        <w:tabs>
          <w:tab w:leader="none" w:pos="331"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Minnesota Power has a PSA with Minnkota Power whereby Minnesota Power is selling a portion of its entitlement from Square Butte to Minnkota Power. (See Electric Sales / Customers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Minnkota Power PSA</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Item 1. Business – Corporate and Other – Investment in Nobles 2.</w:t>
      </w:r>
    </w:p>
    <w:p>
      <w:pPr>
        <w:spacing w:after="0" w:line="1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short-term market purchases in the MISO market and from Other Power Suppliers.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Supply (Continued)</w:t>
      </w:r>
    </w:p>
    <w:p>
      <w:pPr>
        <w:spacing w:after="0" w:line="2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Fuel</w:t>
      </w:r>
      <w:r>
        <w:rPr>
          <w:rFonts w:ascii="Times New Roman" w:cs="Times New Roman" w:eastAsia="Times New Roman" w:hAnsi="Times New Roman"/>
          <w:sz w:val="18"/>
          <w:szCs w:val="18"/>
          <w:color w:val="auto"/>
        </w:rPr>
        <w:t>. Minnesota Power purchases low-sulfur, sub-bituminous coal from the Powder River Basin region located in Montana and Wyoming. Coal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consumption in 2024 for electric generation at Minnesota Power’s coal-fired generating stations was 2.3 million tons (2.7 million tons in 2023; 2.7 million tons in 2022). As of December 31, 2024, Minnesota Power had coal inventories of 0.6 million tons (0.7 million tons as of December 31, 2023). Minnesota Power has coal supply agreements providing for the purchase of a significant portion of its coal requirements through December 2025. In 2025, Minnesota Power expects to obtain coal under these coal supply agreements and in the spot market. Minnesota Power continues to explore other future coal supply options and believes that adequate supplies of low-sulfur, sub-bituminous coal will continue to be available.</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Minnesota Power also has coal transportation agreements in place for the delivery of a significant portion of its coal requirements through December 2027. The costs of fuel and related transportation costs for Minnesota Power’s generation are recoverable from Minnesota Power’s utility customers through the fuel adjustment clause.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Coal Delivered to Minnesota Power</w:t>
            </w:r>
          </w:p>
        </w:tc>
        <w:tc>
          <w:tcPr>
            <w:tcW w:w="3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Ton</w:t>
            </w:r>
          </w:p>
        </w:tc>
        <w:tc>
          <w:tcPr>
            <w:tcW w:w="3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$40.20</w:t>
            </w: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$41.23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r>
      <w:tr>
        <w:trPr>
          <w:trHeight w:val="22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Price per MBtu</w:t>
            </w:r>
          </w:p>
        </w:tc>
        <w:tc>
          <w:tcPr>
            <w:tcW w:w="3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$2.20</w:t>
            </w: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$2.30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bl>
    <w:p>
      <w:pPr>
        <w:spacing w:after="0" w:line="3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Long-Term Purchased Power</w:t>
      </w:r>
      <w:r>
        <w:rPr>
          <w:rFonts w:ascii="Times New Roman" w:cs="Times New Roman" w:eastAsia="Times New Roman" w:hAnsi="Times New Roman"/>
          <w:sz w:val="18"/>
          <w:szCs w:val="18"/>
          <w:color w:val="auto"/>
        </w:rPr>
        <w:t>. Minnesota Power has contracts to purchase capacity and energy from various entities, including output from certain coal,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 hydro and solar generating facilities.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PPAs are detailed in Note 9. Commitments, Guarantees and Contingencies, with additional disclosure provided in the following paragraph.</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Square Butte PPA. </w:t>
      </w:r>
      <w:r>
        <w:rPr>
          <w:rFonts w:ascii="Times New Roman" w:cs="Times New Roman" w:eastAsia="Times New Roman" w:hAnsi="Times New Roman"/>
          <w:sz w:val="18"/>
          <w:szCs w:val="18"/>
          <w:color w:val="auto"/>
        </w:rPr>
        <w:t>Under the PPA with Square Butte that extends through 2026, Minnesota Power is entitled to 50 percent of the output of Square Butte’s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455 MW coal-fired generating unit. (See Note 9. Commitments, Guarantees and Contingencies.) BNI Energy mines and sells lignite coal to Square Butte. This lignite supply is sufficient to provide fuel for the anticipated useful life of the generating unit. Square Butte’s cost of lignite consumed in 2024 was approximately $2.25 per MBtu ($2.36 per MBtu in 2023; $2.05 per MBtu in 2022). (See </w:t>
      </w:r>
      <w:r>
        <w:rPr>
          <w:rFonts w:ascii="Times New Roman" w:cs="Times New Roman" w:eastAsia="Times New Roman" w:hAnsi="Times New Roman"/>
          <w:sz w:val="18"/>
          <w:szCs w:val="18"/>
          <w:i w:val="1"/>
          <w:iCs w:val="1"/>
          <w:color w:val="auto"/>
        </w:rPr>
        <w:t>Electric Sales / Customers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Minnkota Power PSA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Manitoba Hydro. </w:t>
      </w:r>
      <w:r>
        <w:rPr>
          <w:rFonts w:ascii="Times New Roman" w:cs="Times New Roman" w:eastAsia="Times New Roman" w:hAnsi="Times New Roman"/>
          <w:sz w:val="18"/>
          <w:szCs w:val="18"/>
          <w:color w:val="auto"/>
        </w:rPr>
        <w:t>Minnesota Power has two long-term PPAs with Manitoba Hydro. The first PPA provides for Minnesota Power to purchase 250 MW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and energy from Manitoba Hydro through May 2035. The second PPA provides for Minnesota Power to purchase up to 133 MW of energy from Manitoba Hydro through June 2040. A third PPA, which expired in April 2022 was an energy-only agreement, which primarily consisted of surplus hydro energy on Manitoba Hydro’s system that was delivered to Minnesota Power on a non-firm basis.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Wind Energy. </w:t>
      </w:r>
      <w:r>
        <w:rPr>
          <w:rFonts w:ascii="Times New Roman" w:cs="Times New Roman" w:eastAsia="Times New Roman" w:hAnsi="Times New Roman"/>
          <w:sz w:val="18"/>
          <w:szCs w:val="18"/>
          <w:color w:val="auto"/>
        </w:rPr>
        <w:t>Minnesota Power has a long-term PPA with Nobles 2 that provides for Minnesota Power to purchase the energy and associated capacity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Times New Roman" w:cs="Times New Roman" w:eastAsia="Times New Roman" w:hAnsi="Times New Roman"/>
          <w:sz w:val="18"/>
          <w:szCs w:val="18"/>
          <w:i w:val="1"/>
          <w:iCs w:val="1"/>
          <w:color w:val="auto"/>
        </w:rPr>
        <w:t>Corporate and Other –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Nobles 2</w:t>
      </w:r>
      <w:r>
        <w:rPr>
          <w:rFonts w:ascii="Times New Roman" w:cs="Times New Roman" w:eastAsia="Times New Roman" w:hAnsi="Times New Roman"/>
          <w:sz w:val="18"/>
          <w:szCs w:val="18"/>
          <w:color w:val="auto"/>
        </w:rPr>
        <w:t>.) Minnesota Power also has two long-term wind energy PPAs with an affiliate of NextEra Energy, Inc. to purchase the output from Oliver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(50 MW) and Oliver Wind II (48 MW) located in North Dakota.</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Solar Energy. </w:t>
      </w:r>
      <w:r>
        <w:rPr>
          <w:rFonts w:ascii="Times New Roman" w:cs="Times New Roman" w:eastAsia="Times New Roman" w:hAnsi="Times New Roman"/>
          <w:sz w:val="18"/>
          <w:szCs w:val="18"/>
          <w:color w:val="auto"/>
        </w:rPr>
        <w:t>Minnesota Power purchases solar energy from approximately 20 MW of solar energy facilities located in Minnesota that are owned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ALLETE subsidiary, and a one MW community solar garden in northeastern Minnesota, which is owned and operated by a third party.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Transmission and Distribution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electric transmission and distribution lines of 500 kV (232 miles), 345 kV (241 miles), 250 kV (466 miles), 230 kV (715 miles), 161 kV (43 miles), 115 kV (1,387 miles) and less than 115 kV (6,685 miles). We own and operate 154 substations with a total capacity of 10,647 megavolt-amperes. Some of our transmission and distribution lines interconnect with other utilities, and we own some of our transmission lines jointly with other utilities. (See Note 3. Jointly-Owned Facilities and Assets and Outlook – Regulated Operations – Transmission.)</w:t>
      </w:r>
    </w:p>
    <w:p>
      <w:pPr>
        <w:spacing w:after="0" w:line="20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Great Northern Transmission Line. </w:t>
      </w:r>
      <w:r>
        <w:rPr>
          <w:rFonts w:ascii="Times New Roman" w:cs="Times New Roman" w:eastAsia="Times New Roman" w:hAnsi="Times New Roman"/>
          <w:sz w:val="18"/>
          <w:szCs w:val="18"/>
          <w:color w:val="auto"/>
        </w:rPr>
        <w:t>As a condition of the 250 MW long-term PPA entered into with Manitoba Hydro, construction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capacity was required. As a result, Minnesota Power constructed the GNTL, an approximately 220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 In June 2020, Minnesota Power placed the GNTL into service with project costs of approximately $310 million incurred by Minnesota Power. Total project costs, including those costs contributed by a subsidiary of Manitoba Hydro, totaled approximately $660 million. The 250 MW PPA with Manitoba Hydro commenced when the GNTL was placed into service.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ATC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December 31, 2024, our equity investment in ATC was $194.4 million ($179.7 million as of December 31, 2023). (See Note 6. Equity Investments.)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ATC’s authorized return on equity was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On August 9, 2022, the U.S. Court of Appeals for the District of Columbia Circuit vacated and remanded the 2020 FERC order back to the FERC. On October 17, 2024, FERC ordered a return on equity of 9.98 percent, or 10.48 percent including an incentive adder for participation in a RTO, effective September 28, 2016.</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FERC issued a Notice of Proposed Rulemaking in April 2021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ATC’s most recent 10-year transmission assessment, which covers the years 2024 through 2033, identifies a need for between $8.9 billion and $10.9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Regulated Operations businesses own office and service buildings, an energy control center, repair shops, electric plants, transmission and distribution facilities and storerooms in various localities in Minnesota, Wisconsin and North Dakota. All of the electric plants are subject to mortgages, which collateralize the outstanding first mortgage bonds of Minnesota Power and SWL&amp;P. Most of the generating plants and substations are located on real property owned by Minnesota Power or SWL&amp;P, subject to the lien of a mortgage, whereas most of the transmission and distribution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3. Jointly-Owned Facilities and Assets.)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jurisdiction of various regulatory authorities and other organizations. Regulatory matters and proceedings are detailed in Note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Matters, with a summary included in the following paragraphs.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Electric Rates. </w:t>
      </w:r>
      <w:r>
        <w:rPr>
          <w:rFonts w:ascii="Times New Roman" w:cs="Times New Roman" w:eastAsia="Times New Roman" w:hAnsi="Times New Roman"/>
          <w:sz w:val="18"/>
          <w:szCs w:val="18"/>
          <w:color w:val="auto"/>
        </w:rPr>
        <w:t>All rates and contract terms in our Regulated Operations are subject to approval by applicable regulatory authorities. Minnesota Power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SWL&amp;P design their retail electric service rates based on cost of service studies under which allocations are made to the various classes of customers as approved by the MPUC or the PSCW. Nearly all retail sales include billing adjustment clauses, which may adjust electric service rates for changes in the cost of fuel and purchased energy, recovery of current and deferred conservation improvement program expenditures and recovery of certain transmission, renewable and environmental investments.</w:t>
      </w:r>
    </w:p>
    <w:p>
      <w:pPr>
        <w:spacing w:after="0" w:line="1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Minnesota Public Utilities Commission. </w:t>
      </w:r>
      <w:r>
        <w:rPr>
          <w:rFonts w:ascii="Times New Roman" w:cs="Times New Roman" w:eastAsia="Times New Roman" w:hAnsi="Times New Roman"/>
          <w:sz w:val="18"/>
          <w:szCs w:val="18"/>
          <w:color w:val="auto"/>
        </w:rPr>
        <w:t>The MPUC has regulatory authority over Minnesota Power’s retail service area in Minnesota, retail rates,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capital structure, issuance of securities and other matters. Minnesota Power’s retail base rates through 2022 were based on a 2018 MPUC retail rate order that allowed for a 9.25 percent return on common equity and a 53.81 percent equity ratio. Interim rates were implemented in Minnesota Power’s 2022 general rate case beginning in January 2022, and the resolution of Minnesota Power’s 2022 general rate case changed the allowed return on equity to 9.65 percent and the equity ratio to 52.50 percent beginning October 1, 2023. (See </w:t>
      </w:r>
      <w:r>
        <w:rPr>
          <w:rFonts w:ascii="Times New Roman" w:cs="Times New Roman" w:eastAsia="Times New Roman" w:hAnsi="Times New Roman"/>
          <w:sz w:val="18"/>
          <w:szCs w:val="18"/>
          <w:i w:val="1"/>
          <w:iCs w:val="1"/>
          <w:color w:val="auto"/>
        </w:rPr>
        <w:t>2022 Minnesota General Rate Case</w:t>
      </w:r>
      <w:r>
        <w:rPr>
          <w:rFonts w:ascii="Times New Roman" w:cs="Times New Roman" w:eastAsia="Times New Roman" w:hAnsi="Times New Roman"/>
          <w:sz w:val="18"/>
          <w:szCs w:val="18"/>
          <w:color w:val="auto"/>
        </w:rPr>
        <w:t>.) Minnesota Power expects to implement updated rates based on the 2024 MPUC retail rate order in the first quarter of 2025. This order allows for a return on equity of 9.78 percent and an equity ratio of 53.00 percent. As authorized by the MPUC, Minnesota Power also recognizes revenue under cost recovery riders for transmission and renewable investments.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Minnesota General Rate Case. </w:t>
      </w:r>
      <w:r>
        <w:rPr>
          <w:rFonts w:ascii="Times New Roman" w:cs="Times New Roman" w:eastAsia="Times New Roman" w:hAnsi="Times New Roman"/>
          <w:sz w:val="18"/>
          <w:szCs w:val="18"/>
          <w:color w:val="auto"/>
        </w:rPr>
        <w:t>On November 1, 2023, Minnesota Power filed a retail rate increase request with the MPUC seeking an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approximately 12.00 percent for retail customers, net of rider revenue incorporated into base rates. The rate filing sought a return on equity of 10.30 percent and a 53.00 percent equity ratio. On an annualized basis, the requested final rate increase would have generated approximately $89 million in additional revenue. In separate orders dated December 19, 2023, the MPUC accepted the filing as complete and approved an annual interim rate increase of approximately $64 million, net of rider revenue, beginning January 1, 2024, subject to refund.</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 2024, Minnesota Power entered into a settlement agreement with the Minnesota Department of Commerce, Minnesota Office of the Attorney General, Residential Utilities Division, and Large Power Intervenors to settle the retail rate increase request. As part of the settlement agreement, the parties agreed on all issues, including an overall rate increase of $33.97 million, net of rider revenue and amounts transferring to the fuel adjustment clause, a return on equity of 9.78 percent, an equity ratio of 53.00 percent, all non-financial items and cost allocation. In an order dated November 25, 2024, the MPUC approved the settlement agreement. Final rates are expected to be implemented in the first quarter of 2025; interim rates will be collected through this period with reserves recorded as necessary. As a result of the settlement, Minnesota Power recorded a reserve for an interim rate refund of $23.0 million pre-tax as of December 31, 2024, which is subject to MPUC approval of Minnesota Power’s refund calculation.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2022 Minnesota General Rate Case</w:t>
      </w:r>
      <w:r>
        <w:rPr>
          <w:rFonts w:ascii="Times New Roman" w:cs="Times New Roman" w:eastAsia="Times New Roman" w:hAnsi="Times New Roman"/>
          <w:sz w:val="18"/>
          <w:szCs w:val="18"/>
          <w:color w:val="auto"/>
        </w:rPr>
        <w:t>. In an order dated February 28, 2023, the MPUC made determinations regarding Minnesota Power’s general rate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allowing a return on common equity of 9.65 percent and a 52.50 percent equity ratio. In March 2023, Minnesota Power filed a petition for reconsideration with the MPUC requesting reconsideration and clarification of certain decisions in the MPUC’s order. The MPUC denied the requests for reconsideration in an order dated May 15, 2023.</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order dated September 29, 2023, the MPUC approved Minnesota Power’s final rates, which were implemented beginning on October 1, 2023. The MPUC order also approved Minnesota Power’s interim rate refund plan. Interim rates were collected through the third quarter of 2023 with reserves recorded as necessary. Minnesota Power recorded a reserve for an interim rate refund of approximately $39 million pre-tax as of September 30, 2023 (approximately $18 million as of December 31, 2022), which was refunded to customers during the fourth quarter of 2023.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 appealed with the Minnesota Court of Appeals (Court) specific aspects of the MPUC’s February 2023 and May 2023 rate case orders for the ratemaking treatment of Taconite Harbor and Minnesota Power’s prepaid pension asset. On September 9, 2024, the Court affirmed the MPUC’s Taconite Harbor treatment, but reversed and remanded the treatment of Minnesota Power’s prepaid pension asset back to the MPUC. The Court directed the MPUC to determine the amount of Minnesota Power’s prepaid pension asset to be included in rate base. The MPUC has not yet determined the next procedural steps in implementing the Court’s decision.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 (Continued)</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Minnesota Power Land Sales</w:t>
      </w:r>
      <w:r>
        <w:rPr>
          <w:rFonts w:ascii="Times New Roman" w:cs="Times New Roman" w:eastAsia="Times New Roman" w:hAnsi="Times New Roman"/>
          <w:sz w:val="18"/>
          <w:szCs w:val="18"/>
          <w:color w:val="auto"/>
        </w:rPr>
        <w:t>. In August 2020, Minnesota Power filed a petition with the MPUC for approval to sell land that surrounds several reservoirs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its hydroelectric system and is no longer required to maintain its operations. The land had an estimated value of approximately $100 million, and Minnesota Power proposed to credit ratepayers the net proceeds from the sales in a future rate case or through its renewable resources rider to mitigate future rate increases. In a November 2021 order, the MPUC authorized the land sales and directed the net proceeds to be refunded to ratepayers subject to certain conditions and required compliance filings. As of December 31, 2024, we have a regulatory liability recorded of $59.7 million related to these sales.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2021 Integrated Resource Plan. </w:t>
      </w:r>
      <w:r>
        <w:rPr>
          <w:rFonts w:ascii="Times New Roman" w:cs="Times New Roman" w:eastAsia="Times New Roman" w:hAnsi="Times New Roman"/>
          <w:sz w:val="18"/>
          <w:szCs w:val="18"/>
          <w:color w:val="auto"/>
        </w:rPr>
        <w:t>On February 1, 2021, Minnesota Power filed its latest IRP, which was approved by the MPUC in an order dated January 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approved IRP, which reflects a joint agreement reached with various stakeholders, outlines Minnesota Power’s clean-energy transition plans through 2035. These plans include expanding its renewable energy supply, achieving coal-free operations at its facilities by 2035, and investing in a resilient and flexible transmission and distribution grid.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 Minnesota Power is expected to file its next IRP in March 2025.</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Minnesota Power is making significant progress toward 100 percent carbon-free energy supply, continuing its commitment to climate, customers and communities through its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strategy. This vision builds on Minnesota Power’s achievement, in 2020, of providing 50 percent renewable energy to its customers.</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Public Service Commission of Wisconsin. </w:t>
      </w:r>
      <w:r>
        <w:rPr>
          <w:rFonts w:ascii="Times New Roman" w:cs="Times New Roman" w:eastAsia="Times New Roman" w:hAnsi="Times New Roman"/>
          <w:sz w:val="18"/>
          <w:szCs w:val="18"/>
          <w:color w:val="auto"/>
        </w:rPr>
        <w:t>The PSCW has regulatory authority over SWL&amp;P’s retail sales of electricity, natural gas and water, issuances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securities and other matters. SWL&amp;P’s retail rates through 2022 were based on a December 2018 order by the PSCW that allowed for a return on equity of 10.40 percent and a 55.00 percent equity ratio. The resolution of SWL&amp;P’s 2022 general rate case changed the allowed return on equity to 10.00 percent and maintained an equity ratio of 55.00 percent. (See </w:t>
      </w:r>
      <w:r>
        <w:rPr>
          <w:rFonts w:ascii="Times New Roman" w:cs="Times New Roman" w:eastAsia="Times New Roman" w:hAnsi="Times New Roman"/>
          <w:sz w:val="18"/>
          <w:szCs w:val="18"/>
          <w:i w:val="1"/>
          <w:iCs w:val="1"/>
          <w:color w:val="auto"/>
        </w:rPr>
        <w:t>2022 Wisconsin General Rate Case</w:t>
      </w:r>
      <w:r>
        <w:rPr>
          <w:rFonts w:ascii="Times New Roman" w:cs="Times New Roman" w:eastAsia="Times New Roman" w:hAnsi="Times New Roman"/>
          <w:sz w:val="18"/>
          <w:szCs w:val="18"/>
          <w:color w:val="auto"/>
        </w:rPr>
        <w:t xml:space="preserve">.) The resolution of SWL&amp;P’s 2024 general rate case further changed the allowed return on equity to 9.80 percent and continued to maintain an equity ratio of 55.00 percent beginning January 1, 2025. (See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Wisconsin General Rate Case</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Wisconsin General Rate Case. </w:t>
      </w:r>
      <w:r>
        <w:rPr>
          <w:rFonts w:ascii="Times New Roman" w:cs="Times New Roman" w:eastAsia="Times New Roman" w:hAnsi="Times New Roman"/>
          <w:sz w:val="18"/>
          <w:szCs w:val="18"/>
          <w:color w:val="auto"/>
        </w:rPr>
        <w:t>On March 29, 2024, SWL&amp;P filed a rate increase request for its electric, gas and water utilities with the PSCW.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sought an overall return on equity of 10.00 percent and a 55.00 percent equity ratio. On an annualized basis, the requested change would have increased rates by approximately 5.90 percent for retail customers and generate an estimated $7.3 million of additional revenue. In an order dated December 12, 2024, the PSCW approved an annual increase of approximately $5.5 million reflecting a return on equity of 9.80 percent and a 55.00 percent equity ratio. Final rates went into effect January 1, 2025.</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2022 Wisconsin General Rate Case. </w:t>
      </w:r>
      <w:r>
        <w:rPr>
          <w:rFonts w:ascii="Times New Roman" w:cs="Times New Roman" w:eastAsia="Times New Roman" w:hAnsi="Times New Roman"/>
          <w:sz w:val="18"/>
          <w:szCs w:val="18"/>
          <w:color w:val="auto"/>
        </w:rPr>
        <w:t>In an order dated December 20, 2022, the PSCW approved an annual increase of $3.3 million reflecting a return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of 10.00 percent and a 55.00 percent equity ratio. Final rates went into effect January 1, 2023.</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North Dakota Public Service Commission. </w:t>
      </w:r>
      <w:r>
        <w:rPr>
          <w:rFonts w:ascii="Times New Roman" w:cs="Times New Roman" w:eastAsia="Times New Roman" w:hAnsi="Times New Roman"/>
          <w:sz w:val="18"/>
          <w:szCs w:val="18"/>
          <w:color w:val="auto"/>
        </w:rPr>
        <w:t>The NDPSC has jurisdiction over site and route permitting of generation and transmission facilities in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Dakota.</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Federal Energy Regulatory Commission. </w:t>
      </w:r>
      <w:r>
        <w:rPr>
          <w:rFonts w:ascii="Times New Roman" w:cs="Times New Roman" w:eastAsia="Times New Roman" w:hAnsi="Times New Roman"/>
          <w:sz w:val="18"/>
          <w:szCs w:val="18"/>
          <w:color w:val="auto"/>
        </w:rPr>
        <w:t>The FERC has jurisdiction over the licensing of hydroelectric projects, the establishment of rates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transmission of electricity in interstate commerce, electricity sold at wholesale (including the rates for Minnesota Power’s municipal and wholesale customers), natural gas transportation, certain accounting and recordkeeping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Regional Organizations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Midcontinent Independent System Operator, Inc. </w:t>
      </w:r>
      <w:r>
        <w:rPr>
          <w:rFonts w:ascii="Times New Roman" w:cs="Times New Roman" w:eastAsia="Times New Roman" w:hAnsi="Times New Roman"/>
          <w:sz w:val="18"/>
          <w:szCs w:val="18"/>
          <w:color w:val="auto"/>
        </w:rPr>
        <w:t>Minnesota Power, SWL&amp;P and ATC are members of MISO, a regional transmission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Minnesota Power and SWL&amp;P retain ownership of their respective transmission assets, their transmission networks are under the regional operational control of MISO. Minnesota Power and SWL&amp;P take and provide transmission service under the MISO open access transmission tariff. In cooperation with stakeholders, MISO manages the delivery of electric power across 15 states and the Canadian province of Manitoba.</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North American Electric Reliability Corporation. </w:t>
      </w:r>
      <w:r>
        <w:rPr>
          <w:rFonts w:ascii="Times New Roman" w:cs="Times New Roman" w:eastAsia="Times New Roman" w:hAnsi="Times New Roman"/>
          <w:sz w:val="18"/>
          <w:szCs w:val="18"/>
          <w:color w:val="auto"/>
        </w:rPr>
        <w:t>The NERC has been certified by the FERC as the national electric reliability organization. The NERC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ensures the reliability of the North American bulk power system. The NERC oversees six regional entities that establish requirements, approved by the FERC, for reliable operation and maintenance of power generation facilities and transmission systems. Minnesota Power is subject to these reliability requirements and can incur significant penalties for noncompliance.</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Midwest Reliability Organization (MRO). </w:t>
      </w:r>
      <w:r>
        <w:rPr>
          <w:rFonts w:ascii="Times New Roman" w:cs="Times New Roman" w:eastAsia="Times New Roman" w:hAnsi="Times New Roman"/>
          <w:sz w:val="18"/>
          <w:szCs w:val="18"/>
          <w:color w:val="auto"/>
        </w:rPr>
        <w:t>Minnesota Power and ATC are members of the MRO, one of the six regional entities overseen by the NERC.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MRO's primary responsibilities are to: ensure compliance with mandatory reliability standards by entities which own, operate or use the interconnected, international bulk power system; conduct assessments of the grid's ability to meet electricity demand in the region; and analyze regional system events. The MRO region spans the Canadian provinces of Saskatchewan and Manitoba, and all or parts of 16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Minnesota Legislation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Renewable and Carbon-Free Energy Requirements. </w:t>
      </w:r>
      <w:r>
        <w:rPr>
          <w:rFonts w:ascii="Times New Roman" w:cs="Times New Roman" w:eastAsia="Times New Roman" w:hAnsi="Times New Roman"/>
          <w:sz w:val="18"/>
          <w:szCs w:val="18"/>
          <w:color w:val="auto"/>
        </w:rPr>
        <w:t>On February 7, 2023, the Minnesota Governor signed into law legislation that updates the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energy standards, includes an off 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Ongoing progress towards compliance with Minnesota's Carbon Free Standard is evaluated in the IRP proceedings at the MPUC. Minnesota Power's next IRP will be filed in March 2025 and discuss progress towards compliance with the 2040 law. Minnesota Power is also working with various stakeholders and participating in the regulatory process to implement this legislation.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55 percent of Minnesota Power’s power supply for its retail and municipal customers in Minnesota has been provided by renewable energy sources. Minnesota Power’s plans include expanding its renewable energy supply to 70 percent renewable energy by 2030. Minnesota Power has also set a target to achieve an 80 percent reduction in carbon emissions by 2035 compared to 2005 levels. (See Item 7. Management’s Discussion and Analysis of Financial Condition and Results of Operations – Outlook – EnergyForward.)</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Minnesota Solar Energy Standard. </w:t>
      </w:r>
      <w:r>
        <w:rPr>
          <w:rFonts w:ascii="Times New Roman" w:cs="Times New Roman" w:eastAsia="Times New Roman" w:hAnsi="Times New Roman"/>
          <w:sz w:val="18"/>
          <w:szCs w:val="18"/>
          <w:color w:val="auto"/>
        </w:rPr>
        <w:t>Minnesota law requires at least 1.5 percent of total retail electric sales, excluding sales to certain customers,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solar energy. At least 10 percent of the 1.5 percent mandate must be met by solar energy generated by or procured from solar photovoltaic devices with a nameplate capacity of 40 kW or less and community solar garden subscriptions. Minnesota Power has met both parts of the solar mandate to date.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are allowed to choose a supplier upon MPUC approval. Minnesota Power served eight Large Power Customers under contracts of at least 10 MW in 2024, none of which have engaged in a competitive rate process. (See </w:t>
      </w:r>
      <w:r>
        <w:rPr>
          <w:rFonts w:ascii="Times New Roman" w:cs="Times New Roman" w:eastAsia="Times New Roman" w:hAnsi="Times New Roman"/>
          <w:sz w:val="18"/>
          <w:szCs w:val="18"/>
          <w:i w:val="1"/>
          <w:iCs w:val="1"/>
          <w:color w:val="auto"/>
        </w:rPr>
        <w:t>Electric Sales / Customers.</w:t>
      </w:r>
      <w:r>
        <w:rPr>
          <w:rFonts w:ascii="Times New Roman" w:cs="Times New Roman" w:eastAsia="Times New Roman" w:hAnsi="Times New Roman"/>
          <w:sz w:val="18"/>
          <w:szCs w:val="18"/>
          <w:color w:val="auto"/>
        </w:rPr>
        <w:t>) No other large commercial or small industrial customers in Minnesota Power’s service territory have sought a provider outside Minnesota Power’s service territory.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2024, 4 percent of total regulated utility kWh sales were to municipal customers in Minnesota. These customers have the right to seek an energy supply from any wholesale electric service provider upon contract expiration. Minnesota Power’s wholesale electric contract with the Nashwauk Public Utilities Commission is effective through 2037. Minnesota Power’s wholesale electric contracts with 13 other non-affiliated municipal customers are effective through 2029. (See </w:t>
      </w:r>
      <w:r>
        <w:rPr>
          <w:rFonts w:ascii="Times New Roman" w:cs="Times New Roman" w:eastAsia="Times New Roman" w:hAnsi="Times New Roman"/>
          <w:sz w:val="18"/>
          <w:szCs w:val="18"/>
          <w:i w:val="1"/>
          <w:iCs w:val="1"/>
          <w:color w:val="auto"/>
        </w:rPr>
        <w:t>Electric Sales / Customers.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FERC has continued with its efforts to promote a competitive wholesale market through open-access electric transmission and other means. As a result, our electric sales to Other Power Suppliers and our purchases to supply our retail and wholesale load are made in a competitive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holds franchises to construct and maintain an electric distribution and transmission system in certain cities within its service territory. The remaining cities, villages and towns served by Minnesota Power do not require a franchise to operate. SWL&amp;P serves customers under electric, natural gas or water franchises in one city and 14 villages and towns.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ALLETE Clean Energy focuses on developing, acquiring, and operating clean and renewable energy projects. ALLETE Clean Energy currently owns, operates, or has developed more than 1,600 megawatts of wind energy generation in five major energy markets and eight states across the U.S. with a majority contracted under PSAs of various durations. In addition, ALLETE Clean Energy engages in the development of wind energy facilities to operate under long-term PSAs or for sale to others upon completion. (See Item 7. Management’s Discussion and Analysis of Financial Condition and Results of Operations – Outlook – ALLETE Clean Energy.)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 believes the market for renewable energy in North America is robust, driven by several factors including environmental regulation, tax incentives such as the extension of production tax credit and investment tax credits, societal expectations and continual technology advances. State renewable portfolio standards, state or federal regulations to limit GHG emissions and the extension of production tax credit and investment tax credits are examples of environmental regulation or public policy that we believe will drive renewable energy development.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production tax credit requalification of existing facilities or the sale of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ALLETE CLEAN ENERGY (Continued)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3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Wind Energy Facility</w:t>
            </w:r>
          </w:p>
        </w:tc>
        <w:tc>
          <w:tcPr>
            <w:tcW w:w="30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Capacity MW</w:t>
            </w:r>
          </w:p>
        </w:tc>
        <w:tc>
          <w:tcPr>
            <w:tcW w:w="14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MW</w:t>
            </w:r>
          </w:p>
        </w:tc>
        <w:tc>
          <w:tcPr>
            <w:tcW w:w="19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PSA Expiration</w:t>
            </w:r>
          </w:p>
        </w:tc>
      </w:tr>
      <w:tr>
        <w:trPr>
          <w:trHeight w:val="22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Armenia Mountain</w:t>
            </w:r>
          </w:p>
        </w:tc>
        <w:tc>
          <w:tcPr>
            <w:tcW w:w="302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6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PSA 1</w:t>
            </w:r>
          </w:p>
        </w:tc>
        <w:tc>
          <w:tcPr>
            <w:tcW w:w="30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30"/>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PSA 2</w:t>
            </w:r>
          </w:p>
        </w:tc>
        <w:tc>
          <w:tcPr>
            <w:tcW w:w="30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96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Midwest</w:t>
            </w: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Lake Benton</w:t>
            </w:r>
          </w:p>
        </w:tc>
        <w:tc>
          <w:tcPr>
            <w:tcW w:w="30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Storm Lake I</w:t>
            </w:r>
          </w:p>
        </w:tc>
        <w:tc>
          <w:tcPr>
            <w:tcW w:w="302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108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29"/>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Storm Lake II</w:t>
            </w:r>
          </w:p>
        </w:tc>
        <w:tc>
          <w:tcPr>
            <w:tcW w:w="30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77</w:t>
            </w:r>
          </w:p>
        </w:tc>
        <w:tc>
          <w:tcPr>
            <w:tcW w:w="14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Merchant</w:t>
            </w:r>
          </w:p>
        </w:tc>
        <w:tc>
          <w:tcPr>
            <w:tcW w:w="30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9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n/a</w:t>
            </w: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PSA</w:t>
            </w:r>
          </w:p>
        </w:tc>
        <w:tc>
          <w:tcPr>
            <w:tcW w:w="30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29"/>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302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17</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96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t>
            </w: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Caddo</w:t>
            </w:r>
          </w:p>
        </w:tc>
        <w:tc>
          <w:tcPr>
            <w:tcW w:w="30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303</w:t>
            </w:r>
          </w:p>
        </w:tc>
        <w:tc>
          <w:tcPr>
            <w:tcW w:w="14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Merchant</w:t>
            </w:r>
          </w:p>
        </w:tc>
        <w:tc>
          <w:tcPr>
            <w:tcW w:w="30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19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n/a</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PSA 1</w:t>
            </w:r>
          </w:p>
        </w:tc>
        <w:tc>
          <w:tcPr>
            <w:tcW w:w="30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2034</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PSA 2</w:t>
            </w:r>
          </w:p>
        </w:tc>
        <w:tc>
          <w:tcPr>
            <w:tcW w:w="30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2034</w:t>
            </w:r>
          </w:p>
        </w:tc>
      </w:tr>
      <w:tr>
        <w:trPr>
          <w:trHeight w:val="229"/>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Diamond Spring</w:t>
            </w:r>
          </w:p>
        </w:tc>
        <w:tc>
          <w:tcPr>
            <w:tcW w:w="30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303</w:t>
            </w:r>
          </w:p>
        </w:tc>
        <w:tc>
          <w:tcPr>
            <w:tcW w:w="14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PSA 1</w:t>
            </w:r>
          </w:p>
        </w:tc>
        <w:tc>
          <w:tcPr>
            <w:tcW w:w="30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1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PSA 2</w:t>
            </w:r>
          </w:p>
        </w:tc>
        <w:tc>
          <w:tcPr>
            <w:tcW w:w="30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30"/>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PSA 3</w:t>
            </w:r>
          </w:p>
        </w:tc>
        <w:tc>
          <w:tcPr>
            <w:tcW w:w="30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96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3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Condon</w:t>
            </w:r>
          </w:p>
        </w:tc>
        <w:tc>
          <w:tcPr>
            <w:tcW w:w="30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50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Glen Ullin</w:t>
            </w:r>
          </w:p>
        </w:tc>
        <w:tc>
          <w:tcPr>
            <w:tcW w:w="302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106</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29"/>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South Peak</w:t>
            </w:r>
          </w:p>
        </w:tc>
        <w:tc>
          <w:tcPr>
            <w:tcW w:w="302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9"/>
              </w:rPr>
              <w:t>80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9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2035</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ALLETE Clean Energy’s wind operations are located on real property owned by others with easement rights or necessary consents of governmental authorities. ALLETE Clean Energy’s Glen Ullin, South Peak, Diamond Spring and Caddo wind energy facilities are subject to tax equity financing structures. (See Note 1. Operations and Significant Accounting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Energy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2022, a wholly-owned subsidiary of ALLETE acquired 100 percent of the membership interests of New Energy for a purchase price of $165.5 million. New Energy, which is headquartered in Annapolis, Maryland, is a renewable energy development company with a primary focus on solar and storage facilities while also offering comprehensive operations, maintenance and asset management services. New Energy is a leading developer of community, commercial and industrial, and small utility-scale renewable energy projects that has completed more than 575 MW in its history, totaling more than $1.4 billion of capital. New Energy currently has a robust project pipeline with greater than 2,000 MW of renewable projects in development across over 20 different states. New Energy is involved in greenfield development as well as acquiring and completing mid-stage and late-stage renewable energy projects. New Energy will continue its current strategy of developing, owning and operating renewable energy projects.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Nobles 2</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subsidiary, ALLETE South Wind, owns a 49 percent equity interest in Nobles 2, the entity that owns and operates a 250 MW wind energy facility in southwestern Minnesota pursuant to a 20-year PPA with Minnesota Power. As of December 31, 2024, our equity investment in Nobles 2 was $145.7 million ($151.5 million at December 31, 2023). (See Note 6. Equity Investments.)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CORPORATE AND OTHER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Shore Energy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Minnesota Power is expected to purchase approximately 20 percent of the facility's output starting upon the completion of the facility pursuant to a capacity dedication agreement. Construction of NTEC is subject to obtaining additional permits from local, state and federal authorities. The total project cost is estimated to be approximately $700 million, of which South Shore Energy will be responsible for approximately 20 percent. South Shore Energy’s portion of NTEC project costs incurred through December 31, 2024, is approximately $10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BNI Energy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BNI Energy is a supplier of lignite coal in North Dakota, producing approximately 4 million tons annually and has an estimated 650 million tons of lignite coal reserves. Two electric generating cooperatives, Minnkota Power and Square Butte, consume virtually all of BNI Energy’s production of lignite under cost-plus fixed fee coal supply agreements extending through December 31, 2037. (See Item 1. Business – Regulated Operations – Power Supply – Long-Term Purchased Power and Note 9. Commitments, Guarantees and Contingencies.) The mining process disturbs and reclaims between 200 and 250 acres per year. Laws require that the reclaimed land be at least as productive as it was prior to mining. As of December 31, 2024, BNI Energy’s total reclamation liability is estimated at $82.1 million, which is included in Other Non-Current Liabilities on the Consolidated Balance Sheet at its present value. These costs are included in the cost-plus fixed fee contract, for which an asset reclamation cost receivable was included in Other Non-Current Assets on the Consolidated Balance Sheet. The asset reclamation obligation is guaranteed by surety bonds and a letter of credit. (See Note 9. Commitments, Guarantees and Contingencies.)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Properties represents our legacy Florida real estate investment. ALLETE Properties’ major project in Florida is Town Center at Palm Coast, which consists of approximately 200 acres of land as well as various residential units and non-residential square footage. In addition to the Town Center at Palm Coast project, ALLETE Properties has approximately 500 acres of other land available for sale. (See Item 7. Management’s Discussion and Analysis of Financial Condition and Results of Operations – Outlook – Corporate and Other – ALLETE Properties.)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Seller Financing. </w:t>
      </w:r>
      <w:r>
        <w:rPr>
          <w:rFonts w:ascii="Times New Roman" w:cs="Times New Roman" w:eastAsia="Times New Roman" w:hAnsi="Times New Roman"/>
          <w:sz w:val="18"/>
          <w:szCs w:val="18"/>
          <w:color w:val="auto"/>
        </w:rPr>
        <w:t>ALLETE Properties occasionally provides seller financing to qualified buyers. As of December 31, 2024, outstanding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receivables were $3.5 million, net of reserves, with maturities through 2029. These finance receivables accrue interest at market-based rates and are collateralized by the financed properties.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Regulation. </w:t>
      </w:r>
      <w:r>
        <w:rPr>
          <w:rFonts w:ascii="Times New Roman" w:cs="Times New Roman" w:eastAsia="Times New Roman" w:hAnsi="Times New Roman"/>
          <w:sz w:val="18"/>
          <w:szCs w:val="18"/>
          <w:color w:val="auto"/>
        </w:rPr>
        <w:t>A substantial portion of our development properties in Florida are subject to federal, state and local regulations, and restrictions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Non-Rate Base Generation and Miscellaneous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also includes other business development and corporate expenditures, unallocated interest expense, a small amount of non-rate base generation, land holdings in Minnesota, and earnings on cash and investments.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non-rate base generation consists of 29 MW of natural gas and hydro generation at Rapids Energy Center in Grand Rapids, Minnesota, which is primarily dedicated to the needs of one customer, UPM Blandin, and approximately 20 MW of solar energy facilities located in Sylvan, Hoyt Lakes, and Duluth, Minnesota, which sell energy generated to Minnesota Power.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9. Commitments, Guarantees and Contingencies.)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key human capital management objectives are to attract, recognize and retain high quality talent, align with strategic business objectives and support the Company’s values. To support these objectives, the Company’s programs are designed to develop talent; reward and support employees through competitive compensation programs and benefit plans; enhance the Company’s culture through efforts aimed at making the workplace more engaging, safe and inclusive; and recruit talent and leverage internal opportunities to create a high-performing, diverse workforce. Our management, the ALLETE Board of Directors Executive Compensation and Human Capital Committee, and our Board of Directors as a whole play key roles in reviewing and overseeing our human capital practices.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ALLETE had 1,616 employees, of which 1,564 were full-time. We also respect employees’ freedom of association and their right to collectively organize. As of December 31, 2024, Minnesota Power and SWL&amp;P have an aggregate of 490 employees covered under collective bargaining agreements, of which most are members of the International Brotherhood of Electrical Workers (IBEW) Local 31. The current labor agreements with IBEW Local 31 expire on April 30, 2026, for Minnesota Power and January 31, 2027, for SWL&amp;P. BNI Energy has 129 employees that are members of IBEW Local 1593. The current labor agreement with IBEW Local 1593 expires on March 31, 2026.</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ALLETE’s Human Rights Policy confirms our commitment to the advancement and protection of human rights, consistent with U.S. human rights laws and the general principles in the International Labour Organization Convention.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Integrity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Integrity is a foundational, shared value at ALLETE, is important to ALLETE’s business and operations, and enables our success.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 written Code of Business Conduct that applies to all our employees, directors of ALLETE, contractors, vendors, and others who do business with or on behalf of ALLETE.</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Health and Safety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success of our business is fundamentally connected to the well-being of our people. Our journey to zero injury starts with a culture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open and transparent. We encourage all employees to report injuries, near misses, and good catches, so that we can learn and share with others throughout the Company to improve safety performance. Leaders have regular safety conversations with employees, where hazard identification and controls are discussed to ensure we have defenses in depth and the capability to work safely. To monitor progress, the Company uses both leading and lagging indicators to analyze safety performance, injury trends, program participation and other data, such as data from our Company-wide safety perception survey to make informed decisions on safety practices aligned with direct input from our valued employees.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HUMAN CAPITAL MANAGEMENT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Talent Attraction, Retention and Development. </w:t>
      </w:r>
      <w:r>
        <w:rPr>
          <w:rFonts w:ascii="Times New Roman" w:cs="Times New Roman" w:eastAsia="Times New Roman" w:hAnsi="Times New Roman"/>
          <w:sz w:val="18"/>
          <w:szCs w:val="18"/>
          <w:color w:val="auto"/>
        </w:rPr>
        <w:t>For more than a century, ALLETE has been successful because of our ability to attract and retain high-quality people who demonstrate our shared values. We engage in workforce planning, and succession planning, while building a robust talent pathways and monitoring turnover.</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and support the growth and development of our employees and offer opportunities to participate in internal and external learning programs, supervisory and leadership development programs, and mentoring. Our internal talent development programs provide employees with the resources they need to develop proficiency in their role, help achieve their career goals and build leadership skills. We are focusing initiatives on programs to expand the diversity of new hires and updating on-the-job training—including apprenticeships and scholarships aimed at bridging opportunity gaps—as we recognize the importance of a strong talent pathway. Our internship program and our partnerships and participation in outreach programs with local schools and colleges attract students to careers in the energy industry.</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Our competitive compensation package gives employees flexibility, choices and opportunities. Competitive compensation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for the Company to attract and retain a qualified workforce to successfully manage our business and achieve our business objectives. We also strive to ensure pay equity among diverse employees performing equal or substantially similar work. Periodically, we review the median pay of our male and female employees as well as employees from diverse backgrounds.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Living Our People Value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care for people – our employees, our customers, the communities in which we serve, and our investors. We demonstrate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care by respecting and embracing differences and creating an environment where everyone feels included and can thrive. We believe that a workforce comprised of diverse backgrounds and experiences, where everyone is welcome and treated equitably, leads to stronger outcomes for all stakeholders.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Respect in the Workplace initiative, which includes education as well as ongoing discussions focused on building respectful relationships and managing bias. We strive to ensure our People value is demonstrated in the areas of workforce, supply chain, communications, customer relations, and community citizenship at ALLETE. ALLETE continues to take tangible steps toward advancing efforts by continuing to raise awareness and furthering intentional external relationships and partnerships.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Yellow Ribbon Program</w:t>
      </w:r>
      <w:r>
        <w:rPr>
          <w:rFonts w:ascii="Times New Roman" w:cs="Times New Roman" w:eastAsia="Times New Roman" w:hAnsi="Times New Roman"/>
          <w:sz w:val="18"/>
          <w:szCs w:val="18"/>
          <w:color w:val="auto"/>
        </w:rPr>
        <w:t>. ALLETE and its subsidiaries are dedicated to supporting veterans, military members and their families. An employee effort grew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that spirit of commitment to veterans and led the State of Minnesota to designate ALLETE/Minnesota Power and ALLETE Clean Energy as Yellow Ribbon Companies. The mission of ALLETE’s Yellow Ribbon Program is to contribute to the Company’s unique culture by proactively recruiting and retaining the best and supporting an environment in which military-connected employees can thrive.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4120" w:type="dxa"/>
            <w:vAlign w:val="bottom"/>
          </w:tcPr>
          <w:p>
            <w:pPr>
              <w:spacing w:after="0"/>
              <w:rPr>
                <w:sz w:val="20"/>
                <w:szCs w:val="20"/>
                <w:color w:val="auto"/>
              </w:rPr>
            </w:pPr>
          </w:p>
        </w:tc>
      </w:tr>
      <w:tr>
        <w:trPr>
          <w:trHeight w:val="45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As of February 13, 2025, these are the executive officers of ALLETE:</w:t>
            </w:r>
          </w:p>
        </w:tc>
        <w:tc>
          <w:tcPr>
            <w:tcW w:w="4120" w:type="dxa"/>
            <w:vAlign w:val="bottom"/>
          </w:tcPr>
          <w:p>
            <w:pPr>
              <w:spacing w:after="0"/>
              <w:rPr>
                <w:sz w:val="24"/>
                <w:szCs w:val="24"/>
                <w:color w:val="auto"/>
              </w:rPr>
            </w:pPr>
          </w:p>
        </w:tc>
      </w:tr>
      <w:tr>
        <w:trPr>
          <w:trHeight w:val="499"/>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41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Initial Effective Date</w:t>
            </w:r>
          </w:p>
        </w:tc>
      </w:tr>
      <w:tr>
        <w:trPr>
          <w:trHeight w:val="223"/>
        </w:trPr>
        <w:tc>
          <w:tcPr>
            <w:tcW w:w="70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Bethany M. Owen, Age 59</w:t>
            </w:r>
          </w:p>
        </w:tc>
        <w:tc>
          <w:tcPr>
            <w:tcW w:w="4120" w:type="dxa"/>
            <w:vAlign w:val="bottom"/>
            <w:shd w:val="clear" w:color="auto" w:fill="CCEEFF"/>
          </w:tcPr>
          <w:p>
            <w:pPr>
              <w:spacing w:after="0"/>
              <w:rPr>
                <w:sz w:val="19"/>
                <w:szCs w:val="19"/>
                <w:color w:val="auto"/>
              </w:rPr>
            </w:pPr>
          </w:p>
        </w:tc>
      </w:tr>
      <w:tr>
        <w:trPr>
          <w:trHeight w:val="225"/>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May 11, 2021</w:t>
            </w:r>
          </w:p>
        </w:tc>
      </w:tr>
      <w:tr>
        <w:trPr>
          <w:trHeight w:val="234"/>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February 3, 2020</w:t>
            </w:r>
          </w:p>
        </w:tc>
      </w:tr>
      <w:tr>
        <w:trPr>
          <w:trHeight w:val="229"/>
        </w:trPr>
        <w:tc>
          <w:tcPr>
            <w:tcW w:w="70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Nicole R. Johnson, Age 50</w:t>
            </w:r>
          </w:p>
        </w:tc>
        <w:tc>
          <w:tcPr>
            <w:tcW w:w="4120" w:type="dxa"/>
            <w:vAlign w:val="bottom"/>
            <w:shd w:val="clear" w:color="auto" w:fill="CCEEFF"/>
          </w:tcPr>
          <w:p>
            <w:pPr>
              <w:spacing w:after="0"/>
              <w:rPr>
                <w:sz w:val="19"/>
                <w:szCs w:val="19"/>
                <w:color w:val="auto"/>
              </w:rPr>
            </w:pPr>
          </w:p>
        </w:tc>
      </w:tr>
      <w:tr>
        <w:trPr>
          <w:trHeight w:val="225"/>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and President of ALLETE Clean Energy</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August 22, 2022</w:t>
            </w:r>
          </w:p>
        </w:tc>
      </w:tr>
      <w:tr>
        <w:trPr>
          <w:trHeight w:val="234"/>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and Chief Administrative Officer</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June 28, 2019</w:t>
            </w:r>
          </w:p>
        </w:tc>
      </w:tr>
      <w:tr>
        <w:trPr>
          <w:trHeight w:val="257"/>
        </w:trPr>
        <w:tc>
          <w:tcPr>
            <w:tcW w:w="708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Steven W. Morris, Age 63 (a)</w:t>
            </w:r>
          </w:p>
        </w:tc>
        <w:tc>
          <w:tcPr>
            <w:tcW w:w="4120" w:type="dxa"/>
            <w:vAlign w:val="bottom"/>
            <w:shd w:val="clear" w:color="auto" w:fill="CCEEFF"/>
          </w:tcPr>
          <w:p>
            <w:pPr>
              <w:spacing w:after="0"/>
              <w:rPr>
                <w:sz w:val="19"/>
                <w:szCs w:val="19"/>
                <w:color w:val="auto"/>
              </w:rPr>
            </w:pPr>
          </w:p>
        </w:tc>
      </w:tr>
      <w:tr>
        <w:trPr>
          <w:trHeight w:val="225"/>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February 9, 2022</w:t>
            </w: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October 28, 2021</w:t>
            </w:r>
          </w:p>
        </w:tc>
      </w:tr>
      <w:tr>
        <w:trPr>
          <w:trHeight w:val="234"/>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December 24, 2016</w:t>
            </w:r>
          </w:p>
        </w:tc>
      </w:tr>
      <w:tr>
        <w:trPr>
          <w:trHeight w:val="256"/>
        </w:trPr>
        <w:tc>
          <w:tcPr>
            <w:tcW w:w="708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Julie L. Padilla, Age 49</w:t>
            </w:r>
          </w:p>
        </w:tc>
        <w:tc>
          <w:tcPr>
            <w:tcW w:w="4120" w:type="dxa"/>
            <w:vAlign w:val="bottom"/>
            <w:shd w:val="clear" w:color="auto" w:fill="CCEEFF"/>
          </w:tcPr>
          <w:p>
            <w:pPr>
              <w:spacing w:after="0"/>
              <w:rPr>
                <w:sz w:val="19"/>
                <w:szCs w:val="19"/>
                <w:color w:val="auto"/>
              </w:rPr>
            </w:pPr>
          </w:p>
        </w:tc>
      </w:tr>
      <w:tr>
        <w:trPr>
          <w:trHeight w:val="234"/>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Chief Legal Officer and Corporate Secretary</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June 1, 2024</w:t>
            </w:r>
          </w:p>
        </w:tc>
      </w:tr>
      <w:tr>
        <w:trPr>
          <w:trHeight w:val="252"/>
        </w:trPr>
        <w:tc>
          <w:tcPr>
            <w:tcW w:w="708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Jeffrey J. Scissons, Age 48</w:t>
            </w:r>
          </w:p>
        </w:tc>
        <w:tc>
          <w:tcPr>
            <w:tcW w:w="4120" w:type="dxa"/>
            <w:vAlign w:val="bottom"/>
            <w:shd w:val="clear" w:color="auto" w:fill="CCEEFF"/>
          </w:tcPr>
          <w:p>
            <w:pPr>
              <w:spacing w:after="0"/>
              <w:rPr>
                <w:sz w:val="19"/>
                <w:szCs w:val="19"/>
                <w:color w:val="auto"/>
              </w:rPr>
            </w:pPr>
          </w:p>
        </w:tc>
      </w:tr>
      <w:tr>
        <w:trPr>
          <w:trHeight w:val="234"/>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and Corporate Treasurer</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September 19, 2024</w:t>
            </w:r>
          </w:p>
        </w:tc>
      </w:tr>
      <w:tr>
        <w:trPr>
          <w:trHeight w:val="252"/>
        </w:trPr>
        <w:tc>
          <w:tcPr>
            <w:tcW w:w="708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Joshua J. Skelton, Age 45</w:t>
            </w:r>
          </w:p>
        </w:tc>
        <w:tc>
          <w:tcPr>
            <w:tcW w:w="4120" w:type="dxa"/>
            <w:vAlign w:val="bottom"/>
            <w:shd w:val="clear" w:color="auto" w:fill="CCEEFF"/>
          </w:tcPr>
          <w:p>
            <w:pPr>
              <w:spacing w:after="0"/>
              <w:rPr>
                <w:sz w:val="19"/>
                <w:szCs w:val="19"/>
                <w:color w:val="auto"/>
              </w:rPr>
            </w:pP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Operating Officer of Minnesota Power</w:t>
            </w:r>
          </w:p>
        </w:tc>
        <w:tc>
          <w:tcPr>
            <w:tcW w:w="41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August 22,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062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24" w:lineRule="exact"/>
        <w:rPr>
          <w:sz w:val="20"/>
          <w:szCs w:val="20"/>
          <w:color w:val="auto"/>
        </w:rPr>
      </w:pPr>
    </w:p>
    <w:p>
      <w:pPr>
        <w:ind w:left="340" w:right="20" w:hanging="332"/>
        <w:spacing w:after="0" w:line="283" w:lineRule="auto"/>
        <w:tabs>
          <w:tab w:leader="none" w:pos="4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January 24, 2025, ALLETE announced the planned retirement of Steven W. Morris. As part of an orderly transition, Mr. Morris will remain at the Company through his retirement date of July 18, 2025.</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executive officers have been employed by us for more than five years in executive or management positions except for Ms. Padilla. Prior to election to the positions listed above, the following executives held other positions with the Company during the past five years.</w:t>
      </w:r>
    </w:p>
    <w:p>
      <w:pPr>
        <w:spacing w:after="0" w:line="187" w:lineRule="exact"/>
        <w:rPr>
          <w:sz w:val="20"/>
          <w:szCs w:val="20"/>
          <w:color w:val="auto"/>
        </w:rPr>
      </w:pPr>
    </w:p>
    <w:p>
      <w:pPr>
        <w:ind w:left="820" w:hanging="326"/>
        <w:spacing w:after="0" w:line="26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Mr. Skelton </w:t>
      </w:r>
      <w:r>
        <w:rPr>
          <w:rFonts w:ascii="Times New Roman" w:cs="Times New Roman" w:eastAsia="Times New Roman" w:hAnsi="Times New Roman"/>
          <w:sz w:val="18"/>
          <w:szCs w:val="18"/>
          <w:color w:val="auto"/>
        </w:rPr>
        <w:t>was Chief Operating Officer of Minnesota Power from November 2020 to August 2022; and Vice President Generation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ALLETE Safety from May 2019 to November 2020.</w:t>
      </w:r>
    </w:p>
    <w:p>
      <w:pPr>
        <w:jc w:val="both"/>
        <w:ind w:left="820" w:hanging="326"/>
        <w:spacing w:after="0" w:line="255"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Mr. Scissons </w:t>
      </w:r>
      <w:r>
        <w:rPr>
          <w:rFonts w:ascii="Times New Roman" w:cs="Times New Roman" w:eastAsia="Times New Roman" w:hAnsi="Times New Roman"/>
          <w:sz w:val="18"/>
          <w:szCs w:val="18"/>
          <w:color w:val="auto"/>
        </w:rPr>
        <w:t>was ALLETE Corporate Development and ALLETE Clean Energy Strategy Officer from September 2023 to September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ALLETE Clean Energy Chief Financial and Strategy Officer from January 2022 to September 2023; Director Corporate Development from January 2021 to January 2022; and Assistant Treasurer from January 2017 to January 2021.</w:t>
      </w: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past five years, Ms. Padilla held positions as Chief Regulatory Officer at Twin Metals Minnesota from April 2019 to July 2022 and an attorney at Fryberger Law Firm from November 2022 to April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the executive officers. All officers and directors are elected or appointed annually.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present term of office of the executive officers listed in the preceding table extends to the first meeting of our Board of Directors after the next annual meeting of shareholders. Both meetings are scheduled for May 13, 2025.</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risks and uncertainties discussed below could materially affect our business operations, financial position, results of operations and cash flows,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we file with the SEC.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Operations Risks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results of operations could be negatively impacted if our taconite, paper and pipeline customers experience an economic downturn, incur work stoppages, fail to compete effectively, experience decreased demand, fail to economically obtain raw materials, fail to renew or obtain necessary permits, or experience a decline in prices for their product.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Minnesota Power’s Large Power Customers (see Item 1. Business – Regulated Operations – Electric Sales / Customers) and Silver Bay Power accounted for 31 percent of our 2024 consolidated operating revenue (24 percent in 2023 and 29 percent in 2022) and 38 percent of Regulated Operations operating revenue (36 percent in 2023 and 36 percent in 2022). Minnesota Power’s taconite customers, which are currently owned by only two entities at the end of 2024, accounted for approximately 27 percent of consolidated operating revenue and 33 percent of Regulated Operations operating revenue in 2024. This concentrated ownership presents customer concentration risk for the Company, and could lead to further capacity consolidation for both steel blast furnaces and related Minnesota iron ore production. These customers are also involved in cyclical industries that by their nature are adversely impacted by economic downturns and are subject to strong competition in the marketplace. The North American paper and pulp industry also faces declining demand due to the impact of electronic substitution for print and changing customer needs. As a result, certain paper and pulp customers have reduced their existing operations or idled facilities in recent years and have pursued or are pursuing product changes in response to declining demand. Additionally, the taconite industry could be impacted by changing technology in the steel industry such as the adoption of electric arc furnaces for steelmaking, which could result in declining demand for taconite and the electricity used during its production.</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Minnesota Power also serves two pipeline customers that accounted for 2 percent of our 2024 consolidated operating revenue (2 percent in 2023 and in 2022) and 2 percent of Regulated Operations revenue in 2024 (3 percent in 2023 and 2 percent in 2022). These customers are involved in an industry that is seeing increased environmental pressure for construction of new or expanded pipeline infrastructure for the transportation of fossil fuels. Changes in regulatory rulings or permit proceedings could result in changes to operations of the pipeline network in our service territory.</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if our industrial customers experience an economic downturn, incur a work stoppage (including strikes, lock-outs or other events), fail to compete effectively, experience decreased demand, fail to economically obtain raw materials or operate their facilities, fail to renew or obtain necessary permits, or experience a decline in demand or prices for their product, there could be adverse effects on their operations and, consequently, this could have a negative impact on our results of operations as we are unable to remarket at similar prices the energy that would otherwise have been sold to such customers.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 and approvals.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long-term strategy, we pursue new wholesale and retail loads in and around our service territories. Currently, there are several companies in northeastern Minnesota that are in the process of developing natural resource-based projects that represent long-term growth potential and load diversity for our Regulated Operations businesses. These projects may include construction of new facilities and restarts of old facilities, both of which require permitting and approvals to be obtained before the projects can be successfully implemented. If a project does not obtain any necessary governmental (including environmental) permits and approvals or if these customers are unable to successfully implement expansion plans, our long-term strategy and thus our results of operations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Risks (Continued)</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businesses, investments and customers are subject to an extensive legal and regulatory framework under federal and state laws as well as regulations imposed by other organizations that may have a negative impact on our business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businesses, investments and customers are subject to an extensive legal and regulatory framework imposed under federal and state law including regulations administered by the FERC, MPUC, MPCA, PSCW, NDPSC and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renewable portfolio standards that require utilities to obtain specified percentages of electric supply from eligible renewable generation sources, among other things. Energy policy initiatives at the state or federal level could increase or accelerate renewable and carbon-free energy standards or incentives for distributed generation, municipal utility ownership, or local initiatives could introduce generation or distribution requirements that could change the current integrated utility model. (See Item 1. Business – Regulated Operations – Minnesota Legislation.) Our transmission systems and electric generation facilities are subject to the NERC mandatory reliability standards, including cybersecurity standards. Compliance with these standards may lead to increased operating costs and capital expenditures which are subject to regulatory approval for recovery. If it was determined that we were not in compliance with these mandatory reliability standards or other statutes, rules and orders, we could incur substantial monetary penalties and other sanctions, which could adversely affect our results of operations.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timing of approvals, the adoption of new regulations or the expansion of jurisdiction by these agencies and other organizations could have an adverse impact on our business and results of operations. In addition, our ability to manage changing regulations could be impacted by our rights and obligations under joint ownership agreements.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general rate cases with, or otherwise seek cost recovery authorization from, federal and state regulatory authorities. If Minnesota Power and SWL&amp;P do not receive an adequate amount of rate relief in general rate cases, including if rates are reduced, if increased rates are not approved or recovered on a timely basis, if fuel adjustment clause recoveries or cost recovery for other items are not granted at the requested level, or costs are otherwise unable to be recovered through rates,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regulated operations present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environmental laws and regulations affecting many aspects of our past, present and future operations, including air quality, water quality and usage, waste management, reclamation, hazardous wastes, avian mortality and natural resources. These laws and regulations, or new laws and regulations that may be passed, can result in increased capital expenditures and increased operating and other costs as a result of compliance, remediation, containment and monitoring obligations, particularly with regard to laws relating to emissions, coal ash and water discharge at generating facilities.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 lead to other environmental considerations and costs, which could have an adverse impact on our business, operations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Risks (Continued)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laws and regulations generally require us to obtain and comply with a wide variety of environmental licenses, permits, inspections and other approvals. Violations of these laws and regulations could expose us to regulatory and legal proceedings, disputes with, and legal challenges by, governmental authorities and private parties, as well as potential significant civil fines criminal penalties and other sanctions. On August 12, 2024, Minnesota Power received a Notice of Violation (NOV) from the MPCA, related to the spill at Boswell from a pipeline carrying ash wastewater from an inactive onsite storage pond to Blackwater Creek, which the Company reported on July 16, 2024. Minnesota Power continues to work with state and federal agencies to evaluate and mitigate the impacts from this event. We are unable to predict the mitigation or other costs related to the ash wastewater spill at this time; however, the costs could be material. (See Note 9. Commitments, Guarantees and Contingencies.)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Existing environmental regulations may be revised and new environmental regulations may be adopted or become applicable to us. Revised or additional regulations which result in increased compliance costs or additional operating restrictions, particularly if those costs are not fully recoverable from customers, could have an adverse effect on our results of operations.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regarding if and when new laws, regulations or administrative policies will be adopted to reduce or limit GHG and the impact any such laws or regulations would have on us. In 2024, our operating coal-fired generating facilities consisted of the 352 MW Boswell Unit 3 and the 468 MW Boswell Unit 4. (See Item 7. Management Discussion and Analysis of Financial Condition and Results of Operation – Outlook – EnergyForward.) Any future limits on GHG emissions at the federal or state level, or action taken by regulators, before these facilities are retired or become coal-free may require us to incur significant capital expenditures and increases in operating costs, or could result in early closure of coal-fired generating facilities, stranded assets, an impairment of assets, denial of full recovery of decommissioning costs in excess of amounts previously collected, or otherwise adversely affect our results of operations, particularly if resulting expenditures and costs are not fully recoverable from customers.</w:t>
      </w:r>
    </w:p>
    <w:p>
      <w:pPr>
        <w:spacing w:after="0" w:line="21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Our regulated operations may be adversely impacted by the physical and financial risks associated with climate change. See </w:t>
      </w:r>
      <w:r>
        <w:rPr>
          <w:rFonts w:ascii="Times New Roman" w:cs="Times New Roman" w:eastAsia="Times New Roman" w:hAnsi="Times New Roman"/>
          <w:sz w:val="18"/>
          <w:szCs w:val="18"/>
          <w:i w:val="1"/>
          <w:iCs w:val="1"/>
          <w:color w:val="auto"/>
        </w:rPr>
        <w:t>Entity-wide Risks</w:t>
      </w:r>
      <w:r>
        <w:rPr>
          <w:rFonts w:ascii="Times New Roman" w:cs="Times New Roman" w:eastAsia="Times New Roman" w:hAnsi="Times New Roman"/>
          <w:sz w:val="18"/>
          <w:szCs w:val="18"/>
          <w:color w:val="auto"/>
        </w:rPr>
        <w:t xml:space="preserve"> for additional discussion of risks related to GHG and climate change.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noncompliance.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operation and maintenance of our regulated electric generation, transmission and distribution facilities are subject to operational risks that could adversely affect our financial position, results of operations and cash flows.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operation of generating facilities involves many risks, including start-up operational risks, breakdown or failure of facilities, the dependence on a specific fuel source, inadequate fuel supply, availability of fuel transportation, and the impact of unusual or adverse weather conditions or other natural events, as well as the risk of performance below expected levels of output or efficiency. A significant portion of our facilities contain older generating equipment, which, even if maintained in accordance with good engineering practices, may require significant capital expenditures to continue operating at peak efficiency. Generation, transmission and distribution facilities and equipment are also likely to require periodic upgrades and improvements due to changing environmental standards and technological advances. Our ability to manage and operate certain facilities could also be impacted by our rights and obligations under the joint ownership agreements. We could be subject to costs associated with any unexpected failure to produce or deliver power, including failure caused by breakdown, forced outage or limited availability of fuel or fuel transportation, as well as the repair of damage to facilities due to breakdown, storms, natural disasters, wars, sabotage, terrorist acts and other catastrophic events. This could also lead to requiring additional purchased power to meet requirements of serving our retail load, which for Minnesota Power is subject to recovery under the fuel adjustment clause. Should these costs be denied or are otherwise unable to be recovered, our financial position, results of operations and cash flows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Risks (Continued)</w:t>
      </w:r>
    </w:p>
    <w:p>
      <w:pPr>
        <w:spacing w:after="0" w:line="2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successfully and timely complete capital repairs or improvements to existing regulated facilities or in the development of new electric generation and transmission facilities or other capital projects is contingent upon many variables.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incur significant capital expenditures in making capital repairs or improvements to our existing electric generation and transmission facilities and in the development and construction of new electric generation and transmission facilities. Should any such efforts be unsuccessful, not completed in a timely manner, if we are unable to obtain the necessary permits, land rights and regulatory approvals, or if there are increases in the costs for or limited availability of key materials, supplies, labor and services, we could be subject to additional costs or impairments, and projects may be delayed or canceled which could have an adverse impact on our financial position, results of operation and cash flows.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regulated electric operations may not have access to adequate and reliable transmission and distribution facilities necessary to deliver electricity to our customers.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our own transmission and distribution facilities, as well as facilities owned by other utilities, to deliver the electricity sold to our customers, and to other energy suppliers. If transmission capacity is inadequate or transmission and distribution facilities we rely on are damaged, our ability to sell and deliver electricity may be limited. We may have to forgo sales or may have to buy more expensive wholesale electricity that is available in a capacity-constrained area. The ability to restore adequate capacity or repair damaged infrastructure may be impacted by the availability of key materials, supplies, labor and services, which if unavailable may prolong the impact of capacity constraints or damaged facilities. In addition, any infrastructure failure or damage that interrupts or impairs delivery of electricity to our customers could negatively impact the satisfaction of our customers, which could have an adverse impact on our business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electricity may be volatile and fuel may be volatile and availability may be limited.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Volatility in market prices for electricity and volatility and limited availability of fuel could adversely impact our financial position and results of operations and may result from:</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weather conditions and natural disasters;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electricity usage;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transmission or transportation constraints, inoperability or inefficiencies;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competitively priced alternative energy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for energy;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power production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at our generating facilities or those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fuel and transportation of fuel;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and storage levels of natural gas, lignite, coal, crude oil and refined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wars, sabotage, terrorist acts, cybersecurity attacks or other catastrophic events;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energy, environmental, or other regulation and legislation, including the direct and indirect effects of new or changes in tariffs.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Volatility in market prices for our fuel and purchased power costs impacts our sales to retail, municipal and Other Power Suppliers. Fluctuations in our fuel and purchased power costs related to our retail and municipal customers are passed on to customers through the fuel adjustment clause; however, our results of operations and cash flows may be adversely impacted if increased fuel adjustment clause rates are not approved or recovered on a timely basis, if cost recovery is not granted at the requested level, or costs are otherwise unable to be recovered through the fuel adjustment clause.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Wholesale prices for electricity have also declined in recent years primarily due to the extension of renewable tax credits and additional renewable generation commencing operations. If there are reductions in demand from current customers, we lose retail customers, or we lose municipal customers that do not renew existing contracts, we will market any available power to Other Power Suppliers in an effort to mitigate any earnings impact. Sales to Other Power Suppliers are sold at market-based prices into the MISO market on a daily basis or through bilateral agreements of various durations. Due to wholesale prices for electricity being below our rates for retail and municipal customers, we do not expect that our power marketing efforts would fully offset the reduction in earnings resulting from the lower demand from existing customers or the loss of customers. (See Item 1. Business – Regulated Operations – Electric Sales / Customers.)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Risks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energy may decrease.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are impacted by the demand for energy in our service territories, our municipal customers and other power suppliers. There could be lower demand for energy due to a loss of customers as a result of economic conditions, customers constructing or installing their own generation facilities, higher costs and rates charged to customers, eligible municipal and other power suppliers choosing an alternative energy provider, or loss of service territory or franchises. Further, energy conservation and technological advances that increased energy efficiency may temporarily or permanently reduce the demand for energy products. In addition, we are impacted by state and federal regulations requiring mandatory conservation measures, which reduce the demand for energy products. Continuing technology improvements and regulatory developments may make customer and third party-owned generation technologies such as rooftop solar systems, WTGs, microturbines and battery storage systems more cost effective and feasible for certain customers. If customers utilize their own generation, demand for energy from us would decline. There may not be future economic growth opportunities that would enable us to replace the lost energy demand from these customers. Therefore, a decrease in demand for energy could adversely impact our financial position, results of operations and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ALLETE Clean Energy / Corporate and Other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inability to successfully manage and grow our businesses could adversely affect our results of operations.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strategy includes adding customers, new geographies, and growth through acquisitions or project development with long-term PSAs in place for the output or to be sold upon completion. This strategy depends, in part, on the Company’s ability to successfully identify and evaluate acquisition or development opportunities and consummate acquisitions on acceptable terms and obtain all required permits and approvals. The Company may compete with other companies for these acquisition and development opportunities, which may increase the Company’s cost of making acquisitions and the Company may be unsuccessful in pursuing these acquisition opportunities. Other companies may be able to pay more for acquisitions and may be able to identify, evaluate, bid for and purchase a greater number of assets than the Company’s financial or human resources permit. New laws and regulations promoting renewable energy generation may result in increased competition. Our ALLETE Clean Energy business is experiencing return pressures from increased competition, and lower forward price curves, as a growing amount of investment capital is being directed into wind energy generation opportunities. In addition, current and potential new project developments at our businesses can be negatively affected by a lower ALLETE stock price, which may result in such projects not being accretive, or otherwise unable to satisfy our financial objectives criteria to proceed. Additionally, tax law changes may adversely impact the economic characteristics of potential acquisitions or investments. If the Company is unable to execute its strategy of growth through acquisitions, project development for others, or the addition of new customers and geographies, it may impede our long-term objectives and business strategy.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Acquisitions and operations of recently acquired entities are subject to uncertainties. If we are unable to successfully integrate and manage future acquisitions and strategic investments, this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generation of electricity from wind and solar energy facilities depends heavily on suitable meteorological conditions.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our electric generation facilities are located in diverse geographic regions to reduce the potential impact that may be caused by unfavorable weather in a particular region, suitable meteorological conditions are variable and difficult to predict. If wind or solar conditions are unfavorable or meteorological conditions are unsuitable, electricity generation and revenue from wind and solar energy facilities may be substantially below our expectations. The electricity produced, production tax credits received, and revenues generated by a wind or solar energy facility are highly dependent on suitable wind conditions and associated weather conditions, which are variable and beyond our control. We base our decisions about which wind and solar projects to build or acquire as well as our electricity generation estimates, in part, on the findings of long-term wind and other meteorological studies conducted on the project site and its region; however, the unpredictable nature of wind and solar conditions, weather and meteorological conditions can result in material deviations from these studies and our expectations. Furthermore, components of our systems could be damaged by severe weather, such as hailstorms, lightning or tornadoes. In addition, replacement and spare parts for key components may be difficult or costly to acquire or may be unavailable. Unfavorable wind and solar conditions, weather or changes to meteorological patterns could impair the effectiveness of our electric generation facility assets, reduce their output beneath their rated capacity or require shutdown of key equipment, impeding operation of our wind energy facilities or lead to an impairment of assets.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 / Corporate and Other Risks (Continued)</w:t>
      </w:r>
    </w:p>
    <w:p>
      <w:pPr>
        <w:spacing w:after="0" w:line="2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construction, operation and maintenance of our electric generation facilities or investment in facilities are subject to operational risks that could adversely affect our financial position, results of operations and cash flows.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construction and operation of generating facilities involves many risks, including the performance by key contracted suppliers and maintenance providers; increases in the costs for or limited availability of key materials, supplies, labor and services; start-up operations risks; breakdown or failure of facilities; curtailment of facilities by counterparties or due to inadequate transmission capacity; the dependence on the availability of wind resources; or the impact of unusual, adverse weather conditions or other natural events, as well as the risk of performance below expected levels of output or efficiency. Some of our facilities contain older generating equipment, which even if maintained in accordance with good engineering practices, may require significant capital expenditures to continue operating at peak efficiency. We could be subject to costs associated with any unexpected failure to produce and deliver power, including failure caused by breakdown or forced outage, as well as the repair of damage to facilities due to storms, natural disasters, wars, sabotage, terrorist acts and other catastrophic events.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price of electricity may be volatile, which may impact results of operations at ALLETE Clean Energy wind energy facilities under contracts with commercial and industrial (C&amp;I) customers.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Unusual, adverse weather conditions or other natural events and different settlement prices between hub and node can cause volatility in market prices for electricity and adversely affect our financial position, results of operations and cash flows. ALLETE Clean Energy’s power sales agreements with C&amp;I customers at its Diamond Spring and Caddo wind energy facilities are contracts for differences where power is delivered to the market, a fixed price is paid by the customers to ALLETE Clean Energy, and differences between the market price and the fixed price are paid to or received from the customers. Certain contracts also settle with the market at the hub price whereas ALLETE Clean Energy settles with the customer at the node price which can vary significantly based on multiple factors. These settlement provisions can result in an adverse impact on our financial position, results of operations and cash flows when market prices are volatile, or lead to potential impairment of property, plant and equipment if these conditions persist for an extended period of time.</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 contracts with counterparties expire, we may not be able to replace them with agreements on similar terms or divest the related assets at a profit.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ALLETE Clean Energy is party to PSAs that expire in various years between 2027 and 2039. These PSA expirations are prior to the end of the estimated useful lives of the respective wind energy facilities. If, for any reason, ALLETE Clean Energy is unable to enter into new agreements with existing or new counterparties on similar terms once the current agreements expire, sell energy in the wholesale market resulting in similar revenue, or enter into a contract to sell the facility at a profit, our financial position, results of operations and cash flows could be adversely affected, which includes potential impairment of property, plant and equipment.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Counterparties to turbine and other generation supply, service and maintenance, or power sale agreements may not fulfill their obligations.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businesses are party to turbine and other generation supply agreements, service and maintenance agreements, and PSAs under various durations with a limited number of creditworthy counterparties. If, for any reason, any of the counterparties under these agreements do not fulfill their related contractual obligations, and we are unable to mitigate non-performance by a key supplier or maintenance provider or remarket PSA energy resulting in similar revenue, our financial position, results of operations and cash flows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ALLETE has a significant amount of goodwill. A determination that goodwill has been impaired could result in a significant non-cash charge to earnings.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approximately $155 million of goodwill recorded on our Consolidated Balance Sheet as of December 31, 2024, related to New Energy. If we change our business strategy, fail to deliver on our projected results or if market or other conditions adversely affect the operations of New Energy, we may be required to record an impairment charge. Declines in projected operating cash flows at New Energy could also result in an impairment charge. An impairment charge would result in a non-cash charge to earnings that could have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 / Corporate and Other Risks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BNI Energy may be adversely impacted by its exposure to customer concentration, and environmental laws and regulations.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BNI Energy sells lignite coal to two electric generating cooperatives, Minnkota Power and Square Butte, and could be adversely impacted if these customers were unable or unwilling to fulfill their related contractual obligations, or change the way in which they operate their generating facilities. In addition, BNI Energy and its customers may be adversely impacted by existing or new environmental laws and regulations which could have an adverse effect on our financial position, results of operations and cash flows. In addition, insurance companies have decreased the available coverage for policy holders in the mining industry, impacting the availability of coverage, and leading to higher deductibles and premiums.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market conditions where our legacy Florida real estate investment is located may deteriorate.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strategy related to the real estate assets of ALLETE Properties incorporates the possibility of a bulk sale of its entire portfolio, in addition to sales over time, however, adverse market conditions could impact the timing of land sales, which could result in little to no sales, while still incurring operating expenses such as community development district assessments and property taxes, resulting in net operating losses at ALLETE Properties. Furthermore, weak market conditions could put the properties at risk for an impairment charge. An impairment charge would result in a non-cash charge to earnings that could have an adverse effect on our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Entity-wide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materially adversely affected by health epidemics, pandemics and other outbreaks.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 epidemics, pandemics and other outbreaks, as well as the related federal and state government responses, can have widespread impacts on the economy and on our employees, customers, contractors and suppliers, such as those experienced from the COVID-19 pandemic. There may be uncertainty regarding the length of time an epidemic, pandemic or other outbreak will last, how they will evolve, or the extent and duration of any measures attempted to try and contain them.</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disruption of economic activity or an extended disruption of economic activity may lead to adverse impacts on our taconite, paper, pulp and secondary wood products, and pipeline customers’ operations including reduced production or the temporary idling or indefinite shutdown of facilities, which would result in lower sales and revenue from these customers. A disruption in capital markets could lead to increased borrowing costs or adversely impact our ability to access capital markets or other financing sources, which would adversely affect our ability to maintain our businesses or to implement our business plans. An epidemic, pandemic or other outbreak may also result in a disruption to our supply chains which could adversely impact our operations and capital projects resulting in project and operational delays, project cancellations, lower returns on projects and cost increases.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any efforts made to mitigate the impacts on the Company of an epidemic, pandemic or other outbreak, their ultimate impact also depends on factors beyond our control, including their duration and severity as well as governmental and third-party actions taken to contain their spread and mitigate their public health effects. As a result, we cannot predict the ultimate impact of an epidemic, pandemic or other outbreak, such as the COVID-19 pandemic and whether it will have a material impact on our liquidity, financial position, results of operations and cash flows.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access to financing sources and capital markets. If we do not have access to capital on acceptable terms or are unable to obtain capital when needed, our ability to execute our business plans, make capital expenditures or pursue other strategic actions that we may otherwise rely on for future growth would be adversely affected.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access to financing sources and the capital markets, on acceptable terms and at reasonable costs, as sources of liquidity for capital requirements not satisfied by our cash flows from operations. Rising interest rates, inflation and market disruptions or a downgrade of our credit ratings may increase the cost of borrowing or adversely affect our ability to access and finance in the capital markets or to access other financing sources such as tax equity financing. Such disruptions or causes of a downgrade could include but are not limited to: weakening of the Company’s cash flow metrics; a loss of, or a reduction in sales to, our taconite, paper and pipeline customers if we are unable to offset the related lost margins; weaker operating performance; adverse regulatory outcomes; disproportionate increase in the contribution to net income from ALLETE Clean Energy and our Corporate and Other businesses as compared to that from our Regulated Operations; deteriorating economic or capital market conditions; or volatility in commodity prices.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Entity-wide Risks (Continued)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not able to access capital on acceptable terms in sufficient amounts and when needed, or at all, the ability to maintain our businesses or to implement our business plans would be adversely affected. This would include our ability to make the significant capital expenditures planned in order to achieve Minnesota Power’s clean-energy transition plans. (See Item 7. Management’s Discussion and Analysis of Financial Condition and Results of Operations – Capital Requirements.)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deterioration in general economic conditions, an inflationary environment or supply chain disruptions may have adverse impacts on our financial position, results of operations and cash flows.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economic conditions deteriorate, we experience an inflationary environment or supply chains are disrupted on a national, regional or global level, it may have a negative impact on our customers and the Company’s financial position, results of operations and cash flows. This impact may include volatility and unpredictability in the demand for the products and services offered by our businesses, the loss of existing customers, tempered growth strategies, customer production cutbacks, customer bankruptcies and increases in costs for or limited availability of key materials, supplies, labor and services for our operations and capital projects. An uncertain economy could also adversely affect expenses including pension costs, interest costs, and uncollectible accounts, or lead to reductions in the value of certain real estate and other investments.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utility infrastructure and generating facilities, ongoing and future capital and development projects, and other operations require components, supplies, materials, labor and services sourced from suppliers or providers who, in turn, may source components from their suppliers. A shortage of key components, supplies, materials, labor or services in which an alternative supplier or provider is not identified could significantly impact project plans or our operations. Such impacts could include project delays, including potential for project cancellation, lower project returns, increased costs or the inability to provide service to customers, which could adversely impact our results of operations, financial condition or cash flows.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could be adversely affected by changes in governmental incentives or policies that support renewable energy or changes in taxes, tariffs, duties or other assessments on renewable energy or the equipment necessary to generate and deliver it.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reductions or modifications to, or the elimination of, governmental incentives or policies that support renewable energy, or the imposition of additional or increased sourcing of components subject to taxes, tariffs, duties or other assessments on renewable energy or the equipment necessary to generate and deliver it, could result in, among other items, the lack of a satisfactory market for the development or financing of new renewable energy projects and reduced project returns on current or future projects.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government currently imposes anti-dumping and countervailing duties on certain imported photovoltaic (PV) cells and modules from China and Taiwan. Such duties can change over time pursuant to annual reviews conducted by the U.S. Department of Commerce (DOC). On August 18, 2023, the U.S. DOC issued a final affirmative determination that imports of certain PV cells and modules assembled and completed in Cambodia, Malaysia, Thailand, and Vietnam are circumventing anti-dumping and countervailing duties. Duties were not collected on imports before June 2024 as a result of a temporary duty suspension ordered by the U.S. President. Our operating results could be adversely impacted if this U.S. DOC circumvention determination results in duties assessed on future purchases made by our businesses after the current moratorium ends, or if additional anti-dumping and countervailing duties are imposed by the U.S. government on products purchased by our businesses.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Entity-wide Risks (Continued)</w:t>
      </w:r>
    </w:p>
    <w:p>
      <w:pPr>
        <w:spacing w:after="0" w:line="23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could be adversely affected by changes in governmental policy related to taxes, tariffs and duties, as well as grants and other incentives.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investments and customers could be adversely affected by the direct and indirect effects of recently proposed and new tariffs, or changes in existing tariffs, on purchases from suppliers located outside of the U.S. or suppliers with products sourced from outside of the U.S.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 has PPAs that provide for the purchase of capacity and energy from Manitoba Hydro in Canada and also purchases other energy and capacity through MISO or under bilateral contracts with other power suppliers that may be sourced from outside of the U.S. A portion of SWL&amp;P’s natural gas purchases for resale in its regulated service territory is also sourced from Canada. In addition, the Company has various other agreements for the purchase of equipment and other components for use in our operations or capital projects that may be sourced from outside the U.S. We are evaluating the impact of proposed tariffs on our operations, capital projects and purchases from and agreements with suppliers.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Department of Energy (DOE) previously awarded grants on two transmission projects that are currently under various stages of development. (See Outlook – Transmission – North Plains Connector Development Agreement and HVDC Transmission System Project.) These projects could be materially affected by changes in DOE’s funding policies.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businesses, investments and customers are subject to extensive state and federal legislation and regulation, compliance with which could have an adverse effect on our businesses.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businesses, investments and customers are subject to, and affected by, extensive state and federal legislation and regulation. If it was determined that our businesses failed to comply with applicable laws and regulations, we could become subject to fines or penalties or be required to implement additional compliance measures or actions, the cost of which could be material. If we are unable to obtain all required permits and approvals for our development projects, it could negatively impact our ability to execute on our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strategy. Adoption of new laws, rules, regulations, principles, public policy positions or practices and their interpretations by federal and state agencies, or changes to or a failure to comply with current laws, rules, regulations, principles, public policy positions or practices and their interpretations, could have an adverse effect on our financial position, results of operations and cash flows.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inflation or terms of collective bargaining agreements with union employees.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Market performance and other changes could decrease the value of pension and other postretirement benefit plan assets, which may result in significant additional funding requirements and increased annual expenses.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of the capital markets impacts the values of the assets that are held in trust to satisfy future obligations under our pension and other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other postretirement benefit plan assets would increase the funding requirements under our benefit plans if asset returns do not recover. Additionally, our pension and other postretirement benefit plan liabilities are sensitive to changes in interest rates. As interest rates decrease, the liabilities increase, potentially increasing benefit expense and funding requirements. Our pension and other postretirement benefit plan costs are generally recoverable in our electric rates as allowed by our regulators or through our cost-plus fixed fee coal supply agreements at BNI Energy; however, there is no certainty that regulators will continue to allow recovery of these rising costs in the future.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Entity-wide Risks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significant reputational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could suffer negative impacts to its reputation as a result of operational incidents, violations of corporate compliance policies, such as our code of business conduct, by employees, directors of ALLETE, contractors, vendors and others who do business with or on behalf of ALLETE, regulatory violations, operations that produce or enable the production of GHG emissions or other events which may result in negative customer perception, increased regulatory oversight, and negative consequences to our credit ratings and ability to access capital, each of which could have an adverse effect on our financial position, results of operations and cash flows.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physical and financial risks associated with climate change and other catastrophic events, such as natural disasters and acts of war.</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Catastrophic events at or near Company facilities and equipment on which the Company depends upon or that otherwise impact the Company such as fires, wildfires, including the impact to Company facilities and operations or potential liability if caused by Company equipment, earthquakes, explosions, and floods, severe weather, such as ice storms, hailstorms, or tornadoes or similar occurrences, as well as acts of war, could adversely affect the Company’s facilities, operations, financial position, results of operations and cash flows. Although the Company has contingency plans and employs crisis management to respond and recover operations in the event of a severe disruption resulting from a catastrophic event, these measures may not be successful. Furthermore, despite these measures, if a catastrophic event were to occur, our financial position, results of operations and cash flows could be adversely affected.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scientific community generally accepts that emissions of GHG are linked to global climate change. Physical risks of climate change, such as more frequent, longer duration or more extreme weather events, changes in temperature and precipitation patterns, increased risk of wildfires, changes to ground and surface water availability, and other related phenomena, could affect some, or all, of our operations. Severe weather or other natural disasters could be destructive, which could result in increased costs or limit the availability of key materials, supplies, labor and services used in our operations or to respond to damaged facilities. An extreme weather event can also directly affect our capital assets, causing disruption in service to customers due to facility outages, downed wires and poles or damage to other operating equipment.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Climate-related risks that could adversely affect our financial position and results of operations include effects of environmental- or economic-based laws, regulations, incentives or initiatives designed to reduce the quantity or impact of GHG emissions, the ability of our regulated businesses to obtain rate adjustments to recover costs and investments to implement clean-energy transition plans, or disruptions to the economy or energy markets caused by climate change. This includes the risk of laws or regulations that create mandates that do not allow for a transition that protects the safety, reliability or affordability of energy for our customers, are implemented before cost-effective technology is developed and regulatory policy is established, or require the electric sector to decarbonize faster than other sectors. Additionally, restrictions on land use, wildlife impacts, and other environmental regulations could affect the siting, construction and operation of new or existing generation and transmission facilities needed to transition to lower-carbon generation sources.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all have the potential to adversely affect our business and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vulnerable to acts of terrorism or cybersecurity attacks.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may be targets of terrorist activities or cybersecurity attacks, which could disrupt our ability to provide utility service at our regulated utilities, develop or operate our renewable energy projects at ALLETE Clean Energy, or operate our other businesses. The impacts may also impair the fulfillment of critical business functions, negatively impact our reputation, subject us to litigation or increased regulation, or compromise sensitive, confidential and other data.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cybersecurity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Hacking, computer viruses, terrorism, theft and sabotage could impact our systems and facilities, or those of third parties on which we rely, which may disrupt our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Entity-wide Risks (Continued)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businesses require the continued operation of sophisticated custom-developed, purchased, and leased information technology systems and network infrastructure as well as the collection and retention of personally identifiable information of our customers, shareholders and employees. Although we maintain security measures designed to prevent cybersecurity incidents and protect our information technology and control systems, network infrastructure and other assets, our technology systems, or those of third parties on which we rely, may be vulnerable to disability, failures or unauthorized access due to hacking, viruses, acts of war or terrorism as well as other causes. If those technology systems fail or are breached and not recovered in a timely manner, we may be unable to perform critical business functions including effectively maintaining certain internal controls over financial reporting, our reputation may be negatively impacted, we may become subject to litigation or increased regulation, and sensitive, confidential and other data could be compromised. If our business were impacted by terrorist activities or cybersecurity attacks, such impacts could have an adverse effect on our financial position, results of operations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maintain insurance against some, but not all, of the risks and uncertainties we face.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insurance against some, but not all, of the risks and uncertainties we face. The occurrence of these risks and uncertainties, if not fully covered by insurance, could have a material effect on our financial position, results of operations and cash flows.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Government challenges to our tax positions, as well as tax law changes and the inherent difficulty in quantifying potential tax effects of our operations and business decisions, could adversely affect our results of operations and liquidity.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make judgments regarding the potential tax effects of various financial transactions and our ongoing operations in order to estimate our obligations to taxing authorities. The obligations, which include income taxes and taxes other than income taxes, involve complex matters that ultimately could be litigated. We also estimate our ability to use tax benefits, including those in the form of carryforwards and tax credits that are recorded as deferred tax assets on our Consolidated Balance Sheet. A disallowance of some or all of these tax benefits could have an adverse impact on our financial position, results of operations and cash flows.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utilizing, and plan to utilize in the future, our carryforwards and tax credits to reduce our income tax obligations. If we cannot generate enough taxable income in the future to utilize all of our carryforwards and tax credits before they expire, we may incur adverse charges to earnings.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federal or state tax authorities deny any deductions or tax credits, negatively change existing tax laws or policies, or fail to extend or renew policies beneficial to the Company, such as those for renewable energy production tax credits, our financial position, results of operations and cash flows may be adversely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financial position, results of operations, and cash flows could be materially affected by adverse results of litigation.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Unfavorable resolution of legal or administrative proceedings in which we are involved or other future legal or administrative proceedings may have an adverse effect on our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Merger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2024, ALLETE entered into the Merger Agreement. (See Note 15. Agreement and Plan of Merger.)</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There is no assurance when or if the Merger will be completed, and there could be an adverse effect on the Company’s business, results of operations, financial condition or cash flows if the Merger is not completed or is delayed.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Consummation of the Merger is subject to various closing conditions, including: (1) approval of the shareholders of ALLETE; (2) receipt of all required regulatory approvals without the imposition of a Burdensome Condition (as defined in the Merger Agreement);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 respect to the Company. The Merger Agreement also contains certain termination rights for both ALLETE and Alloy Parent, including if the Merger is not consummated by August 5, 2025 (subject to extension for an additional two successive three-month periods if all of the conditions to closing, other than the conditions related to obtaining regulatory approvals, have been satisfied). While the shareholders of ALLETE voted to approve and adopt the Merger Agreement and approve the transactions contemplated thereby, including the Merger, at a special meeting of the shareholders that was held on August 21, 2024, there can be no assurance that the other conditions to completion of the Merger will be satisfied or waived or that other events will not intervene to delay or result in the failure to close the proposed Merger. The Merger Agreement also provides for certain termination rights for each of ALLETE and Alloy Parent. If the Merger Agreement is terminated, there may be various material, adverse consequences to the Company, including that the Company could be required to pay Alloy Parent a termination fee of $116 million under certain specified circumstances. If the Merger is not completed or delayed, there may be negative reactions from the financial markets, including declines in the price of ALLETE’s common stock due to the fact that the current price may reflect a market assumption that the Merger will be completed.</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announcement and pendency of the Merger, during which the Company is subject to certain operating restrictions, could have an adverse effect on the Company’s businesses, results of operations, financial condition or cash flows.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and pendency of the Merger could disrupt the Company’s businesses, and uncertainty about the effect of the Merger may have an adverse effect on the Company. These uncertainties could affect existing employee relationships, disrupt the business of the Company, and could cause suppliers, vendors, partners, lenders and others that deal with the Company to: (1) defer entering into contracts with the Company; or (2) make other decisions concerning the Company or seek to change or cancel existing business relationships with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also requires the Company to obtain Parent’s consent prior to taking certain specified actions while the Merger is pending. These restrictions may prevent the Company from pursuing otherwise attractive business opportunities or making other changes to its business prior to the completion of the Merger.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will incur substantial transaction fees and costs in connection with the Merger.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transaction costs of $22.6 million after-tax through December 31, 2024, and expects to incur additional material expenses in connection with the Merger and completion of the transactions contemplated by the Merger Agreement. Further, even if the proposed Merger is not completed, the Company will need to pay certain costs relating to the proposed Merger incurred prior to the date the proposed Merger was abandoned, such as legal, accounting, financial advisory, filing and printing fees.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litigation related to the Merger could result in substantial costs and may delay or prevent the Merger from being completed.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to us and divert management time and resources. Additionally, if a plaintiff is successful in obtaining an injunction prohibiting consummation of the Merger, then that injunction may delay or prevent the Merger from being completed. A complaint has been filed in the U.S. District Court for the Southern District of New York alleging violation of Sections 14(a) and 20(a) of the Securities Exchange Act of 1934, disclosure deficiency in the Preliminary Proxy, and seeking to enjoin the transaction until certain disclosures are corrected. On September 3, 2024, that complaint was voluntarily dismissed without prejudice. Two additional complaints were filed on August 6, 2024, and August 7, 2024, in New York State Supreme Court, alleging negligent misrepresentation and negligence related to alleged deficiencies in the Preliminary Proxy. Those complaints have not been served on any defendant. The Company believes that the complaints are without merit.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ALLETE employs a multilayer approach to addressing cybersecurity risk based on the NIST framework. It has established a dedicated cybersecurity team that utilizes internal and external assessments, automated monitoring tools, and input from public and private partners to identify potential cyber threats. External third-party security firms are engaged to assist with cybersecurity risk assessments, penetration testing and system security analysis. ALLETE’s cybersecurity team works in conjunction with the risk management, legal, finance, accounting, operations, and information technology areas to assess the risk these identified cybersecurity threats present to the organization. To ensure consistency, these cybersecurity risk assessments are incorporated into ALLETE’s Enterprise Risk Management process, ALLETE’s information technology leadership reviews the company’s enterprise risk management-level cybersecurity risks on a quarterly basis, and key cybersecurity risks are incorporated into ALLETE’s enterprise risk management framework. Cybersecurity risks are managed and controlled through multiple overlapping layers of cybersecurity defenses that include:</w:t>
      </w:r>
    </w:p>
    <w:p>
      <w:pPr>
        <w:spacing w:after="0" w:line="21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 input from both public and private partnerships;</w:t>
      </w:r>
    </w:p>
    <w:p>
      <w:pPr>
        <w:spacing w:after="0" w:line="27"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comprehensive cybersecurity policy that encompasses but is not limited to social media, acceptable use (devices, wireless, remote access, internet use), information governance, monitoring, authentication, encryption, vulnerability management, third-party management, and recovery;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annual cybersecurity training for all employees with additional supplemental cybersecurity training required based on role;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random employee phish testing and follow-up;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procedural and automated cyber controls in conjunction with robust detection, mitigation, and recovery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multiple threat intelligence sources into our cybersecurity tools and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external cybersecurity threat response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a multidisciplinary cybersecurity incident response team;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cyber event simulation and tabletop exercises per year to hone the cybersecurity incident response team preparedness.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1C. Cybersecurity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ALLETE board of directors provides enterprise-level oversight of risks associated with cybersecurity threats through the Audit Committee, which assists the Board in fulfilling its oversight responsibilities regarding the Company’s policies and processes with respect to risk assessment and risk management, including any significant non-financial risk exposures; reviewing and discussing the Company’s information security policies and internal controls regarding information security; and reviewing the Company’s annual disclosures concerning the role of the Board in the risk oversight of the Company. The Audit Committee performs an annual review of the Company’s cybersecurity program and receives quarterly updates on key cybersecurity risks, the cybersecurity risk management plan, and cyber incident event trends.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ALLETE’s Chief Technology Officer (CTO) has primary responsibility for the development and oversight of ALLETE’s cybersecurity team and the development and maintenance of the company’s related cybersecurity policies and procedures. The CTO has over 25 years’ experience working in the information and operational technology field and is a registered professional engineer in the State of Minnesota. The company’s cybersecurity team continuously assesses the evolving cyber threat landscape based on their expertise and that of our third-party partners. They then work with all parts of ALLETE to protect against, detect, identify, respond to, and recover from the risks that cybersecurity threats present. The cybersecurity team views and responds to cybersecurity risks in a holistic manner, applying a comprehensive multilayered strategy to prevent, detect, and mitigate them. They have identified ALLETE’s critical cyber assets and taken appropriate steps to protect them. External expertise is regularly engaged to assess ALLETE’s cybersecurity program and help the cybersecurity team to strengthen the organization’s monitoring, alerting, prevention, mitigation, and recovery capabilities. Tabletop simulations, third-party cyber vulnerability assessments, maturity assessments, and partnerships are used to assess and refine all elements of our cybersecurity program.</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managing our own cybersecurity preparedness, we also consider and evaluate cybersecurity risks associated with the use of third-party service providers. Risk assessments are performed against third-party service providers with a specific focus on any sensitive data that is to be shared with them. The internal business owners of ALLETE’s applications are required to document user access reviews regularly. We request a System and Organizational Controls (SOC) 2 report from the vendors of our enterprise cloud applications. If they do not provide us with a SOC 2, we seek additional compensating risk assurance in our contract language with them. Risks associated with the use of third-party service providers are managed as part of our overall cybersecurity risk management framework.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continually manage and control the material risks that cybersecurity threats present to the organization, ALLETE invests significantly in the cybersecurity elements outlined above. In addition, the Company has made significant investments to fulfill the operational and financial regulatory requirements laid out by the North American Electric Reliability Corporation Critical Infrastructure Protection Standards and Sarbanes-Oxley Act of 2002.</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faces a number of cybersecurity risks in connection with its business. Although we believe such risks have not materially affected us, including our business strategy, results of operations, and financial conditions, we have, from time to time, experienced threats to and breaches of our data systems, including malware, phishing and computer virus attacks. See Item 1A. Risk Factors for additional information regarding our organization’s cybersecurity risks, which should be read together with this Item 1C. Cybersecurity.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Discussions of material regulatory and environmental proceedings are included in Note 4. Regulatory Matters and Note 9. Commitments, Guarantees and Contingencies, and are incorporated by reference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NYSE under the symbol ALE. We have paid dividends, without interruption, on our common stock since 1948. A quarterly dividend of $0.73 per share on our common stock is payable on March 1, 2025, to the shareholders of record on February 14, 2025. The timing and amount of future dividends will depend upon earnings, cash requirements, the financial condition of the Company, applicable government regulations and other factors deemed relevant by the ALLETE Board of Directors. As of February 1, 2025, there were approximately 17,000 common stock shareholders of record. On May 5, 2024, ALLETE entered into the Merger Agreement. (See Note 15. Agreement and Plan of Merger.)</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 publicly announced stock repurchase program and we did not repurchase any equity securities during the quarter ended December 31, 2024. Under the Merger Agreement, the Company cannot repurchase shares of common stock, subject to limited exceptions, without the prior written consent of Alloy Parent. (See Note 15.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ALLETE’s cumulative Total Shareholder Return on its common stock with the cumulative return of the S&amp;P 500 Index and the Philadelphia Utility Index. The S&amp;P 500 Index is a capitalization-weighted index of 500 stocks designed to measure performance of the broad domestic economy through changes in the aggregate market value of 500 stocks representing all major industries. Because this composite index has a broad industry base, its performance may not closely track that of a composite index comprised solely of electric utilities. The Philadelphia Utility Index is a capitalization-weighted index of 20 utility companies involved in the generation of electricity.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assume a $100 investment on December 31, 2019, and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171450</wp:posOffset>
            </wp:positionV>
            <wp:extent cx="5254625" cy="411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w:t>
            </w:r>
          </w:p>
        </w:tc>
        <w:tc>
          <w:tcPr>
            <w:tcW w:w="2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$99</w:t>
            </w: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$197</w:t>
            </w:r>
          </w:p>
        </w:tc>
      </w:tr>
      <w:tr>
        <w:trPr>
          <w:trHeight w:val="230"/>
        </w:trPr>
        <w:tc>
          <w:tcPr>
            <w:tcW w:w="3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Philadelphia Utility Index</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$111</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Form 10-K contain forward-looking information that involves risks and uncertainties. Readers are cautioned that forward-looking statements should be read in conjunction with our disclosures in this Form 10-K under the headings: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located on page 7 and “Risk Factors” located in Item 1A. The risks and uncertainties described in this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We present two reportable segments: Regulated Operations and ALLETE Clean Energy. Our segments were determined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guidance on segment reporting. We measure performance of our operations through budgeting and monitoring of contributions to consolidated net income by each business segment.</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4. Regulatory Matters.)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or has developed more than 1,600 megawatts of wind energy generation in five major energy markets and eight states across the U.S. with a majority contracted under PSAs of various durations. In addition, ALLETE Clean Energy engages in the development of wind energy facilities to operate under long-term PSAs or for sale to others upon completion.</w:t>
      </w: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New Energy, a renewable development company; our investment in Nobles 2, an entity that owns and operates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is incorporated under the laws of Minnesota. Our corporate headquarters are in Duluth, Minnesota. Statistical information is presented as of December 31, 2024, unless otherwise indicated. All subsidiaries are wholly-owned unless otherwise specifically indicated. References in this report to “we,” “us” and “our” are to ALLETE and its subsidiaries, collectively.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2024, ALLETE entered into the Merger Agreement. The Merger Agreement provides that, on and subject to the conditions set forth therein, Alloy Merger Sub will merge with and into ALLETE, with ALLETE continuing as the surviving corporation in the Merger and becoming a subsidiary of Alloy Parent. (See Note 15. Agreement and Plan of Merger.)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2024 Financial Overview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net income discussion summarizes a comparison of the year ended December 31, 2024, to the year ended December 31, 2023.</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attributable to ALLETE in 2024 was $179.3 million, or $3.10 per diluted share, compared to $247.1 million, or $4.30 per diluted share, in 2023. Net income in 2024 includes transaction expenses of $22.6 million after-tax, or $0.39 per share, related to the Merger. (See Note 15. Agreement and Plan of Merger.) Net income in 2023 included transaction expenses of $3.6 million after-tax, or $0.06 per share, related to the Merger and a $40.5 million, or $0.71 per share, after-tax gain recognized for a favorable arbitration ruling involving a subsidiary of ALLETE Clean Energy. (See Note 9. Commitments, Guarantees and Contingencies.) Earnings per share dilution in 2024 was $0.02 due to additional shares of common stock outstanding in 2024 compared to 2023.</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net income attributable to ALLETE was $160.9 million in 2024, compared to $147.2 million in 2023. Net income at Minnesota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was higher compared to 2023 reflecting the implementation of interim rates on January 1, 2024, net of reserves related to Minnesota Power’s rate case settlement (see Note 4. Regulatory Matters), and higher transmission margins, which were partially offset by higher depreciation and property tax expenses as well as lower margins from industrial customers. Net income at SWL&amp;P was lower than 2023 primarily due to higher operating and maintenance expenses. Our after-tax equity earnings in ATC were higher than 2023 reflecting period over period changes in ATC’s estimate of a refund liability related to the FERC decision on MISO return on equity complaints in 2024. (See Note 6. Equity Investments.)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net income attributable to ALLETE was $17.8 million in 2024 compared to $71.7 million in 2023. Net income in 2024 includes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 million after-tax gain on the sale of the Whitetail wind project. Net income in 2023 reflected a $44.3 million after-tax gain recognized for a favorable arbitration ruling involving a subsidiary of ALLETE Clean Energy. Net income in 2023 also included the gain on sale of the Red Barn project in 2023 of $4.3 million after-tax and higher interest income related to interest awarded as part of the arbitration ruling. Net income in 2024 and 2023 reflected a forced outage located near its Caddo wind energy facility beginning in the fourth quarter of 2023 through the second quarter of 2024 resulting in lower earnings.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net income attributable to ALLETE was $0.6 million in 2024 compared to $28.2 million in 2023. Net income in 2024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expenses of $22.6 million after-tax related to the Merger (See Note 15. Agreement and Plan of Merger), and also reflects lower earnings from Minnesota solar projects as investment tax credits were recognized in 2023 for the projects and lower earnings from ALLETE Properties reflecting fewer land sales in 2024 compared to 2023. Net income in 2023 reflects a $3.8 million after-tax expense for the consolidated income tax impact resulting from the gain on the favorable arbitration ruling. Net income at New Energy was $20.2 million in 2024 compared to $17.6 million in 2023.</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2024 Compared to 2023</w:t>
            </w: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14. Business Segments for financial results by segment.)</w:t>
            </w:r>
          </w:p>
        </w:tc>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9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 – Utility</w:t>
            </w:r>
          </w:p>
        </w:tc>
        <w:tc>
          <w:tcPr>
            <w:tcW w:w="2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r>
      <w:tr>
        <w:trPr>
          <w:trHeight w:val="230"/>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479.7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29"/>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30"/>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30"/>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30"/>
        </w:trPr>
        <w:tc>
          <w:tcPr>
            <w:tcW w:w="34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340" w:type="dxa"/>
            <w:vAlign w:val="bottom"/>
          </w:tcPr>
          <w:p>
            <w:pPr>
              <w:spacing w:after="0"/>
              <w:rPr>
                <w:sz w:val="19"/>
                <w:szCs w:val="19"/>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30"/>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2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34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340" w:type="dxa"/>
            <w:vAlign w:val="bottom"/>
          </w:tcPr>
          <w:p>
            <w:pPr>
              <w:spacing w:after="0"/>
              <w:rPr>
                <w:sz w:val="19"/>
                <w:szCs w:val="19"/>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29"/>
        </w:trPr>
        <w:tc>
          <w:tcPr>
            <w:tcW w:w="34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340" w:type="dxa"/>
            <w:vAlign w:val="bottom"/>
          </w:tcPr>
          <w:p>
            <w:pPr>
              <w:spacing w:after="0"/>
              <w:rPr>
                <w:sz w:val="19"/>
                <w:szCs w:val="19"/>
                <w:color w:val="auto"/>
              </w:rPr>
            </w:pPr>
          </w:p>
        </w:tc>
        <w:tc>
          <w:tcPr>
            <w:tcW w:w="6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bl>
    <w:p>
      <w:pPr>
        <w:spacing w:after="0" w:line="200" w:lineRule="exact"/>
        <w:rPr>
          <w:sz w:val="20"/>
          <w:szCs w:val="20"/>
          <w:color w:val="auto"/>
        </w:rPr>
      </w:pP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ALLETE, Inc. 2024 Form 10-K</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2024 Compared to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30"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 Utility </w:t>
      </w:r>
      <w:r>
        <w:rPr>
          <w:rFonts w:ascii="Times New Roman" w:cs="Times New Roman" w:eastAsia="Times New Roman" w:hAnsi="Times New Roman"/>
          <w:sz w:val="18"/>
          <w:szCs w:val="18"/>
          <w:color w:val="auto"/>
        </w:rPr>
        <w:t>increased $4.4 million from 2023 primarily due to the implementation of interim rates, net of reserves, in 2024,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fuel adjustment clause recoveries. These increases were partially offset by lower transmission revenue, kWh sales and gas sales as well as a reduction related to the expected utilization of North Dakota investment tax credits.</w:t>
      </w:r>
    </w:p>
    <w:p>
      <w:pPr>
        <w:spacing w:after="0" w:line="20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Interim retail rates for Minnesota Power, subject to refund, were approved by the MPUC and became effective January 1, 2024, resulting in revenue of $41.1 million, net of reserves related to Minnesota Power’s rate case settlement and rider revenue incorporated into base rates. (See Note 4. Regulatory Matters.)</w:t>
      </w:r>
    </w:p>
    <w:p>
      <w:pPr>
        <w:spacing w:after="0" w:line="20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 xml:space="preserve">Fuel adjustment clause revenue increased $3.4 million due to higher fuel and purchased power costs attributable to retail and municipal customers. </w:t>
      </w:r>
      <w:r>
        <w:rPr>
          <w:rFonts w:ascii="Times New Roman" w:cs="Times New Roman" w:eastAsia="Times New Roman" w:hAnsi="Times New Roman"/>
          <w:sz w:val="18"/>
          <w:szCs w:val="18"/>
          <w:i w:val="1"/>
          <w:iCs w:val="1"/>
          <w:color w:val="auto"/>
        </w:rPr>
        <w:t>(See Fuel, Purchased Power and Gas – Utility.)</w:t>
      </w:r>
    </w:p>
    <w:p>
      <w:pPr>
        <w:spacing w:after="0" w:line="18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Lower kWh sales decreased revenue by $15.3 million from 2023 reflecting lower sales to residential, commercial and industrial customers as well as lower sales to other power suppliers. Sales to residential and commercial customers decreased from 2023 primarily due to milder weather in 2024 compared to 2023. Sales to industrial customers decreased primarily due to lower sales to taconite and pipeline customers, partially offset by higher sales to paper, pulp and secondary wood product customers. Sales to other power suppliers, which are sold at market-based prices into the MISO market on a daily basis or through PSAs of various durations, decreased reflecting fewer market sales, partially offset by higher market prices in 2024 compared to 2023.</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3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64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Utility</w:t>
            </w:r>
          </w:p>
        </w:tc>
        <w:tc>
          <w:tcPr>
            <w:tcW w:w="2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and Municipal</w:t>
            </w: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Residential</w:t>
            </w:r>
          </w:p>
        </w:tc>
        <w:tc>
          <w:tcPr>
            <w:tcW w:w="2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1,069</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1,089</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1,322</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1,347</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Industrial</w:t>
            </w:r>
          </w:p>
        </w:tc>
        <w:tc>
          <w:tcPr>
            <w:tcW w:w="2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7,022</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7,044</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2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469</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466</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9,882</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9,946</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11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2,680</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2,819</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11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3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12,562</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12,765</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(203)</w:t>
            </w:r>
          </w:p>
        </w:tc>
        <w:tc>
          <w:tcPr>
            <w:tcW w:w="11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electric sales to taconite and mining customers accounted for 32 percent of regulated operating revenue in 2024 (32 percent in 2023). Revenue from electric sales to paper, pulp and secondary wood product customers accounted for 5 percent of regulated operating revenue in 2024 (5 percent in 2023). Revenue from electric sales to pipelines and other industrial customers accounted for 11 percent of regulated operating revenue in 2024 (11 percent in 2023).</w:t>
      </w:r>
    </w:p>
    <w:p>
      <w:pPr>
        <w:spacing w:after="0" w:line="20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 xml:space="preserve">Transmission revenue decreased $13.8 million primarily due to lower MISO-related revenue. Transmission revenue in 2024 included the refund of MISO transmission payments that were over collected during 2023. </w:t>
      </w:r>
      <w:r>
        <w:rPr>
          <w:rFonts w:ascii="Times New Roman" w:cs="Times New Roman" w:eastAsia="Times New Roman" w:hAnsi="Times New Roman"/>
          <w:sz w:val="18"/>
          <w:szCs w:val="18"/>
          <w:i w:val="1"/>
          <w:iCs w:val="1"/>
          <w:color w:val="auto"/>
        </w:rPr>
        <w:t>(See Transmission Services – Utility)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Cost recovery rider revenue decreased by $8.1 million from 2023 due to period over period changes in the estimate of North Dakota investment tax credits expected to be utilized by Minnesota Power. If the estimate of North Dakota investment tax credits expected to be utilized by Minnesota Power increases, an income tax benefit is recognized and a corresponding decrease in revenue is recognized to offset the impact of higher North Dakota investment tax credits on income tax expense.</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 xml:space="preserve">Revenue from gas sales at SWL&amp;P decreased $3.7 million reflecting fewer gas sales resulting from warmer winter weather and lower gas prices in 2024 compared to 2023. </w:t>
      </w:r>
      <w:r>
        <w:rPr>
          <w:rFonts w:ascii="Times New Roman" w:cs="Times New Roman" w:eastAsia="Times New Roman" w:hAnsi="Times New Roman"/>
          <w:sz w:val="18"/>
          <w:szCs w:val="18"/>
          <w:i w:val="1"/>
          <w:iCs w:val="1"/>
          <w:color w:val="auto"/>
        </w:rPr>
        <w:t>(See Fuel, Purchased Power and Gas – Utility.)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2024 Compared to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decreased $0.2 million from 2023.</w:t>
      </w:r>
    </w:p>
    <w:p>
      <w:pPr>
        <w:spacing w:after="0" w:line="254"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Purchased Power and Gas – Utility </w:t>
      </w:r>
      <w:r>
        <w:rPr>
          <w:rFonts w:ascii="Times New Roman" w:cs="Times New Roman" w:eastAsia="Times New Roman" w:hAnsi="Times New Roman"/>
          <w:sz w:val="18"/>
          <w:szCs w:val="18"/>
          <w:color w:val="auto"/>
        </w:rPr>
        <w:t>expense decreased $4.6 million, or 1 percent, from 2023 primarily due to lower kWh sales as well as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sales and prices. These decreases were partially offset by less company-owned generation in 2024 compared to 2023 resulting in more sales being supplied through higher cost purchased power.</w:t>
      </w:r>
    </w:p>
    <w:p>
      <w:pPr>
        <w:spacing w:after="0" w:line="20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Transmission Services – Utility </w:t>
      </w:r>
      <w:r>
        <w:rPr>
          <w:rFonts w:ascii="Times New Roman" w:cs="Times New Roman" w:eastAsia="Times New Roman" w:hAnsi="Times New Roman"/>
          <w:sz w:val="18"/>
          <w:szCs w:val="18"/>
          <w:color w:val="auto"/>
        </w:rPr>
        <w:t>expense decreased $23.6 million, or 27 percent, from 2023 primarily due to lower MISO-related expense. Transmission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Services – Utility expense in 2024 included the refund of MISO transmission payments that were over billed during 2023. </w:t>
      </w:r>
      <w:r>
        <w:rPr>
          <w:rFonts w:ascii="Times New Roman" w:cs="Times New Roman" w:eastAsia="Times New Roman" w:hAnsi="Times New Roman"/>
          <w:sz w:val="18"/>
          <w:szCs w:val="18"/>
          <w:i w:val="1"/>
          <w:iCs w:val="1"/>
          <w:color w:val="auto"/>
        </w:rPr>
        <w:t>(See Operating Revenue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Utility)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expense increased $2.9 million, or 1 percent, from 2023 primarily due to higher salaries and wages, benefit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and professional services. These increases were partially offset by a reduction to expense for liquidated damages related to contractor underperformance under a maintenance agreement.</w:t>
      </w:r>
    </w:p>
    <w:p>
      <w:pPr>
        <w:spacing w:after="0" w:line="20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expense increased $17.1 million, or 10 percent, from 2023 primarily due to the impact of estimated compliance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EPA’s CCR Legacy Impoundment Rule finalized in May 2024 and a higher plant in service balance in 2024.</w:t>
      </w:r>
    </w:p>
    <w:p>
      <w:pPr>
        <w:spacing w:after="0" w:line="185"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Taxes Other than Income Taxes </w:t>
      </w:r>
      <w:r>
        <w:rPr>
          <w:rFonts w:ascii="Times New Roman" w:cs="Times New Roman" w:eastAsia="Times New Roman" w:hAnsi="Times New Roman"/>
          <w:sz w:val="18"/>
          <w:szCs w:val="18"/>
          <w:color w:val="auto"/>
        </w:rPr>
        <w:t>increased $8.0 million, or 18 percent, from 2023 primarily due to higher property tax expense. Property tax expense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included the favorable impact of an updated estimate for 2022 property tax expense recorded in 2023.</w:t>
      </w:r>
    </w:p>
    <w:p>
      <w:pPr>
        <w:spacing w:after="0" w:line="183"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increased $2.2 million, or 3 percent, from 2023 primarily due to higher interest rates and interest on Minnesota Power’s reserve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rate refunds in 2024.</w:t>
      </w:r>
    </w:p>
    <w:p>
      <w:pPr>
        <w:spacing w:after="0" w:line="18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Earnings </w:t>
      </w:r>
      <w:r>
        <w:rPr>
          <w:rFonts w:ascii="Times New Roman" w:cs="Times New Roman" w:eastAsia="Times New Roman" w:hAnsi="Times New Roman"/>
          <w:sz w:val="18"/>
          <w:szCs w:val="18"/>
          <w:color w:val="auto"/>
        </w:rPr>
        <w:t>increased $3.4 million, or 15 percent, from 2023 primarily due to period over period changes in ATC’s estimate of a refund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FERC decision on MISO return on equity complaints in 2024. (See Note 6. Equity Investments.)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$3.1 million from 2023 reflecting lower pension and other postretirement benefit plan non-service costs.</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decreased $4.8 million from 2023. This is primarily due to the updated expected future use of North Dakota investment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2024 Compared to 2023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27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3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$79.3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r>
      <w:tr>
        <w:trPr>
          <w:trHeight w:val="23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 Non-utility </w:t>
            </w:r>
            <w:r>
              <w:rPr>
                <w:rFonts w:ascii="Times New Roman" w:cs="Times New Roman" w:eastAsia="Times New Roman" w:hAnsi="Times New Roman"/>
                <w:sz w:val="16"/>
                <w:szCs w:val="16"/>
                <w:i w:val="1"/>
                <w:iCs w:val="1"/>
                <w:color w:val="auto"/>
              </w:rPr>
              <w:t>(a)</w:t>
            </w:r>
          </w:p>
        </w:tc>
        <w:tc>
          <w:tcPr>
            <w:tcW w:w="3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3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Income </w:t>
            </w:r>
            <w:r>
              <w:rPr>
                <w:rFonts w:ascii="Times New Roman" w:cs="Times New Roman" w:eastAsia="Times New Roman" w:hAnsi="Times New Roman"/>
                <w:sz w:val="16"/>
                <w:szCs w:val="16"/>
                <w:i w:val="1"/>
                <w:iCs w:val="1"/>
                <w:color w:val="auto"/>
              </w:rPr>
              <w:t>(b)</w:t>
            </w:r>
          </w:p>
        </w:tc>
        <w:tc>
          <w:tcPr>
            <w:tcW w:w="3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3"/>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6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Net Loss Attributable to Non-Controlling Interest </w:t>
            </w:r>
            <w:r>
              <w:rPr>
                <w:rFonts w:ascii="Times New Roman" w:cs="Times New Roman" w:eastAsia="Times New Roman" w:hAnsi="Times New Roman"/>
                <w:sz w:val="16"/>
                <w:szCs w:val="16"/>
                <w:i w:val="1"/>
                <w:iCs w:val="1"/>
                <w:color w:val="auto"/>
              </w:rPr>
              <w:t>(b)</w:t>
            </w:r>
          </w:p>
        </w:tc>
        <w:tc>
          <w:tcPr>
            <w:tcW w:w="3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(43.4)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3"/>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7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non-cash amortization of differences between contract prices and estimated market prices on assumed PSAs.</w:t>
      </w:r>
    </w:p>
    <w:p>
      <w:pPr>
        <w:spacing w:after="0" w:line="25"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Note 1. Operations and Significant Accounting Policies.</w:t>
      </w:r>
    </w:p>
    <w:p>
      <w:pPr>
        <w:spacing w:after="0" w:line="222"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$334.2 million from 2023 primarily due to the sales of ALLETE Clean Energy’s Northern Wind and Red Barn projects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2023, partially offset by the sale of ALLETE Clean Energy’s Whitetail wind project in 2024. In addition, operating revenue in 2024 was negatively impacted by a network outage located near Caddo. The network outage began in the fourth quarter of 2023 resulting from a forced outage of a substation and the transmission lines feeding that substation. This forced outage increased congestion experienced by Caddo resulting in lower kWh sales and pricing. The forced outage was resolved in June 2024. (See Outlook - ALLETE Clean Energy.)</w:t>
      </w: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and Operating Revenue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kWh</w:t>
            </w: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kWh</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 Energy Regions</w:t>
            </w:r>
          </w:p>
        </w:tc>
        <w:tc>
          <w:tcPr>
            <w:tcW w:w="1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East</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235.4</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$21.3</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224.0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Midwest</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560.3</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18.7</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560.9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1,395.3</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1,720.8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773.9</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14.8</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714.1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Wind Energy Facilities</w:t>
            </w: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2,964.9</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61.4</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3,219.8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Wind Energy Facility</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22.9</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Production and Operating Revenue</w:t>
            </w: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2,964.9</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$84.3</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3,219.8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b w:val="1"/>
          <w:bCs w:val="1"/>
          <w:color w:val="auto"/>
        </w:rPr>
        <w:t>2024 Compared to 2023 (Continued)</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ALLETE Clean Energy (Continued)</w:t>
      </w:r>
    </w:p>
    <w:p>
      <w:pPr>
        <w:spacing w:after="0" w:line="230"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Non-utility </w:t>
      </w:r>
      <w:r>
        <w:rPr>
          <w:rFonts w:ascii="Times New Roman" w:cs="Times New Roman" w:eastAsia="Times New Roman" w:hAnsi="Times New Roman"/>
          <w:sz w:val="18"/>
          <w:szCs w:val="18"/>
          <w:color w:val="auto"/>
        </w:rPr>
        <w:t>decreased $323.9 million from 2023 primarily due to the sales of ALLETE Clean Energy’s Northern Wind and Red Barn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projects, partially offset by the sale of ALLETE Clean Energy’s Whitetail wind project.</w:t>
      </w:r>
    </w:p>
    <w:p>
      <w:pPr>
        <w:spacing w:after="0" w:line="18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and Maintenance </w:t>
      </w:r>
      <w:r>
        <w:rPr>
          <w:rFonts w:ascii="Times New Roman" w:cs="Times New Roman" w:eastAsia="Times New Roman" w:hAnsi="Times New Roman"/>
          <w:sz w:val="18"/>
          <w:szCs w:val="18"/>
          <w:color w:val="auto"/>
        </w:rPr>
        <w:t>expense decreased $5.6 million, or 11 percent, from 2023 primarily due to business interruption insurance proceeds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Diamond Spring in 2024 related to a transformer outage in the first half of 2024.</w:t>
      </w:r>
    </w:p>
    <w:p>
      <w:pPr>
        <w:spacing w:after="0" w:line="18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decreased $60.5 million from 2023 primarily due to a $58.4 million gain recognized for a favorable arbitration ruling in 2023 involving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subsidiary of ALLETE Clean Energy and higher interest income related to $5.1 million of interest awarded as part of the favorable arbitration ruling. (See Note 6. Commitments, Guarantees, and Contingencies.)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decreased $18.3 million from 2023 primarily due to lower pre-tax income in 2024 compared to 2023.</w:t>
      </w:r>
    </w:p>
    <w:p>
      <w:pPr>
        <w:spacing w:after="0" w:line="25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Non-Controlling Interest </w:t>
      </w:r>
      <w:r>
        <w:rPr>
          <w:rFonts w:ascii="Times New Roman" w:cs="Times New Roman" w:eastAsia="Times New Roman" w:hAnsi="Times New Roman"/>
          <w:sz w:val="18"/>
          <w:szCs w:val="18"/>
          <w:color w:val="auto"/>
        </w:rPr>
        <w:t>decreased $7.1 million from 2023 reflecting lower availability at ALLETE Clean Energy’s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financed wind energy facilities resulting from the impacts of a network outage near Caddo and a transformer outage at Diamond Spring. This decrease was partially offset by a higher production tax credit rate, as determined by the Internal Revenue Service, in 2024 compared to 2023.</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$20.2 million, or 9 percent, from 2023 reflecting lower revenue from New Energy and lower revenue from ALLETE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reflecting fewer land sales in 2024 compared to 2023.</w:t>
      </w:r>
    </w:p>
    <w:p>
      <w:pPr>
        <w:spacing w:after="0" w:line="182"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ALLETE </w:t>
      </w:r>
      <w:r>
        <w:rPr>
          <w:rFonts w:ascii="Times New Roman" w:cs="Times New Roman" w:eastAsia="Times New Roman" w:hAnsi="Times New Roman"/>
          <w:sz w:val="18"/>
          <w:szCs w:val="18"/>
          <w:color w:val="auto"/>
        </w:rPr>
        <w:t>was $0.6 million in 2024 compared to $28.2 million in 2023. Net income in 2024 includes transaction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$22.6 million after-tax related to the Merger (See Note 15. Agreement and Plan of Merger), and also reflects lower earnings from Minnesota solar projects as investment tax credits were recognized in 2023 for the projects and lower earnings from ALLETE Properties reflecting fewer land sales in 2024 compared to 2023. Net income in 2023 reflects a $3.8 million after-tax expense for the consolidated income tax impact resulting from the gain on the favorable arbitration ruling. Net income at New Energy was $20.2 million in 2024 compared to $17.6 million in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Consolidated</w:t>
      </w:r>
    </w:p>
    <w:p>
      <w:pPr>
        <w:spacing w:after="0" w:line="25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effective tax rate was an expense of 3.7 percent (expense of 13.5 percent for the year ended December 31, 2023). The lower effective tax rate for 2024 is primarily due to lower pre-tax income. (See Note 11. Income Tax Expense.)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comparison of the results of operations for the years ended December 31, 2023 and 2022, is included in Management's Discussion in the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We believe the following policies are most critical to our business and the understanding of our results of operations.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Regulatory Accounting. </w:t>
      </w:r>
      <w:r>
        <w:rPr>
          <w:rFonts w:ascii="Times New Roman" w:cs="Times New Roman" w:eastAsia="Times New Roman" w:hAnsi="Times New Roman"/>
          <w:sz w:val="18"/>
          <w:szCs w:val="18"/>
          <w:color w:val="auto"/>
        </w:rPr>
        <w:t>Our regulated utility operations are subject to accounting standards for the effects of certain types of regulation. These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4. Regulatory Matters.)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Health and Life Actuarial Assumptions. </w:t>
      </w:r>
      <w:r>
        <w:rPr>
          <w:rFonts w:ascii="Times New Roman" w:cs="Times New Roman" w:eastAsia="Times New Roman" w:hAnsi="Times New Roman"/>
          <w:sz w:val="18"/>
          <w:szCs w:val="18"/>
          <w:color w:val="auto"/>
        </w:rPr>
        <w:t>We account for our pension and other postretirement benefit obligations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other postretirement benefits. In establishing the expected long-term rate of return on plan assets, we determine the long-term historical performance of each asset class and adjust these for current economic conditions while utilizing the target allocation of our plan assets to forecast the expected long-term rate of return. Our pension asset allocation as of December 31, 2024, was approximately 57 percent equity securities, 40 percent fixed income and 3 percent real estate. Our postretirement health and life asset allocation as of December 31, 2024, was approximately 67 percent equity securities, and 33 percent fixed income. Equity securities consist of a mix of market capitalization sizes with domestic and international securities. In 2024, we used weighted average expected long-term rates of return of 6.84 percent in our actuarial determination of our pension expense and 6.28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one-quarter percent decrease in the expected long-term rate of return would increase the annual expense for pension and other postretirement benefits by approximately $2.1 million, pre-tax.</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discount rate is computed using a bond matching study which utilizes a portfolio of high quality bonds that produce cash flows similar to the projected costs of our pension and other postretirement plans. In 2024, we used weighted average discount rates of 5.38 percent and 5.42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$0.2 million, pre-tax.</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mortality assumptions used to calculate our pension and other postretirement benefit obligations as of December 31, 2024, considered a modified PRI-2012 mortality table and MP-2021 mortality projection scale. (See Note 12. Pension and Other Postretirement Benefit Plans.)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Valuation of Business Combinations and Resulting Goodwill. </w:t>
      </w:r>
      <w:r>
        <w:rPr>
          <w:rFonts w:ascii="Times New Roman" w:cs="Times New Roman" w:eastAsia="Times New Roman" w:hAnsi="Times New Roman"/>
          <w:sz w:val="18"/>
          <w:szCs w:val="18"/>
          <w:color w:val="auto"/>
        </w:rPr>
        <w:t>When we acquire a business, the assets acquired and liabilities assumed are recorded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fair values as of the acquisition date. Determining the fair value of intangible assets acquired as part of a business combination requires us to make significant estimates. These estimates may include the amount and timing of projected future cash flows, the discount rate used to discount those cash flows to present value, the assessment of the asset’s life cycle, and the consideration of legal, technical, regulatory, economic and competitive risks.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(Continued)</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the excess of the purchase price (consideration transferred) over the estimated fair value of the net assets of the acquired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GAAP, goodwill is not amortized. The Company assesses whether there has been an impairment of goodwill annually in the fourth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The fair value of the New Energy reporting unit was determined using a discounted cash flow model, using significant assumptions which included a discount rate of 12.5 percent, cash flow forecasts through 2033, gross margins, and a terminal growth rate of 3.5 percent. Any forecast contains a degree of uncertainty, and changes in the forecasted cash flows and other assumptions could significantly increase or decrease the calculated fair value of New Energy. The results of our annual impairment test are discussed in Note 1. Operations and Significant Accounting Policies and Note 7. Fair Value in this Form 10-K. Goodwill was $154.9 million as of December 31, 2024.</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We review our long-lived assets for indicators of impairment in accordance with the accounting standards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plant and equipment on a quarterly basis.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standards for property, plant and equipment, if indicators of impairment exist, we test our long-lived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 (See Note 1. Operations and Significant Accounting Policies.)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We are required to make judgments regarding the potential tax effects of various financial transactions and our ongoing operations to estimate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obligations to taxing authorities. These tax obligations include income taxes and taxes other than income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the application of tax statutes and regulations, and projections of future federal taxable income, state taxable income, and state apportionment to determine our ability to utilize NOL and credit carryforwards prior to their expiration. Significant changes in assumptions regarding future federal and state taxable income or a change in tax rates could require new or increased valuation allowances which could result in a material impact on our results of operations.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ALLETE is predominately a regulated utility through Minnesota Power, SWL&amp;P, and an investment in ATC. ALLETE’s strategy is to remain predominately a regulated utility while investing in ALLETE Clean Energy,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2025. ALLETE expects its businesses to generally provide regulated, contracted or recurring revenues, and to support sustained growth in net income and cash flow.</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2022, the Inflation Reduction Act was signed into law. We believe our businesses will benefit from certain provisions of this law including from the extension and transferability of production tax credits and investment tax credits, among others. We have sold certain tax credits generated in 2023 and 2024, and we plan to continue selling certain tax credits generated in 2025 and beyond. We do not currently anticipate any impact from the new alternative minimum tax. We will continue to assess the impact of the law as additional implementation guidance becomes available and monitor any changes related to new public policies.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Minnesota Carbon-Free Legislation. </w:t>
      </w:r>
      <w:r>
        <w:rPr>
          <w:rFonts w:ascii="Times New Roman" w:cs="Times New Roman" w:eastAsia="Times New Roman" w:hAnsi="Times New Roman"/>
          <w:sz w:val="18"/>
          <w:szCs w:val="18"/>
          <w:color w:val="auto"/>
        </w:rPr>
        <w:t>On February 7, 2023, the Minnesota Governor signed a law that updated the state’s renewable energy standard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Ongoing progress towards compliance with Minnesota's Carbon Free Standard is evaluated in the IRP proceedings at the MPUC. Minnesota Power's next IRP will be filed in March 2025 and discuss progress towards compliance with the 2040 law.</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Minnesota Power’s long-term strategy is to be the leading electric energy provider in northeastern Minnesota by providing safe,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is making significant progress toward 100 percent carbon-free energy supply. (See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Regulatory Matters. </w:t>
      </w:r>
      <w:r>
        <w:rPr>
          <w:rFonts w:ascii="Times New Roman" w:cs="Times New Roman" w:eastAsia="Times New Roman" w:hAnsi="Times New Roman"/>
          <w:sz w:val="18"/>
          <w:szCs w:val="18"/>
          <w:color w:val="auto"/>
        </w:rPr>
        <w:t>Entities within our Regulated Operations segment are under the jurisdiction of the MPUC, FERC, PSCW and NDPSC. See Note 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Matters for discussion of regulatory matters within these jurisdictions.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Minnesota General Rate Case. </w:t>
      </w:r>
      <w:r>
        <w:rPr>
          <w:rFonts w:ascii="Times New Roman" w:cs="Times New Roman" w:eastAsia="Times New Roman" w:hAnsi="Times New Roman"/>
          <w:sz w:val="18"/>
          <w:szCs w:val="18"/>
          <w:color w:val="auto"/>
        </w:rPr>
        <w:t>On November 1, 2023, Minnesota Power filed a retail rate increase request with the MPUC seeking an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approximately 12.00 percent for retail customers, net of rider revenue incorporated into base rates. The rate filing sought a return on equity of 10.30 percent and a 53.00 percent equity ratio. On an annualized basis, the requested final rate increase would have generated approximately $89 million in additional revenue. In separate orders dated December 19, 2023, the MPUC accepted the filing as complete and approved an annual interim rate increase of approximately $64 million, net of rider revenue, beginning January 1, 2024, subject to refund.</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 2024, Minnesota Power entered into a settlement agreement with the Minnesota Department of Commerce, Minnesota Office of the Attorney General, Residential Utilities Division, and Large Power Intervenors to settle the retail rate increase request. As part of the settlement agreement, the parties agreed on all issues, including an overall rate increase of $33.97 million, net of rider revenue and amounts transferring to the fuel adjustment clause, a return on equity of 9.78 percent, an equity ratio of 53.00 percent, all non-financial items and cost allocation. In an order dated November 25, 2024, the MPUC approved the settlement agreement. Final rates are expected to be implemented in the first quarter of 2025; interim rates will be collected through this period with reserves recorded as necessary. As a result of the settlement, Minnesota Power recorded a reserve for an interim rate refund of $23.0 million pre-tax as of December 31, 2024, which is subject to MPUC approval of Minnesota Power’s refund calculation.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2022 Minnesota General Rate Case</w:t>
      </w:r>
      <w:r>
        <w:rPr>
          <w:rFonts w:ascii="Times New Roman" w:cs="Times New Roman" w:eastAsia="Times New Roman" w:hAnsi="Times New Roman"/>
          <w:sz w:val="18"/>
          <w:szCs w:val="18"/>
          <w:color w:val="auto"/>
        </w:rPr>
        <w:t>. Minnesota Power appealed with the Minnesota Court of Appeals (Court) specific aspects of the MPUC’s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May 2023 rate case orders for the ratemaking treatment of Taconite Harbor and Minnesota Power’s prepaid pension asset. On September 9, 2024, the Court affirmed the MPUC’s Taconite Harbor treatment, but reversed and remanded the treatment of Minnesota Power’s prepaid pension asset back to the MPUC. The Court directed the MPUC to determine the amount of Minnesota Power’s prepaid pension asset to be included in rate base. The MPUC has not yet determined the next procedural steps in implementing the Court’s decision.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Wisconsin General Rate Case. </w:t>
      </w:r>
      <w:r>
        <w:rPr>
          <w:rFonts w:ascii="Times New Roman" w:cs="Times New Roman" w:eastAsia="Times New Roman" w:hAnsi="Times New Roman"/>
          <w:sz w:val="18"/>
          <w:szCs w:val="18"/>
          <w:color w:val="auto"/>
        </w:rPr>
        <w:t>On March 29, 2024, SWL&amp;P filed a rate increase request for its electric, gas and water utilities with the PSCW.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sought an overall return on equity of 10.00 percent and a 55.00 percent equity ratio. On an annualized basis, the requested change would increase rates by approximately 5.90 percent for retail customers and generate an estimated $7.3 million of additional revenue. In an order dated December 12, 2024, the PSCW approved an annual increase of approximately $5.5 million reflecting a return on equity of 9.80 percent and a 55.00 percent equity ratio. Final rates went into effect January 1, 2025.</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Industrial Customers. </w:t>
      </w:r>
      <w:r>
        <w:rPr>
          <w:rFonts w:ascii="Times New Roman" w:cs="Times New Roman" w:eastAsia="Times New Roman" w:hAnsi="Times New Roman"/>
          <w:sz w:val="18"/>
          <w:szCs w:val="18"/>
          <w:color w:val="auto"/>
        </w:rPr>
        <w:t>Electric power is one of several key inputs in the taconite mining, paper, pulp and secondary wood products, pipeline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industries. Approximately 56 percent of our regulated utility kWh sales in 2024 (55 percent in 2023 and 52 percent in 2022) were made to our industrial customers. We expect industrial sales of approximately 6.9 million MWh in 2025 (7.0 million MWh in 2024 and 7.0 million MWh in 2023). (See Item 1. Business – Regulated Operations – Electric Sales / Customers.)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Taconite</w:t>
      </w:r>
      <w:r>
        <w:rPr>
          <w:rFonts w:ascii="Times New Roman" w:cs="Times New Roman" w:eastAsia="Times New Roman" w:hAnsi="Times New Roman"/>
          <w:sz w:val="18"/>
          <w:szCs w:val="18"/>
          <w:color w:val="auto"/>
        </w:rPr>
        <w:t>. Minnesota Power’s taconite customers are capable of producing up to approximately 41 million tons of taconite pellets annually. Taconite pellets produced in Minnesota are primarily shipped to North American steelmaking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Meeting the demand for more renewable energy and the need for additional infrastructure to transport green energy from the point of generation to the end user both require steel. Historically, approximately 10 percent of Minnesota taconite production has been exported outside of North America.</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76 percent of capacity in 2024 (75 percent in 2023 and 78 percent in 2022). The World Steel Association, an association of steel producers, national and regional steel industry associations, and steel research institutes representing approximately 85 percent of world steel production, projected U.S. steel consumption in 2025 will increase by approximately 2 percent compared to 2024.</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Minnesota Power’s taconite customers may experience annual variations in production levels due to such factors as economic conditions, short-term demand changes or maintenance outages. The Minnesota Department of Revenue Mineral Tax Office expects taconite production from our taconite customers to be approximately 34 million tons in 2025. We estimate that a one million ton change in Minnesota Power’s taconite customers’ production would impact our annual earnings per share by approximately $0.07,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USS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USS Corporation completed a $150 million investment to produce direct reduced-grade (DR-grade) pellets at its Keetac plant in 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USS Corporation broke ground on the project in the third quarter of 2022, and confirmed the first shipment of DR-grade pellets in 2024. This investment enables the existing pelletizing plant to not only create DR-grade pellets for use as a feedstock for a direct reduced iron (DRI) or hot briquetted iron (HBI) process that ultimately supplies electric arc furnace steelmaking but also maintains the optionality to continue producing blast furnace-grade pellets. USS Corporation’s Minntac and Keetac plants are Large Power industrial customers of Minnesota Power. USS Corporation has the capability to annually produce approximately 15 million tons of blast furnace-grade pellets at its Minntac plant and 5 million tons of blast-furnace grade pellets, or 4 million tons of DR-grade pellets, at its Keetac plant.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18, 2023, USS Corporation announced it entered into a definitive agreement in which Nippon Steel will acquire all of the shares of USS Corporation. USS Corporation expected the transaction to close by the end of 2024, subject to regulatory approvals, at which time USS Corporation stated it will continue to operate under the U.S. Steel brand name and will maintain its headquarters in Pittsburgh, Pennsylvania. On January 3, 2025, President Biden issued an order blocking the transaction, a decision currently being challenged in court.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27, 2025, USS Corporation exercised its rights under its electric service agreement with Minnesota Power to provide a four-year notice of termination. Minnesota Power and USS Corporation are working together to meet USS Corporation’s evolving energy needs. Absent any other action by the parties, the termination of the current electric service agreement would be effective January 27, 2029, and USS Corporation would become a non-contract large power customer of Minnesota Power.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Customers (Continued)</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Cleveland-Cliffs, Inc. (Cliffs)</w:t>
      </w:r>
      <w:r>
        <w:rPr>
          <w:rFonts w:ascii="Times New Roman" w:cs="Times New Roman" w:eastAsia="Times New Roman" w:hAnsi="Times New Roman"/>
          <w:sz w:val="18"/>
          <w:szCs w:val="18"/>
          <w:color w:val="auto"/>
        </w:rPr>
        <w:t>. Cliffs is the largest flat-rolled steel producer and the largest iron ore pellet producer in North America, and is also Minnesota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Power’s largest customer. Its acquisition in 2020 of substantially all of the operations of ArcelorMittal USA LLC and its subsidiaries included ArcelorMittal’s Minorca mine in Virginia, Minnesota, and its ownership share of Hibbing Taconite in Hibbing, Minnesota, which are both large industrial customers of Minnesota Power. The acquisition increased customer concentration risk for the Company and could lead to further capacity consolidation for both steel blast furnaces and related Minnesota iron ore production. In 2024, Cliffs announced and completed an acquisition of Stelco Holdings, enhancing Cliffs’ position as the largest flat-rolled steel producer in North America, diversifying Cliffs’ end-markets, and expanding its geographical presence in Canada.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Northshore Mining</w:t>
      </w:r>
      <w:r>
        <w:rPr>
          <w:rFonts w:ascii="Times New Roman" w:cs="Times New Roman" w:eastAsia="Times New Roman" w:hAnsi="Times New Roman"/>
          <w:sz w:val="18"/>
          <w:szCs w:val="18"/>
          <w:color w:val="auto"/>
        </w:rPr>
        <w:t>. Cliffs idled all production at its Northshore mine in 2022, and subsequently resumed partial pellet plant production in April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Cliffs indicated it will continue to utilize Northshore Mining as a swing facility. Northshore Mining has the capability to produce approximately 6 million tons annually. Minnesota Power has a PSA through 2031 with Silver Bay Power, which provides the majority of the electric service requirements for Northshore Mining.</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Hibbing Taconite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Hibbing Taconite is a joint venture between subsidiaries of Cliffs (85.3 percent ownership) and USS Corporation (14.7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The joint venture is managed by Cliffs and is also a Large Power Customer of Minnesota Power. On May 25, 2023, the Minnesota Executive Council approved state mineral leases near Nashwauk, Minnesota, with Cliffs, the majority owner of Hibbing Taconite. Cliffs had stated that these leases would provide Hibbing Taconite with more than two decades of additional mineral reserves. In October of 2023, Mesabi Metallics issued a notice of termination of a private iron ore mineral lease agreement previously held by Cliffs, a decision that was affirmed in arbitration in 2024. Cliffs has stated that without these leases, the future of Hibbing Taconite is once again in question. Prior to the state mineral leases being awarded, Hibbing Taconite had proven mineral reserves to support its operations through 2026. Hibbing Taconite has the capability of producing 8 million tons of taconite annually.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Minnesota Sulfate Wild Rice Water Quality Standard</w:t>
      </w:r>
      <w:r>
        <w:rPr>
          <w:rFonts w:ascii="Times New Roman" w:cs="Times New Roman" w:eastAsia="Times New Roman" w:hAnsi="Times New Roman"/>
          <w:sz w:val="18"/>
          <w:szCs w:val="18"/>
          <w:color w:val="auto"/>
        </w:rPr>
        <w:t>. In April, 2021, the EPA identified rivers and lakes in Minnesota in which wild rice grows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sulfate levels that exceed Minnesota’s sulfate limit for wild rice waters. In September, 2021, three additional wild rice waters with sulfate levels that exceed Minnesota’s sulfate limit were identified. The EPA directed the MPCA to add these rivers and lakes to its list of impaired waters which can be used to set limits in discharge permits for industrial activities such as mining. Minnesota Power’s taconite customers could be adversely impacted if they are required to significantly reduce sulfate discharges.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Paper, Pulp and Secondary Wood Products</w:t>
      </w:r>
      <w:r>
        <w:rPr>
          <w:rFonts w:ascii="Times New Roman" w:cs="Times New Roman" w:eastAsia="Times New Roman" w:hAnsi="Times New Roman"/>
          <w:sz w:val="18"/>
          <w:szCs w:val="18"/>
          <w:color w:val="auto"/>
        </w:rPr>
        <w:t>. The North American paper and pulp industry continues to face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The resulting reduction in production capacity outside of Minnesota for certain paper grades has solidified our paper customers’ operations, at least for the near term, and as such we expect operating levels in 2025 at the major paper and pulp mills we serve to be at similar levels as in 2024.</w:t>
      </w:r>
    </w:p>
    <w:p>
      <w:pPr>
        <w:spacing w:after="0" w:line="20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Sofidel</w:t>
      </w:r>
      <w:r>
        <w:rPr>
          <w:rFonts w:ascii="Times New Roman" w:cs="Times New Roman" w:eastAsia="Times New Roman" w:hAnsi="Times New Roman"/>
          <w:sz w:val="18"/>
          <w:szCs w:val="18"/>
          <w:color w:val="auto"/>
        </w:rPr>
        <w:t>. ST Paper, a former Large Power Customer of Minnesota Power, sold its paper mill in Duluth, Minnesota to Sofidel, a privately held Italian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multinational company, in the first quarter of 2024. In the third quarter of 2024, Sofidel announced plans to invest between $200 million and $250 million to add a conversion facility and automated warehouse to the tissue plant.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Pipeline and Other Industries.</w:t>
      </w:r>
    </w:p>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Cenovus Energy</w:t>
      </w:r>
      <w:r>
        <w:rPr>
          <w:rFonts w:ascii="Times New Roman" w:cs="Times New Roman" w:eastAsia="Times New Roman" w:hAnsi="Times New Roman"/>
          <w:sz w:val="18"/>
          <w:szCs w:val="18"/>
          <w:color w:val="auto"/>
        </w:rPr>
        <w:t>. In 2023, Cenovus Energy announced that it had commenced a restart of the facility and resumed full operations in 2024 following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rebuild from a fire in 2018.</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EnergyForward. </w:t>
      </w:r>
      <w:r>
        <w:rPr>
          <w:rFonts w:ascii="Times New Roman" w:cs="Times New Roman" w:eastAsia="Times New Roman" w:hAnsi="Times New Roman"/>
          <w:sz w:val="18"/>
          <w:szCs w:val="18"/>
          <w:color w:val="auto"/>
        </w:rPr>
        <w:t>Minnesota Power is executing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its strategy assuring reliability, protecting affordability and further improving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environmental performance. The plan includes completed and planned investments in wind, solar, natural gas and hydroelectric power, construction of additional transmission capacity, the installation of emissions control technology and the idling and retirement of certain coal-fired generating facilities. Minnesota Power has a vision to deliver 100 percent carbon-free energy to customers, continuing its commitment to climate, customers and communities through its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 xml:space="preserve"> strategy. This vision builds on Minnesota Power’s achievement in 2020 of providing 50 percent renewable energy to its customers. In 2023, the Minnesota Governor signed into law legislation that updates the state’s renewable energy standard and requires Minnesota electric utilities to source retail sales with 100 percent carbon-free energy by 2040. Minnesota Power is working with various stakeholders and participating in the regulatory process to implement this legislation. (See Item 1. Business – Regulated Operations – Minnesota Legislation.)</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2021 IRP. </w:t>
      </w:r>
      <w:r>
        <w:rPr>
          <w:rFonts w:ascii="Times New Roman" w:cs="Times New Roman" w:eastAsia="Times New Roman" w:hAnsi="Times New Roman"/>
          <w:sz w:val="18"/>
          <w:szCs w:val="18"/>
          <w:color w:val="auto"/>
        </w:rPr>
        <w:t>In February 2021, Minnesota Power filed its latest IRP, which was approved by the MPUC in a January 2023. The approved IRP, which reflects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agreement reached with various stakeholders, outlines Minnesota Power’s clean-energy transition plans through 2035. These plans include expanding its renewable energy supply, achieving coal-free operations at its facilities by 2035, and investing in a resilient and flexible transmission and distribution grid.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 Minnesota Power is expected to file its next IRP in March 2025.</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Nemadji Trail Energy Center. </w:t>
      </w:r>
      <w:r>
        <w:rPr>
          <w:rFonts w:ascii="Times New Roman" w:cs="Times New Roman" w:eastAsia="Times New Roman" w:hAnsi="Times New Roman"/>
          <w:sz w:val="18"/>
          <w:szCs w:val="18"/>
          <w:color w:val="auto"/>
        </w:rPr>
        <w:t>Minnesota Power has a natural gas capacity dedication and other affiliated interest agreements for NTEC, an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600 MW proposed combined-cycle natural gas-fired generating facility to be built in Superior, Wisconsin, which will be jointly owned by Dairyland Power Cooperative, Basin and South Shore Energy, ALLETE’s non-rate regulated, Wisconsin subsidiary. Minnesota Power is expected to purchase approximately 20 percent of the facility's output starting upon the completion of the facility pursuant to the capacity dedication agreement.</w:t>
      </w:r>
    </w:p>
    <w:p>
      <w:pPr>
        <w:spacing w:after="0" w:line="20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Renewable Energy. </w:t>
      </w:r>
      <w:r>
        <w:rPr>
          <w:rFonts w:ascii="Times New Roman" w:cs="Times New Roman" w:eastAsia="Times New Roman" w:hAnsi="Times New Roman"/>
          <w:sz w:val="18"/>
          <w:szCs w:val="18"/>
          <w:color w:val="auto"/>
        </w:rPr>
        <w:t>Minnesota Power continues to execute its renewable energy strategy and is currently supplying 55 percent of its energy by renewable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energy sources. Minnesota Power is also making significant progress toward 100 percent carbon-free energy supply. (See </w:t>
      </w:r>
      <w:r>
        <w:rPr>
          <w:rFonts w:ascii="Times New Roman" w:cs="Times New Roman" w:eastAsia="Times New Roman" w:hAnsi="Times New Roman"/>
          <w:sz w:val="18"/>
          <w:szCs w:val="18"/>
          <w:i w:val="1"/>
          <w:iCs w:val="1"/>
          <w:color w:val="auto"/>
        </w:rPr>
        <w:t>EnergyForward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has approved cost recovery riders for certain renewable investments and expenditures as well as investments and expenditures related to compliance with the Minnesota Solar Energy Standard. The cost recovery riders allow Minnesota Power to charge retail customers on a current basis for the costs of certain renewable and solar investments and expenditures plus a return on the capital invested. (See Note 4. Regulatory Matters.)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Wind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Power’s wind energy facilities consist of Bison (497 MW) located in North Dakota, and Taconite Ridge (25 MW) located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 (See </w:t>
      </w:r>
      <w:r>
        <w:rPr>
          <w:rFonts w:ascii="Times New Roman" w:cs="Times New Roman" w:eastAsia="Times New Roman" w:hAnsi="Times New Roman"/>
          <w:sz w:val="18"/>
          <w:szCs w:val="18"/>
          <w:i w:val="1"/>
          <w:iCs w:val="1"/>
          <w:color w:val="auto"/>
        </w:rPr>
        <w:t>Transmission</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Wind Energy Request For Proposals. </w:t>
      </w:r>
      <w:r>
        <w:rPr>
          <w:rFonts w:ascii="Times New Roman" w:cs="Times New Roman" w:eastAsia="Times New Roman" w:hAnsi="Times New Roman"/>
          <w:sz w:val="18"/>
          <w:szCs w:val="18"/>
          <w:color w:val="auto"/>
        </w:rPr>
        <w:t>On February 15, 2024, Minnesota Power issued a RFP for up to 400 MW of wind energy resources.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EnergyForward (Continued)</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Nobles 2 PPA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 has a long-term PPA with Nobles 2 that provides for Minnesota Power to purchase the energy and associated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Times New Roman" w:cs="Times New Roman" w:eastAsia="Times New Roman" w:hAnsi="Times New Roman"/>
          <w:sz w:val="18"/>
          <w:szCs w:val="18"/>
          <w:i w:val="1"/>
          <w:iCs w:val="1"/>
          <w:color w:val="auto"/>
        </w:rPr>
        <w:t>Corporate and Other –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Nobles 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Manitoba Hydro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 has two long-term PPAs with Manitoba Hydro. The first PPA provides for Minnesota Power to purchase 250 MW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and energy from Manitoba Hydro through May 2035. The second PPA provides for Minnesota Power to purchase up to 133 MW of energy from Manitoba Hydro through June 2040. (See Note 9. Commitments, Guarantees and Contingencies.)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Solar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Power’s solar energy facilities consist of a 10 MW solar energy facility at the Camp Ripley Minnesota Army National Guard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training facility near Little Falls, Minnesota, and a 40 kW solar array located in Duluth, Minnesota. Minnesota Power also purchases solar energy from approximately 20 MW of solar energy facilities located in Minnesota that are owned by an ALLETE subsidiary, and a 1 MW community solar garden in northeastern Minnesota, which is owned and operated by a third party. SWL&amp;P owns and operates a 470 kW solar array as part of a community solar garden in Superior, Wisconsin, that went into service in 2023.</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Solar Energy Request For Proposals. </w:t>
      </w:r>
      <w:r>
        <w:rPr>
          <w:rFonts w:ascii="Times New Roman" w:cs="Times New Roman" w:eastAsia="Times New Roman" w:hAnsi="Times New Roman"/>
          <w:sz w:val="18"/>
          <w:szCs w:val="18"/>
          <w:color w:val="auto"/>
        </w:rPr>
        <w:t>On November 15, 2023, Minnesota Power issued a RFP for up to 300 MW of solar energy resources, which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through January 17, 2024. On September 23, 2024, Minnesota Power announced plans to build an 85 MW solar project and a 119.5 MW solar project in northern Minnesota, both of which are expected to be in service in mid-2027, subject to MPUC approval.</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Distributed Solar Energy Request for Proposals. </w:t>
      </w:r>
      <w:r>
        <w:rPr>
          <w:rFonts w:ascii="Times New Roman" w:cs="Times New Roman" w:eastAsia="Times New Roman" w:hAnsi="Times New Roman"/>
          <w:sz w:val="18"/>
          <w:szCs w:val="18"/>
          <w:color w:val="auto"/>
        </w:rPr>
        <w:t>On January 30, 2025, Minnesota Power issued a RFP seeking distributed solar projects as part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Minnesota’s distributed solar energy standard. The RFP seeks proposals for solar generating facilities of 10 MW or less that will be connected to Minnesota Power’s distribution system.</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Transmission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make investments in transmission opportunities that strengthen or enhance the transmission grid or take advantage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 location between sources of renewable energy and end users. These include investments to enhance our own transmission facilities and investments in other transmission assets (individually or in combination with others) and our investment in ATC. See also Item 1. Business – Regulated Operations – Transmission and Distribution.</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North Plains Connector Development Agreement. </w:t>
      </w:r>
      <w:r>
        <w:rPr>
          <w:rFonts w:ascii="Times New Roman" w:cs="Times New Roman" w:eastAsia="Times New Roman" w:hAnsi="Times New Roman"/>
          <w:sz w:val="18"/>
          <w:szCs w:val="18"/>
          <w:color w:val="auto"/>
        </w:rPr>
        <w:t>In December 2023, ALLETE and Grid United LLC, an independent transmission company,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agreements for the North Plains Connector project. The project is a new, approximately 400-mile high-voltage direct-current (HVDC) transmission line from central North Dakota, to Colstrip, Montana that will be the first transmission connection between three regional U.S. electric energy markets: MISO, the Western Interconnection and the Southwest Power Pool. This new link, open to all sources of electric generation, would create 3,000 MW of transfer capacity between the middle of the country and the West Coast, easing congestion on the transmission system, increasing resiliency and reliability in all three energy markets, and enabling fast sharing of renewable energy across a vast area with diverse weather patterns. The project capital cost is expected to be approximately $3.2 billion. On August 6, 2024, the U.S. Department of Energy awarded a $700 million grant to the project. ALLETE expects to pursue up to 35 percent ownership and will be positioned to oversee the line’s operation. The companies began project permitting in 2023 as they work toward a planned in-service date as early as 2032, pending regulatory and other necessary approvals.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Duluth Loop Reliability Project</w:t>
      </w:r>
      <w:r>
        <w:rPr>
          <w:rFonts w:ascii="Times New Roman" w:cs="Times New Roman" w:eastAsia="Times New Roman" w:hAnsi="Times New Roman"/>
          <w:sz w:val="18"/>
          <w:szCs w:val="18"/>
          <w:color w:val="auto"/>
        </w:rPr>
        <w:t>. In October 2021, Minnesota Power submitted an application for a certificate of need for the Duluth Loop Reliability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A certificate of need was granted and a route permit was issued by the MPUC on April 3, 2023. The Duluth Loop Reliability Project is expected to be completed and in service by late 2026 to early 2027, with an estimated cost of $50 million to $70 million.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Transmission (Continued)</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HVDC Transmission System Project. </w:t>
      </w:r>
      <w:r>
        <w:rPr>
          <w:rFonts w:ascii="Times New Roman" w:cs="Times New Roman" w:eastAsia="Times New Roman" w:hAnsi="Times New Roman"/>
          <w:sz w:val="18"/>
          <w:szCs w:val="18"/>
          <w:color w:val="auto"/>
        </w:rPr>
        <w:t>On June 1, 2023, Minnesota Power submitted an application for a certificate of need and route permit with the MPUC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replace aging critical infrastructure and modernize the terminal stations of its HVDC transmission line. In an October 25, 2024, order, the MPUC approved the certificate of need and route permit.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The HVDC transmission system project is expected to improve reliability of the transmission system, improve system resiliency, expand the operating capacity of the HVDC terminals, and replace critical infrastructure. Construction on the Minnesota end of the project will begin in early 2025. Construction on the North Dakota end of the project will begin later in 2025, pending regulatory approvals in North Dakota. The project will be placed in-service between 2028 and 2030. The project is estimated to cost between $800 million and $940 million. On October 18, 2023, the U.S. Department of Energy awarded a $50 million grant to Minnesota Power for this project, which will be used to prepare the HVDC transmission system for future expansion and help reduce project costs to customers. In addition, this project was awarded $15 million in state funding as part of an energy and climate budget bill passed by the Minnesota Legislature in 2023. Further, Minnesota Power’s application to the Minnesota Department of Commerce (DOC) State Competitiveness Fund Match Program received notification the DOC is reserving $10 million as a cost share for the project. In total, Minnesota Power has been awarded $75 million in federal and state dollars in support of the project.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Northland Reliability Project. </w:t>
      </w:r>
      <w:r>
        <w:rPr>
          <w:rFonts w:ascii="Times New Roman" w:cs="Times New Roman" w:eastAsia="Times New Roman" w:hAnsi="Times New Roman"/>
          <w:sz w:val="18"/>
          <w:szCs w:val="18"/>
          <w:color w:val="auto"/>
        </w:rPr>
        <w:t>Minnesota Power and Great River Energy announced in July 2022 their intent to build a 150-mile, 345-kV transmission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northern Minnesota to central Minnesota to support continued reliability in the Upper Midwest. Great River Energy, a wholesale electric power cooperative, and Minnesota Power filed a Notice of Intent to Construct, Own and Maintain the transmission line with the MPUC in August 2022. This joint project is part of a portfolio of transmission projects approved in July 2022 by MISO as part of the first phase of its Long Range Transmission Plan. Planning for the approximately $970 million to $1,350 million transmission line is in its early stages with the route anticipated to generally follow existing rights of way in an established power line corridor. The MPUC will determine the final route as well as cost recovery for Minnesota Power’s approximately 50 percent estimated share of the project. On August 4, 2023, Minnesota Power and Great River Energy submitted an application for a certificate of need and route permit with the MPUC, which were approved by the MPUC at a hearing on January 23, 2025. On May 10, 2024, the FERC approved Minnesota Power's request to recover on construction work in progress related to this project from Minnesota Power’s wholesale customers. Subject to regulatory approvals, the transmission line is expected to be in service in 2030.</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Big Stone South – Alexandria – Big Oaks Transmission Project. </w:t>
      </w:r>
      <w:r>
        <w:rPr>
          <w:rFonts w:ascii="Times New Roman" w:cs="Times New Roman" w:eastAsia="Times New Roman" w:hAnsi="Times New Roman"/>
          <w:sz w:val="18"/>
          <w:szCs w:val="18"/>
          <w:color w:val="auto"/>
        </w:rPr>
        <w:t>Northern States Power, Great River Energy, Minnesota Power, Otter Tail Power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Missouri River Energy Resources (Project Developers) announced in July 2022 their intent to build a 150-mile, 345-kV transmission line to improve reliability in North Dakota, South Dakota, and western and central Minnesota. This joint project is part of a portfolio of transmission projects approved in July 2022 by MISO as part of the first phase of its Long Range Transmission Plan. A Notice of Intent to Construct, Own and Maintain the transmission line was filed with the MPUC in October 2022. On September 29, 2023, the Project Developers submitted an application for a certificate of need and route permit with the MPUC, which was approved on October 3, 2024. The project is in its early stages and is expected to cost between $600 million and $700 million. Minnesota Power has asset ownership in the Alexandria – Big Oaks portion of the project, with start of construction following the certificate of need approval on October 3, 2024. Minnesota Power is a 16.5 percent owner of this portion of the project and will invest at this level for the entire portion of the project. On May 10, 2024, the FERC approved Minnesota Power's request to recover on construction work in progress related to this project from Minnesota Power’s wholesale customers. The Minnesota Power portion of this transmission line is expected to be in service in 2027.</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Second Phase of MISO Long Range Transmission Plan. </w:t>
      </w:r>
      <w:r>
        <w:rPr>
          <w:rFonts w:ascii="Times New Roman" w:cs="Times New Roman" w:eastAsia="Times New Roman" w:hAnsi="Times New Roman"/>
          <w:sz w:val="18"/>
          <w:szCs w:val="18"/>
          <w:color w:val="auto"/>
        </w:rPr>
        <w:t>Minnesota Power and SWL&amp;P are participating in several projects identified in the second phase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MISO Long Range Transmission Plan that was approved on December 12, 2024, including the Bison – Alexandria 345kV project, the Maple River – Cuyuna 345kV project, the Iron Range – St Louis County – Arrowhead 345kV project, and the Stinson MSSSC project. Notices of Intent to Construct, Own and Maintain the Bison – Alexandria 345kV project, the Maple River – Cuyuna 345 kV project, and the Iron Range – St Louis County – Arrowhead 345kV project were filed with the MPUC on February 7,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Bison – Alexandria 345kV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transmission line is closely related to the Alexandria – Big Oaks line noted previously and is anticipated to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ownership structure. MISO found that this project along with others in northern Minnesota provide outlets for generation from the west, supports large power transfers to load centers, and reduces congestion. The project in total is estimated to cost over $200 million and is expected to be completed by 2032.</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Transmission (Continued)</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Maple River – Cuyuna 345 kV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transmission line is a new, 166-mile 345-kV circuit that will connect the Maple River Substation near Fargo,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ND to the Cuyuna Series Compensation Station near Riverton, MN. Minnesota Power is the owner of the Cuyuna Series Compensation Station in Minnesota, which is being constructed as part of the Northland Reliability Project, a joint project with Great River Energy. Otter Tail Power Company is the owner of the Maple River Substation in North Dakota. The project in total is estimated to cost approximately $910 million and is expected to be completed by 2033.</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Iron Range – St. Louis County – Arrowhead 345kV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transmission line is a new, 63-mile 345-kV circuit that will connect the Iron Range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 near Grand Rapids, MN to the St. Louis County Substation near Hermantown, MN, and then to the Arrowhead 345 kV Substation, also near Hermantown, MN. Minnesota Power is the owner of the Iron Range and St. Louis County substations. ATC is the owner of the Arrowhead 345 kV Substation. The project in total is estimated to cost approximately $370 million and is expected to be completed by 2032.</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Stinson MSSSC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project involves modification and expansion of the existing Stinson Substation in Superior, Wisconsin to accommodate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modular static synchronous series compensator (MSSSC) system and associated substation equipment. The MSSSC system is a type of grid-enhancing technology that will provide power flow capability to replace the existing Stinson phase shifting transformer. The project was identified as an underlying system improvement associated with LRTP Project #21 (Iron Range-St Louis County-Arrowhead Project) in the second phase of the MISO Long Range Transmission Plan that was approved on December 12, 2024. SWL&amp;P is the owner of the Stinson Substation. The project is estimated to cost approximately $58 million and is expected to be completed by 2032.</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in ATC. </w:t>
      </w:r>
      <w:r>
        <w:rPr>
          <w:rFonts w:ascii="Times New Roman" w:cs="Times New Roman" w:eastAsia="Times New Roman" w:hAnsi="Times New Roman"/>
          <w:sz w:val="18"/>
          <w:szCs w:val="18"/>
          <w:color w:val="auto"/>
        </w:rPr>
        <w:t>ATC’s most recent 10-year transmission assessment, which covers the years 2024 through 2033, identifies a need for between $8.9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and $10.9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Portions of our ALLETE Clean Energy business are experiencing return pressures that are impacting our earnings per share growth from increased competition, congestion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In response to these market pressures, we are actively evaluating additional growth opportunities to deliver more comprehensive clean energy solutions for customers at ALLETE Clean Energy, which may include wind, solar, storage solutions, and related energy infrastructure investments and services. We believe that the energy industry is entering a new phase of growth and that we are well-positioned to serve customers and drive future growth at ALLETE. ALLETE Clean Energy will continue to optimize its existing wind energy facility portfolio, advance and expand its project pipeline, and explore other renewable energy opportunities to further enhance its service offerings, growth and profitability.</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disclosed in Item 1. Business.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Energy. </w:t>
      </w:r>
      <w:r>
        <w:rPr>
          <w:rFonts w:ascii="Times New Roman" w:cs="Times New Roman" w:eastAsia="Times New Roman" w:hAnsi="Times New Roman"/>
          <w:sz w:val="18"/>
          <w:szCs w:val="18"/>
          <w:color w:val="auto"/>
        </w:rPr>
        <w:t>New Energy is a renewable energy development company with a primary focus on solar and storage facilities while also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operations, maintenance and asset management services. New Energy is a leading developer of community, commercial and industrial, and small utility-scale renewable energy projects that has completed more than 575 MW in its history, totaling more than $1.4 billion of capital. New Energy currently has a robust project pipeline with greater than 2,000 MW of renewable projects in development across over 20 different states. New Energy adds value through cost effective development and economies of scale on project implementation, bringing national capabilities to regional co-development partners. New Energy is involved in greenfield development as well as acquiring and completing mid-stage and late-stage renewable energy projects. New Energy will continue its current strategy of developing, owning and operating renewable energy projects.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Nobles 2. </w:t>
      </w:r>
      <w:r>
        <w:rPr>
          <w:rFonts w:ascii="Times New Roman" w:cs="Times New Roman" w:eastAsia="Times New Roman" w:hAnsi="Times New Roman"/>
          <w:sz w:val="18"/>
          <w:szCs w:val="18"/>
          <w:color w:val="auto"/>
        </w:rPr>
        <w:t>Our subsidiary, ALLETE South Wind, owns a 49 percent equity interest in Nobles 2, the entity that owns and operates a 250 MW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 energy facility in southwestern Minnesota pursuant to a 20-year PPA with Minnesota Power. We account for our investment in Nobles 2 under the equity method of accounting. (See Note 6. Equity Investments.)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South Shore Energy. </w:t>
      </w:r>
      <w:r>
        <w:rPr>
          <w:rFonts w:ascii="Times New Roman" w:cs="Times New Roman" w:eastAsia="Times New Roman" w:hAnsi="Times New Roman"/>
          <w:sz w:val="18"/>
          <w:szCs w:val="18"/>
          <w:color w:val="auto"/>
        </w:rPr>
        <w:t>South Shore Energy, ALLETE’s non-rate regulated, Wisconsin subsidiary, is developing NTEC, an approximately 600 MW proposed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combined-cycle natural gas-fired generating facility to be built in Superior, Wisconsin, which will be jointly owned by Dairyland Power Cooperative, Basin and South Shore Energy. Minnesota Power is expected to purchase approximately 20 percent of the facility's output starting upon completion of the facility pursuant to a capacity dedication agreement. Construction of NTEC is subject to obtaining additional permits from local, state and federal authorities. The total project cost is estimated to be approximately $700 million, of which South Shore Energy will be responsible for approximately 20 percent. South Shore Energy’s portion of NTEC project costs incurred through December 31, 2024, is approximately $10 million.</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BNI Energy. </w:t>
      </w:r>
      <w:r>
        <w:rPr>
          <w:rFonts w:ascii="Times New Roman" w:cs="Times New Roman" w:eastAsia="Times New Roman" w:hAnsi="Times New Roman"/>
          <w:sz w:val="18"/>
          <w:szCs w:val="18"/>
          <w:color w:val="auto"/>
        </w:rPr>
        <w:t>In 2024, BNI Energy sold 3.8 million tons of coal (4.0 million tons in 2023) and anticipates 2025 sales will be similar to 2024. BNI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operates under cost-plus fixed fee agreements extending through December 31, 2037.</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ALLETE Properties. </w:t>
      </w:r>
      <w:r>
        <w:rPr>
          <w:rFonts w:ascii="Times New Roman" w:cs="Times New Roman" w:eastAsia="Times New Roman" w:hAnsi="Times New Roman"/>
          <w:sz w:val="18"/>
          <w:szCs w:val="18"/>
          <w:color w:val="auto"/>
        </w:rPr>
        <w:t>Our strategy incorporates the possibility of a bulk sale of the entire ALLETE Properties portfolio. Proceeds from a bulk sale would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ALLETE’s aggregate federal and multi-state statutory tax rate is approximately 28 percent for 2024. ALLETE also has tax credits and other tax adjustments that reduce the combined statutory rate to the effective tax rate. These tax credits and adjustments historically have included items such as production tax credits, excess deferred taxes, non-controlling interests in subsidiaries,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that our effective tax rate will be lower than the combined statutory rate over the next 5 to 10 years due to tax credits attributable to our wind and solar energy generation.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Liquidity Position. </w:t>
      </w:r>
      <w:r>
        <w:rPr>
          <w:rFonts w:ascii="Times New Roman" w:cs="Times New Roman" w:eastAsia="Times New Roman" w:hAnsi="Times New Roman"/>
          <w:sz w:val="18"/>
          <w:szCs w:val="18"/>
          <w:color w:val="auto"/>
        </w:rPr>
        <w:t>ALLETE is well-positioned to meet its liquidity needs. As of December 31, 2024, we had cash and cash equivalents of $32.8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$325.8 million in available consolidated lines of credit, 2.1 million original issue shares of common stock available for issuance through a distribution agreement with Lampert Capital Markets, the option (per the Merger Agreement) to request that Alloy Parent purchase up to a total of $300 million of preferred stock of ALLETE in the second half of 2025 (see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and a debt-to-capital ratio of 35 percent.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Capital Structure. </w:t>
            </w:r>
            <w:r>
              <w:rPr>
                <w:rFonts w:ascii="Times New Roman" w:cs="Times New Roman" w:eastAsia="Times New Roman" w:hAnsi="Times New Roman"/>
                <w:sz w:val="18"/>
                <w:szCs w:val="18"/>
                <w:color w:val="auto"/>
              </w:rPr>
              <w:t>ALLETE’s capital structure for each of the last three years is as follows:</w:t>
            </w: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2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$2,848.0</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$2,809.6</w:t>
            </w:r>
          </w:p>
        </w:tc>
        <w:tc>
          <w:tcPr>
            <w:tcW w:w="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$2,691.9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542.1</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597.0</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656.4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2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1,808.0</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1,799.4</w:t>
            </w:r>
          </w:p>
        </w:tc>
        <w:tc>
          <w:tcPr>
            <w:tcW w:w="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1,929.1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$5,198.5</w:t>
            </w: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$5,206.5</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$5,277.4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Excludes unamortized debt issuance costs.</w:t>
            </w: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52"/>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Selected information from ALLETE’s Consolidated Statement of Cash Flows is as follows:</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$79.4</w:t>
            </w: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$40.2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(used in)</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457.1</w:t>
            </w: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585.3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29"/>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(340.7)</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(283.6)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30"/>
        </w:trPr>
        <w:tc>
          <w:tcPr>
            <w:tcW w:w="7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(140.6)</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23"/>
        </w:trPr>
        <w:tc>
          <w:tcPr>
            <w:tcW w:w="7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(24.2)</w:t>
            </w: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39.2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$55.2</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$79.4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bl>
    <w:p>
      <w:pPr>
        <w:spacing w:after="0" w:line="3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Operating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provided by operating activities was lower in 2024 compared to 2023 reflecting cash proceeds from the sales of ALLETE Clean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Energy’s Northern Wind and Red Barn projects in 2023, cash received from the favorable arbitration award by a subsidiary of ALLETE Clean Energy in 2023, higher cash contributions to defined benefit pension in 2024, and timing of recovery under Minnesota Power’s fuel adjustment clause. These decreases were partially offset by proceeds from the sale of renewable tax credits in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higher in 2023 compared to 2022 reflecting cash proceeds from the sales of ALLETE Clean Energy’s Northern Wind and Red Barn projects in 2023, cash received from the favorable arbitration award by a subsidiary of ALLETE Clean Energy in 2023, lower payments for inventories in 2023 related to the Northern Wind and Red Barn projects, and timing of recovery under Minnesota Power’s fuel adjustment clause. Cash provided by operating activities in 2023 also increased due to the timing of recovery under Minnesota Power’s fuel adjustment clause.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was higher in 2024 compared to 2023 reflecting more payments for additions to property, plant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compared to 2023, partially offset by state cash grants received for our HVDC Transmission System Project in 2024. (See Outlook.)</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lower in 2023 compared to 2022 reflecting cash payments for the acquisition of New Energy in 2022. This decrease was partially offset by more payments for additions to property, plant and equipment in 2023 compared to 2022.</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was lower in 2024 compared to 2023 reflecting higher proceeds from the issuance of long-term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in 2024, partially offset by higher repayments of long-term debt in 2024.</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2023 reflected lower proceeds from the issuance of common stock and the issuance of long-term debt, and lower proceeds from the issuance of non-controlling interest in subsidiaries compared to 2022.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Resources(Continued)</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Working Capital</w:t>
      </w:r>
      <w:r>
        <w:rPr>
          <w:rFonts w:ascii="Times New Roman" w:cs="Times New Roman" w:eastAsia="Times New Roman" w:hAnsi="Times New Roman"/>
          <w:sz w:val="18"/>
          <w:szCs w:val="18"/>
          <w:color w:val="auto"/>
        </w:rPr>
        <w:t>. Additional working capital, if and when needed, generally is provided by consolidated bank lines of credit and the issuance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long-term debt, common stock and commercial paper. As of December 31, 2024, we had consolidated bank lines of credit aggregating $362.0 million ($423.1 million as of December 31, 2023), most of which expire in January 2027. We had $16.2 million outstanding in standby letters of credit and $20.0 million outstanding draws under our lines of credit as of December 31, 2024 ($19.4 million in standby letters of credit and $34.1 million outstanding draws as of December 31, 2023). We also have other credit facility agreements in place that provide the ability to issue up to $180.0 million in standby letters of credit. As of December 31, 2024, we had $118.4 million outstanding in standby letters of credit under these agreements.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as of December 31, 2024, we had 2.4 million original issue shares of our common stock available for issuance through Invest Direct and 2.1 million original issue shares of common stock available for issuance through a distribution agreement with Lampert Capital Markets. (See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amount and timing of future sales of our securities will depend upon market conditions and our specific needs.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Merger Agreement also provides that ALLETE may notify Alloy Parent of our intent to raise equity capital of up to a total of $300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second half of 2025, subject to certain parameters. If Alloy Parent declines to participate in the equity capital raises or fails to provide timely notice with respect thereto, ALLETE will have the right to issue ALLETE common stock in the public markets for an amount equal to any unfunded amounts under such equity capital raises up to certain limits. (See Note 15. Agreement and Plan of Merger.)</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entered into a distribution agreement with Lampert Capital Markets, in 2008, as amended most recently in 2020, with respect to the issuance and sale of up to an aggregate of 13.6 million shares of our common stock, without par value, of which 2.1 million shares remain available for issuance as of December 31, 2024. For the year ended December 31, 2024, no shares of common stock were issued under this agreement (none in 2023; none in 2022).</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issued 0.3 million shares of common stock through Invest Direct, the Employee Stock Purchase Plan and the Retirement Savings and Stock Ownership Plan, resulting in net proceeds of $12.9 million (0.3 million shares for net proceeds of $14.9 million in 2023; 0.3 million shares for net proceeds of $16.2 million in 2022). See Note 10. Common Stock and Earnings Per Share for additional detail regarding ALLETE’s 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r>
        <w:rPr>
          <w:rFonts w:ascii="Times New Roman" w:cs="Times New Roman" w:eastAsia="Times New Roman" w:hAnsi="Times New Roman"/>
          <w:sz w:val="18"/>
          <w:szCs w:val="18"/>
          <w:color w:val="auto"/>
        </w:rPr>
        <w:t>. See Note 8. Short-Term and Long-Term Debt for information regarding our financial covenants.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 Plans. </w:t>
      </w:r>
      <w:r>
        <w:rPr>
          <w:rFonts w:ascii="Times New Roman" w:cs="Times New Roman" w:eastAsia="Times New Roman" w:hAnsi="Times New Roman"/>
          <w:sz w:val="18"/>
          <w:szCs w:val="18"/>
          <w:color w:val="auto"/>
        </w:rPr>
        <w:t>Management considers various factors when making funding decisions, such as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actuarially determined minimum contribution requirements and contributions required to avoid benefit restrictions for the defined benefit pension plans. For the year ended December 31, 2024, we made $25.0 million in cash contributions to the defined benefit pension plans. On January 15, 2025, we contributed $19.1 million in cash to the defined benefit pension plans, and do not expect to make additional cash contributions to the defined benefit pension plans in 2025. We do not expect to make any contributions to the defined benefit postretirement health and life plans in 2025. (See Note 10. Common Stock and Earnings Per Share and Note 12. Pension and Other Postretirement Benefit Plans.)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r>
        <w:rPr>
          <w:rFonts w:ascii="Times New Roman" w:cs="Times New Roman" w:eastAsia="Times New Roman" w:hAnsi="Times New Roman"/>
          <w:sz w:val="18"/>
          <w:szCs w:val="18"/>
          <w:color w:val="auto"/>
        </w:rPr>
        <w:t>. Off-balance sheet arrangements are discussed in Note 9. Commitments, Guarantees and Contingencies.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r>
        <w:rPr>
          <w:rFonts w:ascii="Times New Roman" w:cs="Times New Roman" w:eastAsia="Times New Roman" w:hAnsi="Times New Roman"/>
          <w:sz w:val="18"/>
          <w:szCs w:val="18"/>
          <w:color w:val="auto"/>
        </w:rPr>
        <w:t>. ALLETE has contractual obligations and other commitments that will need to be funded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in addition to its capital expenditure programs. Material contractual obligations and other commitments are as follows:</w:t>
      </w:r>
    </w:p>
    <w:p>
      <w:pPr>
        <w:spacing w:after="0" w:line="184"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ALLETE has material long-term debt obligations, including long-term debt due within one year. These obligations include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bonds, notes and loans which are recorded on the Consolidated Balance Sheet, plus interest. (See Note 8. Short-Term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 (Continued)</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Pension and Other Postretirement Benefit Plans. </w:t>
      </w:r>
      <w:r>
        <w:rPr>
          <w:rFonts w:ascii="Times New Roman" w:cs="Times New Roman" w:eastAsia="Times New Roman" w:hAnsi="Times New Roman"/>
          <w:sz w:val="18"/>
          <w:szCs w:val="18"/>
          <w:color w:val="auto"/>
        </w:rPr>
        <w:t>Pension and other postretirement benefit plan obligations include the current estimate of future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Pension contributions are dependent on several factors including realized asset performance, future discount rate and other actuarial assumptions, Internal Revenue Service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Our obligations are estimates and will change based on actual market performance, changes in interest rates and any changes in governmental regulations. (See Note 12. Pension and Other Postretirement Benefit Plans.)</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Operating and Finance Lease Obligations</w:t>
      </w:r>
      <w:r>
        <w:rPr>
          <w:rFonts w:ascii="Times New Roman" w:cs="Times New Roman" w:eastAsia="Times New Roman" w:hAnsi="Times New Roman"/>
          <w:sz w:val="18"/>
          <w:szCs w:val="18"/>
          <w:color w:val="auto"/>
        </w:rPr>
        <w:t>. ALLETE has certain operating and finance lease obligations for the minimum payments required under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agreements which are recorded on the Consolidated Balance Sheet. (See Note 1. Operations and Significant Accounting Policies.)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Easement Obligations</w:t>
      </w:r>
      <w:r>
        <w:rPr>
          <w:rFonts w:ascii="Times New Roman" w:cs="Times New Roman" w:eastAsia="Times New Roman" w:hAnsi="Times New Roman"/>
          <w:sz w:val="18"/>
          <w:szCs w:val="18"/>
          <w:color w:val="auto"/>
        </w:rPr>
        <w:t>. ALLETE has easement obligations for the minimum payments required under our land easement agreements at our wind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(See Note 9. Commitments, Guarantees and Contingencies.)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PPA Obligations. </w:t>
      </w:r>
      <w:r>
        <w:rPr>
          <w:rFonts w:ascii="Times New Roman" w:cs="Times New Roman" w:eastAsia="Times New Roman" w:hAnsi="Times New Roman"/>
          <w:sz w:val="18"/>
          <w:szCs w:val="18"/>
          <w:color w:val="auto"/>
        </w:rPr>
        <w:t>PPA obligations represent our Square Butte, Manitoba Hydro and other PPAs. (See Note 9. Commitments, Guarantees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Contingencies.)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Purchase Obligations. </w:t>
      </w:r>
      <w:r>
        <w:rPr>
          <w:rFonts w:ascii="Times New Roman" w:cs="Times New Roman" w:eastAsia="Times New Roman" w:hAnsi="Times New Roman"/>
          <w:sz w:val="18"/>
          <w:szCs w:val="18"/>
          <w:color w:val="auto"/>
        </w:rPr>
        <w:t>ALLETE has other purchase obligations covering our minimum purchase commitments under coal supply and rail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long-term service agreements for wind energy facilities. (See Note 9. Commitments, Guarantees and Contingencies.)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Credit Ratings</w:t>
      </w:r>
      <w:r>
        <w:rPr>
          <w:rFonts w:ascii="Times New Roman" w:cs="Times New Roman" w:eastAsia="Times New Roman" w:hAnsi="Times New Roman"/>
          <w:sz w:val="18"/>
          <w:szCs w:val="18"/>
          <w:color w:val="auto"/>
        </w:rPr>
        <w:t>. Access to reasonably priced capital markets is dependent in part on credit and ratings. Our securities have been rated by S&amp;P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4600" w:type="dxa"/>
            <w:vAlign w:val="bottom"/>
            <w:tcBorders>
              <w:bottom w:val="single" w:sz="8" w:color="auto"/>
            </w:tcBorders>
          </w:tcPr>
          <w:p>
            <w:pPr>
              <w:jc w:val="center"/>
              <w:ind w:left="2792"/>
              <w:spacing w:after="0"/>
              <w:rPr>
                <w:sz w:val="20"/>
                <w:szCs w:val="20"/>
                <w:color w:val="auto"/>
              </w:rPr>
            </w:pPr>
            <w:r>
              <w:rPr>
                <w:rFonts w:ascii="Times New Roman" w:cs="Times New Roman" w:eastAsia="Times New Roman" w:hAnsi="Times New Roman"/>
                <w:sz w:val="18"/>
                <w:szCs w:val="18"/>
                <w:b w:val="1"/>
                <w:bCs w:val="1"/>
                <w:color w:val="auto"/>
              </w:rPr>
              <w:t xml:space="preserve">S&amp;P </w:t>
            </w:r>
            <w:r>
              <w:rPr>
                <w:rFonts w:ascii="Times New Roman" w:cs="Times New Roman" w:eastAsia="Times New Roman" w:hAnsi="Times New Roman"/>
                <w:sz w:val="16"/>
                <w:szCs w:val="16"/>
                <w:i w:val="1"/>
                <w:iCs w:val="1"/>
                <w:color w:val="auto"/>
              </w:rPr>
              <w:t>(a)</w:t>
            </w:r>
          </w:p>
        </w:tc>
        <w:tc>
          <w:tcPr>
            <w:tcW w:w="15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Moody’s</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Issuer Credit Rating</w:t>
            </w:r>
          </w:p>
        </w:tc>
        <w:tc>
          <w:tcPr>
            <w:tcW w:w="4600" w:type="dxa"/>
            <w:vAlign w:val="bottom"/>
            <w:shd w:val="clear" w:color="auto" w:fill="CCEEFF"/>
          </w:tcPr>
          <w:p>
            <w:pPr>
              <w:jc w:val="center"/>
              <w:ind w:left="2792"/>
              <w:spacing w:after="0"/>
              <w:rPr>
                <w:sz w:val="20"/>
                <w:szCs w:val="20"/>
                <w:color w:val="auto"/>
              </w:rPr>
            </w:pPr>
            <w:r>
              <w:rPr>
                <w:rFonts w:ascii="Times New Roman" w:cs="Times New Roman" w:eastAsia="Times New Roman" w:hAnsi="Times New Roman"/>
                <w:sz w:val="18"/>
                <w:szCs w:val="18"/>
                <w:color w:val="auto"/>
                <w:w w:val="99"/>
              </w:rPr>
              <w:t>BBB</w:t>
            </w:r>
          </w:p>
        </w:tc>
        <w:tc>
          <w:tcPr>
            <w:tcW w:w="15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Baa1</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600" w:type="dxa"/>
            <w:vAlign w:val="bottom"/>
          </w:tcPr>
          <w:p>
            <w:pPr>
              <w:jc w:val="center"/>
              <w:ind w:left="2792"/>
              <w:spacing w:after="0"/>
              <w:rPr>
                <w:sz w:val="20"/>
                <w:szCs w:val="20"/>
                <w:color w:val="auto"/>
              </w:rPr>
            </w:pPr>
            <w:r>
              <w:rPr>
                <w:rFonts w:ascii="Times New Roman" w:cs="Times New Roman" w:eastAsia="Times New Roman" w:hAnsi="Times New Roman"/>
                <w:sz w:val="18"/>
                <w:szCs w:val="18"/>
                <w:color w:val="auto"/>
                <w:w w:val="99"/>
              </w:rPr>
              <w:t>A-2</w:t>
            </w: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5"/>
              </w:rPr>
              <w:t>P-2</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Mortgage Bonds</w:t>
            </w:r>
          </w:p>
        </w:tc>
        <w:tc>
          <w:tcPr>
            <w:tcW w:w="4600" w:type="dxa"/>
            <w:vAlign w:val="bottom"/>
            <w:tcBorders>
              <w:bottom w:val="single" w:sz="8" w:color="auto"/>
            </w:tcBorders>
            <w:shd w:val="clear" w:color="auto" w:fill="CCEEFF"/>
          </w:tcPr>
          <w:p>
            <w:pPr>
              <w:jc w:val="center"/>
              <w:ind w:left="2792"/>
              <w:spacing w:after="0"/>
              <w:rPr>
                <w:sz w:val="20"/>
                <w:szCs w:val="20"/>
                <w:color w:val="auto"/>
              </w:rPr>
            </w:pPr>
            <w:r>
              <w:rPr>
                <w:rFonts w:ascii="Times New Roman" w:cs="Times New Roman" w:eastAsia="Times New Roman" w:hAnsi="Times New Roman"/>
                <w:sz w:val="16"/>
                <w:szCs w:val="16"/>
                <w:i w:val="1"/>
                <w:iCs w:val="1"/>
                <w:color w:val="auto"/>
              </w:rPr>
              <w:t>(b)</w:t>
            </w:r>
          </w:p>
        </w:tc>
        <w:tc>
          <w:tcPr>
            <w:tcW w:w="156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A2</w:t>
            </w:r>
          </w:p>
        </w:tc>
      </w:tr>
    </w:tbl>
    <w:p>
      <w:pPr>
        <w:spacing w:after="0" w:line="79" w:lineRule="exact"/>
        <w:rPr>
          <w:sz w:val="20"/>
          <w:szCs w:val="20"/>
          <w:color w:val="auto"/>
        </w:rPr>
      </w:pPr>
    </w:p>
    <w:p>
      <w:pPr>
        <w:ind w:left="340" w:hanging="332"/>
        <w:spacing w:after="0" w:line="259" w:lineRule="auto"/>
        <w:tabs>
          <w:tab w:leader="none" w:pos="245"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May 7, 2024, S&amp;P Global Ratings revised its outlook on ALLETE to negative from stable and affirmed all of its ratings on ALLETE. S&amp;P Global Ratings cited the possibility for higher leverage and weaker financial measures because of the Merger as its rationale for issuing the negative outlook.</w:t>
      </w:r>
    </w:p>
    <w:p>
      <w:pPr>
        <w:ind w:left="360" w:hanging="352"/>
        <w:spacing w:after="0"/>
        <w:tabs>
          <w:tab w:leader="none" w:pos="36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Not rated by S&amp;P.</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Common Stock Dividends</w:t>
      </w:r>
      <w:r>
        <w:rPr>
          <w:rFonts w:ascii="Times New Roman" w:cs="Times New Roman" w:eastAsia="Times New Roman" w:hAnsi="Times New Roman"/>
          <w:sz w:val="18"/>
          <w:szCs w:val="18"/>
          <w:color w:val="auto"/>
        </w:rPr>
        <w:t>. ALLETE is committed to providing a competitive dividend to its shareholders while at the same time funding its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ALLETE’s long-term objective is to maintain a dividend payout ratio similar to our peers and provide for future dividend increases. Our targeted payout range is between 60 percent and 70 percent. In 2024, we paid out 91 percent (63 percent in 2023; 77 percent in 2022) of our per share earnings in dividends. On January 30, 2025, our Board of Directors declared a dividend of $0.73 per share, which is payable on March 1, 2025, to shareholders of record at the close of business on February 14, 2025.</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Merger Agreement, the Company has agreed not to declare or pay dividends except for quarterly cash dividends payable by us in respect of shares of our common stock on a schedule consistent with our past practices in an amount not to exceed 5 percent per share more than the dividend payable during the prior 12-month period, subject to certain other exceptions. (See Note 15. Agreement and Plan of Merger).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Capital Requirements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ALLETE’s projected capital expenditures for the years 2025 through 2029 are presented in the following table. Actual capital expenditures may vary from the projections due to changes in forecasted plant maintenance, regulatory decisions or approvals, future environmental requirements, base load growth, capital market conditions or executions of new business strategies. Projected capital expenditures exclude amounts for projects that will be sold to third parties upon completion.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xml:space="preserve">High kV Transmission Expansion </w:t>
            </w:r>
            <w:r>
              <w:rPr>
                <w:rFonts w:ascii="Times New Roman" w:cs="Times New Roman" w:eastAsia="Times New Roman" w:hAnsi="Times New Roman"/>
                <w:sz w:val="16"/>
                <w:szCs w:val="16"/>
                <w:i w:val="1"/>
                <w:iCs w:val="1"/>
                <w:color w:val="auto"/>
              </w:rPr>
              <w:t>(a)</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$615</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$635</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29"/>
        </w:trPr>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xml:space="preserve">Solar RFP </w:t>
            </w:r>
            <w:r>
              <w:rPr>
                <w:rFonts w:ascii="Times New Roman" w:cs="Times New Roman" w:eastAsia="Times New Roman" w:hAnsi="Times New Roman"/>
                <w:sz w:val="16"/>
                <w:szCs w:val="16"/>
                <w:i w:val="1"/>
                <w:iCs w:val="1"/>
                <w:color w:val="auto"/>
              </w:rPr>
              <w:t>(b)</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145</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180</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xml:space="preserve">Wind RFP </w:t>
            </w:r>
            <w:r>
              <w:rPr>
                <w:rFonts w:ascii="Times New Roman" w:cs="Times New Roman" w:eastAsia="Times New Roman" w:hAnsi="Times New Roman"/>
                <w:sz w:val="16"/>
                <w:szCs w:val="16"/>
                <w:i w:val="1"/>
                <w:iCs w:val="1"/>
                <w:color w:val="auto"/>
              </w:rPr>
              <w:t>(b)</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215</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325</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xml:space="preserve">Storage </w:t>
            </w:r>
            <w:r>
              <w:rPr>
                <w:rFonts w:ascii="Times New Roman" w:cs="Times New Roman" w:eastAsia="Times New Roman" w:hAnsi="Times New Roman"/>
                <w:sz w:val="16"/>
                <w:szCs w:val="16"/>
                <w:i w:val="1"/>
                <w:iCs w:val="1"/>
                <w:color w:val="auto"/>
              </w:rPr>
              <w:t>(b)</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200</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44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Base &amp; Other</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220</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265</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285</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280</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530</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870</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1,320</w:t>
            </w: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1,155</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ALLETE Clean Energy </w:t>
            </w:r>
            <w:r>
              <w:rPr>
                <w:rFonts w:ascii="Times New Roman" w:cs="Times New Roman" w:eastAsia="Times New Roman" w:hAnsi="Times New Roman"/>
                <w:sz w:val="16"/>
                <w:szCs w:val="16"/>
                <w:i w:val="1"/>
                <w:iCs w:val="1"/>
                <w:color w:val="auto"/>
              </w:rPr>
              <w:t>(c)</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xml:space="preserve">South Shore Energy </w:t>
            </w:r>
            <w:r>
              <w:rPr>
                <w:rFonts w:ascii="Times New Roman" w:cs="Times New Roman" w:eastAsia="Times New Roman" w:hAnsi="Times New Roman"/>
                <w:sz w:val="16"/>
                <w:szCs w:val="16"/>
                <w:i w:val="1"/>
                <w:iCs w:val="1"/>
                <w:color w:val="auto"/>
              </w:rPr>
              <w:t>(d)</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44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Total Capital Expenditures </w:t>
            </w:r>
            <w:r>
              <w:rPr>
                <w:rFonts w:ascii="Times New Roman" w:cs="Times New Roman" w:eastAsia="Times New Roman" w:hAnsi="Times New Roman"/>
                <w:sz w:val="16"/>
                <w:szCs w:val="16"/>
                <w:i w:val="1"/>
                <w:iCs w:val="1"/>
                <w:color w:val="auto"/>
              </w:rPr>
              <w:t>(e)</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$605</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$940</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$1,410</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$1,240</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$810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r>
    </w:tbl>
    <w:p>
      <w:pPr>
        <w:spacing w:after="0" w:line="79" w:lineRule="exact"/>
        <w:rPr>
          <w:sz w:val="20"/>
          <w:szCs w:val="20"/>
          <w:color w:val="auto"/>
        </w:rPr>
      </w:pPr>
    </w:p>
    <w:p>
      <w:pPr>
        <w:ind w:left="340" w:hanging="332"/>
        <w:spacing w:after="0" w:line="259" w:lineRule="auto"/>
        <w:tabs>
          <w:tab w:leader="none" w:pos="34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This includes capital expenditures for the HVDC modernization, Northland Reliability, Duluth Loop, Big Stone South transmission projects and several projects identified in the second phase of the MISO Long Range Transmission Plan that was approved on December 12, 2024. (See Outlook – Transmission.)</w:t>
      </w:r>
    </w:p>
    <w:p>
      <w:pPr>
        <w:jc w:val="both"/>
        <w:ind w:left="340" w:hanging="332"/>
        <w:spacing w:after="0" w:line="253" w:lineRule="auto"/>
        <w:tabs>
          <w:tab w:leader="none" w:pos="34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capital expenditures are part of Minnesota Power’s clean-energy transition plans, which include its progress toward 100 percent carbon-free energy supply, as detailed in Minnesota Power’s latest IRP, which was approved by the MPUC in January 2023. These capital expenditures are dependent on successful requests for proposal by Minnesota Power. (See Outlook – EnergyForward.)</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line="253" w:lineRule="auto"/>
        <w:tabs>
          <w:tab w:leader="none" w:pos="331"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Capital expenditures do not include costs related to developing projects that will be sold upon completion as these costs are accounted for as inventory and reflected in Inventories – Net on the Consolidated Balance Sheet.</w:t>
      </w:r>
    </w:p>
    <w:p>
      <w:pPr>
        <w:ind w:left="340" w:right="20" w:hanging="332"/>
        <w:spacing w:after="0" w:line="255" w:lineRule="auto"/>
        <w:tabs>
          <w:tab w:leader="none" w:pos="34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portion of estimated capital expenditures for construction of NTEC, an approximately 600 MW proposed combined-cycle natural gas-fired generating facility to be built in Superior, Wisconsin, which will be jointly owned by Dairyland Power Cooperative, Basin and South Shore Energy.</w:t>
      </w:r>
    </w:p>
    <w:p>
      <w:pPr>
        <w:ind w:left="320" w:hanging="312"/>
        <w:spacing w:after="0"/>
        <w:tabs>
          <w:tab w:leader="none" w:pos="32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amounts do not include capital expenditures for projects considered to be in their preliminary stages.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well positioned to meet our financing needs due to adequate operating cash flows, available additional working capital and access to capital markets. We will finance capital expenditures from a combination of internally generated funds, debt and equity issuance proceeds. We intend to maintain a capital structure with capital ratios near current levels. (See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9. Commitments, Guarantees and Contingencies.)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Investments.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Available-for-Sale Securities. </w:t>
      </w:r>
      <w:r>
        <w:rPr>
          <w:rFonts w:ascii="Times New Roman" w:cs="Times New Roman" w:eastAsia="Times New Roman" w:hAnsi="Times New Roman"/>
          <w:sz w:val="18"/>
          <w:szCs w:val="18"/>
          <w:color w:val="auto"/>
        </w:rPr>
        <w:t>As of December 31, 2024, our available-for-sale securities portfolio consisted primarily of securities held 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plans to fund employee benefits.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Market Risk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following table presents the long-term debt obligations and the corresponding weighted average interest rate as of December 31,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Expected Maturity Date</w:t>
            </w:r>
          </w:p>
        </w:tc>
        <w:tc>
          <w:tcPr>
            <w:tcW w:w="1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Interest Rate Sensitive</w:t>
            </w:r>
          </w:p>
        </w:tc>
        <w:tc>
          <w:tcPr>
            <w:tcW w:w="1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144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Rate – Millions</w:t>
            </w:r>
          </w:p>
        </w:tc>
        <w:tc>
          <w:tcPr>
            <w:tcW w:w="1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$66.9</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$80.2</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$55.8</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$220.3</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$1,174.5</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Interest Rate – %</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 Millions</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$27.8</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Interest Rate – %</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rates on variable rate long-term debt are reset on a periodic basis reflecting prevailing market conditions. Based on the variable rate debt outstanding as of December 31, 2024, an increase of 100 basis points in interest rates would impact the amount of pre-tax interest expense by $0.5 million. This amount was determined by considering the impact of a hypothetical 100 basis point increase to the average variable interest rate on the variable rate debt outstanding as of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MARKETING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our Consolidated Financial Statements as of December 31, 2024 and 2023, and for the years ended December 31, 2024, 2023 and 2022, and supplementary data, which are indexed in Item 15(a).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Internal Control – Integrated Framework (framework) issued by the Committee of Sponsoring Organizations of the Treadway Commission. Based on our evaluation under the framework, our management concluded that our internal control over financial reporting was effective as of December 31, 2024.</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which is included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Trading Plans. </w:t>
      </w:r>
      <w:r>
        <w:rPr>
          <w:rFonts w:ascii="Times New Roman" w:cs="Times New Roman" w:eastAsia="Times New Roman" w:hAnsi="Times New Roman"/>
          <w:sz w:val="18"/>
          <w:szCs w:val="18"/>
          <w:color w:val="auto"/>
        </w:rPr>
        <w:t>For the three months ended December 31, 2024, no director or officer of the Company adopted, modified or terminated a “Rule 10b5-1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arrangement” or “non-Rule 10b5-1 trading arrangement,” as each term is defined in Item 408(a)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the information required by this Item is incorporated by reference herein from our Proxy Statement for the 2025 Annual Meeting of Shareholders (2025 Proxy Statement) under the following headings:</w:t>
      </w:r>
    </w:p>
    <w:p>
      <w:pPr>
        <w:spacing w:after="0" w:line="18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The information regarding directors will be included in the “Election of Directors” section;</w:t>
      </w:r>
    </w:p>
    <w:p>
      <w:pPr>
        <w:spacing w:after="0" w:line="25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Committee Financial Expert. </w:t>
      </w:r>
      <w:r>
        <w:rPr>
          <w:rFonts w:ascii="Times New Roman" w:cs="Times New Roman" w:eastAsia="Times New Roman" w:hAnsi="Times New Roman"/>
          <w:sz w:val="18"/>
          <w:szCs w:val="18"/>
          <w:color w:val="auto"/>
        </w:rPr>
        <w:t>The information regarding the Audit Committee financial expert will be included in the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section and the “Audit Committee Report” section;</w:t>
      </w:r>
    </w:p>
    <w:p>
      <w:pPr>
        <w:spacing w:after="0" w:line="18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Committee Members. </w:t>
      </w:r>
      <w:r>
        <w:rPr>
          <w:rFonts w:ascii="Times New Roman" w:cs="Times New Roman" w:eastAsia="Times New Roman" w:hAnsi="Times New Roman"/>
          <w:sz w:val="18"/>
          <w:szCs w:val="18"/>
          <w:color w:val="auto"/>
        </w:rPr>
        <w:t>The identity of the Audit Committee members will be included in the “Corporate Governance” section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 Committee Report” section;</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Officers. </w:t>
      </w:r>
      <w:r>
        <w:rPr>
          <w:rFonts w:ascii="Times New Roman" w:cs="Times New Roman" w:eastAsia="Times New Roman" w:hAnsi="Times New Roman"/>
          <w:sz w:val="18"/>
          <w:szCs w:val="18"/>
          <w:color w:val="auto"/>
        </w:rPr>
        <w:t>The information regarding executive officers is included in Part I of this Form 10-K; and</w:t>
      </w:r>
    </w:p>
    <w:p>
      <w:pPr>
        <w:spacing w:after="0" w:line="25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16(a) Delinquency. </w:t>
      </w:r>
      <w:r>
        <w:rPr>
          <w:rFonts w:ascii="Times New Roman" w:cs="Times New Roman" w:eastAsia="Times New Roman" w:hAnsi="Times New Roman"/>
          <w:sz w:val="18"/>
          <w:szCs w:val="18"/>
          <w:color w:val="auto"/>
        </w:rPr>
        <w:t>If applicable, information regarding Section 16(a) delinquencies will be included in a “Delinquent Section 16(a)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section.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2025 Proxy Statement will be filed with the SEC within 120 days after the end of our 2024 fiscal year.</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Code of Ethics. </w:t>
      </w:r>
      <w:r>
        <w:rPr>
          <w:rFonts w:ascii="Times New Roman" w:cs="Times New Roman" w:eastAsia="Times New Roman" w:hAnsi="Times New Roman"/>
          <w:sz w:val="18"/>
          <w:szCs w:val="18"/>
          <w:color w:val="auto"/>
        </w:rPr>
        <w:t>We have adopted a written Code of Ethics that applies to all of our employees, including our Chief Executive Officer,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Chief Accounting Officer.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Corporate Governance. </w:t>
      </w:r>
      <w:r>
        <w:rPr>
          <w:rFonts w:ascii="Times New Roman" w:cs="Times New Roman" w:eastAsia="Times New Roman" w:hAnsi="Times New Roman"/>
          <w:sz w:val="18"/>
          <w:szCs w:val="18"/>
          <w:color w:val="auto"/>
        </w:rPr>
        <w:t>The following documents are available on our website at www.allete.com and print copies are available upon request:</w:t>
      </w:r>
    </w:p>
    <w:p>
      <w:pPr>
        <w:spacing w:after="0" w:line="25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Guidelines;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and Human Capital Committee Charter;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and Nominating Committee Charter.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amendment to these documents will be disclosed on our website at www.allete.com promptly following the date of such amendment.</w:t>
      </w:r>
    </w:p>
    <w:p>
      <w:pPr>
        <w:spacing w:after="0" w:line="24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Insider Trading Policies. </w:t>
      </w:r>
      <w:r>
        <w:rPr>
          <w:rFonts w:ascii="Times New Roman" w:cs="Times New Roman" w:eastAsia="Times New Roman" w:hAnsi="Times New Roman"/>
          <w:sz w:val="18"/>
          <w:szCs w:val="18"/>
          <w:color w:val="auto"/>
        </w:rPr>
        <w:t>The information required by this Item for disclosure of the Company’s insider trading policies and procedures and disclosure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options awarded close in time to the release of material nonpublic information is incorporated by reference herein from our 2025 Proxy Statement.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“Compensation Discussion and Analysis,” the “Compensation Committee Report,” the “Director Compensation” and the “Pay Versus Performance” sections in our 2025 Proxy Statement.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concerning the Company’s policy regarding incentive-based compensation received by current and former officers in the event of a required accounting restatement is included in Exhibit 97 to this Form 10-K.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“Ownership of ALLETE Common Stock – Securities Owned by Certain Beneficial Owners” and the “Ownership of ALLETE Common Stock – Securities Owned by Directors and Management” sections in our 2025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shares of ALLETE common stock available for issuance under the Company's equity compensation plans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46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24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Weighted-Average Exercise</w:t>
            </w: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2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460" w:type="dxa"/>
            <w:vAlign w:val="bottom"/>
            <w:vMerge w:val="continue"/>
          </w:tcPr>
          <w:p>
            <w:pPr>
              <w:spacing w:after="0"/>
              <w:rPr>
                <w:sz w:val="16"/>
                <w:szCs w:val="16"/>
                <w:color w:val="auto"/>
              </w:rPr>
            </w:pPr>
          </w:p>
        </w:tc>
        <w:tc>
          <w:tcPr>
            <w:tcW w:w="2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76"/>
        </w:trPr>
        <w:tc>
          <w:tcPr>
            <w:tcW w:w="388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Price of Outstanding Options,</w:t>
            </w: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vMerge w:val="continue"/>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Warrants, and Rights </w:t>
            </w:r>
            <w:r>
              <w:rPr>
                <w:rFonts w:ascii="Times New Roman" w:cs="Times New Roman" w:eastAsia="Times New Roman" w:hAnsi="Times New Roman"/>
                <w:sz w:val="16"/>
                <w:szCs w:val="16"/>
                <w:i w:val="1"/>
                <w:iCs w:val="1"/>
                <w:color w:val="auto"/>
                <w:w w:val="99"/>
              </w:rPr>
              <w:t>(a)</w:t>
            </w:r>
          </w:p>
        </w:tc>
        <w:tc>
          <w:tcPr>
            <w:tcW w:w="2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6"/>
                <w:szCs w:val="16"/>
                <w:i w:val="1"/>
                <w:iCs w:val="1"/>
                <w:color w:val="auto"/>
              </w:rPr>
              <w:t>(b)</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(c)</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5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227,422</w:t>
            </w:r>
          </w:p>
        </w:tc>
        <w:tc>
          <w:tcPr>
            <w:tcW w:w="2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783,025</w:t>
            </w:r>
          </w:p>
        </w:tc>
        <w:tc>
          <w:tcPr>
            <w:tcW w:w="0" w:type="dxa"/>
            <w:vAlign w:val="bottom"/>
          </w:tcPr>
          <w:p>
            <w:pPr>
              <w:spacing w:after="0"/>
              <w:rPr>
                <w:sz w:val="1"/>
                <w:szCs w:val="1"/>
                <w:color w:val="auto"/>
              </w:rPr>
            </w:pPr>
          </w:p>
        </w:tc>
      </w:tr>
      <w:tr>
        <w:trPr>
          <w:trHeight w:val="175"/>
        </w:trPr>
        <w:tc>
          <w:tcPr>
            <w:tcW w:w="3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227,422</w:t>
            </w:r>
          </w:p>
        </w:tc>
        <w:tc>
          <w:tcPr>
            <w:tcW w:w="2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783,025</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340" w:hanging="332"/>
        <w:spacing w:after="0" w:line="256" w:lineRule="auto"/>
        <w:tabs>
          <w:tab w:leader="none" w:pos="388"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the following as of December 31, 2024: (i) 32,674 securities representing the performance shares (including accrued dividends) granted under the executive long-term incentive compensation plan that vested but were not paid as of December 31, 2024; (ii) 108,927 securities representing the target number of performance share awards (including accrued dividends) granted under the executive long-term incentive compensation plan that were unvested; and (iii) 85,821 director deferred stock units (including accrued dividends) under the non-employee director compensation deferral plan. With respect to unvested performance share awards, the actual number of shares to be issued will vary from 0 percent to 200 percent of the target level depending upon the achievement of total shareholder return objectives established for such awards. For additional information about the performance shares, including payout calculations, see our 2025 Proxy Statement.</w:t>
      </w:r>
    </w:p>
    <w:p>
      <w:pPr>
        <w:spacing w:after="0" w:line="3" w:lineRule="exact"/>
        <w:rPr>
          <w:rFonts w:ascii="Times New Roman" w:cs="Times New Roman" w:eastAsia="Times New Roman" w:hAnsi="Times New Roman"/>
          <w:sz w:val="16"/>
          <w:szCs w:val="16"/>
          <w:i w:val="1"/>
          <w:iCs w:val="1"/>
          <w:color w:val="auto"/>
        </w:rPr>
      </w:pPr>
    </w:p>
    <w:p>
      <w:pPr>
        <w:ind w:left="340" w:hanging="332"/>
        <w:spacing w:after="0" w:line="248" w:lineRule="auto"/>
        <w:tabs>
          <w:tab w:leader="none" w:pos="409"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Earned performance share awards are paid in shares of ALLETE common stock on a one-for-one basis. Accordingly, these awards do not have a weighted-average exercise price.</w:t>
      </w:r>
    </w:p>
    <w:p>
      <w:pPr>
        <w:spacing w:after="0" w:line="1" w:lineRule="exact"/>
        <w:rPr>
          <w:rFonts w:ascii="Times New Roman" w:cs="Times New Roman" w:eastAsia="Times New Roman" w:hAnsi="Times New Roman"/>
          <w:sz w:val="16"/>
          <w:szCs w:val="16"/>
          <w:i w:val="1"/>
          <w:iCs w:val="1"/>
          <w:color w:val="auto"/>
        </w:rPr>
      </w:pPr>
    </w:p>
    <w:p>
      <w:pPr>
        <w:jc w:val="both"/>
        <w:ind w:left="340" w:hanging="332"/>
        <w:spacing w:after="0" w:line="256" w:lineRule="auto"/>
        <w:tabs>
          <w:tab w:leader="none" w:pos="361"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Excludes the number of securities shown in the first column as to be issued upon exercise of outstanding options, warrants, and rights. The amount shown is comprised of: (i) 494,870 shares available for issuance under the executive long-term incentive compensation plan in the form of options, rights, restricted stock units, performance share awards, and other grants as approved by the Executive Compensation Committee of the Company’s Board of Directors; (ii) 255,431 shares available for issuance under the Non-Employee Director Stock Plan as payment for a portion of the annual retainer payable to non-employee Directors; and (iii) 32,724 shares available for issuance under the ALLETE and Affiliated Companies Employee Stock Purchase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“Corporate Governance” section in our 2025 Proxy Statement.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PricewaterhouseCoopers LLP, Minneapolis, MN, PCAOB ID: 238.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“Audit Committee Report” section in our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31" w:lineRule="exact"/>
        <w:rPr>
          <w:sz w:val="20"/>
          <w:szCs w:val="20"/>
          <w:color w:val="auto"/>
        </w:rPr>
      </w:pPr>
    </w:p>
    <w:p>
      <w:pPr>
        <w:ind w:left="800" w:hanging="774"/>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Documents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806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Financial Statements</w:t>
            </w:r>
          </w:p>
        </w:tc>
        <w:tc>
          <w:tcPr>
            <w:tcW w:w="2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230"/>
        </w:trPr>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5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w:t>
            </w:r>
          </w:p>
        </w:tc>
        <w:tc>
          <w:tcPr>
            <w:tcW w:w="2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58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 as of December 31, 2024 and 2023</w:t>
            </w:r>
          </w:p>
        </w:tc>
        <w:tc>
          <w:tcPr>
            <w:tcW w:w="3000" w:type="dxa"/>
            <w:vAlign w:val="bottom"/>
            <w:tcBorders>
              <w:bottom w:val="single" w:sz="8" w:color="CCEEFF"/>
            </w:tcBorders>
            <w:gridSpan w:val="2"/>
            <w:shd w:val="clear" w:color="auto" w:fill="CCEEFF"/>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Income</w:t>
            </w:r>
          </w:p>
        </w:tc>
        <w:tc>
          <w:tcPr>
            <w:tcW w:w="4840" w:type="dxa"/>
            <w:vAlign w:val="bottom"/>
            <w:tcBorders>
              <w:bottom w:val="single" w:sz="8" w:color="CCEEFF"/>
            </w:tcBorders>
            <w:gridSpan w:val="7"/>
            <w:shd w:val="clear" w:color="auto" w:fill="CCEEFF"/>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Comprehensive Income</w:t>
            </w:r>
          </w:p>
        </w:tc>
        <w:tc>
          <w:tcPr>
            <w:tcW w:w="2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Cash Flows</w:t>
            </w:r>
          </w:p>
        </w:tc>
        <w:tc>
          <w:tcPr>
            <w:tcW w:w="4540" w:type="dxa"/>
            <w:vAlign w:val="bottom"/>
            <w:tcBorders>
              <w:bottom w:val="single" w:sz="8" w:color="CCEEFF"/>
            </w:tcBorders>
            <w:gridSpan w:val="6"/>
            <w:shd w:val="clear" w:color="auto" w:fill="CCEEFF"/>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Equity</w:t>
            </w:r>
          </w:p>
        </w:tc>
        <w:tc>
          <w:tcPr>
            <w:tcW w:w="2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58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806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58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II – ALLETE Valuation and Qualifying Accounts and Reserves</w:t>
            </w:r>
          </w:p>
        </w:tc>
        <w:tc>
          <w:tcPr>
            <w:tcW w:w="2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137</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10720" w:type="dxa"/>
            <w:vAlign w:val="bottom"/>
            <w:gridSpan w:val="15"/>
          </w:tcPr>
          <w:p>
            <w:pPr>
              <w:ind w:left="280"/>
              <w:spacing w:after="0" w:line="176" w:lineRule="exact"/>
              <w:rPr>
                <w:sz w:val="20"/>
                <w:szCs w:val="20"/>
                <w:color w:val="auto"/>
              </w:rPr>
            </w:pPr>
            <w:r>
              <w:rPr>
                <w:rFonts w:ascii="Times New Roman" w:cs="Times New Roman" w:eastAsia="Times New Roman" w:hAnsi="Times New Roman"/>
                <w:sz w:val="18"/>
                <w:szCs w:val="18"/>
                <w:color w:val="auto"/>
              </w:rPr>
              <w:t>All other schedules have been omitted either because the information is not required to be reported by ALLETE or because the information is</w:t>
            </w:r>
          </w:p>
        </w:tc>
      </w:tr>
      <w:tr>
        <w:trPr>
          <w:trHeight w:val="234"/>
        </w:trPr>
        <w:tc>
          <w:tcPr>
            <w:tcW w:w="520" w:type="dxa"/>
            <w:vAlign w:val="bottom"/>
          </w:tcPr>
          <w:p>
            <w:pPr>
              <w:spacing w:after="0"/>
              <w:rPr>
                <w:sz w:val="20"/>
                <w:szCs w:val="20"/>
                <w:color w:val="auto"/>
              </w:rPr>
            </w:pPr>
          </w:p>
        </w:tc>
        <w:tc>
          <w:tcPr>
            <w:tcW w:w="806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included in the Consolidated Financial Statements or the notes.</w:t>
            </w: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4" w:lineRule="exact"/>
        <w:rPr>
          <w:sz w:val="20"/>
          <w:szCs w:val="20"/>
          <w:color w:val="auto"/>
        </w:rPr>
      </w:pPr>
    </w:p>
    <w:p>
      <w:pPr>
        <w:ind w:left="800" w:hanging="77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including those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*2</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60" w:type="dxa"/>
            <w:vAlign w:val="bottom"/>
            <w:gridSpan w:val="14"/>
            <w:shd w:val="clear" w:color="auto" w:fill="CCEEFF"/>
          </w:tcPr>
          <w:p>
            <w:pPr>
              <w:ind w:left="140"/>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Agreement and Plan of Merger by and among ALLETE, Inc., Alloy Parent LLC and Alloy Merger Sub LLC, dated as of May 5, 2024 (filed as</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660" w:type="dxa"/>
            <w:vAlign w:val="bottom"/>
            <w:tcBorders>
              <w:top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Exhibit 2.1 to the May 6, 2024, Form 8-K, File No. 1-3548).**</w:t>
              </w:r>
            </w:hyperlink>
          </w:p>
        </w:tc>
        <w:tc>
          <w:tcPr>
            <w:tcW w:w="126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4"/>
          </w:tcPr>
          <w:p>
            <w:pPr>
              <w:spacing w:after="0" w:line="175"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*3(a)1</w:t>
              </w:r>
            </w:hyperlink>
          </w:p>
        </w:tc>
        <w:tc>
          <w:tcPr>
            <w:tcW w:w="62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720" w:type="dxa"/>
            <w:vAlign w:val="bottom"/>
            <w:gridSpan w:val="13"/>
          </w:tcPr>
          <w:p>
            <w:pPr>
              <w:spacing w:after="0" w:line="175"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Articles of Incorporation, amended and restated as of May 8, 2001 (filed as Exhibit 3(b) to the March 31, 2001,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Q, File No. 1-3548).</w:t>
              </w:r>
            </w:hyperlink>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40" w:type="dxa"/>
            <w:vAlign w:val="bottom"/>
            <w:gridSpan w:val="4"/>
            <w:shd w:val="clear" w:color="auto" w:fill="CCEEFF"/>
          </w:tcPr>
          <w:p>
            <w:pPr>
              <w:spacing w:after="0" w:line="175"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*3(a)2</w:t>
              </w:r>
            </w:hyperlink>
          </w:p>
        </w:tc>
        <w:tc>
          <w:tcPr>
            <w:tcW w:w="62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60" w:type="dxa"/>
            <w:vAlign w:val="bottom"/>
            <w:gridSpan w:val="14"/>
            <w:shd w:val="clear" w:color="auto" w:fill="CCEEFF"/>
          </w:tcPr>
          <w:p>
            <w:pPr>
              <w:ind w:left="140"/>
              <w:spacing w:after="0" w:line="175"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Amendment to Articles of Incorporation, dated as of September 20, 2004 (filed as Exhibit 3 to the September 21, 2004, Form 8-K, File No. 1-3548).</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4"/>
          </w:tcPr>
          <w:p>
            <w:pPr>
              <w:spacing w:after="0" w:line="175"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*3(a)3</w:t>
              </w:r>
            </w:hyperlink>
          </w:p>
        </w:tc>
        <w:tc>
          <w:tcPr>
            <w:tcW w:w="62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60" w:type="dxa"/>
            <w:vAlign w:val="bottom"/>
            <w:gridSpan w:val="14"/>
          </w:tcPr>
          <w:p>
            <w:pPr>
              <w:ind w:left="140"/>
              <w:spacing w:after="0" w:line="175"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Amendment to Articles of Incorporation, dated as of May 12, 2009 (filed as Exhibit 3 to the June 30, 2009, Form 10-Q, File No. 1-3548).</w:t>
              </w:r>
            </w:hyperlink>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40" w:type="dxa"/>
            <w:vAlign w:val="bottom"/>
            <w:gridSpan w:val="4"/>
            <w:shd w:val="clear" w:color="auto" w:fill="CCEEFF"/>
          </w:tcPr>
          <w:p>
            <w:pPr>
              <w:spacing w:after="0" w:line="175"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*3(a)4</w:t>
              </w:r>
            </w:hyperlink>
          </w:p>
        </w:tc>
        <w:tc>
          <w:tcPr>
            <w:tcW w:w="62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60" w:type="dxa"/>
            <w:vAlign w:val="bottom"/>
            <w:gridSpan w:val="14"/>
            <w:shd w:val="clear" w:color="auto" w:fill="CCEEFF"/>
          </w:tcPr>
          <w:p>
            <w:pPr>
              <w:ind w:left="140"/>
              <w:spacing w:after="0" w:line="175"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Amendment to Articles of Incorporation, dated as of May 11, 2010 (filed as Exhibit 3(a) to the May 14, 2010, Form 8-K, File No. 1-3548).</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4"/>
          </w:tcPr>
          <w:p>
            <w:pPr>
              <w:spacing w:after="0" w:line="175"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*3(a)5</w:t>
              </w:r>
            </w:hyperlink>
          </w:p>
        </w:tc>
        <w:tc>
          <w:tcPr>
            <w:tcW w:w="62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60" w:type="dxa"/>
            <w:vAlign w:val="bottom"/>
            <w:gridSpan w:val="14"/>
          </w:tcPr>
          <w:p>
            <w:pPr>
              <w:ind w:left="140"/>
              <w:spacing w:after="0" w:line="175"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Amendment to Certificate of Assumed Name, filed with the Minnesota Secretary of State on May 8, 2001 (filed as Exhibit 3(a) to the March 31,</w:t>
              </w:r>
            </w:hyperlink>
          </w:p>
        </w:tc>
      </w:tr>
      <w:tr>
        <w:trPr>
          <w:trHeight w:val="142"/>
        </w:trPr>
        <w:tc>
          <w:tcPr>
            <w:tcW w:w="2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2001, Form 10-Q, File No. 1-3548).</w:t>
              </w:r>
            </w:hyperlink>
          </w:p>
        </w:tc>
        <w:tc>
          <w:tcPr>
            <w:tcW w:w="740" w:type="dxa"/>
            <w:vAlign w:val="bottom"/>
            <w:tcBorders>
              <w:top w:val="single" w:sz="8" w:color="0000FF"/>
            </w:tcBorders>
          </w:tcPr>
          <w:p>
            <w:pPr>
              <w:spacing w:after="0"/>
              <w:rPr>
                <w:sz w:val="12"/>
                <w:szCs w:val="12"/>
                <w:color w:val="auto"/>
              </w:rPr>
            </w:pPr>
          </w:p>
        </w:tc>
        <w:tc>
          <w:tcPr>
            <w:tcW w:w="33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0000FF"/>
            </w:tcBorders>
            <w:gridSpan w:val="2"/>
            <w:shd w:val="clear" w:color="auto" w:fill="CCEEFF"/>
          </w:tcPr>
          <w:p>
            <w:pPr>
              <w:spacing w:after="0" w:line="175" w:lineRule="exact"/>
              <w:rPr>
                <w:rFonts w:ascii="Times New Roman" w:cs="Times New Roman" w:eastAsia="Times New Roman" w:hAnsi="Times New Roman"/>
                <w:sz w:val="16"/>
                <w:szCs w:val="16"/>
                <w:color w:val="0000FF"/>
                <w:w w:val="97"/>
              </w:rPr>
            </w:pPr>
            <w:hyperlink r:id="rId87">
              <w:r>
                <w:rPr>
                  <w:rFonts w:ascii="Times New Roman" w:cs="Times New Roman" w:eastAsia="Times New Roman" w:hAnsi="Times New Roman"/>
                  <w:sz w:val="16"/>
                  <w:szCs w:val="16"/>
                  <w:color w:val="0000FF"/>
                  <w:w w:val="97"/>
                </w:rPr>
                <w:t>*3(b)</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60" w:type="dxa"/>
            <w:vAlign w:val="bottom"/>
            <w:tcBorders>
              <w:bottom w:val="single" w:sz="8" w:color="0000FF"/>
            </w:tcBorders>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Bylaws, as amended effective April 13, 2020 (filed as Exhibit 3 to the April 14, 2020, Form 8-K, File No. 1-3548).</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74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*4(a)1</w:t>
            </w:r>
          </w:p>
        </w:tc>
        <w:tc>
          <w:tcPr>
            <w:tcW w:w="6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9860" w:type="dxa"/>
            <w:vAlign w:val="bottom"/>
            <w:gridSpan w:val="14"/>
          </w:tcPr>
          <w:p>
            <w:pPr>
              <w:ind w:left="140"/>
              <w:spacing w:after="0" w:line="162" w:lineRule="exact"/>
              <w:rPr>
                <w:sz w:val="20"/>
                <w:szCs w:val="20"/>
                <w:color w:val="auto"/>
              </w:rPr>
            </w:pPr>
            <w:r>
              <w:rPr>
                <w:rFonts w:ascii="Times New Roman" w:cs="Times New Roman" w:eastAsia="Times New Roman" w:hAnsi="Times New Roman"/>
                <w:sz w:val="16"/>
                <w:szCs w:val="16"/>
                <w:color w:val="auto"/>
              </w:rPr>
              <w:t>Mortgage and Deed of Trust, dated as of September 1, 1945, between Minnesota Power &amp; Light Company (now ALLETE) and The Bank of New</w:t>
            </w: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60" w:type="dxa"/>
            <w:vAlign w:val="bottom"/>
            <w:gridSpan w:val="14"/>
          </w:tcPr>
          <w:p>
            <w:pPr>
              <w:ind w:left="140"/>
              <w:spacing w:after="0"/>
              <w:rPr>
                <w:sz w:val="20"/>
                <w:szCs w:val="20"/>
                <w:color w:val="auto"/>
              </w:rPr>
            </w:pPr>
            <w:r>
              <w:rPr>
                <w:rFonts w:ascii="Times New Roman" w:cs="Times New Roman" w:eastAsia="Times New Roman" w:hAnsi="Times New Roman"/>
                <w:sz w:val="16"/>
                <w:szCs w:val="16"/>
                <w:color w:val="auto"/>
              </w:rPr>
              <w:t>York Mellon (formerly Irving Trust Company) and Sherma Thomas (successor to Richard H. West), Trustees (filed as Exhibit 7(c), File No. 2-5865).</w:t>
            </w:r>
          </w:p>
        </w:tc>
      </w:tr>
      <w:tr>
        <w:trPr>
          <w:trHeight w:val="219"/>
        </w:trPr>
        <w:tc>
          <w:tcPr>
            <w:tcW w:w="20" w:type="dxa"/>
            <w:vAlign w:val="bottom"/>
            <w:shd w:val="clear" w:color="auto" w:fill="CCEEFF"/>
          </w:tcPr>
          <w:p>
            <w:pPr>
              <w:spacing w:after="0"/>
              <w:rPr>
                <w:sz w:val="19"/>
                <w:szCs w:val="19"/>
                <w:color w:val="auto"/>
              </w:rPr>
            </w:pPr>
          </w:p>
        </w:tc>
        <w:tc>
          <w:tcPr>
            <w:tcW w:w="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*4(a)2</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80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Supplemental Indentures to ALLETE’s Mortgage and Deed of Trust:</w:t>
            </w: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Dated as of</w:t>
            </w:r>
          </w:p>
        </w:tc>
        <w:tc>
          <w:tcPr>
            <w:tcW w:w="432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Reference File</w:t>
            </w: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218"/>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First</w:t>
            </w:r>
          </w:p>
        </w:tc>
        <w:tc>
          <w:tcPr>
            <w:tcW w:w="2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March 1, 1949</w:t>
            </w:r>
          </w:p>
        </w:tc>
        <w:tc>
          <w:tcPr>
            <w:tcW w:w="4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2-7826</w:t>
            </w:r>
          </w:p>
        </w:tc>
        <w:tc>
          <w:tcPr>
            <w:tcW w:w="200" w:type="dxa"/>
            <w:vAlign w:val="bottom"/>
            <w:shd w:val="clear" w:color="auto" w:fill="CCEEFF"/>
          </w:tcPr>
          <w:p>
            <w:pPr>
              <w:spacing w:after="0"/>
              <w:rPr>
                <w:sz w:val="18"/>
                <w:szCs w:val="18"/>
                <w:color w:val="auto"/>
              </w:rPr>
            </w:pPr>
          </w:p>
        </w:tc>
        <w:tc>
          <w:tcPr>
            <w:tcW w:w="206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7(b)</w:t>
            </w: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Second</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July 1, 1951</w:t>
            </w: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2-9036</w:t>
            </w:r>
          </w:p>
        </w:tc>
        <w:tc>
          <w:tcPr>
            <w:tcW w:w="200" w:type="dxa"/>
            <w:vAlign w:val="bottom"/>
          </w:tcPr>
          <w:p>
            <w:pPr>
              <w:spacing w:after="0"/>
              <w:rPr>
                <w:sz w:val="18"/>
                <w:szCs w:val="18"/>
                <w:color w:val="auto"/>
              </w:rPr>
            </w:pP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7(c)</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Third</w:t>
            </w:r>
          </w:p>
        </w:tc>
        <w:tc>
          <w:tcPr>
            <w:tcW w:w="2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March 1, 1957</w:t>
            </w:r>
          </w:p>
        </w:tc>
        <w:tc>
          <w:tcPr>
            <w:tcW w:w="4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2-13075</w:t>
            </w:r>
          </w:p>
        </w:tc>
        <w:tc>
          <w:tcPr>
            <w:tcW w:w="200" w:type="dxa"/>
            <w:vAlign w:val="bottom"/>
            <w:shd w:val="clear" w:color="auto" w:fill="CCEEFF"/>
          </w:tcPr>
          <w:p>
            <w:pPr>
              <w:spacing w:after="0"/>
              <w:rPr>
                <w:sz w:val="19"/>
                <w:szCs w:val="19"/>
                <w:color w:val="auto"/>
              </w:rPr>
            </w:pPr>
          </w:p>
        </w:tc>
        <w:tc>
          <w:tcPr>
            <w:tcW w:w="206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Fourth</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January 1, 1968</w:t>
            </w: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2-27794</w:t>
            </w:r>
          </w:p>
        </w:tc>
        <w:tc>
          <w:tcPr>
            <w:tcW w:w="200" w:type="dxa"/>
            <w:vAlign w:val="bottom"/>
          </w:tcPr>
          <w:p>
            <w:pPr>
              <w:spacing w:after="0"/>
              <w:rPr>
                <w:sz w:val="18"/>
                <w:szCs w:val="18"/>
                <w:color w:val="auto"/>
              </w:rPr>
            </w:pP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Fifth</w:t>
            </w:r>
          </w:p>
        </w:tc>
        <w:tc>
          <w:tcPr>
            <w:tcW w:w="2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April 1, 1971</w:t>
            </w:r>
          </w:p>
        </w:tc>
        <w:tc>
          <w:tcPr>
            <w:tcW w:w="4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2-39537</w:t>
            </w:r>
          </w:p>
        </w:tc>
        <w:tc>
          <w:tcPr>
            <w:tcW w:w="200" w:type="dxa"/>
            <w:vAlign w:val="bottom"/>
            <w:shd w:val="clear" w:color="auto" w:fill="CCEEFF"/>
          </w:tcPr>
          <w:p>
            <w:pPr>
              <w:spacing w:after="0"/>
              <w:rPr>
                <w:sz w:val="19"/>
                <w:szCs w:val="19"/>
                <w:color w:val="auto"/>
              </w:rPr>
            </w:pPr>
          </w:p>
        </w:tc>
        <w:tc>
          <w:tcPr>
            <w:tcW w:w="206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Sixth</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August 1, 1975</w:t>
            </w: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2-54116</w:t>
            </w:r>
          </w:p>
        </w:tc>
        <w:tc>
          <w:tcPr>
            <w:tcW w:w="200" w:type="dxa"/>
            <w:vAlign w:val="bottom"/>
          </w:tcPr>
          <w:p>
            <w:pPr>
              <w:spacing w:after="0"/>
              <w:rPr>
                <w:sz w:val="18"/>
                <w:szCs w:val="18"/>
                <w:color w:val="auto"/>
              </w:rPr>
            </w:pP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Seventh</w:t>
            </w:r>
          </w:p>
        </w:tc>
        <w:tc>
          <w:tcPr>
            <w:tcW w:w="2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September 1, 1976</w:t>
            </w:r>
          </w:p>
        </w:tc>
        <w:tc>
          <w:tcPr>
            <w:tcW w:w="4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2-57014</w:t>
            </w:r>
          </w:p>
        </w:tc>
        <w:tc>
          <w:tcPr>
            <w:tcW w:w="200" w:type="dxa"/>
            <w:vAlign w:val="bottom"/>
            <w:shd w:val="clear" w:color="auto" w:fill="CCEEFF"/>
          </w:tcPr>
          <w:p>
            <w:pPr>
              <w:spacing w:after="0"/>
              <w:rPr>
                <w:sz w:val="19"/>
                <w:szCs w:val="19"/>
                <w:color w:val="auto"/>
              </w:rPr>
            </w:pPr>
          </w:p>
        </w:tc>
        <w:tc>
          <w:tcPr>
            <w:tcW w:w="206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Eighth</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September 1, 1977</w:t>
            </w: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2-59690</w:t>
            </w:r>
          </w:p>
        </w:tc>
        <w:tc>
          <w:tcPr>
            <w:tcW w:w="200" w:type="dxa"/>
            <w:vAlign w:val="bottom"/>
          </w:tcPr>
          <w:p>
            <w:pPr>
              <w:spacing w:after="0"/>
              <w:rPr>
                <w:sz w:val="18"/>
                <w:szCs w:val="18"/>
                <w:color w:val="auto"/>
              </w:rPr>
            </w:pP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Ninth</w:t>
            </w:r>
          </w:p>
        </w:tc>
        <w:tc>
          <w:tcPr>
            <w:tcW w:w="2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April 1, 1978</w:t>
            </w:r>
          </w:p>
        </w:tc>
        <w:tc>
          <w:tcPr>
            <w:tcW w:w="4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2-60866</w:t>
            </w:r>
          </w:p>
        </w:tc>
        <w:tc>
          <w:tcPr>
            <w:tcW w:w="200" w:type="dxa"/>
            <w:vAlign w:val="bottom"/>
            <w:shd w:val="clear" w:color="auto" w:fill="CCEEFF"/>
          </w:tcPr>
          <w:p>
            <w:pPr>
              <w:spacing w:after="0"/>
              <w:rPr>
                <w:sz w:val="19"/>
                <w:szCs w:val="19"/>
                <w:color w:val="auto"/>
              </w:rPr>
            </w:pPr>
          </w:p>
        </w:tc>
        <w:tc>
          <w:tcPr>
            <w:tcW w:w="206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2(c)</w:t>
            </w: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Tenth</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August 1, 1978</w:t>
            </w: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2-62852</w:t>
            </w:r>
          </w:p>
        </w:tc>
        <w:tc>
          <w:tcPr>
            <w:tcW w:w="200" w:type="dxa"/>
            <w:vAlign w:val="bottom"/>
          </w:tcPr>
          <w:p>
            <w:pPr>
              <w:spacing w:after="0"/>
              <w:rPr>
                <w:sz w:val="18"/>
                <w:szCs w:val="18"/>
                <w:color w:val="auto"/>
              </w:rPr>
            </w:pP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2(d)2</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Eleventh</w:t>
            </w:r>
          </w:p>
        </w:tc>
        <w:tc>
          <w:tcPr>
            <w:tcW w:w="2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December 1, 1982</w:t>
            </w:r>
          </w:p>
        </w:tc>
        <w:tc>
          <w:tcPr>
            <w:tcW w:w="4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2-56649</w:t>
            </w:r>
          </w:p>
        </w:tc>
        <w:tc>
          <w:tcPr>
            <w:tcW w:w="200" w:type="dxa"/>
            <w:vAlign w:val="bottom"/>
            <w:shd w:val="clear" w:color="auto" w:fill="CCEEFF"/>
          </w:tcPr>
          <w:p>
            <w:pPr>
              <w:spacing w:after="0"/>
              <w:rPr>
                <w:sz w:val="19"/>
                <w:szCs w:val="19"/>
                <w:color w:val="auto"/>
              </w:rPr>
            </w:pPr>
          </w:p>
        </w:tc>
        <w:tc>
          <w:tcPr>
            <w:tcW w:w="206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4(a)3</w:t>
            </w: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Twelfth</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April 1, 1987</w:t>
            </w: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33-30224</w:t>
            </w:r>
          </w:p>
        </w:tc>
        <w:tc>
          <w:tcPr>
            <w:tcW w:w="200" w:type="dxa"/>
            <w:vAlign w:val="bottom"/>
          </w:tcPr>
          <w:p>
            <w:pPr>
              <w:spacing w:after="0"/>
              <w:rPr>
                <w:sz w:val="18"/>
                <w:szCs w:val="18"/>
                <w:color w:val="auto"/>
              </w:rPr>
            </w:pP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4(a)3</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Thirteenth</w:t>
            </w:r>
          </w:p>
        </w:tc>
        <w:tc>
          <w:tcPr>
            <w:tcW w:w="2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March 1, 1992</w:t>
            </w:r>
          </w:p>
        </w:tc>
        <w:tc>
          <w:tcPr>
            <w:tcW w:w="41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33-47438</w:t>
            </w:r>
          </w:p>
        </w:tc>
        <w:tc>
          <w:tcPr>
            <w:tcW w:w="200" w:type="dxa"/>
            <w:vAlign w:val="bottom"/>
            <w:shd w:val="clear" w:color="auto" w:fill="CCEEFF"/>
          </w:tcPr>
          <w:p>
            <w:pPr>
              <w:spacing w:after="0"/>
              <w:rPr>
                <w:sz w:val="19"/>
                <w:szCs w:val="19"/>
                <w:color w:val="auto"/>
              </w:rPr>
            </w:pPr>
          </w:p>
        </w:tc>
        <w:tc>
          <w:tcPr>
            <w:tcW w:w="206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4(b)</w:t>
            </w: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Fourteenth</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June 1, 1992</w:t>
            </w:r>
          </w:p>
        </w:tc>
        <w:tc>
          <w:tcPr>
            <w:tcW w:w="41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33-55240</w:t>
            </w:r>
          </w:p>
        </w:tc>
        <w:tc>
          <w:tcPr>
            <w:tcW w:w="200" w:type="dxa"/>
            <w:vAlign w:val="bottom"/>
          </w:tcPr>
          <w:p>
            <w:pPr>
              <w:spacing w:after="0"/>
              <w:rPr>
                <w:sz w:val="18"/>
                <w:szCs w:val="18"/>
                <w:color w:val="auto"/>
              </w:rPr>
            </w:pPr>
          </w:p>
        </w:tc>
        <w:tc>
          <w:tcPr>
            <w:tcW w:w="206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4(b)</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gridSpan w:val="20"/>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Fifteenth</w:t>
            </w:r>
          </w:p>
        </w:tc>
        <w:tc>
          <w:tcPr>
            <w:tcW w:w="15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1, 1992</w:t>
            </w:r>
          </w:p>
        </w:tc>
        <w:tc>
          <w:tcPr>
            <w:tcW w:w="10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33-55240</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4(c)</w:t>
            </w:r>
          </w:p>
        </w:tc>
      </w:tr>
      <w:tr>
        <w:trPr>
          <w:trHeight w:val="213"/>
        </w:trPr>
        <w:tc>
          <w:tcPr>
            <w:tcW w:w="3340" w:type="dxa"/>
            <w:vAlign w:val="bottom"/>
            <w:gridSpan w:val="20"/>
          </w:tcPr>
          <w:p>
            <w:pPr>
              <w:ind w:left="1520"/>
              <w:spacing w:after="0"/>
              <w:rPr>
                <w:sz w:val="20"/>
                <w:szCs w:val="20"/>
                <w:color w:val="auto"/>
              </w:rPr>
            </w:pPr>
            <w:r>
              <w:rPr>
                <w:rFonts w:ascii="Times New Roman" w:cs="Times New Roman" w:eastAsia="Times New Roman" w:hAnsi="Times New Roman"/>
                <w:sz w:val="16"/>
                <w:szCs w:val="16"/>
                <w:color w:val="auto"/>
              </w:rPr>
              <w:t>Sixteenth</w:t>
            </w:r>
          </w:p>
        </w:tc>
        <w:tc>
          <w:tcPr>
            <w:tcW w:w="15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July 1, 1992</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33-55240</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4(d)</w:t>
            </w:r>
          </w:p>
        </w:tc>
      </w:tr>
      <w:tr>
        <w:trPr>
          <w:trHeight w:val="219"/>
        </w:trPr>
        <w:tc>
          <w:tcPr>
            <w:tcW w:w="3340" w:type="dxa"/>
            <w:vAlign w:val="bottom"/>
            <w:gridSpan w:val="20"/>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Seventeenth</w:t>
            </w:r>
          </w:p>
        </w:tc>
        <w:tc>
          <w:tcPr>
            <w:tcW w:w="15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1, 1993</w:t>
            </w:r>
          </w:p>
        </w:tc>
        <w:tc>
          <w:tcPr>
            <w:tcW w:w="10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33-50143</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4(b)</w:t>
            </w:r>
          </w:p>
        </w:tc>
      </w:tr>
      <w:tr>
        <w:trPr>
          <w:trHeight w:val="213"/>
        </w:trPr>
        <w:tc>
          <w:tcPr>
            <w:tcW w:w="3340" w:type="dxa"/>
            <w:vAlign w:val="bottom"/>
            <w:gridSpan w:val="20"/>
          </w:tcPr>
          <w:p>
            <w:pPr>
              <w:ind w:left="1520"/>
              <w:spacing w:after="0"/>
              <w:rPr>
                <w:sz w:val="20"/>
                <w:szCs w:val="20"/>
                <w:color w:val="auto"/>
              </w:rPr>
            </w:pPr>
            <w:r>
              <w:rPr>
                <w:rFonts w:ascii="Times New Roman" w:cs="Times New Roman" w:eastAsia="Times New Roman" w:hAnsi="Times New Roman"/>
                <w:sz w:val="16"/>
                <w:szCs w:val="16"/>
                <w:color w:val="auto"/>
              </w:rPr>
              <w:t>Eighteenth</w:t>
            </w:r>
          </w:p>
        </w:tc>
        <w:tc>
          <w:tcPr>
            <w:tcW w:w="15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July 1, 1993</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33-50143</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4(c)</w:t>
            </w:r>
          </w:p>
        </w:tc>
      </w:tr>
      <w:tr>
        <w:trPr>
          <w:trHeight w:val="178"/>
        </w:trPr>
        <w:tc>
          <w:tcPr>
            <w:tcW w:w="1520" w:type="dxa"/>
            <w:vAlign w:val="bottom"/>
            <w:shd w:val="clear" w:color="auto" w:fill="CCEEFF"/>
          </w:tcPr>
          <w:p>
            <w:pPr>
              <w:spacing w:after="0"/>
              <w:rPr>
                <w:sz w:val="15"/>
                <w:szCs w:val="15"/>
                <w:color w:val="auto"/>
              </w:rPr>
            </w:pPr>
          </w:p>
        </w:tc>
        <w:tc>
          <w:tcPr>
            <w:tcW w:w="720" w:type="dxa"/>
            <w:vAlign w:val="bottom"/>
            <w:gridSpan w:val="5"/>
            <w:shd w:val="clear" w:color="auto" w:fill="CCEEFF"/>
          </w:tcPr>
          <w:p>
            <w:pPr>
              <w:spacing w:after="0" w:line="178" w:lineRule="exact"/>
              <w:rPr>
                <w:rFonts w:ascii="Times New Roman" w:cs="Times New Roman" w:eastAsia="Times New Roman" w:hAnsi="Times New Roman"/>
                <w:sz w:val="16"/>
                <w:szCs w:val="16"/>
                <w:color w:val="0000FF"/>
                <w:w w:val="99"/>
              </w:rPr>
            </w:pPr>
            <w:hyperlink r:id="rId89">
              <w:r>
                <w:rPr>
                  <w:rFonts w:ascii="Times New Roman" w:cs="Times New Roman" w:eastAsia="Times New Roman" w:hAnsi="Times New Roman"/>
                  <w:sz w:val="16"/>
                  <w:szCs w:val="16"/>
                  <w:color w:val="0000FF"/>
                  <w:w w:val="99"/>
                </w:rPr>
                <w:t>Nineteenth</w:t>
              </w:r>
            </w:hyperlink>
          </w:p>
        </w:tc>
        <w:tc>
          <w:tcPr>
            <w:tcW w:w="1100" w:type="dxa"/>
            <w:vAlign w:val="bottom"/>
            <w:gridSpan w:val="14"/>
            <w:shd w:val="clear" w:color="auto" w:fill="CCEEFF"/>
          </w:tcPr>
          <w:p>
            <w:pPr>
              <w:spacing w:after="0"/>
              <w:rPr>
                <w:sz w:val="15"/>
                <w:szCs w:val="15"/>
                <w:color w:val="auto"/>
              </w:rPr>
            </w:pPr>
          </w:p>
        </w:tc>
        <w:tc>
          <w:tcPr>
            <w:tcW w:w="1120" w:type="dxa"/>
            <w:vAlign w:val="bottom"/>
            <w:gridSpan w:val="8"/>
            <w:shd w:val="clear" w:color="auto" w:fill="CCEEFF"/>
          </w:tcPr>
          <w:p>
            <w:pPr>
              <w:spacing w:after="0" w:line="178"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February 1, 1997</w:t>
              </w:r>
            </w:hyperlink>
          </w:p>
        </w:tc>
        <w:tc>
          <w:tcPr>
            <w:tcW w:w="400" w:type="dxa"/>
            <w:vAlign w:val="bottom"/>
            <w:gridSpan w:val="3"/>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0" w:type="dxa"/>
            <w:vAlign w:val="bottom"/>
            <w:gridSpan w:val="8"/>
            <w:shd w:val="clear" w:color="auto" w:fill="CCEEFF"/>
          </w:tcPr>
          <w:p>
            <w:pPr>
              <w:spacing w:after="0" w:line="178"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1-3548 (1996 Form 10-K)</w:t>
              </w:r>
            </w:hyperlink>
          </w:p>
        </w:tc>
        <w:tc>
          <w:tcPr>
            <w:tcW w:w="1880" w:type="dxa"/>
            <w:vAlign w:val="bottom"/>
            <w:gridSpan w:val="4"/>
            <w:shd w:val="clear" w:color="auto" w:fill="CCEEFF"/>
          </w:tcPr>
          <w:p>
            <w:pPr>
              <w:spacing w:after="0" w:line="178"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4(a)3</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20" w:type="dxa"/>
            <w:vAlign w:val="bottom"/>
          </w:tcPr>
          <w:p>
            <w:pPr>
              <w:spacing w:after="0"/>
              <w:rPr>
                <w:sz w:val="15"/>
                <w:szCs w:val="15"/>
                <w:color w:val="auto"/>
              </w:rPr>
            </w:pPr>
          </w:p>
        </w:tc>
        <w:tc>
          <w:tcPr>
            <w:tcW w:w="720" w:type="dxa"/>
            <w:vAlign w:val="bottom"/>
            <w:gridSpan w:val="5"/>
          </w:tcPr>
          <w:p>
            <w:pPr>
              <w:spacing w:after="0" w:line="17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Twentieth</w:t>
              </w:r>
            </w:hyperlink>
          </w:p>
        </w:tc>
        <w:tc>
          <w:tcPr>
            <w:tcW w:w="1100" w:type="dxa"/>
            <w:vAlign w:val="bottom"/>
            <w:gridSpan w:val="14"/>
          </w:tcPr>
          <w:p>
            <w:pPr>
              <w:spacing w:after="0"/>
              <w:rPr>
                <w:sz w:val="15"/>
                <w:szCs w:val="15"/>
                <w:color w:val="auto"/>
              </w:rPr>
            </w:pPr>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November 1, 1997</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1-3548 (1997 Form 10-K)</w:t>
              </w:r>
            </w:hyperlink>
          </w:p>
        </w:tc>
        <w:tc>
          <w:tcPr>
            <w:tcW w:w="1880" w:type="dxa"/>
            <w:vAlign w:val="bottom"/>
            <w:gridSpan w:val="4"/>
          </w:tcPr>
          <w:p>
            <w:pPr>
              <w:spacing w:after="0" w:line="17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4(a)3</w:t>
              </w:r>
            </w:hyperlink>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82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Twenty-first</w:t>
              </w:r>
            </w:hyperlink>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October 1, 2000</w:t>
              </w:r>
            </w:hyperlink>
          </w:p>
        </w:tc>
        <w:tc>
          <w:tcPr>
            <w:tcW w:w="2000" w:type="dxa"/>
            <w:vAlign w:val="bottom"/>
            <w:gridSpan w:val="3"/>
            <w:shd w:val="clear" w:color="auto" w:fill="CCEEFF"/>
          </w:tcPr>
          <w:p>
            <w:pPr>
              <w:ind w:left="300"/>
              <w:spacing w:after="0" w:line="17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333-54330</w:t>
              </w:r>
            </w:hyperlink>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80" w:type="dxa"/>
            <w:vAlign w:val="bottom"/>
            <w:gridSpan w:val="4"/>
            <w:shd w:val="clear" w:color="auto" w:fill="CCEEFF"/>
          </w:tcPr>
          <w:p>
            <w:pPr>
              <w:spacing w:after="0" w:line="17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4(c)3</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9"/>
          </w:tcPr>
          <w:p>
            <w:pPr>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Twenty-second</w:t>
              </w:r>
            </w:hyperlink>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July 1, 2003</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1-3548 (June 30, 2003, Form 10-Q)</w:t>
              </w:r>
            </w:hyperlink>
          </w:p>
        </w:tc>
        <w:tc>
          <w:tcPr>
            <w:tcW w:w="260" w:type="dxa"/>
            <w:vAlign w:val="bottom"/>
            <w:gridSpan w:val="2"/>
          </w:tcPr>
          <w:p>
            <w:pPr>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82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Twenty-third</w:t>
              </w:r>
            </w:hyperlink>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August 1, 2004</w:t>
              </w:r>
            </w:hyperlink>
          </w:p>
        </w:tc>
        <w:tc>
          <w:tcPr>
            <w:tcW w:w="4500" w:type="dxa"/>
            <w:vAlign w:val="bottom"/>
            <w:gridSpan w:val="9"/>
            <w:shd w:val="clear" w:color="auto" w:fill="CCEEFF"/>
          </w:tcPr>
          <w:p>
            <w:pPr>
              <w:ind w:left="300"/>
              <w:spacing w:after="0" w:line="17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1-3548 (Sept. 30, 2004, Form 10-Q)</w:t>
              </w:r>
            </w:hyperlink>
          </w:p>
        </w:tc>
        <w:tc>
          <w:tcPr>
            <w:tcW w:w="1880" w:type="dxa"/>
            <w:vAlign w:val="bottom"/>
            <w:gridSpan w:val="4"/>
            <w:shd w:val="clear" w:color="auto" w:fill="CCEEFF"/>
          </w:tcPr>
          <w:p>
            <w:pPr>
              <w:spacing w:after="0" w:line="17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4(a)</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9"/>
          </w:tcPr>
          <w:p>
            <w:pPr>
              <w:spacing w:after="0" w:line="175"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Twenty-fourth</w:t>
              </w:r>
            </w:hyperlink>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March 1, 2005</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1-3548 (March 31, 2005, Form 10-Q)</w:t>
              </w:r>
            </w:hyperlink>
          </w:p>
        </w:tc>
        <w:tc>
          <w:tcPr>
            <w:tcW w:w="260" w:type="dxa"/>
            <w:vAlign w:val="bottom"/>
            <w:gridSpan w:val="2"/>
          </w:tcPr>
          <w:p>
            <w:pPr>
              <w:spacing w:after="0" w:line="175"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520" w:type="dxa"/>
            <w:vAlign w:val="bottom"/>
            <w:shd w:val="clear" w:color="auto" w:fill="CCEEFF"/>
          </w:tcPr>
          <w:p>
            <w:pPr>
              <w:spacing w:after="0"/>
              <w:rPr>
                <w:sz w:val="15"/>
                <w:szCs w:val="15"/>
                <w:color w:val="auto"/>
              </w:rPr>
            </w:pPr>
          </w:p>
        </w:tc>
        <w:tc>
          <w:tcPr>
            <w:tcW w:w="182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Twenty-fifth</w:t>
              </w:r>
            </w:hyperlink>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December 1, 2005</w:t>
              </w:r>
            </w:hyperlink>
          </w:p>
        </w:tc>
        <w:tc>
          <w:tcPr>
            <w:tcW w:w="4500" w:type="dxa"/>
            <w:vAlign w:val="bottom"/>
            <w:gridSpan w:val="9"/>
            <w:shd w:val="clear" w:color="auto" w:fill="CCEEFF"/>
          </w:tcPr>
          <w:p>
            <w:pPr>
              <w:ind w:left="300"/>
              <w:spacing w:after="0" w:line="17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1-3548 (March 31, 2006, Form 10-Q)</w:t>
              </w:r>
            </w:hyperlink>
          </w:p>
        </w:tc>
        <w:tc>
          <w:tcPr>
            <w:tcW w:w="26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9"/>
          </w:tcPr>
          <w:p>
            <w:pPr>
              <w:spacing w:after="0" w:line="17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Twenty-sixth</w:t>
              </w:r>
            </w:hyperlink>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October 1, 2006</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1-3548 (2006 Form 10-K)</w:t>
              </w:r>
            </w:hyperlink>
          </w:p>
        </w:tc>
        <w:tc>
          <w:tcPr>
            <w:tcW w:w="1880" w:type="dxa"/>
            <w:vAlign w:val="bottom"/>
            <w:gridSpan w:val="4"/>
          </w:tcPr>
          <w:p>
            <w:pPr>
              <w:spacing w:after="0" w:line="17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4(a)3</w:t>
              </w:r>
            </w:hyperlink>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040" w:type="dxa"/>
            <w:vAlign w:val="bottom"/>
            <w:gridSpan w:val="18"/>
            <w:shd w:val="clear" w:color="auto" w:fill="CCEEFF"/>
          </w:tcPr>
          <w:p>
            <w:pPr>
              <w:spacing w:after="0" w:line="175" w:lineRule="exact"/>
              <w:rPr>
                <w:rFonts w:ascii="Times New Roman" w:cs="Times New Roman" w:eastAsia="Times New Roman" w:hAnsi="Times New Roman"/>
                <w:sz w:val="16"/>
                <w:szCs w:val="16"/>
                <w:color w:val="0000FF"/>
                <w:w w:val="98"/>
              </w:rPr>
            </w:pPr>
            <w:hyperlink r:id="rId97">
              <w:r>
                <w:rPr>
                  <w:rFonts w:ascii="Times New Roman" w:cs="Times New Roman" w:eastAsia="Times New Roman" w:hAnsi="Times New Roman"/>
                  <w:sz w:val="16"/>
                  <w:szCs w:val="16"/>
                  <w:color w:val="0000FF"/>
                  <w:w w:val="98"/>
                </w:rPr>
                <w:t>Twenty-seventh</w:t>
              </w:r>
            </w:hyperlink>
          </w:p>
        </w:tc>
        <w:tc>
          <w:tcPr>
            <w:tcW w:w="780" w:type="dxa"/>
            <w:vAlign w:val="bottom"/>
            <w:shd w:val="clear" w:color="auto" w:fill="CCEEFF"/>
          </w:tcPr>
          <w:p>
            <w:pPr>
              <w:spacing w:after="0"/>
              <w:rPr>
                <w:sz w:val="15"/>
                <w:szCs w:val="15"/>
                <w:color w:val="auto"/>
              </w:rPr>
            </w:pPr>
          </w:p>
        </w:tc>
        <w:tc>
          <w:tcPr>
            <w:tcW w:w="1120" w:type="dxa"/>
            <w:vAlign w:val="bottom"/>
            <w:gridSpan w:val="8"/>
            <w:shd w:val="clear" w:color="auto" w:fill="CCEEFF"/>
          </w:tcPr>
          <w:p>
            <w:pPr>
              <w:spacing w:after="0" w:line="175"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February 1, 2008</w:t>
              </w:r>
            </w:hyperlink>
          </w:p>
        </w:tc>
        <w:tc>
          <w:tcPr>
            <w:tcW w:w="400" w:type="dxa"/>
            <w:vAlign w:val="bottom"/>
            <w:gridSpan w:val="3"/>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0" w:type="dxa"/>
            <w:vAlign w:val="bottom"/>
            <w:gridSpan w:val="8"/>
            <w:shd w:val="clear" w:color="auto" w:fill="CCEEFF"/>
          </w:tcPr>
          <w:p>
            <w:pPr>
              <w:spacing w:after="0" w:line="175"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1-3548 (2007 Form 10-K)</w:t>
              </w:r>
            </w:hyperlink>
          </w:p>
        </w:tc>
        <w:tc>
          <w:tcPr>
            <w:tcW w:w="1880" w:type="dxa"/>
            <w:vAlign w:val="bottom"/>
            <w:gridSpan w:val="4"/>
            <w:shd w:val="clear" w:color="auto" w:fill="CCEEFF"/>
          </w:tcPr>
          <w:p>
            <w:pPr>
              <w:spacing w:after="0" w:line="175"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4(a)3</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040" w:type="dxa"/>
            <w:vAlign w:val="bottom"/>
            <w:gridSpan w:val="18"/>
          </w:tcPr>
          <w:p>
            <w:pPr>
              <w:spacing w:after="0" w:line="175"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Twenty-eighth</w:t>
              </w:r>
            </w:hyperlink>
          </w:p>
        </w:tc>
        <w:tc>
          <w:tcPr>
            <w:tcW w:w="780" w:type="dxa"/>
            <w:vAlign w:val="bottom"/>
          </w:tcPr>
          <w:p>
            <w:pPr>
              <w:spacing w:after="0"/>
              <w:rPr>
                <w:sz w:val="15"/>
                <w:szCs w:val="15"/>
                <w:color w:val="auto"/>
              </w:rPr>
            </w:pPr>
          </w:p>
        </w:tc>
        <w:tc>
          <w:tcPr>
            <w:tcW w:w="1120" w:type="dxa"/>
            <w:vAlign w:val="bottom"/>
            <w:gridSpan w:val="8"/>
          </w:tcPr>
          <w:p>
            <w:pPr>
              <w:spacing w:after="0" w:line="175"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May 1, 2008</w:t>
              </w:r>
            </w:hyperlink>
          </w:p>
        </w:tc>
        <w:tc>
          <w:tcPr>
            <w:tcW w:w="40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4200" w:type="dxa"/>
            <w:vAlign w:val="bottom"/>
            <w:gridSpan w:val="8"/>
          </w:tcPr>
          <w:p>
            <w:pPr>
              <w:spacing w:after="0" w:line="175"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1-3548 (June 30, 2008, Form 10-Q)</w:t>
              </w:r>
            </w:hyperlink>
          </w:p>
        </w:tc>
        <w:tc>
          <w:tcPr>
            <w:tcW w:w="260" w:type="dxa"/>
            <w:vAlign w:val="bottom"/>
            <w:gridSpan w:val="2"/>
          </w:tcPr>
          <w:p>
            <w:pPr>
              <w:spacing w:after="0" w:line="175"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880" w:type="dxa"/>
            <w:vAlign w:val="bottom"/>
            <w:gridSpan w:val="13"/>
            <w:shd w:val="clear" w:color="auto" w:fill="CCEEFF"/>
          </w:tcPr>
          <w:p>
            <w:pPr>
              <w:spacing w:after="0" w:line="175" w:lineRule="exact"/>
              <w:rPr>
                <w:rFonts w:ascii="Times New Roman" w:cs="Times New Roman" w:eastAsia="Times New Roman" w:hAnsi="Times New Roman"/>
                <w:sz w:val="16"/>
                <w:szCs w:val="16"/>
                <w:color w:val="0000FF"/>
                <w:w w:val="98"/>
              </w:rPr>
            </w:pPr>
            <w:hyperlink r:id="rId99">
              <w:r>
                <w:rPr>
                  <w:rFonts w:ascii="Times New Roman" w:cs="Times New Roman" w:eastAsia="Times New Roman" w:hAnsi="Times New Roman"/>
                  <w:sz w:val="16"/>
                  <w:szCs w:val="16"/>
                  <w:color w:val="0000FF"/>
                  <w:w w:val="98"/>
                </w:rPr>
                <w:t>Twenty-ninth</w:t>
              </w:r>
            </w:hyperlink>
          </w:p>
        </w:tc>
        <w:tc>
          <w:tcPr>
            <w:tcW w:w="940" w:type="dxa"/>
            <w:vAlign w:val="bottom"/>
            <w:gridSpan w:val="6"/>
            <w:shd w:val="clear" w:color="auto" w:fill="CCEEFF"/>
          </w:tcPr>
          <w:p>
            <w:pPr>
              <w:spacing w:after="0"/>
              <w:rPr>
                <w:sz w:val="15"/>
                <w:szCs w:val="15"/>
                <w:color w:val="auto"/>
              </w:rPr>
            </w:pPr>
          </w:p>
        </w:tc>
        <w:tc>
          <w:tcPr>
            <w:tcW w:w="1220" w:type="dxa"/>
            <w:vAlign w:val="bottom"/>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November 1, 2008</w:t>
              </w:r>
            </w:hyperlink>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0" w:type="dxa"/>
            <w:vAlign w:val="bottom"/>
            <w:gridSpan w:val="8"/>
            <w:shd w:val="clear" w:color="auto" w:fill="CCEEFF"/>
          </w:tcPr>
          <w:p>
            <w:pPr>
              <w:spacing w:after="0" w:line="175"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1-3548 (2008 Form 10-K)</w:t>
              </w:r>
            </w:hyperlink>
          </w:p>
        </w:tc>
        <w:tc>
          <w:tcPr>
            <w:tcW w:w="1880" w:type="dxa"/>
            <w:vAlign w:val="bottom"/>
            <w:gridSpan w:val="4"/>
            <w:shd w:val="clear" w:color="auto" w:fill="CCEEFF"/>
          </w:tcPr>
          <w:p>
            <w:pPr>
              <w:spacing w:after="0" w:line="175"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4(a)3</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20" w:type="dxa"/>
            <w:vAlign w:val="bottom"/>
          </w:tcPr>
          <w:p>
            <w:pPr>
              <w:spacing w:after="0"/>
              <w:rPr>
                <w:sz w:val="15"/>
                <w:szCs w:val="15"/>
                <w:color w:val="auto"/>
              </w:rPr>
            </w:pPr>
          </w:p>
        </w:tc>
        <w:tc>
          <w:tcPr>
            <w:tcW w:w="880" w:type="dxa"/>
            <w:vAlign w:val="bottom"/>
            <w:gridSpan w:val="13"/>
          </w:tcPr>
          <w:p>
            <w:pPr>
              <w:spacing w:after="0" w:line="17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Thirtieth</w:t>
              </w:r>
            </w:hyperlink>
          </w:p>
        </w:tc>
        <w:tc>
          <w:tcPr>
            <w:tcW w:w="940" w:type="dxa"/>
            <w:vAlign w:val="bottom"/>
            <w:gridSpan w:val="6"/>
          </w:tcPr>
          <w:p>
            <w:pPr>
              <w:spacing w:after="0"/>
              <w:rPr>
                <w:sz w:val="15"/>
                <w:szCs w:val="15"/>
                <w:color w:val="auto"/>
              </w:rPr>
            </w:pPr>
          </w:p>
        </w:tc>
        <w:tc>
          <w:tcPr>
            <w:tcW w:w="1220" w:type="dxa"/>
            <w:vAlign w:val="bottom"/>
            <w:gridSpan w:val="10"/>
          </w:tcPr>
          <w:p>
            <w:pPr>
              <w:spacing w:after="0" w:line="17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January 1, 2009</w:t>
              </w:r>
            </w:hyperlink>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0" w:type="dxa"/>
            <w:vAlign w:val="bottom"/>
            <w:gridSpan w:val="8"/>
          </w:tcPr>
          <w:p>
            <w:pPr>
              <w:spacing w:after="0" w:line="17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1-3548 (2008 Form 10-K)</w:t>
              </w:r>
            </w:hyperlink>
          </w:p>
        </w:tc>
        <w:tc>
          <w:tcPr>
            <w:tcW w:w="1880" w:type="dxa"/>
            <w:vAlign w:val="bottom"/>
            <w:gridSpan w:val="4"/>
          </w:tcPr>
          <w:p>
            <w:pPr>
              <w:spacing w:after="0" w:line="17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4(a)4</w:t>
              </w:r>
            </w:hyperlink>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82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Thirty-first</w:t>
              </w:r>
            </w:hyperlink>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February 1, 2010</w:t>
              </w:r>
            </w:hyperlink>
          </w:p>
        </w:tc>
        <w:tc>
          <w:tcPr>
            <w:tcW w:w="4500" w:type="dxa"/>
            <w:vAlign w:val="bottom"/>
            <w:gridSpan w:val="9"/>
            <w:shd w:val="clear" w:color="auto" w:fill="CCEEFF"/>
          </w:tcPr>
          <w:p>
            <w:pPr>
              <w:ind w:left="300"/>
              <w:spacing w:after="0" w:line="17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1-3548 (March 31, 2010, Form 10-Q)</w:t>
              </w:r>
            </w:hyperlink>
          </w:p>
        </w:tc>
        <w:tc>
          <w:tcPr>
            <w:tcW w:w="26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20" w:type="dxa"/>
            <w:vAlign w:val="bottom"/>
          </w:tcPr>
          <w:p>
            <w:pPr>
              <w:spacing w:after="0"/>
              <w:rPr>
                <w:sz w:val="15"/>
                <w:szCs w:val="15"/>
                <w:color w:val="auto"/>
              </w:rPr>
            </w:pPr>
          </w:p>
        </w:tc>
        <w:tc>
          <w:tcPr>
            <w:tcW w:w="1820" w:type="dxa"/>
            <w:vAlign w:val="bottom"/>
            <w:gridSpan w:val="19"/>
          </w:tcPr>
          <w:p>
            <w:pPr>
              <w:spacing w:after="0" w:line="17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Thirty-second</w:t>
              </w:r>
            </w:hyperlink>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August 1, 2010</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1-3548 (Sept. 30, 2010, Form 10-Q)</w:t>
              </w:r>
            </w:hyperlink>
          </w:p>
        </w:tc>
        <w:tc>
          <w:tcPr>
            <w:tcW w:w="260" w:type="dxa"/>
            <w:vAlign w:val="bottom"/>
            <w:gridSpan w:val="2"/>
          </w:tcPr>
          <w:p>
            <w:pPr>
              <w:spacing w:after="0" w:line="17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82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Thirty-third</w:t>
              </w:r>
            </w:hyperlink>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July 1, 2012</w:t>
              </w:r>
            </w:hyperlink>
          </w:p>
        </w:tc>
        <w:tc>
          <w:tcPr>
            <w:tcW w:w="4500" w:type="dxa"/>
            <w:vAlign w:val="bottom"/>
            <w:gridSpan w:val="9"/>
            <w:shd w:val="clear" w:color="auto" w:fill="CCEEFF"/>
          </w:tcPr>
          <w:p>
            <w:pPr>
              <w:ind w:left="300"/>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1-3548 (July 2, 2012, Form 8-K)</w:t>
              </w:r>
            </w:hyperlink>
          </w:p>
        </w:tc>
        <w:tc>
          <w:tcPr>
            <w:tcW w:w="26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9"/>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Thirty-fourth</w:t>
              </w:r>
            </w:hyperlink>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April 1, 2013</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1-3548 (April 2, 2013, Form 8-K)</w:t>
              </w:r>
            </w:hyperlink>
          </w:p>
        </w:tc>
        <w:tc>
          <w:tcPr>
            <w:tcW w:w="260" w:type="dxa"/>
            <w:vAlign w:val="bottom"/>
            <w:gridSpan w:val="2"/>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520" w:type="dxa"/>
            <w:vAlign w:val="bottom"/>
            <w:shd w:val="clear" w:color="auto" w:fill="CCEEFF"/>
          </w:tcPr>
          <w:p>
            <w:pPr>
              <w:spacing w:after="0"/>
              <w:rPr>
                <w:sz w:val="15"/>
                <w:szCs w:val="15"/>
                <w:color w:val="auto"/>
              </w:rPr>
            </w:pPr>
          </w:p>
        </w:tc>
        <w:tc>
          <w:tcPr>
            <w:tcW w:w="182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Thirty-fifth</w:t>
              </w:r>
            </w:hyperlink>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March 1, 2014</w:t>
              </w:r>
            </w:hyperlink>
          </w:p>
        </w:tc>
        <w:tc>
          <w:tcPr>
            <w:tcW w:w="4500" w:type="dxa"/>
            <w:vAlign w:val="bottom"/>
            <w:gridSpan w:val="9"/>
            <w:shd w:val="clear" w:color="auto" w:fill="CCEEFF"/>
          </w:tcPr>
          <w:p>
            <w:pPr>
              <w:ind w:left="300"/>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1-3548 (March 31, 2014, Form 10-Q)</w:t>
              </w:r>
            </w:hyperlink>
          </w:p>
        </w:tc>
        <w:tc>
          <w:tcPr>
            <w:tcW w:w="26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9"/>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Thirty-sixth</w:t>
              </w:r>
            </w:hyperlink>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June 1, 2014</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1-3548 (June 30, 2014, Form 10-Q)</w:t>
              </w:r>
            </w:hyperlink>
          </w:p>
        </w:tc>
        <w:tc>
          <w:tcPr>
            <w:tcW w:w="260" w:type="dxa"/>
            <w:vAlign w:val="bottom"/>
            <w:gridSpan w:val="2"/>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520" w:type="dxa"/>
            <w:vAlign w:val="bottom"/>
            <w:shd w:val="clear" w:color="auto" w:fill="CCEEFF"/>
          </w:tcPr>
          <w:p>
            <w:pPr>
              <w:spacing w:after="0"/>
              <w:rPr>
                <w:sz w:val="15"/>
                <w:szCs w:val="15"/>
                <w:color w:val="auto"/>
              </w:rPr>
            </w:pPr>
          </w:p>
        </w:tc>
        <w:tc>
          <w:tcPr>
            <w:tcW w:w="960" w:type="dxa"/>
            <w:vAlign w:val="bottom"/>
            <w:gridSpan w:val="16"/>
            <w:shd w:val="clear" w:color="auto" w:fill="CCEEFF"/>
          </w:tcPr>
          <w:p>
            <w:pPr>
              <w:spacing w:after="0" w:line="175" w:lineRule="exact"/>
              <w:rPr>
                <w:rFonts w:ascii="Times New Roman" w:cs="Times New Roman" w:eastAsia="Times New Roman" w:hAnsi="Times New Roman"/>
                <w:sz w:val="16"/>
                <w:szCs w:val="16"/>
                <w:color w:val="0000FF"/>
                <w:w w:val="99"/>
              </w:rPr>
            </w:pPr>
            <w:hyperlink r:id="rId107">
              <w:r>
                <w:rPr>
                  <w:rFonts w:ascii="Times New Roman" w:cs="Times New Roman" w:eastAsia="Times New Roman" w:hAnsi="Times New Roman"/>
                  <w:sz w:val="16"/>
                  <w:szCs w:val="16"/>
                  <w:color w:val="0000FF"/>
                  <w:w w:val="99"/>
                </w:rPr>
                <w:t>Thirty-seventh</w:t>
              </w:r>
            </w:hyperlink>
          </w:p>
        </w:tc>
        <w:tc>
          <w:tcPr>
            <w:tcW w:w="860" w:type="dxa"/>
            <w:vAlign w:val="bottom"/>
            <w:gridSpan w:val="3"/>
            <w:shd w:val="clear" w:color="auto" w:fill="CCEEFF"/>
          </w:tcPr>
          <w:p>
            <w:pPr>
              <w:spacing w:after="0"/>
              <w:rPr>
                <w:sz w:val="15"/>
                <w:szCs w:val="15"/>
                <w:color w:val="auto"/>
              </w:rPr>
            </w:pPr>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September 1, 2014</w:t>
              </w:r>
            </w:hyperlink>
          </w:p>
        </w:tc>
        <w:tc>
          <w:tcPr>
            <w:tcW w:w="4500" w:type="dxa"/>
            <w:vAlign w:val="bottom"/>
            <w:gridSpan w:val="9"/>
            <w:shd w:val="clear" w:color="auto" w:fill="CCEEFF"/>
          </w:tcPr>
          <w:p>
            <w:pPr>
              <w:ind w:left="300"/>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1-3548 (Sept. 30, 2014, Form 10-Q)</w:t>
              </w:r>
            </w:hyperlink>
          </w:p>
        </w:tc>
        <w:tc>
          <w:tcPr>
            <w:tcW w:w="26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960" w:type="dxa"/>
            <w:vAlign w:val="bottom"/>
            <w:gridSpan w:val="16"/>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Thirty-eighth</w:t>
              </w:r>
            </w:hyperlink>
          </w:p>
        </w:tc>
        <w:tc>
          <w:tcPr>
            <w:tcW w:w="860" w:type="dxa"/>
            <w:vAlign w:val="bottom"/>
            <w:gridSpan w:val="3"/>
          </w:tcPr>
          <w:p>
            <w:pPr>
              <w:spacing w:after="0"/>
              <w:rPr>
                <w:sz w:val="15"/>
                <w:szCs w:val="15"/>
                <w:color w:val="auto"/>
              </w:rPr>
            </w:pPr>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September 1, 2015</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1-3548 (Sept. 30, 2015, Form 10-Q)</w:t>
              </w:r>
            </w:hyperlink>
          </w:p>
        </w:tc>
        <w:tc>
          <w:tcPr>
            <w:tcW w:w="1880" w:type="dxa"/>
            <w:vAlign w:val="bottom"/>
            <w:gridSpan w:val="4"/>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4(a)</w:t>
              </w:r>
            </w:hyperlink>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800" w:type="dxa"/>
            <w:vAlign w:val="bottom"/>
            <w:gridSpan w:val="9"/>
            <w:shd w:val="clear" w:color="auto" w:fill="CCEEFF"/>
          </w:tcPr>
          <w:p>
            <w:pPr>
              <w:spacing w:after="0" w:line="175" w:lineRule="exact"/>
              <w:rPr>
                <w:rFonts w:ascii="Times New Roman" w:cs="Times New Roman" w:eastAsia="Times New Roman" w:hAnsi="Times New Roman"/>
                <w:sz w:val="16"/>
                <w:szCs w:val="16"/>
                <w:color w:val="0000FF"/>
                <w:w w:val="99"/>
              </w:rPr>
            </w:pPr>
            <w:hyperlink r:id="rId109">
              <w:r>
                <w:rPr>
                  <w:rFonts w:ascii="Times New Roman" w:cs="Times New Roman" w:eastAsia="Times New Roman" w:hAnsi="Times New Roman"/>
                  <w:sz w:val="16"/>
                  <w:szCs w:val="16"/>
                  <w:color w:val="0000FF"/>
                  <w:w w:val="99"/>
                </w:rPr>
                <w:t>Thirty-ninth</w:t>
              </w:r>
            </w:hyperlink>
          </w:p>
        </w:tc>
        <w:tc>
          <w:tcPr>
            <w:tcW w:w="1020" w:type="dxa"/>
            <w:vAlign w:val="bottom"/>
            <w:gridSpan w:val="10"/>
            <w:shd w:val="clear" w:color="auto" w:fill="CCEEFF"/>
          </w:tcPr>
          <w:p>
            <w:pPr>
              <w:spacing w:after="0"/>
              <w:rPr>
                <w:sz w:val="15"/>
                <w:szCs w:val="15"/>
                <w:color w:val="auto"/>
              </w:rPr>
            </w:pPr>
          </w:p>
        </w:tc>
        <w:tc>
          <w:tcPr>
            <w:tcW w:w="880" w:type="dxa"/>
            <w:vAlign w:val="bottom"/>
            <w:gridSpan w:val="3"/>
            <w:shd w:val="clear" w:color="auto" w:fill="CCEEFF"/>
          </w:tcPr>
          <w:p>
            <w:pPr>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April 1, 2018</w:t>
              </w:r>
            </w:hyperlink>
          </w:p>
        </w:tc>
        <w:tc>
          <w:tcPr>
            <w:tcW w:w="640" w:type="dxa"/>
            <w:vAlign w:val="bottom"/>
            <w:gridSpan w:val="8"/>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60" w:type="dxa"/>
            <w:vAlign w:val="bottom"/>
            <w:gridSpan w:val="7"/>
            <w:shd w:val="clear" w:color="auto" w:fill="CCEEFF"/>
          </w:tcPr>
          <w:p>
            <w:pPr>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1-3548 (March 31, 2018, Form 10-Q)</w:t>
              </w:r>
            </w:hyperlink>
          </w:p>
        </w:tc>
        <w:tc>
          <w:tcPr>
            <w:tcW w:w="17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800" w:type="dxa"/>
            <w:vAlign w:val="bottom"/>
            <w:gridSpan w:val="9"/>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Fortieth</w:t>
              </w:r>
            </w:hyperlink>
          </w:p>
        </w:tc>
        <w:tc>
          <w:tcPr>
            <w:tcW w:w="1020" w:type="dxa"/>
            <w:vAlign w:val="bottom"/>
            <w:gridSpan w:val="10"/>
          </w:tcPr>
          <w:p>
            <w:pPr>
              <w:spacing w:after="0"/>
              <w:rPr>
                <w:sz w:val="15"/>
                <w:szCs w:val="15"/>
                <w:color w:val="auto"/>
              </w:rPr>
            </w:pPr>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March 1, 2019</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1-3548 (March 31, 2019, Form 10-Q)</w:t>
              </w:r>
            </w:hyperlink>
          </w:p>
        </w:tc>
        <w:tc>
          <w:tcPr>
            <w:tcW w:w="1880" w:type="dxa"/>
            <w:vAlign w:val="bottom"/>
            <w:gridSpan w:val="4"/>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4(a)</w:t>
              </w:r>
            </w:hyperlink>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680" w:type="dxa"/>
            <w:vAlign w:val="bottom"/>
            <w:gridSpan w:val="4"/>
            <w:shd w:val="clear" w:color="auto" w:fill="CCEEFF"/>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Forty-first</w:t>
              </w:r>
            </w:hyperlink>
          </w:p>
        </w:tc>
        <w:tc>
          <w:tcPr>
            <w:tcW w:w="1140" w:type="dxa"/>
            <w:vAlign w:val="bottom"/>
            <w:gridSpan w:val="15"/>
            <w:shd w:val="clear" w:color="auto" w:fill="CCEEFF"/>
          </w:tcPr>
          <w:p>
            <w:pPr>
              <w:spacing w:after="0"/>
              <w:rPr>
                <w:sz w:val="15"/>
                <w:szCs w:val="15"/>
                <w:color w:val="auto"/>
              </w:rPr>
            </w:pPr>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August 1, 2020</w:t>
              </w:r>
            </w:hyperlink>
          </w:p>
        </w:tc>
        <w:tc>
          <w:tcPr>
            <w:tcW w:w="4500" w:type="dxa"/>
            <w:vAlign w:val="bottom"/>
            <w:gridSpan w:val="9"/>
            <w:shd w:val="clear" w:color="auto" w:fill="CCEEFF"/>
          </w:tcPr>
          <w:p>
            <w:pPr>
              <w:ind w:left="300"/>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1-3548 (Sept. 30, 2020, Form 10-Q)</w:t>
              </w:r>
            </w:hyperlink>
          </w:p>
        </w:tc>
        <w:tc>
          <w:tcPr>
            <w:tcW w:w="1880" w:type="dxa"/>
            <w:vAlign w:val="bottom"/>
            <w:gridSpan w:val="4"/>
            <w:shd w:val="clear" w:color="auto" w:fill="CCEEFF"/>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4(a)</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20" w:type="dxa"/>
            <w:vAlign w:val="bottom"/>
          </w:tcPr>
          <w:p>
            <w:pPr>
              <w:spacing w:after="0"/>
              <w:rPr>
                <w:sz w:val="15"/>
                <w:szCs w:val="15"/>
                <w:color w:val="auto"/>
              </w:rPr>
            </w:pPr>
          </w:p>
        </w:tc>
        <w:tc>
          <w:tcPr>
            <w:tcW w:w="1820" w:type="dxa"/>
            <w:vAlign w:val="bottom"/>
            <w:gridSpan w:val="19"/>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Forty-second</w:t>
              </w:r>
            </w:hyperlink>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September 1, 2021</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1-3548 (Sept. 30, 2021, Form 10-Q)</w:t>
              </w:r>
            </w:hyperlink>
          </w:p>
        </w:tc>
        <w:tc>
          <w:tcPr>
            <w:tcW w:w="260" w:type="dxa"/>
            <w:vAlign w:val="bottom"/>
            <w:gridSpan w:val="2"/>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72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w w:val="99"/>
              </w:rPr>
            </w:pPr>
            <w:hyperlink r:id="rId113">
              <w:r>
                <w:rPr>
                  <w:rFonts w:ascii="Times New Roman" w:cs="Times New Roman" w:eastAsia="Times New Roman" w:hAnsi="Times New Roman"/>
                  <w:sz w:val="16"/>
                  <w:szCs w:val="16"/>
                  <w:color w:val="0000FF"/>
                  <w:w w:val="99"/>
                </w:rPr>
                <w:t>Forty-third</w:t>
              </w:r>
            </w:hyperlink>
          </w:p>
        </w:tc>
        <w:tc>
          <w:tcPr>
            <w:tcW w:w="1100" w:type="dxa"/>
            <w:vAlign w:val="bottom"/>
            <w:gridSpan w:val="14"/>
            <w:shd w:val="clear" w:color="auto" w:fill="CCEEFF"/>
          </w:tcPr>
          <w:p>
            <w:pPr>
              <w:spacing w:after="0"/>
              <w:rPr>
                <w:sz w:val="15"/>
                <w:szCs w:val="15"/>
                <w:color w:val="auto"/>
              </w:rPr>
            </w:pPr>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August 1, 2022</w:t>
              </w:r>
            </w:hyperlink>
          </w:p>
        </w:tc>
        <w:tc>
          <w:tcPr>
            <w:tcW w:w="4500" w:type="dxa"/>
            <w:vAlign w:val="bottom"/>
            <w:gridSpan w:val="9"/>
            <w:shd w:val="clear" w:color="auto" w:fill="CCEEFF"/>
          </w:tcPr>
          <w:p>
            <w:pPr>
              <w:ind w:left="300"/>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1-3548 (Sept. 30, 2022, Form 10-Q)</w:t>
              </w:r>
            </w:hyperlink>
          </w:p>
        </w:tc>
        <w:tc>
          <w:tcPr>
            <w:tcW w:w="26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9"/>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Forty-fourth</w:t>
              </w:r>
            </w:hyperlink>
          </w:p>
        </w:tc>
        <w:tc>
          <w:tcPr>
            <w:tcW w:w="1520" w:type="dxa"/>
            <w:vAlign w:val="bottom"/>
            <w:gridSpan w:val="11"/>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April 1, 2023</w:t>
              </w:r>
            </w:hyperlink>
          </w:p>
        </w:tc>
        <w:tc>
          <w:tcPr>
            <w:tcW w:w="4500" w:type="dxa"/>
            <w:vAlign w:val="bottom"/>
            <w:gridSpan w:val="9"/>
          </w:tcPr>
          <w:p>
            <w:pPr>
              <w:ind w:left="300"/>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1-3548 (June 30, 2023, Form 10-Q)</w:t>
              </w:r>
            </w:hyperlink>
          </w:p>
        </w:tc>
        <w:tc>
          <w:tcPr>
            <w:tcW w:w="260" w:type="dxa"/>
            <w:vAlign w:val="bottom"/>
            <w:gridSpan w:val="2"/>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3340" w:type="dxa"/>
            <w:vAlign w:val="bottom"/>
            <w:gridSpan w:val="20"/>
            <w:shd w:val="clear" w:color="auto" w:fill="CCEEFF"/>
          </w:tcPr>
          <w:p>
            <w:pPr>
              <w:ind w:left="1520"/>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Forty-fifth</w:t>
              </w:r>
            </w:hyperlink>
          </w:p>
        </w:tc>
        <w:tc>
          <w:tcPr>
            <w:tcW w:w="152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April 1, 2024</w:t>
              </w:r>
            </w:hyperlink>
          </w:p>
        </w:tc>
        <w:tc>
          <w:tcPr>
            <w:tcW w:w="4500" w:type="dxa"/>
            <w:vAlign w:val="bottom"/>
            <w:gridSpan w:val="9"/>
            <w:shd w:val="clear" w:color="auto" w:fill="CCEEFF"/>
          </w:tcPr>
          <w:p>
            <w:pPr>
              <w:ind w:left="300"/>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1-3548 (March 31, 2024, Form 10-Q)</w:t>
              </w:r>
            </w:hyperlink>
          </w:p>
        </w:tc>
        <w:tc>
          <w:tcPr>
            <w:tcW w:w="26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*4(b)1</w:t>
            </w:r>
          </w:p>
        </w:tc>
        <w:tc>
          <w:tcPr>
            <w:tcW w:w="6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9860" w:type="dxa"/>
            <w:vAlign w:val="bottom"/>
            <w:gridSpan w:val="27"/>
          </w:tcPr>
          <w:p>
            <w:pPr>
              <w:ind w:left="140"/>
              <w:spacing w:after="0" w:line="162" w:lineRule="exact"/>
              <w:rPr>
                <w:sz w:val="20"/>
                <w:szCs w:val="20"/>
                <w:color w:val="auto"/>
              </w:rPr>
            </w:pPr>
            <w:r>
              <w:rPr>
                <w:rFonts w:ascii="Times New Roman" w:cs="Times New Roman" w:eastAsia="Times New Roman" w:hAnsi="Times New Roman"/>
                <w:sz w:val="16"/>
                <w:szCs w:val="16"/>
                <w:color w:val="auto"/>
              </w:rPr>
              <w:t>Mortgage and Deed of Trust, dated as of March 1, 1943, between Superior Water, Light and Power Company and Chemical Bank &amp; Trust Company</w:t>
            </w:r>
          </w:p>
        </w:tc>
      </w:tr>
      <w:tr>
        <w:trPr>
          <w:trHeight w:val="213"/>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60" w:type="dxa"/>
            <w:vAlign w:val="bottom"/>
            <w:gridSpan w:val="27"/>
          </w:tcPr>
          <w:p>
            <w:pPr>
              <w:ind w:left="140"/>
              <w:spacing w:after="0"/>
              <w:rPr>
                <w:sz w:val="20"/>
                <w:szCs w:val="20"/>
                <w:color w:val="auto"/>
              </w:rPr>
            </w:pPr>
            <w:r>
              <w:rPr>
                <w:rFonts w:ascii="Times New Roman" w:cs="Times New Roman" w:eastAsia="Times New Roman" w:hAnsi="Times New Roman"/>
                <w:sz w:val="16"/>
                <w:szCs w:val="16"/>
                <w:color w:val="auto"/>
              </w:rPr>
              <w:t>and Howard B. Smith, as Trustees, both succeeded by U.S. Bank National Association, as Trustee (filed as Exhibit 7(c), File No. 2-8668).</w:t>
            </w:r>
          </w:p>
        </w:tc>
      </w:tr>
      <w:tr>
        <w:trPr>
          <w:trHeight w:val="219"/>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*4(b)2</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980" w:type="dxa"/>
            <w:vAlign w:val="bottom"/>
            <w:gridSpan w:val="21"/>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Supplemental Indentures to Superior Water, Light and Power Company’s Mortgage and Deed of Trust: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4"/>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10"/>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5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Dated as of</w:t>
            </w:r>
          </w:p>
        </w:tc>
        <w:tc>
          <w:tcPr>
            <w:tcW w:w="450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Reference File</w:t>
            </w:r>
          </w:p>
        </w:tc>
        <w:tc>
          <w:tcPr>
            <w:tcW w:w="18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218"/>
        </w:trPr>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gridSpan w:val="10"/>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First</w:t>
            </w:r>
          </w:p>
        </w:tc>
        <w:tc>
          <w:tcPr>
            <w:tcW w:w="15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 1951</w:t>
            </w:r>
          </w:p>
        </w:tc>
        <w:tc>
          <w:tcPr>
            <w:tcW w:w="2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2-59690</w:t>
            </w: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2(d)(1)</w:t>
            </w:r>
          </w:p>
        </w:tc>
      </w:tr>
      <w:tr>
        <w:trPr>
          <w:trHeight w:val="213"/>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10"/>
          </w:tcPr>
          <w:p>
            <w:pPr>
              <w:ind w:left="140"/>
              <w:spacing w:after="0"/>
              <w:rPr>
                <w:sz w:val="20"/>
                <w:szCs w:val="20"/>
                <w:color w:val="auto"/>
              </w:rPr>
            </w:pPr>
            <w:r>
              <w:rPr>
                <w:rFonts w:ascii="Times New Roman" w:cs="Times New Roman" w:eastAsia="Times New Roman" w:hAnsi="Times New Roman"/>
                <w:sz w:val="16"/>
                <w:szCs w:val="16"/>
                <w:color w:val="auto"/>
              </w:rPr>
              <w:t>Second</w:t>
            </w:r>
          </w:p>
        </w:tc>
        <w:tc>
          <w:tcPr>
            <w:tcW w:w="15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March 1, 1962</w:t>
            </w:r>
          </w:p>
        </w:tc>
        <w:tc>
          <w:tcPr>
            <w:tcW w:w="20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2-27794</w:t>
            </w: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2(d)1</w:t>
            </w:r>
          </w:p>
        </w:tc>
      </w:tr>
      <w:tr>
        <w:trPr>
          <w:trHeight w:val="219"/>
        </w:trPr>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960" w:type="dxa"/>
            <w:vAlign w:val="bottom"/>
            <w:gridSpan w:val="10"/>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Third</w:t>
            </w:r>
          </w:p>
        </w:tc>
        <w:tc>
          <w:tcPr>
            <w:tcW w:w="15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1, 1976</w:t>
            </w:r>
          </w:p>
        </w:tc>
        <w:tc>
          <w:tcPr>
            <w:tcW w:w="2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2-57478</w:t>
            </w:r>
          </w:p>
        </w:tc>
        <w:tc>
          <w:tcPr>
            <w:tcW w:w="6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2(e)1</w:t>
            </w:r>
          </w:p>
        </w:tc>
      </w:tr>
      <w:tr>
        <w:trPr>
          <w:trHeight w:val="213"/>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10"/>
          </w:tcPr>
          <w:p>
            <w:pPr>
              <w:ind w:left="140"/>
              <w:spacing w:after="0"/>
              <w:rPr>
                <w:sz w:val="20"/>
                <w:szCs w:val="20"/>
                <w:color w:val="auto"/>
              </w:rPr>
            </w:pPr>
            <w:r>
              <w:rPr>
                <w:rFonts w:ascii="Times New Roman" w:cs="Times New Roman" w:eastAsia="Times New Roman" w:hAnsi="Times New Roman"/>
                <w:sz w:val="16"/>
                <w:szCs w:val="16"/>
                <w:color w:val="auto"/>
              </w:rPr>
              <w:t>Fourth</w:t>
            </w:r>
          </w:p>
        </w:tc>
        <w:tc>
          <w:tcPr>
            <w:tcW w:w="15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March 1, 1985</w:t>
            </w:r>
          </w:p>
        </w:tc>
        <w:tc>
          <w:tcPr>
            <w:tcW w:w="20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2-78641</w:t>
            </w: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4(b)</w:t>
            </w:r>
          </w:p>
        </w:tc>
      </w:tr>
      <w:tr>
        <w:trPr>
          <w:trHeight w:val="219"/>
        </w:trPr>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960" w:type="dxa"/>
            <w:vAlign w:val="bottom"/>
            <w:gridSpan w:val="10"/>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Fifth</w:t>
            </w:r>
          </w:p>
        </w:tc>
        <w:tc>
          <w:tcPr>
            <w:tcW w:w="15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1, 1992</w:t>
            </w:r>
          </w:p>
        </w:tc>
        <w:tc>
          <w:tcPr>
            <w:tcW w:w="4500" w:type="dxa"/>
            <w:vAlign w:val="bottom"/>
            <w:gridSpan w:val="5"/>
            <w:shd w:val="clear" w:color="auto" w:fill="CCEEFF"/>
          </w:tcPr>
          <w:p>
            <w:pPr>
              <w:jc w:val="right"/>
              <w:ind w:right="2500"/>
              <w:spacing w:after="0"/>
              <w:rPr>
                <w:sz w:val="20"/>
                <w:szCs w:val="20"/>
                <w:color w:val="auto"/>
              </w:rPr>
            </w:pPr>
            <w:r>
              <w:rPr>
                <w:rFonts w:ascii="Times New Roman" w:cs="Times New Roman" w:eastAsia="Times New Roman" w:hAnsi="Times New Roman"/>
                <w:sz w:val="16"/>
                <w:szCs w:val="16"/>
                <w:color w:val="auto"/>
              </w:rPr>
              <w:t>1-3548 (1992 Form 10-K)</w:t>
            </w:r>
          </w:p>
        </w:tc>
        <w:tc>
          <w:tcPr>
            <w:tcW w:w="1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4(b)1</w:t>
            </w:r>
          </w:p>
        </w:tc>
      </w:tr>
      <w:tr>
        <w:trPr>
          <w:trHeight w:val="175"/>
        </w:trPr>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gridSpan w:val="10"/>
          </w:tcPr>
          <w:p>
            <w:pPr>
              <w:ind w:left="140"/>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Sixth</w:t>
              </w:r>
            </w:hyperlink>
          </w:p>
        </w:tc>
        <w:tc>
          <w:tcPr>
            <w:tcW w:w="1520" w:type="dxa"/>
            <w:vAlign w:val="bottom"/>
            <w:gridSpan w:val="6"/>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March 24, 1994</w:t>
              </w:r>
            </w:hyperlink>
          </w:p>
        </w:tc>
        <w:tc>
          <w:tcPr>
            <w:tcW w:w="4500" w:type="dxa"/>
            <w:vAlign w:val="bottom"/>
            <w:gridSpan w:val="5"/>
          </w:tcPr>
          <w:p>
            <w:pPr>
              <w:jc w:val="right"/>
              <w:ind w:right="2500"/>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1-3548 (1996 Form 10-K)</w:t>
              </w:r>
            </w:hyperlink>
          </w:p>
        </w:tc>
        <w:tc>
          <w:tcPr>
            <w:tcW w:w="1880" w:type="dxa"/>
            <w:vAlign w:val="bottom"/>
            <w:gridSpan w:val="6"/>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4(b)</w:t>
              </w:r>
              <w:r>
                <w:rPr>
                  <w:rFonts w:ascii="Times New Roman" w:cs="Times New Roman" w:eastAsia="Times New Roman" w:hAnsi="Times New Roman"/>
                  <w:sz w:val="16"/>
                  <w:szCs w:val="16"/>
                  <w:u w:val="single" w:color="auto"/>
                  <w:color w:val="0000FF"/>
                </w:rPr>
                <w:t>1</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gridSpan w:val="9"/>
            <w:shd w:val="clear" w:color="auto" w:fill="CCEEFF"/>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Seventh</w:t>
              </w:r>
            </w:hyperlink>
          </w:p>
        </w:tc>
        <w:tc>
          <w:tcPr>
            <w:tcW w:w="1520" w:type="dxa"/>
            <w:vAlign w:val="bottom"/>
            <w:gridSpan w:val="6"/>
            <w:shd w:val="clear" w:color="auto" w:fill="CCEEFF"/>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November 1, 1994</w:t>
              </w:r>
            </w:hyperlink>
          </w:p>
        </w:tc>
        <w:tc>
          <w:tcPr>
            <w:tcW w:w="4500" w:type="dxa"/>
            <w:vAlign w:val="bottom"/>
            <w:gridSpan w:val="5"/>
            <w:shd w:val="clear" w:color="auto" w:fill="CCEEFF"/>
          </w:tcPr>
          <w:p>
            <w:pPr>
              <w:jc w:val="right"/>
              <w:ind w:right="2500"/>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1-3548 (1996 Form 10-K)</w:t>
              </w:r>
            </w:hyperlink>
          </w:p>
        </w:tc>
        <w:tc>
          <w:tcPr>
            <w:tcW w:w="1880" w:type="dxa"/>
            <w:vAlign w:val="bottom"/>
            <w:gridSpan w:val="6"/>
            <w:shd w:val="clear" w:color="auto" w:fill="CCEEFF"/>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4(b)</w:t>
              </w:r>
              <w:r>
                <w:rPr>
                  <w:rFonts w:ascii="Times New Roman" w:cs="Times New Roman" w:eastAsia="Times New Roman" w:hAnsi="Times New Roman"/>
                  <w:sz w:val="16"/>
                  <w:szCs w:val="16"/>
                  <w:u w:val="single" w:color="auto"/>
                  <w:color w:val="0000FF"/>
                </w:rPr>
                <w:t>2</w:t>
              </w:r>
            </w:hyperlink>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5"/>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Eighth</w:t>
              </w:r>
            </w:hyperlink>
          </w:p>
        </w:tc>
        <w:tc>
          <w:tcPr>
            <w:tcW w:w="1300" w:type="dxa"/>
            <w:vAlign w:val="bottom"/>
            <w:gridSpan w:val="4"/>
          </w:tcPr>
          <w:p>
            <w:pPr>
              <w:spacing w:after="0"/>
              <w:rPr>
                <w:sz w:val="15"/>
                <w:szCs w:val="15"/>
                <w:color w:val="auto"/>
              </w:rPr>
            </w:pPr>
          </w:p>
        </w:tc>
        <w:tc>
          <w:tcPr>
            <w:tcW w:w="1220" w:type="dxa"/>
            <w:vAlign w:val="bottom"/>
            <w:gridSpan w:val="5"/>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January 1, 1997</w:t>
              </w:r>
            </w:hyperlink>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0" w:type="dxa"/>
            <w:vAlign w:val="bottom"/>
            <w:gridSpan w:val="4"/>
          </w:tcPr>
          <w:p>
            <w:pPr>
              <w:jc w:val="right"/>
              <w:ind w:right="2500"/>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1-3548 (1996 Form 10-K)</w:t>
              </w:r>
            </w:hyperlink>
          </w:p>
        </w:tc>
        <w:tc>
          <w:tcPr>
            <w:tcW w:w="1880" w:type="dxa"/>
            <w:vAlign w:val="bottom"/>
            <w:gridSpan w:val="6"/>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4(b)</w:t>
              </w:r>
              <w:r>
                <w:rPr>
                  <w:rFonts w:ascii="Times New Roman" w:cs="Times New Roman" w:eastAsia="Times New Roman" w:hAnsi="Times New Roman"/>
                  <w:sz w:val="16"/>
                  <w:szCs w:val="16"/>
                  <w:u w:val="single" w:color="auto"/>
                  <w:color w:val="0000FF"/>
                </w:rPr>
                <w:t>3</w:t>
              </w:r>
            </w:hyperlink>
          </w:p>
        </w:tc>
      </w:tr>
      <w:tr>
        <w:trPr>
          <w:trHeight w:val="21"/>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w w:val="98"/>
              </w:rPr>
            </w:pPr>
            <w:hyperlink r:id="rId116">
              <w:r>
                <w:rPr>
                  <w:rFonts w:ascii="Times New Roman" w:cs="Times New Roman" w:eastAsia="Times New Roman" w:hAnsi="Times New Roman"/>
                  <w:sz w:val="16"/>
                  <w:szCs w:val="16"/>
                  <w:color w:val="0000FF"/>
                  <w:w w:val="98"/>
                </w:rPr>
                <w:t>Ninth</w:t>
              </w:r>
            </w:hyperlink>
          </w:p>
        </w:tc>
        <w:tc>
          <w:tcPr>
            <w:tcW w:w="1440" w:type="dxa"/>
            <w:vAlign w:val="bottom"/>
            <w:gridSpan w:val="7"/>
            <w:shd w:val="clear" w:color="auto" w:fill="CCEEFF"/>
          </w:tcPr>
          <w:p>
            <w:pPr>
              <w:spacing w:after="0"/>
              <w:rPr>
                <w:sz w:val="15"/>
                <w:szCs w:val="15"/>
                <w:color w:val="auto"/>
              </w:rPr>
            </w:pPr>
          </w:p>
        </w:tc>
        <w:tc>
          <w:tcPr>
            <w:tcW w:w="1060" w:type="dxa"/>
            <w:vAlign w:val="bottom"/>
            <w:gridSpan w:val="3"/>
            <w:shd w:val="clear" w:color="auto" w:fill="CCEEFF"/>
          </w:tcPr>
          <w:p>
            <w:pPr>
              <w:spacing w:after="0" w:line="17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October 1, 2007</w:t>
              </w:r>
            </w:hyperlink>
          </w:p>
        </w:tc>
        <w:tc>
          <w:tcPr>
            <w:tcW w:w="460" w:type="dxa"/>
            <w:vAlign w:val="bottom"/>
            <w:gridSpan w:val="3"/>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0" w:type="dxa"/>
            <w:vAlign w:val="bottom"/>
            <w:gridSpan w:val="4"/>
            <w:shd w:val="clear" w:color="auto" w:fill="CCEEFF"/>
          </w:tcPr>
          <w:p>
            <w:pPr>
              <w:jc w:val="right"/>
              <w:ind w:right="2500"/>
              <w:spacing w:after="0" w:line="17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1-3548 (2007 Form 10-K)</w:t>
              </w:r>
            </w:hyperlink>
          </w:p>
        </w:tc>
        <w:tc>
          <w:tcPr>
            <w:tcW w:w="1880" w:type="dxa"/>
            <w:vAlign w:val="bottom"/>
            <w:gridSpan w:val="6"/>
            <w:shd w:val="clear" w:color="auto" w:fill="CCEEFF"/>
          </w:tcPr>
          <w:p>
            <w:pPr>
              <w:spacing w:after="0" w:line="17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4(c)</w:t>
              </w:r>
              <w:r>
                <w:rPr>
                  <w:rFonts w:ascii="Times New Roman" w:cs="Times New Roman" w:eastAsia="Times New Roman" w:hAnsi="Times New Roman"/>
                  <w:sz w:val="16"/>
                  <w:szCs w:val="16"/>
                  <w:u w:val="single" w:color="auto"/>
                  <w:color w:val="0000FF"/>
                </w:rPr>
                <w:t>3</w:t>
              </w:r>
            </w:hyperlink>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spacing w:after="0" w:line="175" w:lineRule="exact"/>
              <w:rPr>
                <w:rFonts w:ascii="Times New Roman" w:cs="Times New Roman" w:eastAsia="Times New Roman" w:hAnsi="Times New Roman"/>
                <w:sz w:val="16"/>
                <w:szCs w:val="16"/>
                <w:color w:val="0000FF"/>
                <w:w w:val="96"/>
              </w:rPr>
            </w:pPr>
            <w:hyperlink r:id="rId117">
              <w:r>
                <w:rPr>
                  <w:rFonts w:ascii="Times New Roman" w:cs="Times New Roman" w:eastAsia="Times New Roman" w:hAnsi="Times New Roman"/>
                  <w:sz w:val="16"/>
                  <w:szCs w:val="16"/>
                  <w:color w:val="0000FF"/>
                  <w:w w:val="96"/>
                </w:rPr>
                <w:t>Tenth</w:t>
              </w:r>
            </w:hyperlink>
          </w:p>
        </w:tc>
        <w:tc>
          <w:tcPr>
            <w:tcW w:w="1440" w:type="dxa"/>
            <w:vAlign w:val="bottom"/>
            <w:gridSpan w:val="7"/>
          </w:tcPr>
          <w:p>
            <w:pPr>
              <w:spacing w:after="0"/>
              <w:rPr>
                <w:sz w:val="15"/>
                <w:szCs w:val="15"/>
                <w:color w:val="auto"/>
              </w:rPr>
            </w:pPr>
          </w:p>
        </w:tc>
        <w:tc>
          <w:tcPr>
            <w:tcW w:w="1060" w:type="dxa"/>
            <w:vAlign w:val="bottom"/>
            <w:gridSpan w:val="3"/>
          </w:tcPr>
          <w:p>
            <w:pPr>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October 1, 2007</w:t>
              </w:r>
            </w:hyperlink>
          </w:p>
        </w:tc>
        <w:tc>
          <w:tcPr>
            <w:tcW w:w="46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4200" w:type="dxa"/>
            <w:vAlign w:val="bottom"/>
            <w:gridSpan w:val="4"/>
          </w:tcPr>
          <w:p>
            <w:pPr>
              <w:jc w:val="right"/>
              <w:ind w:right="2500"/>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1-3548 (2007 Form 10-K)</w:t>
              </w:r>
            </w:hyperlink>
          </w:p>
        </w:tc>
        <w:tc>
          <w:tcPr>
            <w:tcW w:w="1880" w:type="dxa"/>
            <w:vAlign w:val="bottom"/>
            <w:gridSpan w:val="6"/>
          </w:tcPr>
          <w:p>
            <w:pPr>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4(c)</w:t>
              </w:r>
              <w:r>
                <w:rPr>
                  <w:rFonts w:ascii="Times New Roman" w:cs="Times New Roman" w:eastAsia="Times New Roman" w:hAnsi="Times New Roman"/>
                  <w:sz w:val="16"/>
                  <w:szCs w:val="16"/>
                  <w:u w:val="single" w:color="auto"/>
                  <w:color w:val="0000FF"/>
                </w:rPr>
                <w:t>4</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gridSpan w:val="9"/>
            <w:shd w:val="clear" w:color="auto" w:fill="CCEEFF"/>
          </w:tcPr>
          <w:p>
            <w:pPr>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Eleventh</w:t>
              </w:r>
            </w:hyperlink>
          </w:p>
        </w:tc>
        <w:tc>
          <w:tcPr>
            <w:tcW w:w="1520" w:type="dxa"/>
            <w:vAlign w:val="bottom"/>
            <w:gridSpan w:val="6"/>
            <w:shd w:val="clear" w:color="auto" w:fill="CCEEFF"/>
          </w:tcPr>
          <w:p>
            <w:pPr>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December 1, 2008</w:t>
              </w:r>
            </w:hyperlink>
          </w:p>
        </w:tc>
        <w:tc>
          <w:tcPr>
            <w:tcW w:w="4500" w:type="dxa"/>
            <w:vAlign w:val="bottom"/>
            <w:gridSpan w:val="5"/>
            <w:shd w:val="clear" w:color="auto" w:fill="CCEEFF"/>
          </w:tcPr>
          <w:p>
            <w:pPr>
              <w:jc w:val="right"/>
              <w:ind w:right="2500"/>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1-3548 (2008 Form 10-K)</w:t>
              </w:r>
            </w:hyperlink>
          </w:p>
        </w:tc>
        <w:tc>
          <w:tcPr>
            <w:tcW w:w="1880" w:type="dxa"/>
            <w:vAlign w:val="bottom"/>
            <w:gridSpan w:val="6"/>
            <w:shd w:val="clear" w:color="auto" w:fill="CCEEFF"/>
          </w:tcPr>
          <w:p>
            <w:pPr>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4(c)</w:t>
              </w:r>
              <w:r>
                <w:rPr>
                  <w:rFonts w:ascii="Times New Roman" w:cs="Times New Roman" w:eastAsia="Times New Roman" w:hAnsi="Times New Roman"/>
                  <w:sz w:val="16"/>
                  <w:szCs w:val="16"/>
                  <w:u w:val="single" w:color="auto"/>
                  <w:color w:val="0000FF"/>
                </w:rPr>
                <w:t>3</w:t>
              </w:r>
            </w:hyperlink>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6"/>
          </w:tcPr>
          <w:p>
            <w:pPr>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Twelfth</w:t>
              </w:r>
            </w:hyperlink>
          </w:p>
        </w:tc>
        <w:tc>
          <w:tcPr>
            <w:tcW w:w="1240" w:type="dxa"/>
            <w:vAlign w:val="bottom"/>
            <w:gridSpan w:val="3"/>
          </w:tcPr>
          <w:p>
            <w:pPr>
              <w:spacing w:after="0"/>
              <w:rPr>
                <w:sz w:val="15"/>
                <w:szCs w:val="15"/>
                <w:color w:val="auto"/>
              </w:rPr>
            </w:pPr>
          </w:p>
        </w:tc>
        <w:tc>
          <w:tcPr>
            <w:tcW w:w="1200" w:type="dxa"/>
            <w:vAlign w:val="bottom"/>
            <w:gridSpan w:val="4"/>
          </w:tcPr>
          <w:p>
            <w:pPr>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December 2, 2013</w:t>
              </w:r>
            </w:hyperlink>
          </w:p>
        </w:tc>
        <w:tc>
          <w:tcPr>
            <w:tcW w:w="3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1-3548</w:t>
              </w:r>
            </w:hyperlink>
          </w:p>
        </w:tc>
        <w:tc>
          <w:tcPr>
            <w:tcW w:w="3720" w:type="dxa"/>
            <w:vAlign w:val="bottom"/>
            <w:gridSpan w:val="3"/>
          </w:tcPr>
          <w:p>
            <w:pPr>
              <w:jc w:val="right"/>
              <w:ind w:right="2500"/>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(2013 Form 10-K)</w:t>
              </w:r>
            </w:hyperlink>
          </w:p>
        </w:tc>
        <w:tc>
          <w:tcPr>
            <w:tcW w:w="1880" w:type="dxa"/>
            <w:vAlign w:val="bottom"/>
            <w:gridSpan w:val="6"/>
          </w:tcPr>
          <w:p>
            <w:pPr>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4(c)</w:t>
              </w:r>
              <w:r>
                <w:rPr>
                  <w:rFonts w:ascii="Times New Roman" w:cs="Times New Roman" w:eastAsia="Times New Roman" w:hAnsi="Times New Roman"/>
                  <w:sz w:val="16"/>
                  <w:szCs w:val="16"/>
                  <w:u w:val="single" w:color="auto"/>
                  <w:color w:val="0000FF"/>
                </w:rPr>
                <w:t>3</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960" w:type="dxa"/>
            <w:vAlign w:val="bottom"/>
            <w:gridSpan w:val="10"/>
            <w:shd w:val="clear" w:color="auto" w:fill="CCEEFF"/>
          </w:tcPr>
          <w:p>
            <w:pPr>
              <w:ind w:left="140"/>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Thirteenth</w:t>
              </w:r>
            </w:hyperlink>
          </w:p>
        </w:tc>
        <w:tc>
          <w:tcPr>
            <w:tcW w:w="1520" w:type="dxa"/>
            <w:vAlign w:val="bottom"/>
            <w:gridSpan w:val="6"/>
            <w:shd w:val="clear" w:color="auto" w:fill="CCEEFF"/>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May 29, 2018</w:t>
              </w:r>
            </w:hyperlink>
          </w:p>
        </w:tc>
        <w:tc>
          <w:tcPr>
            <w:tcW w:w="780" w:type="dxa"/>
            <w:vAlign w:val="bottom"/>
            <w:gridSpan w:val="2"/>
            <w:shd w:val="clear" w:color="auto" w:fill="CCEEFF"/>
          </w:tcPr>
          <w:p>
            <w:pPr>
              <w:ind w:left="300"/>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1-3548</w:t>
              </w:r>
            </w:hyperlink>
          </w:p>
        </w:tc>
        <w:tc>
          <w:tcPr>
            <w:tcW w:w="3720" w:type="dxa"/>
            <w:vAlign w:val="bottom"/>
            <w:gridSpan w:val="3"/>
            <w:shd w:val="clear" w:color="auto" w:fill="CCEEFF"/>
          </w:tcPr>
          <w:p>
            <w:pPr>
              <w:ind w:left="20"/>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(June 30, 2018, Form 10-Q)</w:t>
              </w:r>
            </w:hyperlink>
          </w:p>
        </w:tc>
        <w:tc>
          <w:tcPr>
            <w:tcW w:w="260" w:type="dxa"/>
            <w:vAlign w:val="bottom"/>
            <w:gridSpan w:val="2"/>
            <w:shd w:val="clear" w:color="auto" w:fill="CCEEFF"/>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4</w:t>
              </w:r>
            </w:hyperlink>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101"/>
        </w:trPr>
        <w:tc>
          <w:tcPr>
            <w:tcW w:w="7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0000FF"/>
            </w:tcBorders>
            <w:shd w:val="clear" w:color="auto" w:fill="CCEEFF"/>
          </w:tcPr>
          <w:p>
            <w:pPr>
              <w:spacing w:after="0"/>
              <w:rPr>
                <w:sz w:val="8"/>
                <w:szCs w:val="8"/>
                <w:color w:val="auto"/>
              </w:rPr>
            </w:pPr>
          </w:p>
        </w:tc>
        <w:tc>
          <w:tcPr>
            <w:tcW w:w="1220" w:type="dxa"/>
            <w:vAlign w:val="bottom"/>
            <w:tcBorders>
              <w:top w:val="single" w:sz="8" w:color="0000FF"/>
            </w:tcBorders>
            <w:shd w:val="clear" w:color="auto" w:fill="CCEEFF"/>
          </w:tcPr>
          <w:p>
            <w:pPr>
              <w:spacing w:after="0"/>
              <w:rPr>
                <w:sz w:val="8"/>
                <w:szCs w:val="8"/>
                <w:color w:val="auto"/>
              </w:rPr>
            </w:pPr>
          </w:p>
        </w:tc>
        <w:tc>
          <w:tcPr>
            <w:tcW w:w="620" w:type="dxa"/>
            <w:vAlign w:val="bottom"/>
            <w:tcBorders>
              <w:top w:val="single" w:sz="8" w:color="0000FF"/>
            </w:tcBorders>
            <w:shd w:val="clear" w:color="auto" w:fill="CCEEFF"/>
          </w:tcPr>
          <w:p>
            <w:pPr>
              <w:spacing w:after="0"/>
              <w:rPr>
                <w:sz w:val="8"/>
                <w:szCs w:val="8"/>
                <w:color w:val="auto"/>
              </w:rPr>
            </w:pPr>
          </w:p>
        </w:tc>
        <w:tc>
          <w:tcPr>
            <w:tcW w:w="18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CCEEFF"/>
            </w:tcBorders>
            <w:shd w:val="clear" w:color="auto" w:fill="CCEEFF"/>
          </w:tcPr>
          <w:p>
            <w:pPr>
              <w:spacing w:after="0"/>
              <w:rPr>
                <w:sz w:val="8"/>
                <w:szCs w:val="8"/>
                <w:color w:val="auto"/>
              </w:rPr>
            </w:pPr>
          </w:p>
        </w:tc>
      </w:tr>
      <w:tr>
        <w:trPr>
          <w:trHeight w:val="176"/>
        </w:trPr>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gridSpan w:val="10"/>
          </w:tcPr>
          <w:p>
            <w:pPr>
              <w:ind w:left="140"/>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Fourteenth</w:t>
              </w:r>
            </w:hyperlink>
          </w:p>
        </w:tc>
        <w:tc>
          <w:tcPr>
            <w:tcW w:w="1520" w:type="dxa"/>
            <w:vAlign w:val="bottom"/>
            <w:gridSpan w:val="6"/>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June 14, 2021</w:t>
              </w:r>
            </w:hyperlink>
          </w:p>
        </w:tc>
        <w:tc>
          <w:tcPr>
            <w:tcW w:w="780" w:type="dxa"/>
            <w:vAlign w:val="bottom"/>
            <w:gridSpan w:val="2"/>
          </w:tcPr>
          <w:p>
            <w:pPr>
              <w:ind w:left="300"/>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1-3548</w:t>
              </w:r>
            </w:hyperlink>
          </w:p>
        </w:tc>
        <w:tc>
          <w:tcPr>
            <w:tcW w:w="3720" w:type="dxa"/>
            <w:vAlign w:val="bottom"/>
            <w:gridSpan w:val="3"/>
          </w:tcPr>
          <w:p>
            <w:pPr>
              <w:ind w:left="20"/>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(June 30, 2021, Form 10-Q)</w:t>
              </w:r>
            </w:hyperlink>
          </w:p>
        </w:tc>
        <w:tc>
          <w:tcPr>
            <w:tcW w:w="1880" w:type="dxa"/>
            <w:vAlign w:val="bottom"/>
            <w:gridSpan w:val="6"/>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4(a)</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60" w:type="dxa"/>
            <w:vAlign w:val="bottom"/>
            <w:gridSpan w:val="10"/>
            <w:shd w:val="clear" w:color="auto" w:fill="CCEEFF"/>
          </w:tcPr>
          <w:p>
            <w:pPr>
              <w:ind w:left="140"/>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Fifteenth</w:t>
              </w:r>
            </w:hyperlink>
          </w:p>
        </w:tc>
        <w:tc>
          <w:tcPr>
            <w:tcW w:w="1520" w:type="dxa"/>
            <w:vAlign w:val="bottom"/>
            <w:gridSpan w:val="6"/>
            <w:shd w:val="clear" w:color="auto" w:fill="CCEEFF"/>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June 14, 2021</w:t>
              </w:r>
            </w:hyperlink>
          </w:p>
        </w:tc>
        <w:tc>
          <w:tcPr>
            <w:tcW w:w="780" w:type="dxa"/>
            <w:vAlign w:val="bottom"/>
            <w:gridSpan w:val="2"/>
            <w:shd w:val="clear" w:color="auto" w:fill="CCEEFF"/>
          </w:tcPr>
          <w:p>
            <w:pPr>
              <w:ind w:left="300"/>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1-3548</w:t>
              </w:r>
            </w:hyperlink>
          </w:p>
        </w:tc>
        <w:tc>
          <w:tcPr>
            <w:tcW w:w="3720" w:type="dxa"/>
            <w:vAlign w:val="bottom"/>
            <w:gridSpan w:val="3"/>
            <w:shd w:val="clear" w:color="auto" w:fill="CCEEFF"/>
          </w:tcPr>
          <w:p>
            <w:pPr>
              <w:ind w:left="20"/>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(June 30, 2021, Form 10-Q)</w:t>
              </w:r>
            </w:hyperlink>
          </w:p>
        </w:tc>
        <w:tc>
          <w:tcPr>
            <w:tcW w:w="1880" w:type="dxa"/>
            <w:vAlign w:val="bottom"/>
            <w:gridSpan w:val="6"/>
            <w:shd w:val="clear" w:color="auto" w:fill="CCEEFF"/>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4(b)</w:t>
              </w:r>
            </w:hyperlink>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8" w:name="page69"/>
    <w:bookmarkEnd w:id="68"/>
    <w:p>
      <w:pPr>
        <w:ind w:left="20" w:right="140"/>
        <w:spacing w:after="0" w:line="239"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15"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24">
        <w:r>
          <w:rPr>
            <w:rFonts w:ascii="Times New Roman" w:cs="Times New Roman" w:eastAsia="Times New Roman" w:hAnsi="Times New Roman"/>
            <w:sz w:val="16"/>
            <w:szCs w:val="16"/>
            <w:u w:val="single" w:color="auto"/>
            <w:color w:val="0000FF"/>
          </w:rPr>
          <w:t>*4(c)</w:t>
        </w:r>
      </w:hyperlink>
    </w:p>
    <w:p>
      <w:pPr>
        <w:spacing w:after="0" w:line="194"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25">
        <w:r>
          <w:rPr>
            <w:rFonts w:ascii="Times New Roman" w:cs="Times New Roman" w:eastAsia="Times New Roman" w:hAnsi="Times New Roman"/>
            <w:sz w:val="16"/>
            <w:szCs w:val="16"/>
            <w:u w:val="single" w:color="auto"/>
            <w:color w:val="0000FF"/>
          </w:rPr>
          <w:t>*4(d)</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20" w:hanging="445"/>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 </w:t>
      </w:r>
      <w:hyperlink r:id="rId124">
        <w:r>
          <w:rPr>
            <w:rFonts w:ascii="Times New Roman" w:cs="Times New Roman" w:eastAsia="Times New Roman" w:hAnsi="Times New Roman"/>
            <w:sz w:val="16"/>
            <w:szCs w:val="16"/>
            <w:u w:val="single" w:color="auto"/>
            <w:color w:val="0000FF"/>
          </w:rPr>
          <w:t>Note Purchase and Guarantee Agreement dated as of November 5, 2015, among Armenia Mountain Wind LLC, AMW I Holding, LLC and the</w:t>
        </w:r>
      </w:hyperlink>
      <w:r>
        <w:rPr>
          <w:rFonts w:ascii="Times New Roman" w:cs="Times New Roman" w:eastAsia="Times New Roman" w:hAnsi="Times New Roman"/>
          <w:sz w:val="16"/>
          <w:szCs w:val="16"/>
          <w:color w:val="auto"/>
        </w:rPr>
        <w:t xml:space="preserve"> </w:t>
      </w:r>
      <w:hyperlink r:id="rId124">
        <w:r>
          <w:rPr>
            <w:rFonts w:ascii="Times New Roman" w:cs="Times New Roman" w:eastAsia="Times New Roman" w:hAnsi="Times New Roman"/>
            <w:sz w:val="16"/>
            <w:szCs w:val="16"/>
            <w:u w:val="single" w:color="auto"/>
            <w:color w:val="0000FF"/>
          </w:rPr>
          <w:t>purchasers named therein (filed as Exhibit 4 to the November 12, 2015, Form 8-K, File No. 1-3548).</w:t>
        </w:r>
      </w:hyperlink>
    </w:p>
    <w:p>
      <w:pPr>
        <w:spacing w:after="0" w:line="2" w:lineRule="exact"/>
        <w:rPr>
          <w:rFonts w:ascii="Times New Roman" w:cs="Times New Roman" w:eastAsia="Times New Roman" w:hAnsi="Times New Roman"/>
          <w:sz w:val="16"/>
          <w:szCs w:val="16"/>
          <w:u w:val="single" w:color="auto"/>
          <w:color w:val="0000FF"/>
        </w:rPr>
      </w:pPr>
    </w:p>
    <w:p>
      <w:pPr>
        <w:ind w:right="20" w:hanging="445"/>
        <w:spacing w:after="0" w:line="205" w:lineRule="auto"/>
        <w:rPr>
          <w:rFonts w:ascii="Times New Roman" w:cs="Times New Roman" w:eastAsia="Times New Roman" w:hAnsi="Times New Roman"/>
          <w:sz w:val="16"/>
          <w:szCs w:val="16"/>
          <w:u w:val="single" w:color="auto"/>
          <w:color w:val="0000FF"/>
        </w:rPr>
      </w:pPr>
      <w:hyperlink r:id="rId125"/>
      <w:r>
        <w:rPr>
          <w:rFonts w:ascii="Times New Roman" w:cs="Times New Roman" w:eastAsia="Times New Roman" w:hAnsi="Times New Roman"/>
          <w:sz w:val="32"/>
          <w:szCs w:val="32"/>
          <w:color w:val="000000"/>
          <w:vertAlign w:val="superscript"/>
        </w:rPr>
        <w:t>—</w:t>
      </w:r>
      <w:r>
        <w:rPr>
          <w:rFonts w:ascii="Times New Roman" w:cs="Times New Roman" w:eastAsia="Times New Roman" w:hAnsi="Times New Roman"/>
          <w:sz w:val="16"/>
          <w:szCs w:val="16"/>
          <w:color w:val="0000FF"/>
        </w:rPr>
        <w:t xml:space="preserve"> </w:t>
      </w:r>
      <w:hyperlink r:id="rId125">
        <w:r>
          <w:rPr>
            <w:rFonts w:ascii="Times New Roman" w:cs="Times New Roman" w:eastAsia="Times New Roman" w:hAnsi="Times New Roman"/>
            <w:sz w:val="16"/>
            <w:szCs w:val="16"/>
            <w:u w:val="single" w:color="auto"/>
            <w:color w:val="0000FF"/>
          </w:rPr>
          <w:t>Note Purchase Agreement, dated December 8, 2016, between ALLETE and Hartford Investment Management Company, Northwestern Mutual</w:t>
        </w:r>
      </w:hyperlink>
      <w:r>
        <w:rPr>
          <w:rFonts w:ascii="Times New Roman" w:cs="Times New Roman" w:eastAsia="Times New Roman" w:hAnsi="Times New Roman"/>
          <w:sz w:val="16"/>
          <w:szCs w:val="16"/>
          <w:color w:val="0000FF"/>
        </w:rPr>
        <w:t xml:space="preserve"> </w:t>
      </w:r>
      <w:hyperlink r:id="rId125">
        <w:r>
          <w:rPr>
            <w:rFonts w:ascii="Times New Roman" w:cs="Times New Roman" w:eastAsia="Times New Roman" w:hAnsi="Times New Roman"/>
            <w:sz w:val="16"/>
            <w:szCs w:val="16"/>
            <w:u w:val="single" w:color="auto"/>
            <w:color w:val="0000FF"/>
          </w:rPr>
          <w:t>Investment Management Company, The Northwestern Mutual Life Insurance Company and Nationwide Life insurance Company (filed as Exhibit 4</w:t>
        </w:r>
      </w:hyperlink>
      <w:r>
        <w:rPr>
          <w:rFonts w:ascii="Times New Roman" w:cs="Times New Roman" w:eastAsia="Times New Roman" w:hAnsi="Times New Roman"/>
          <w:sz w:val="16"/>
          <w:szCs w:val="16"/>
          <w:u w:val="single" w:color="auto"/>
          <w:color w:val="0000FF"/>
        </w:rPr>
        <w:t xml:space="preserve"> </w:t>
      </w:r>
      <w:hyperlink r:id="rId125">
        <w:r>
          <w:rPr>
            <w:rFonts w:ascii="Times New Roman" w:cs="Times New Roman" w:eastAsia="Times New Roman" w:hAnsi="Times New Roman"/>
            <w:sz w:val="16"/>
            <w:szCs w:val="16"/>
            <w:u w:val="single" w:color="auto"/>
            <w:color w:val="0000FF"/>
          </w:rPr>
          <w:t>to the December 12, 2016, Form 8-K, File No. 1-3548).</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-959485</wp:posOffset>
            </wp:positionH>
            <wp:positionV relativeFrom="paragraph">
              <wp:posOffset>-398145</wp:posOffset>
            </wp:positionV>
            <wp:extent cx="7132320" cy="454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79" w:lineRule="exact"/>
        <w:rPr>
          <w:rFonts w:ascii="Times New Roman" w:cs="Times New Roman" w:eastAsia="Times New Roman" w:hAnsi="Times New Roman"/>
          <w:sz w:val="16"/>
          <w:szCs w:val="16"/>
          <w:color w:val="0000FF"/>
        </w:rPr>
      </w:pPr>
    </w:p>
    <w:p>
      <w:pPr>
        <w:sectPr>
          <w:pgSz w:w="11900" w:h="16838" w:orient="portrait"/>
          <w:cols w:equalWidth="0" w:num="2">
            <w:col w:w="800" w:space="720"/>
            <w:col w:w="9720"/>
          </w:cols>
          <w:pgMar w:left="320" w:top="887"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gridSpan w:val="11"/>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*4(e)</w:t>
              </w:r>
            </w:hyperlink>
          </w:p>
        </w:tc>
        <w:tc>
          <w:tcPr>
            <w:tcW w:w="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Note Purchase Agreement, dated September 10, 2020, between ALLETE and the purchasers named therein (filed as Exhibit 4 to the September 30,</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2020, Form 10-Q,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*4(f)</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Note Purchase Agreement, dated June 27, 2024, between ALLETE and the purchasers named therein. (filed as Exhibit 4 to the June 30, 2024, Form</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8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10-Q, File No. 1-3548).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11"/>
          </w:tcPr>
          <w:p>
            <w:pPr>
              <w:spacing w:after="0" w:line="175" w:lineRule="exact"/>
              <w:rPr>
                <w:sz w:val="20"/>
                <w:szCs w:val="20"/>
                <w:color w:val="auto"/>
              </w:rPr>
            </w:pPr>
            <w:r>
              <w:rPr>
                <w:rFonts w:ascii="Times New Roman" w:cs="Times New Roman" w:eastAsia="Times New Roman" w:hAnsi="Times New Roman"/>
                <w:sz w:val="16"/>
                <w:szCs w:val="16"/>
                <w:color w:val="0000FF"/>
              </w:rPr>
              <w:t>*4(g)</w:t>
            </w:r>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Description of Securities Registered Pursuant to Section 12 of the Securities Exchange Act of 1934 (filed as Exhibit 4(h) to the 2019 Form 10-K, File</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*10(a)</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Power Purchase and Sale Agreement, dated as of May 29, 1998, between Minnesota Power, Inc. (now ALLETE) and Square Butte Electric</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40" w:type="dxa"/>
            <w:vAlign w:val="bottom"/>
            <w:tcBorders>
              <w:top w:val="single" w:sz="8" w:color="0000FF"/>
            </w:tcBorders>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Cooperative (filed as Exhibit 10 to the June 30, 1998, Form 10-Q, File No. 1-3548).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11"/>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*10(b)1</w:t>
              </w:r>
            </w:hyperlink>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Amended and Restated Credit Agreement dated as of January 10, 2019 among ALLETE, as Borrower, the lenders party thereto, JPMorgan Chase</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Bank, N.A., as Administrative Agent, and J.P. Morgan Chase Bank, N.A., as Sole Lead Arranger and Sole Book Runner (filed as Exhibit 10(b)2 to</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96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the 2018 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*10(b)2</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First Amendment to Credit Agreement dated May 15, 2019, among ALLETE, as Borrower, the lenders party thereto, and JPMorgan Chase Bank,</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540" w:type="dxa"/>
            <w:vAlign w:val="bottom"/>
            <w:tcBorders>
              <w:top w:val="single" w:sz="8" w:color="0000FF"/>
              <w:bottom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N.A., as Administrative Agent (filed as Exhibit 4 to the June 30, 2019, Form 10-Q, File No. 1-3548).</w:t>
              </w:r>
            </w:hyperlink>
          </w:p>
        </w:tc>
        <w:tc>
          <w:tcPr>
            <w:tcW w:w="324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40" w:type="dxa"/>
            <w:vAlign w:val="bottom"/>
            <w:gridSpan w:val="11"/>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*10(b)3</w:t>
              </w:r>
            </w:hyperlink>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Second Amendment to Credit Agreement dated November 23, 2021, among ALLETE, as Borrower, the lenders party thereto, and JPMorgan Chase</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Bank, N.A., as Administrative Agent. (filed as Exhibit 10(b)3 to the 2021 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*10(b)4</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Third Amendment to Credit Agreement dated as of October 17, 2023, among ALLETE, as Borrower, the lenders party thereto, and JPMorgan Chase</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3"/>
            <w:shd w:val="clear" w:color="auto" w:fill="CCEEFF"/>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Bank, N.A., as Administrative Agent. (filed as Exhibit 10 to the Sept. 30, 2023, Form 10-Q, File No. 1-3548).</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11"/>
          </w:tcPr>
          <w:p>
            <w:pPr>
              <w:spacing w:after="0" w:line="175" w:lineRule="exact"/>
              <w:rPr>
                <w:sz w:val="20"/>
                <w:szCs w:val="20"/>
                <w:color w:val="auto"/>
              </w:rPr>
            </w:pPr>
            <w:r>
              <w:rPr>
                <w:rFonts w:ascii="Times New Roman" w:cs="Times New Roman" w:eastAsia="Times New Roman" w:hAnsi="Times New Roman"/>
                <w:sz w:val="16"/>
                <w:szCs w:val="16"/>
                <w:color w:val="0000FF"/>
              </w:rPr>
              <w:t>10(b)5</w:t>
            </w:r>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Fourth Amendment to Credit Agreement dated as of June 4, 2024, among ALLETE, as Borrower, the lenders party thereto, and JPMorgan Chase</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Bank, N.A., as Administrative Agent.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*10(c)1</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Financing Agreement between Collier County Industrial Development Authority and ALLETE dated as of July 1, 2006 (filed as Exhibit 10(b)1 to</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14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the June 30, 2006, Form 10-Q, File No. 1-3548).</w:t>
              </w:r>
            </w:hyperlink>
          </w:p>
        </w:tc>
        <w:tc>
          <w:tcPr>
            <w:tcW w:w="6560" w:type="dxa"/>
            <w:vAlign w:val="bottom"/>
            <w:tcBorders>
              <w:top w:val="single" w:sz="8" w:color="0000FF"/>
              <w:bottom w:val="single" w:sz="8" w:color="CCEEFF"/>
            </w:tcBorders>
            <w:gridSpan w:val="1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40" w:type="dxa"/>
            <w:vAlign w:val="bottom"/>
            <w:gridSpan w:val="11"/>
          </w:tcPr>
          <w:p>
            <w:pPr>
              <w:spacing w:after="0" w:line="17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*10(c)2</w:t>
              </w:r>
            </w:hyperlink>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Amended and Restated Letter of Credit Agreement, dated as of June 3, 2011, among ALLETE, the participating banks and Wells Fargo Bank,</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National Association, as Administrative Agent and Issuing Bank (filed as Exhibit 10(b) to the June 30, 2011, Form 10-Q, File No. 1-3548).</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*10(c)3</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First Amendment to Amended and Restated Letter of Credit Agreement, dated as of June 1, 2013, between ALLETE and Wells Fargo Bank, National</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Association, as Issuing Bank, Administrative Agent and Sole Participating Bank (filed as Exhibit 10(b) to the June 30, 2013, Form 10-Q, File No. 1-</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3548).</w:t>
              </w:r>
            </w:hyperlink>
          </w:p>
        </w:tc>
        <w:tc>
          <w:tcPr>
            <w:tcW w:w="280" w:type="dxa"/>
            <w:vAlign w:val="bottom"/>
            <w:tcBorders>
              <w:top w:val="single" w:sz="8" w:color="0000FF"/>
            </w:tcBorders>
            <w:shd w:val="clear" w:color="auto" w:fill="CCEEFF"/>
          </w:tcPr>
          <w:p>
            <w:pPr>
              <w:spacing w:after="0"/>
              <w:rPr>
                <w:sz w:val="12"/>
                <w:szCs w:val="12"/>
                <w:color w:val="auto"/>
              </w:rPr>
            </w:pPr>
          </w:p>
        </w:tc>
        <w:tc>
          <w:tcPr>
            <w:tcW w:w="42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120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10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19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11"/>
          </w:tcPr>
          <w:p>
            <w:pPr>
              <w:spacing w:after="0" w:line="175"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*10(d)</w:t>
              </w:r>
            </w:hyperlink>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Agreement dated December 16, 2005, among ALLETE, Wisconsin Public Service Corporation and WPS Investments, LLC (filed as Exhibit 10(g) to</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the 2009 Form 10-K, File No. 1-3548).</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*+10(e)1</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ALLETE Executive Annual Incentive Plan, as amended and restated, effective January 1, 2011 (filed as Exhibit 10(h)1 to the 2010 Form 10-K, File</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No. 1-3548).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r>
      <w:tr>
        <w:trPr>
          <w:trHeight w:val="175"/>
        </w:trPr>
        <w:tc>
          <w:tcPr>
            <w:tcW w:w="20" w:type="dxa"/>
            <w:vAlign w:val="bottom"/>
          </w:tcPr>
          <w:p>
            <w:pPr>
              <w:spacing w:after="0"/>
              <w:rPr>
                <w:sz w:val="15"/>
                <w:szCs w:val="15"/>
                <w:color w:val="auto"/>
              </w:rPr>
            </w:pPr>
          </w:p>
        </w:tc>
        <w:tc>
          <w:tcPr>
            <w:tcW w:w="640" w:type="dxa"/>
            <w:vAlign w:val="bottom"/>
            <w:gridSpan w:val="11"/>
          </w:tcPr>
          <w:p>
            <w:pPr>
              <w:spacing w:after="0" w:line="17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*+10(e)2</w:t>
              </w:r>
            </w:hyperlink>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ALLETE Executive Annual Incentive Plan Form of Award Effective 2021 (filed as Exhibit 10(e)8 to the 2020 Form 10-K, File No. 1-3548).</w:t>
              </w:r>
            </w:hyperlink>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*+10(e)3</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ALLETE Executive Annual Incentive Plan Form of Award Effective 2022 (filed as Exhibit 10(e)9 to the 2021 Form 10-K, File No. 1-3548).</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11"/>
          </w:tcPr>
          <w:p>
            <w:pPr>
              <w:spacing w:after="0" w:line="175"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*+10(e)4</w:t>
              </w:r>
            </w:hyperlink>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ALLETE Executive Annual Incentive Plan Form of Award Effective 2023 (filed as Exhibit 10(e)8 to the 2022 Form 10-K, File No. 1-3548).</w:t>
              </w:r>
            </w:hyperlink>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*+10(e)5</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ALLETE Executive Annual Incentive Plan Form of Award ALLETE Clean Energy Effective 2023 (filed as Exhibit 10(e)9 to the 2022 Form 10-K,</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File No. 1-3548).</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11"/>
          </w:tcPr>
          <w:p>
            <w:pPr>
              <w:spacing w:after="0" w:line="17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*+10(e)6</w:t>
              </w:r>
            </w:hyperlink>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ALLETE Executive Annual Incentive Plan, as amended and restated, effective December 21, 2023 (filed as Exhibit 10(e)7 to the 2023 Form 10-K,</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File No. 1-3548).</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*+10(e)7</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ALLETE Executive Annual Incentive Plan Form of Award Effective 2024 (filed as Exhibit 10(e)8 to the 2023 Form 10-K, File No. 1-3548).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11"/>
          </w:tcPr>
          <w:p>
            <w:pPr>
              <w:spacing w:after="0" w:line="17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*+10(e)8</w:t>
              </w:r>
            </w:hyperlink>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ALLETE Executive Annual Incentive Plan Form of Award ALLETE Clean Energy Effective 2024 (filed as Exhibit 10(e)9 to the 2023 Form 10-K,</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File No. 1-3548).</w:t>
              </w:r>
            </w:hyperlink>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+10(e)9</w:t>
            </w:r>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ALLETE Executive Annual Incentive Plan Form of Award Effective 2025.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11"/>
          </w:tcPr>
          <w:p>
            <w:pPr>
              <w:ind w:left="40"/>
              <w:spacing w:after="0" w:line="175" w:lineRule="exact"/>
              <w:rPr>
                <w:sz w:val="20"/>
                <w:szCs w:val="20"/>
                <w:color w:val="auto"/>
              </w:rPr>
            </w:pPr>
            <w:r>
              <w:rPr>
                <w:rFonts w:ascii="Times New Roman" w:cs="Times New Roman" w:eastAsia="Times New Roman" w:hAnsi="Times New Roman"/>
                <w:sz w:val="16"/>
                <w:szCs w:val="16"/>
                <w:color w:val="0000FF"/>
                <w:w w:val="98"/>
              </w:rPr>
              <w:t>+10(e)10</w:t>
            </w:r>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ALLETE Executive Annual Incentive Plan Form of Award ALLETE Clean Energy Effective 2025.</w:t>
            </w: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40" w:type="dxa"/>
            <w:vAlign w:val="bottom"/>
            <w:gridSpan w:val="11"/>
            <w:shd w:val="clear" w:color="auto" w:fill="CCEEFF"/>
          </w:tcPr>
          <w:p>
            <w:pPr>
              <w:spacing w:after="0" w:line="17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*+10(f)1</w:t>
              </w:r>
            </w:hyperlink>
          </w:p>
        </w:tc>
        <w:tc>
          <w:tcPr>
            <w:tcW w:w="860" w:type="dxa"/>
            <w:vAlign w:val="bottom"/>
            <w:shd w:val="clear" w:color="auto" w:fill="CCEEFF"/>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ALLETE and Affiliated Companies Supplemental Executive Retirement Plan (SERP I), as amended and restated, effective January 1, 2009 (filed as</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40" w:type="dxa"/>
            <w:vAlign w:val="bottom"/>
            <w:tcBorders>
              <w:top w:val="single" w:sz="8" w:color="0000FF"/>
              <w:bottom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Exhibit 10(i)4 to the 2008 Form 10-K, File No. 1-3548).</w:t>
              </w:r>
            </w:hyperlink>
          </w:p>
        </w:tc>
        <w:tc>
          <w:tcPr>
            <w:tcW w:w="6320" w:type="dxa"/>
            <w:vAlign w:val="bottom"/>
            <w:tcBorders>
              <w:top w:val="single" w:sz="8" w:color="0000FF"/>
              <w:bottom w:val="single" w:sz="8" w:color="CCEEFF"/>
            </w:tcBorders>
            <w:gridSpan w:val="2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40" w:type="dxa"/>
            <w:vAlign w:val="bottom"/>
            <w:gridSpan w:val="11"/>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*+10(f)2</w:t>
              </w:r>
            </w:hyperlink>
          </w:p>
        </w:tc>
        <w:tc>
          <w:tcPr>
            <w:tcW w:w="8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0" w:type="dxa"/>
            <w:vAlign w:val="bottom"/>
            <w:gridSpan w:val="35"/>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Amendment to the ALLETE and Affiliated Companies Supplemental Executive Retirement Plan (SERP I), effective January 1, 2011 (filed as</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364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Exhibit 10(i)2 to the 2010 Form 10-K, File No. 1-3548).</w:t>
              </w:r>
            </w:hyperlink>
          </w:p>
        </w:tc>
        <w:tc>
          <w:tcPr>
            <w:tcW w:w="6280" w:type="dxa"/>
            <w:vAlign w:val="bottom"/>
            <w:tcBorders>
              <w:top w:val="single" w:sz="8" w:color="0000FF"/>
            </w:tcBorders>
            <w:gridSpan w:val="22"/>
          </w:tcPr>
          <w:p>
            <w:pPr>
              <w:spacing w:after="0"/>
              <w:rPr>
                <w:sz w:val="12"/>
                <w:szCs w:val="12"/>
                <w:color w:val="auto"/>
              </w:rPr>
            </w:pPr>
          </w:p>
        </w:tc>
        <w:tc>
          <w:tcPr>
            <w:tcW w:w="60" w:type="dxa"/>
            <w:vAlign w:val="bottom"/>
            <w:gridSpan w:val="3"/>
          </w:tcPr>
          <w:p>
            <w:pPr>
              <w:spacing w:after="0"/>
              <w:rPr>
                <w:sz w:val="12"/>
                <w:szCs w:val="1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700" w:type="dxa"/>
            <w:vAlign w:val="bottom"/>
            <w:gridSpan w:val="5"/>
            <w:shd w:val="clear" w:color="auto" w:fill="CCEEFF"/>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*+10(f)3</w:t>
              </w:r>
            </w:hyperlink>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ALLETE and Affiliated Companies Supplemental Executive Retirement Plan II (SERP II), as amended and restated, effective January 1, 2021 (filed</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8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as Exhibit 10(f)5 to the 2021 Form 10-K, File No. 1-3548)</w:t>
              </w:r>
              <w:r>
                <w:rPr>
                  <w:rFonts w:ascii="Times New Roman" w:cs="Times New Roman" w:eastAsia="Times New Roman" w:hAnsi="Times New Roman"/>
                  <w:sz w:val="16"/>
                  <w:szCs w:val="16"/>
                  <w:color w:val="000000"/>
                </w:rPr>
                <w:t>.</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*+10(f)4</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ALLETE and Affiliated Companies Supplemental Executive Retirement Plan II (SERP II), as amended and restated, effective October 27, 2023</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(filed as Exhibit 10(f)4 to the 2023 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*+10(g)</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ALLETE Deferred Compensation Trust Agreement, as amended and restated, effective December 15, 2012 (filed as Exhibit 10(j) to the 2012 Form</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10-K, File No. 1-3548).</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*+10(h)1</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ALLETE Executive Long-Term Incentive Compensation Plan effective January 1, 2016 (filed November 6, 2015, as Exhibit 99 to Form S-8, File</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No. 333-207846).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*+10(h)2</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Form of ALLETE Executive Long-Term Incentive Compensation Plan Restricted Stock Unit Grant Effective 2019 (filed as Exhibit 10(i)10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8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w w:val="99"/>
              </w:rPr>
            </w:pPr>
            <w:hyperlink r:id="rId154">
              <w:r>
                <w:rPr>
                  <w:rFonts w:ascii="Times New Roman" w:cs="Times New Roman" w:eastAsia="Times New Roman" w:hAnsi="Times New Roman"/>
                  <w:sz w:val="16"/>
                  <w:szCs w:val="16"/>
                  <w:color w:val="0000FF"/>
                  <w:w w:val="99"/>
                </w:rPr>
                <w:t>2018 Form 10-K, File No. 1-3548).</w:t>
              </w:r>
            </w:hyperlink>
          </w:p>
        </w:tc>
        <w:tc>
          <w:tcPr>
            <w:tcW w:w="754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*+10(h)3</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Form of ALLETE Executive Long-Term Incentive Compensation Plan Performance Share Grant Effective 2019 (filed as Exhibit 10(i)11 to the 2018</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Form 10-K, File No. 1-3548).</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*+10(h)4</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Form of ALLETE Executive Long-Term Incentive Compensation Plan Restricted Stock Unit Grant Effective 2020 (filed as Exhibit 10(i)12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8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w w:val="99"/>
              </w:rPr>
            </w:pPr>
            <w:hyperlink r:id="rId156">
              <w:r>
                <w:rPr>
                  <w:rFonts w:ascii="Times New Roman" w:cs="Times New Roman" w:eastAsia="Times New Roman" w:hAnsi="Times New Roman"/>
                  <w:sz w:val="16"/>
                  <w:szCs w:val="16"/>
                  <w:color w:val="0000FF"/>
                  <w:w w:val="99"/>
                </w:rPr>
                <w:t>2019 Form 10-K, File No. 1-3548).</w:t>
              </w:r>
            </w:hyperlink>
          </w:p>
        </w:tc>
        <w:tc>
          <w:tcPr>
            <w:tcW w:w="754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*+10(h)5</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Form of ALLETE Executive Long-Term Incentive Compensation Plan Performance Share Grant Effective 2020 (filed as Exhibit 10(i)13 to the 2019</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*+10(h)6</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Form of ALLETE Executive Long-Term Incentive Compensation Plan Restricted Stock Unit Grant Effective 2021 (filed as Exhibit 10(i)14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8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w w:val="99"/>
              </w:rPr>
            </w:pPr>
            <w:hyperlink r:id="rId158">
              <w:r>
                <w:rPr>
                  <w:rFonts w:ascii="Times New Roman" w:cs="Times New Roman" w:eastAsia="Times New Roman" w:hAnsi="Times New Roman"/>
                  <w:sz w:val="16"/>
                  <w:szCs w:val="16"/>
                  <w:color w:val="0000FF"/>
                  <w:w w:val="99"/>
                </w:rPr>
                <w:t>2020 Form 10-K, File No. 1-3548).</w:t>
              </w:r>
            </w:hyperlink>
          </w:p>
        </w:tc>
        <w:tc>
          <w:tcPr>
            <w:tcW w:w="754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*+10(h)7</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Form of ALLETE Executive Long-Term Incentive Compensation Plan Performance Share Grant Effective 2021 (filed as Exhibit 10(i)15 to the 2020</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*+10(h)8</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Form of ALLETE Executive Long-Term Incentive Compensation Plan Restricted Stock Unit Grant Effective 2022 (filed as Exhibit 10(i)17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8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w w:val="99"/>
              </w:rPr>
            </w:pPr>
            <w:hyperlink r:id="rId160">
              <w:r>
                <w:rPr>
                  <w:rFonts w:ascii="Times New Roman" w:cs="Times New Roman" w:eastAsia="Times New Roman" w:hAnsi="Times New Roman"/>
                  <w:sz w:val="16"/>
                  <w:szCs w:val="16"/>
                  <w:color w:val="0000FF"/>
                  <w:w w:val="99"/>
                </w:rPr>
                <w:t>2021 Form 10-K, File No. 1-3548).</w:t>
              </w:r>
            </w:hyperlink>
          </w:p>
        </w:tc>
        <w:tc>
          <w:tcPr>
            <w:tcW w:w="754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*+10(h)9</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Form of ALLETE Executive Long-Term Incentive Compensation Plan Performance Share Grant Effective 2022 (filed as Exhibit 10(i)18 to the 2021</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*+10(h)10</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ALLETE Executive Long-Term Incentive Compensation Plan Performance Share Grant Effective April 13, 2022. (filed as Exhibit 10.1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30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 xml:space="preserve">September 30, 2024, Form 10-Q, </w:t>
              </w:r>
            </w:hyperlink>
            <w:hyperlink r:id="rId164">
              <w:r>
                <w:rPr>
                  <w:rFonts w:ascii="Times New Roman" w:cs="Times New Roman" w:eastAsia="Times New Roman" w:hAnsi="Times New Roman"/>
                  <w:sz w:val="16"/>
                  <w:szCs w:val="16"/>
                  <w:color w:val="0000FF"/>
                </w:rPr>
                <w:t>File No. 1-3548).</w:t>
              </w:r>
            </w:hyperlink>
          </w:p>
        </w:tc>
        <w:tc>
          <w:tcPr>
            <w:tcW w:w="638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*+10(h)11</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Form of ALLETE Executive Long-Term Incentive Compensation Plan Restricted Stock Unit Grant Effective 2023 (filed as Exhibit 10(h)16 to the</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2022 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*+10(h)12</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Form of ALLETE Executive Long-Term Incentive Compensation Plan Performance Share Grant Effective 2023 (filed as Exhibit 10(h)17 to the 2022</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0000FF"/>
              <w:bottom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w w:val="99"/>
              </w:rPr>
            </w:pPr>
            <w:hyperlink r:id="rId166">
              <w:r>
                <w:rPr>
                  <w:rFonts w:ascii="Times New Roman" w:cs="Times New Roman" w:eastAsia="Times New Roman" w:hAnsi="Times New Roman"/>
                  <w:sz w:val="16"/>
                  <w:szCs w:val="16"/>
                  <w:color w:val="0000FF"/>
                  <w:w w:val="99"/>
                </w:rPr>
                <w:t>Form 10-K, File No. 1-3548).</w:t>
              </w:r>
            </w:hyperlink>
          </w:p>
        </w:tc>
        <w:tc>
          <w:tcPr>
            <w:tcW w:w="788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*+10(h)13</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Form of ALLETE Executive Long-Term Incentive Compensation Plan Restricted Stock Unit Grant Effective 2024 (filed as Exhibit 10(h)15 to the</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2023 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*+10(h)14</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Form of ALLETE Executive Long-Term Incentive Compensation Plan Performance Share Grant Effective 2024 (filed as Exhibit 10(h)16 to the 2023</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0000FF"/>
              <w:bottom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w w:val="99"/>
              </w:rPr>
            </w:pPr>
            <w:hyperlink r:id="rId168">
              <w:r>
                <w:rPr>
                  <w:rFonts w:ascii="Times New Roman" w:cs="Times New Roman" w:eastAsia="Times New Roman" w:hAnsi="Times New Roman"/>
                  <w:sz w:val="16"/>
                  <w:szCs w:val="16"/>
                  <w:color w:val="0000FF"/>
                  <w:w w:val="99"/>
                </w:rPr>
                <w:t>Form 10-K, File No. 1-3548).</w:t>
              </w:r>
            </w:hyperlink>
          </w:p>
        </w:tc>
        <w:tc>
          <w:tcPr>
            <w:tcW w:w="788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ind w:left="40"/>
              <w:spacing w:after="0" w:line="175" w:lineRule="exact"/>
              <w:rPr>
                <w:sz w:val="20"/>
                <w:szCs w:val="20"/>
                <w:color w:val="auto"/>
              </w:rPr>
            </w:pPr>
            <w:r>
              <w:rPr>
                <w:rFonts w:ascii="Times New Roman" w:cs="Times New Roman" w:eastAsia="Times New Roman" w:hAnsi="Times New Roman"/>
                <w:sz w:val="16"/>
                <w:szCs w:val="16"/>
                <w:color w:val="0000FF"/>
              </w:rPr>
              <w:t>+10(h)15</w:t>
            </w:r>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sz w:val="20"/>
                <w:szCs w:val="20"/>
                <w:color w:val="auto"/>
              </w:rPr>
            </w:pPr>
            <w:r>
              <w:rPr>
                <w:rFonts w:ascii="Times New Roman" w:cs="Times New Roman" w:eastAsia="Times New Roman" w:hAnsi="Times New Roman"/>
                <w:sz w:val="16"/>
                <w:szCs w:val="16"/>
                <w:color w:val="0000FF"/>
              </w:rPr>
              <w:t>Form of ALLETE Executive Long-Term Incentive Compensation Plan Restricted Stock Unit Grant Effective 2025.</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60" w:type="dxa"/>
            <w:vAlign w:val="bottom"/>
            <w:gridSpan w:val="4"/>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0000FF"/>
              </w:rPr>
              <w:t>+10(h)16</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Form of ALLETE Executive Long-Term Incentive Compensation Plan Performance Share Grant Effective 2025.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4"/>
          </w:tcPr>
          <w:p>
            <w:pPr>
              <w:spacing w:after="0" w:line="175"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*+10(i)1</w:t>
              </w:r>
            </w:hyperlink>
          </w:p>
        </w:tc>
        <w:tc>
          <w:tcPr>
            <w:tcW w:w="40" w:type="dxa"/>
            <w:vAlign w:val="bottom"/>
          </w:tcPr>
          <w:p>
            <w:pPr>
              <w:spacing w:after="0"/>
              <w:rPr>
                <w:sz w:val="15"/>
                <w:szCs w:val="15"/>
                <w:color w:val="auto"/>
              </w:rPr>
            </w:pPr>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Amended and Restated ALLETE Non-Employee Director Stock Plan, effective May 15, 2013 (filed as Exhibit 10(a) to the June 30, 2013, Form 10-</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Q, File No. 1-3548).</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spacing w:after="0" w:line="175" w:lineRule="exact"/>
              <w:rPr>
                <w:rFonts w:ascii="Times New Roman" w:cs="Times New Roman" w:eastAsia="Times New Roman" w:hAnsi="Times New Roman"/>
                <w:sz w:val="16"/>
                <w:szCs w:val="16"/>
                <w:color w:val="0000FF"/>
                <w:w w:val="99"/>
              </w:rPr>
            </w:pPr>
            <w:hyperlink r:id="rId170">
              <w:r>
                <w:rPr>
                  <w:rFonts w:ascii="Times New Roman" w:cs="Times New Roman" w:eastAsia="Times New Roman" w:hAnsi="Times New Roman"/>
                  <w:sz w:val="16"/>
                  <w:szCs w:val="16"/>
                  <w:color w:val="0000FF"/>
                  <w:w w:val="99"/>
                </w:rPr>
                <w:t>*+10(i)2</w:t>
              </w:r>
            </w:hyperlink>
          </w:p>
        </w:tc>
        <w:tc>
          <w:tcPr>
            <w:tcW w:w="120" w:type="dxa"/>
            <w:vAlign w:val="bottom"/>
            <w:gridSpan w:val="3"/>
            <w:shd w:val="clear" w:color="auto" w:fill="CCEEFF"/>
          </w:tcPr>
          <w:p>
            <w:pPr>
              <w:spacing w:after="0"/>
              <w:rPr>
                <w:sz w:val="15"/>
                <w:szCs w:val="15"/>
                <w:color w:val="auto"/>
              </w:rPr>
            </w:pPr>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ALLETE Non-Employee Director Stock Plan (As Amended and Restated Effective May 10, 2022) (filed as Exhibit 99, File No. 333-265211).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gridSpan w:val="2"/>
          </w:tcPr>
          <w:p>
            <w:pPr>
              <w:spacing w:after="0" w:line="175" w:lineRule="exact"/>
              <w:rPr>
                <w:rFonts w:ascii="Times New Roman" w:cs="Times New Roman" w:eastAsia="Times New Roman" w:hAnsi="Times New Roman"/>
                <w:sz w:val="16"/>
                <w:szCs w:val="16"/>
                <w:color w:val="0000FF"/>
                <w:w w:val="99"/>
              </w:rPr>
            </w:pPr>
            <w:hyperlink r:id="rId171">
              <w:r>
                <w:rPr>
                  <w:rFonts w:ascii="Times New Roman" w:cs="Times New Roman" w:eastAsia="Times New Roman" w:hAnsi="Times New Roman"/>
                  <w:sz w:val="16"/>
                  <w:szCs w:val="16"/>
                  <w:color w:val="0000FF"/>
                  <w:w w:val="99"/>
                </w:rPr>
                <w:t>*+10(j)3</w:t>
              </w:r>
            </w:hyperlink>
          </w:p>
        </w:tc>
        <w:tc>
          <w:tcPr>
            <w:tcW w:w="120" w:type="dxa"/>
            <w:vAlign w:val="bottom"/>
            <w:gridSpan w:val="3"/>
          </w:tcPr>
          <w:p>
            <w:pPr>
              <w:spacing w:after="0"/>
              <w:rPr>
                <w:sz w:val="15"/>
                <w:szCs w:val="15"/>
                <w:color w:val="auto"/>
              </w:rPr>
            </w:pPr>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ALLETE Non-Employee Director Compensation Summary effective January 1, 2020 (filed as Exhibit 10(k)3 to the 2020 Form 10-K, File No. 1-</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3548).</w:t>
              </w:r>
            </w:hyperlink>
          </w:p>
        </w:tc>
        <w:tc>
          <w:tcPr>
            <w:tcW w:w="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0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*+10(j)4</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ALLETE Non-Employee Director Compensation Summary effective January 1, 2022 (filed as Exhibit 10(k)4 to the 2021 Form 10-K, File No. 1-</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3548).</w:t>
              </w:r>
            </w:hyperlink>
          </w:p>
        </w:tc>
        <w:tc>
          <w:tcPr>
            <w:tcW w:w="2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0000FF"/>
            </w:tcBorders>
            <w:shd w:val="clear" w:color="auto" w:fill="CCEEFF"/>
          </w:tcPr>
          <w:p>
            <w:pPr>
              <w:spacing w:after="0"/>
              <w:rPr>
                <w:sz w:val="12"/>
                <w:szCs w:val="12"/>
                <w:color w:val="auto"/>
              </w:rPr>
            </w:pPr>
          </w:p>
        </w:tc>
        <w:tc>
          <w:tcPr>
            <w:tcW w:w="308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174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*+10(j)5</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Amended and Restated ALLETE Non-Employee Director Stock Plan, effective May 10, 2022 (filed as Exhibit 99 to Form S-8, File No. 333-</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4"/>
              </w:rPr>
            </w:pPr>
            <w:hyperlink r:id="rId170">
              <w:r>
                <w:rPr>
                  <w:rFonts w:ascii="Times New Roman" w:cs="Times New Roman" w:eastAsia="Times New Roman" w:hAnsi="Times New Roman"/>
                  <w:sz w:val="16"/>
                  <w:szCs w:val="16"/>
                  <w:color w:val="0000FF"/>
                  <w:w w:val="94"/>
                </w:rPr>
                <w:t>265211).</w:t>
              </w:r>
            </w:hyperlink>
          </w:p>
        </w:tc>
        <w:tc>
          <w:tcPr>
            <w:tcW w:w="5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0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*+10(j)6</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ALLETE Non-Employee Director Compensation Summary effective January 1, 2023 (filed as Exhibit 10(j)6 to the 2022 Form 10-K, File No. 1-</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3548).</w:t>
              </w:r>
            </w:hyperlink>
          </w:p>
        </w:tc>
        <w:tc>
          <w:tcPr>
            <w:tcW w:w="2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0000FF"/>
            </w:tcBorders>
            <w:shd w:val="clear" w:color="auto" w:fill="CCEEFF"/>
          </w:tcPr>
          <w:p>
            <w:pPr>
              <w:spacing w:after="0"/>
              <w:rPr>
                <w:sz w:val="12"/>
                <w:szCs w:val="12"/>
                <w:color w:val="auto"/>
              </w:rPr>
            </w:pPr>
          </w:p>
        </w:tc>
        <w:tc>
          <w:tcPr>
            <w:tcW w:w="308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174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*+10(k)1</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Minnesota Power (now ALLETE) Director Compensation Deferral Plan Amended and Restated, effective January 1, 1990 (filed as Exhibit 10(ac) to</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the 2002 Form 10-K, File No. 1-3548).</w:t>
              </w:r>
            </w:hyperlink>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*+10(k)2</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Amendment to the Minnesota Power (now ALLETE) Director Compensation Deferral Plan, effective October 1, 2003 (filed as Exhibit 10(aa)2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8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w w:val="99"/>
              </w:rPr>
            </w:pPr>
            <w:hyperlink r:id="rId175">
              <w:r>
                <w:rPr>
                  <w:rFonts w:ascii="Times New Roman" w:cs="Times New Roman" w:eastAsia="Times New Roman" w:hAnsi="Times New Roman"/>
                  <w:sz w:val="16"/>
                  <w:szCs w:val="16"/>
                  <w:color w:val="0000FF"/>
                  <w:w w:val="99"/>
                </w:rPr>
                <w:t>2003 Form 10-K, File No. 1-3548).</w:t>
              </w:r>
            </w:hyperlink>
          </w:p>
        </w:tc>
        <w:tc>
          <w:tcPr>
            <w:tcW w:w="742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8"/>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*+10(k)3</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Amendment to the ALLETE Director Compensation Deferral Plan, effective January 1, 2005 (filed as Exhibit 10(c) to the March 31, 2005, Form 10-</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Q, File No. 1-3548).</w:t>
              </w:r>
            </w:hyperlink>
          </w:p>
        </w:tc>
        <w:tc>
          <w:tcPr>
            <w:tcW w:w="40" w:type="dxa"/>
            <w:vAlign w:val="bottom"/>
            <w:gridSpan w:val="2"/>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00" w:type="dxa"/>
            <w:vAlign w:val="bottom"/>
            <w:gridSpan w:val="5"/>
            <w:shd w:val="clear" w:color="auto" w:fill="CCEEFF"/>
          </w:tcPr>
          <w:p>
            <w:pPr>
              <w:spacing w:after="0" w:line="175"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*+10(k)4</w:t>
              </w:r>
            </w:hyperlink>
          </w:p>
        </w:tc>
        <w:tc>
          <w:tcPr>
            <w:tcW w:w="8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shd w:val="clear" w:color="auto" w:fill="CCEEFF"/>
          </w:tcPr>
          <w:p>
            <w:pPr>
              <w:spacing w:after="0" w:line="175"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Amendment to the ALLETE Director Compensation Deferral Plan, effective October 1, 2006 (filed as Exhibit 10(d) to the September 30, 2006,</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0000FF"/>
              <w:bottom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w w:val="99"/>
              </w:rPr>
            </w:pPr>
            <w:hyperlink r:id="rId177">
              <w:r>
                <w:rPr>
                  <w:rFonts w:ascii="Times New Roman" w:cs="Times New Roman" w:eastAsia="Times New Roman" w:hAnsi="Times New Roman"/>
                  <w:sz w:val="16"/>
                  <w:szCs w:val="16"/>
                  <w:color w:val="0000FF"/>
                  <w:w w:val="99"/>
                </w:rPr>
                <w:t>Form 10-Q, File No. 1-3548).</w:t>
              </w:r>
            </w:hyperlink>
          </w:p>
        </w:tc>
        <w:tc>
          <w:tcPr>
            <w:tcW w:w="7940" w:type="dxa"/>
            <w:vAlign w:val="bottom"/>
            <w:tcBorders>
              <w:top w:val="single" w:sz="8" w:color="0000FF"/>
              <w:bottom w:val="single" w:sz="8" w:color="CCEEFF"/>
            </w:tcBorders>
            <w:gridSpan w:val="19"/>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00" w:type="dxa"/>
            <w:vAlign w:val="bottom"/>
            <w:gridSpan w:val="5"/>
          </w:tcPr>
          <w:p>
            <w:pPr>
              <w:spacing w:after="0" w:line="175"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*+10(k)5</w:t>
              </w:r>
            </w:hyperlink>
          </w:p>
        </w:tc>
        <w:tc>
          <w:tcPr>
            <w:tcW w:w="80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20" w:type="dxa"/>
            <w:vAlign w:val="bottom"/>
            <w:gridSpan w:val="29"/>
          </w:tcPr>
          <w:p>
            <w:pPr>
              <w:spacing w:after="0" w:line="175"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Amendment to the ALLETE Director Compensation Deferral Plan, effective July 24, 2012 (filed as Exhibit 10(n)5 to the 2012 Form 10-K, File No.</w:t>
              </w:r>
            </w:hyperlink>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5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5"/>
              </w:rPr>
            </w:pPr>
            <w:hyperlink r:id="rId178">
              <w:r>
                <w:rPr>
                  <w:rFonts w:ascii="Times New Roman" w:cs="Times New Roman" w:eastAsia="Times New Roman" w:hAnsi="Times New Roman"/>
                  <w:sz w:val="16"/>
                  <w:szCs w:val="16"/>
                  <w:color w:val="0000FF"/>
                  <w:w w:val="95"/>
                </w:rPr>
                <w:t>1-3548).</w:t>
              </w:r>
            </w:hyperlink>
          </w:p>
        </w:tc>
        <w:tc>
          <w:tcPr>
            <w:tcW w:w="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0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840" w:type="dxa"/>
            <w:vAlign w:val="bottom"/>
            <w:gridSpan w:val="7"/>
            <w:shd w:val="clear" w:color="auto" w:fill="CCEEFF"/>
          </w:tcPr>
          <w:p>
            <w:pPr>
              <w:spacing w:after="0"/>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*+10(l)1</w:t>
              </w:r>
            </w:hyperlink>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960" w:type="dxa"/>
            <w:vAlign w:val="bottom"/>
            <w:gridSpan w:val="18"/>
            <w:shd w:val="clear" w:color="auto" w:fill="CCEEFF"/>
          </w:tcPr>
          <w:p>
            <w:pPr>
              <w:ind w:left="140"/>
              <w:spacing w:after="0"/>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ALLETE Non-Employee Director Compensation Deferral Plan II, effective May 1, 2009 (filed as Exhibit 10(a) to the June 30, 2009, Form 10-Q,</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File No. 1-3548).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7"/>
          </w:tcPr>
          <w:p>
            <w:pPr>
              <w:spacing w:after="0" w:line="175"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*+10(l)2</w:t>
              </w:r>
            </w:hyperlink>
          </w:p>
        </w:tc>
        <w:tc>
          <w:tcPr>
            <w:tcW w:w="5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820" w:type="dxa"/>
            <w:vAlign w:val="bottom"/>
            <w:gridSpan w:val="17"/>
          </w:tcPr>
          <w:p>
            <w:pPr>
              <w:spacing w:after="0" w:line="175"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ALLETE Non-Employee Director Compensation Deferral Plan II, as amended and restated, effective July 24, 2012 (filed as Exhibit 10(o)2 to the</w:t>
              </w:r>
            </w:hyperlink>
          </w:p>
        </w:tc>
      </w:tr>
      <w:tr>
        <w:trPr>
          <w:trHeight w:val="142"/>
        </w:trPr>
        <w:tc>
          <w:tcPr>
            <w:tcW w:w="2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76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2012 Form 10-K, File No. 1-3548).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40" w:type="dxa"/>
            <w:vAlign w:val="bottom"/>
            <w:gridSpan w:val="7"/>
            <w:shd w:val="clear" w:color="auto" w:fill="CCEEFF"/>
          </w:tcPr>
          <w:p>
            <w:pPr>
              <w:spacing w:after="0" w:line="175"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*+10(m)</w:t>
              </w:r>
            </w:hyperlink>
          </w:p>
        </w:tc>
        <w:tc>
          <w:tcPr>
            <w:tcW w:w="5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60" w:type="dxa"/>
            <w:vAlign w:val="bottom"/>
            <w:gridSpan w:val="18"/>
            <w:shd w:val="clear" w:color="auto" w:fill="CCEEFF"/>
          </w:tcPr>
          <w:p>
            <w:pPr>
              <w:ind w:left="140"/>
              <w:spacing w:after="0" w:line="175"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ALLETE Non-Employee Director Compensation Trust Agreement, as amended and restated, effective December 15, 2012 (filed as Exhibit 10(p)2 to</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540" w:type="dxa"/>
            <w:vAlign w:val="bottom"/>
            <w:tcBorders>
              <w:top w:val="single" w:sz="8" w:color="0000FF"/>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the 2012 Form 10-K, File No. 1-3548).</w:t>
              </w:r>
            </w:hyperlink>
          </w:p>
        </w:tc>
        <w:tc>
          <w:tcPr>
            <w:tcW w:w="716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840" w:type="dxa"/>
            <w:vAlign w:val="bottom"/>
            <w:gridSpan w:val="7"/>
          </w:tcPr>
          <w:p>
            <w:pPr>
              <w:spacing w:after="0" w:line="175"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*+10(n)</w:t>
              </w:r>
            </w:hyperlink>
          </w:p>
        </w:tc>
        <w:tc>
          <w:tcPr>
            <w:tcW w:w="5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60" w:type="dxa"/>
            <w:vAlign w:val="bottom"/>
            <w:gridSpan w:val="18"/>
          </w:tcPr>
          <w:p>
            <w:pPr>
              <w:ind w:left="140"/>
              <w:spacing w:after="0" w:line="175"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Extraordinary Compensation Award and Opportunity Effective September 25, 2023 (filed as Exhibit 10.2 to the September 30, 2024, Form 10-Q,</w:t>
              </w:r>
            </w:hyperlink>
          </w:p>
        </w:tc>
      </w:tr>
      <w:tr>
        <w:trPr>
          <w:trHeight w:val="142"/>
        </w:trPr>
        <w:tc>
          <w:tcPr>
            <w:tcW w:w="2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72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File No. 1-3548).</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4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*+10(o)1</w:t>
            </w:r>
          </w:p>
        </w:tc>
        <w:tc>
          <w:tcPr>
            <w:tcW w:w="5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60" w:type="dxa"/>
            <w:vAlign w:val="bottom"/>
            <w:gridSpan w:val="18"/>
            <w:shd w:val="clear" w:color="auto" w:fill="CCEEFF"/>
          </w:tcPr>
          <w:p>
            <w:pPr>
              <w:ind w:left="140"/>
              <w:spacing w:after="0" w:line="175"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ALLETE and Affiliated Companies Change in Control Severance Plan, as amended and restated, effective April 23, 2018 (filed as Exhibit 10(c) to</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16"/>
            <w:shd w:val="clear" w:color="auto" w:fill="CCEEFF"/>
          </w:tcPr>
          <w:p>
            <w:pPr>
              <w:spacing w:after="0" w:line="14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the March 31, 2018, Form 10-Q, File No. 1-3548).</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FF"/>
              </w:rPr>
              <w:t>*+10(o)2</w:t>
            </w:r>
          </w:p>
        </w:tc>
        <w:tc>
          <w:tcPr>
            <w:tcW w:w="5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820" w:type="dxa"/>
            <w:vAlign w:val="bottom"/>
            <w:gridSpan w:val="17"/>
          </w:tcPr>
          <w:p>
            <w:pPr>
              <w:spacing w:after="0" w:line="175"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ALLETE and Affiliated Companies Change in Control Severance Plan, as amended and restated, effective October 27, 2023 (filed as Exhibit 10(n)2</w:t>
              </w:r>
            </w:hyperlink>
          </w:p>
        </w:tc>
      </w:tr>
      <w:tr>
        <w:trPr>
          <w:trHeight w:val="142"/>
        </w:trPr>
        <w:tc>
          <w:tcPr>
            <w:tcW w:w="2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74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to the 2023 Form 10-K, File No. 1-3548).</w:t>
              </w:r>
            </w:hyperlink>
          </w:p>
        </w:tc>
        <w:tc>
          <w:tcPr>
            <w:tcW w:w="80" w:type="dxa"/>
            <w:vAlign w:val="bottom"/>
            <w:gridSpan w:val="4"/>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60" w:type="dxa"/>
            <w:vAlign w:val="bottom"/>
            <w:gridSpan w:val="18"/>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0000FF"/>
              </w:rPr>
              <w:t>Insider Trading Policies and Procedures.</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60" w:type="dxa"/>
            <w:vAlign w:val="bottom"/>
            <w:gridSpan w:val="18"/>
          </w:tcPr>
          <w:p>
            <w:pPr>
              <w:ind w:left="140"/>
              <w:spacing w:after="0" w:line="175" w:lineRule="exact"/>
              <w:rPr>
                <w:sz w:val="20"/>
                <w:szCs w:val="20"/>
                <w:color w:val="auto"/>
              </w:rPr>
            </w:pPr>
            <w:r>
              <w:rPr>
                <w:rFonts w:ascii="Times New Roman" w:cs="Times New Roman" w:eastAsia="Times New Roman" w:hAnsi="Times New Roman"/>
                <w:sz w:val="16"/>
                <w:szCs w:val="16"/>
                <w:color w:val="0000FF"/>
              </w:rPr>
              <w:t>Subsidiaries of the Registrant.</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60" w:type="dxa"/>
            <w:vAlign w:val="bottom"/>
            <w:gridSpan w:val="18"/>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0000FF"/>
              </w:rPr>
              <w:t>Consent of Independent Registered Public Accounting Firm.</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FF"/>
              </w:rPr>
              <w:t>31(a)</w:t>
            </w:r>
          </w:p>
        </w:tc>
        <w:tc>
          <w:tcPr>
            <w:tcW w:w="5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60" w:type="dxa"/>
            <w:vAlign w:val="bottom"/>
            <w:gridSpan w:val="18"/>
          </w:tcPr>
          <w:p>
            <w:pPr>
              <w:ind w:left="140"/>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by the Chief Executive Officer Pursuant to Section 302 of the Sarbanes-Oxley Act of 2002.</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4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31(b)</w:t>
            </w:r>
          </w:p>
        </w:tc>
        <w:tc>
          <w:tcPr>
            <w:tcW w:w="5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960" w:type="dxa"/>
            <w:vAlign w:val="bottom"/>
            <w:gridSpan w:val="18"/>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by the Chief Financial Officer Pursuant to Section 302 of the Sarbanes-Oxley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5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1520" w:right="20" w:hanging="1494"/>
        <w:spacing w:after="0" w:line="245" w:lineRule="auto"/>
        <w:tabs>
          <w:tab w:leader="none" w:pos="1075" w:val="left"/>
        </w:tabs>
        <w:numPr>
          <w:ilvl w:val="0"/>
          <w:numId w:val="21"/>
        </w:numPr>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Section 1350 Certification of Annual Report by the Chief Executive Officer and Chief Financial Officer Pursuant to Section 906 of the Sarbanes-Oxley Act of 2002.</w:t>
      </w:r>
    </w:p>
    <w:tbl>
      <w:tblPr>
        <w:tblLayout w:type="fixed"/>
        <w:tblInd w:w="0" w:type="dxa"/>
        <w:tblCellMar>
          <w:top w:w="0" w:type="dxa"/>
          <w:left w:w="0" w:type="dxa"/>
          <w:bottom w:w="0" w:type="dxa"/>
          <w:right w:w="0" w:type="dxa"/>
        </w:tblCellMar>
      </w:tblP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0000FF"/>
                <w:w w:val="87"/>
              </w:rPr>
              <w:t>95</w:t>
            </w:r>
          </w:p>
        </w:tc>
        <w:tc>
          <w:tcPr>
            <w:tcW w:w="1200" w:type="dxa"/>
            <w:vAlign w:val="bottom"/>
            <w:tcBorders>
              <w:bottom w:val="single" w:sz="8" w:color="CCEEFF"/>
            </w:tcBorders>
            <w:shd w:val="clear" w:color="auto" w:fill="CCEEFF"/>
          </w:tcPr>
          <w:p>
            <w:pPr>
              <w:ind w:left="900"/>
              <w:spacing w:after="0" w:line="17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0000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9"/>
              </w:rPr>
              <w:t>Mine Safety.</w:t>
            </w:r>
          </w:p>
        </w:tc>
        <w:tc>
          <w:tcPr>
            <w:tcW w:w="888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60" w:type="dxa"/>
            <w:vAlign w:val="bottom"/>
            <w:tcBorders>
              <w:bottom w:val="single" w:sz="8" w:color="0000FF"/>
            </w:tcBorders>
          </w:tcPr>
          <w:p>
            <w:pPr>
              <w:jc w:val="right"/>
              <w:spacing w:after="0" w:line="175" w:lineRule="exact"/>
              <w:rPr>
                <w:sz w:val="20"/>
                <w:szCs w:val="20"/>
                <w:color w:val="auto"/>
              </w:rPr>
            </w:pPr>
            <w:r>
              <w:rPr>
                <w:rFonts w:ascii="Times New Roman" w:cs="Times New Roman" w:eastAsia="Times New Roman" w:hAnsi="Times New Roman"/>
                <w:sz w:val="16"/>
                <w:szCs w:val="16"/>
                <w:color w:val="0000FF"/>
                <w:w w:val="87"/>
              </w:rPr>
              <w:t>97</w:t>
            </w:r>
          </w:p>
        </w:tc>
        <w:tc>
          <w:tcPr>
            <w:tcW w:w="1200" w:type="dxa"/>
            <w:vAlign w:val="bottom"/>
          </w:tcPr>
          <w:p>
            <w:pPr>
              <w:ind w:left="9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4480" w:type="dxa"/>
            <w:vAlign w:val="bottom"/>
            <w:tcBorders>
              <w:bottom w:val="single" w:sz="8" w:color="0000FF"/>
            </w:tcBorders>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Policy Relating to Recovery of Erroneously Awarded Compensation.</w:t>
            </w:r>
          </w:p>
        </w:tc>
        <w:tc>
          <w:tcPr>
            <w:tcW w:w="5240" w:type="dxa"/>
            <w:vAlign w:val="bottom"/>
          </w:tcPr>
          <w:p>
            <w:pPr>
              <w:spacing w:after="0"/>
              <w:rPr>
                <w:sz w:val="15"/>
                <w:szCs w:val="15"/>
                <w:color w:val="auto"/>
              </w:rPr>
            </w:pPr>
          </w:p>
        </w:tc>
      </w:tr>
    </w:tbl>
    <w:p>
      <w:pPr>
        <w:spacing w:after="0" w:line="25" w:lineRule="exact"/>
        <w:rPr>
          <w:sz w:val="20"/>
          <w:szCs w:val="20"/>
          <w:color w:val="auto"/>
        </w:rPr>
      </w:pPr>
    </w:p>
    <w:p>
      <w:pPr>
        <w:ind w:left="1520" w:right="20" w:hanging="1494"/>
        <w:spacing w:after="0"/>
        <w:tabs>
          <w:tab w:leader="none" w:pos="1075" w:val="left"/>
        </w:tabs>
        <w:numPr>
          <w:ilvl w:val="0"/>
          <w:numId w:val="22"/>
        </w:numPr>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0000FF"/>
        </w:rPr>
        <w:t>ALLETE News Release dated February 13, 2025, announcing earnings for the year ended December 31, 2024. (This exhibit has been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0000FF"/>
        </w:rPr>
        <w:t>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45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0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XBRL Instance Document - the instance document does not appear in the Interactive Data File because its XBRL tags are embedded within the</w:t>
            </w:r>
          </w:p>
        </w:tc>
      </w:tr>
      <w:tr>
        <w:trPr>
          <w:trHeight w:val="213"/>
        </w:trPr>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XBRL Schema</w:t>
            </w:r>
          </w:p>
        </w:tc>
      </w:tr>
      <w:tr>
        <w:trPr>
          <w:trHeight w:val="21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XBRL Calculation</w:t>
            </w:r>
          </w:p>
        </w:tc>
      </w:tr>
      <w:tr>
        <w:trPr>
          <w:trHeight w:val="21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XBRL Definition</w:t>
            </w:r>
          </w:p>
        </w:tc>
      </w:tr>
      <w:tr>
        <w:trPr>
          <w:trHeight w:val="21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XBRL Label</w:t>
            </w:r>
          </w:p>
        </w:tc>
      </w:tr>
      <w:tr>
        <w:trPr>
          <w:trHeight w:val="219"/>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XBRL Presentation</w:t>
            </w:r>
          </w:p>
        </w:tc>
      </w:t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Cover Page Interactive Data File (formatted as Inline XBRL and contained in Exhibit 101)</w:t>
            </w:r>
          </w:p>
        </w:tc>
      </w:tr>
    </w:tbl>
    <w:p>
      <w:pPr>
        <w:spacing w:after="0" w:line="3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Item 601(b)(4)(iii)(A) of Regulation S-K, other long-term debt instruments are not filed as exhibits because the total amount of debt authorized under each omitted instrument does not exceed 10 percent of our total consolidated assets. We will furnish copies of these instruments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062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560" w:hanging="534"/>
        <w:spacing w:after="0"/>
        <w:tabs>
          <w:tab w:leader="none" w:pos="5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herein by reference as indicated.</w:t>
      </w:r>
    </w:p>
    <w:p>
      <w:pPr>
        <w:spacing w:after="0" w:line="29" w:lineRule="exact"/>
        <w:rPr>
          <w:sz w:val="20"/>
          <w:szCs w:val="20"/>
          <w:color w:val="auto"/>
        </w:rPr>
      </w:pPr>
    </w:p>
    <w:p>
      <w:pPr>
        <w:jc w:val="both"/>
        <w:ind w:left="560" w:right="60" w:hanging="534"/>
        <w:spacing w:after="0" w:line="224" w:lineRule="auto"/>
        <w:tabs>
          <w:tab w:leader="none" w:pos="5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Schedules and exhibits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8" w:lineRule="exact"/>
        <w:rPr>
          <w:sz w:val="20"/>
          <w:szCs w:val="20"/>
          <w:color w:val="auto"/>
        </w:rPr>
      </w:pPr>
    </w:p>
    <w:p>
      <w:pPr>
        <w:ind w:left="560" w:hanging="534"/>
        <w:spacing w:after="0"/>
        <w:tabs>
          <w:tab w:leader="none" w:pos="5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contract or compensatory plan or arrangement pursuant to Item 15(b).</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tc>
      </w:tr>
      <w:tr>
        <w:trPr>
          <w:trHeight w:val="68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13, 2025</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Bethany M. Owen</w:t>
            </w:r>
          </w:p>
        </w:tc>
      </w:tr>
      <w:tr>
        <w:trPr>
          <w:trHeight w:val="218"/>
        </w:trPr>
        <w:tc>
          <w:tcPr>
            <w:tcW w:w="3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Bethany M. Owen</w:t>
            </w:r>
          </w:p>
        </w:tc>
      </w:tr>
      <w:tr>
        <w:trPr>
          <w:trHeight w:val="234"/>
        </w:trPr>
        <w:tc>
          <w:tcPr>
            <w:tcW w:w="3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r>
    </w:tbl>
    <w:p>
      <w:pPr>
        <w:spacing w:after="0" w:line="31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1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5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Bethany M. Owen</w:t>
            </w:r>
          </w:p>
        </w:tc>
        <w:tc>
          <w:tcPr>
            <w:tcW w:w="5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Chair, President and Chief Executive Officer</w:t>
            </w:r>
          </w:p>
        </w:tc>
        <w:tc>
          <w:tcPr>
            <w:tcW w:w="2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Bethany M. Owen</w:t>
            </w:r>
          </w:p>
        </w:tc>
        <w:tc>
          <w:tcPr>
            <w:tcW w:w="5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100" w:type="dxa"/>
            <w:vAlign w:val="bottom"/>
          </w:tcPr>
          <w:p>
            <w:pPr>
              <w:spacing w:after="0"/>
              <w:rPr>
                <w:sz w:val="19"/>
                <w:szCs w:val="19"/>
                <w:color w:val="auto"/>
              </w:rPr>
            </w:pPr>
          </w:p>
        </w:tc>
      </w:tr>
      <w:tr>
        <w:trPr>
          <w:trHeight w:val="45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W. Morris</w:t>
            </w:r>
          </w:p>
        </w:tc>
        <w:tc>
          <w:tcPr>
            <w:tcW w:w="5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2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W. Morris</w:t>
            </w:r>
          </w:p>
        </w:tc>
        <w:tc>
          <w:tcPr>
            <w:tcW w:w="5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100" w:type="dxa"/>
            <w:vAlign w:val="bottom"/>
          </w:tcPr>
          <w:p>
            <w:pPr>
              <w:spacing w:after="0"/>
              <w:rPr>
                <w:sz w:val="19"/>
                <w:szCs w:val="19"/>
                <w:color w:val="auto"/>
              </w:rPr>
            </w:pPr>
          </w:p>
        </w:tc>
      </w:tr>
      <w:tr>
        <w:trPr>
          <w:trHeight w:val="854"/>
        </w:trPr>
        <w:tc>
          <w:tcPr>
            <w:tcW w:w="3660" w:type="dxa"/>
            <w:vAlign w:val="bottom"/>
          </w:tcPr>
          <w:p>
            <w:pPr>
              <w:spacing w:after="0"/>
              <w:rPr>
                <w:sz w:val="24"/>
                <w:szCs w:val="24"/>
                <w:color w:val="auto"/>
              </w:rPr>
            </w:pPr>
          </w:p>
        </w:tc>
        <w:tc>
          <w:tcPr>
            <w:tcW w:w="548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ALLETE, Inc. 2024 Form 10-K</w:t>
            </w:r>
          </w:p>
        </w:tc>
        <w:tc>
          <w:tcPr>
            <w:tcW w:w="210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5480" w:type="dxa"/>
            <w:vAlign w:val="bottom"/>
          </w:tcPr>
          <w:p>
            <w:pPr>
              <w:jc w:val="right"/>
              <w:ind w:right="3330"/>
              <w:spacing w:after="0"/>
              <w:rPr>
                <w:sz w:val="20"/>
                <w:szCs w:val="20"/>
                <w:color w:val="auto"/>
              </w:rPr>
            </w:pPr>
            <w:r>
              <w:rPr>
                <w:rFonts w:ascii="Times New Roman" w:cs="Times New Roman" w:eastAsia="Times New Roman" w:hAnsi="Times New Roman"/>
                <w:sz w:val="18"/>
                <w:szCs w:val="18"/>
                <w:color w:val="auto"/>
              </w:rPr>
              <w:t>72</w:t>
            </w:r>
          </w:p>
        </w:tc>
        <w:tc>
          <w:tcPr>
            <w:tcW w:w="2100" w:type="dxa"/>
            <w:vAlign w:val="bottom"/>
          </w:tcPr>
          <w:p>
            <w:pPr>
              <w:spacing w:after="0"/>
              <w:rPr>
                <w:sz w:val="20"/>
                <w:szCs w:val="20"/>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4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Signatures (Continued)</w:t>
            </w:r>
          </w:p>
        </w:tc>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46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306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2"/>
                <w:szCs w:val="22"/>
                <w:color w:val="auto"/>
              </w:rPr>
            </w:pPr>
          </w:p>
        </w:tc>
      </w:tr>
      <w:tr>
        <w:trPr>
          <w:trHeight w:val="453"/>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G. Goldfarb</w:t>
            </w:r>
          </w:p>
        </w:tc>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George G. Goldfarb</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1"/>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J. Hoolihan</w:t>
            </w:r>
          </w:p>
        </w:tc>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J. Hoolihan</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Madeleine W. Ludlow</w:t>
            </w:r>
          </w:p>
        </w:tc>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Madeleine W. Ludlow</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1"/>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R. Matthews</w:t>
            </w:r>
          </w:p>
        </w:tc>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R. Matthews</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1"/>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K. Nestegard</w:t>
            </w:r>
          </w:p>
        </w:tc>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K. Nestegard</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C. Neve</w:t>
            </w:r>
          </w:p>
        </w:tc>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Douglas C. Neve</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Barbara A. Nick</w:t>
            </w:r>
          </w:p>
        </w:tc>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Barbara A. Nick</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Robert P. Powers</w:t>
            </w:r>
          </w:p>
        </w:tc>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P. Powers</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1"/>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Charlene A. Thomas</w:t>
            </w:r>
          </w:p>
        </w:tc>
        <w:tc>
          <w:tcPr>
            <w:tcW w:w="44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February 13, 2025</w:t>
            </w:r>
          </w:p>
        </w:tc>
      </w:tr>
      <w:tr>
        <w:trPr>
          <w:trHeight w:val="228"/>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Charlene A. Thomas</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68"/>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ALLETE, Inc. 2024 Form 10-K</w:t>
            </w: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4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73</w:t>
            </w:r>
          </w:p>
        </w:tc>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3" w:name="page74"/>
    <w:bookmarkEnd w:id="7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ALLETE,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ALLETE, Inc. and its subsidiaries (the "Company") as of December 31, 2024 and 2023, and the related consolidated statements of income, of comprehensive income, of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Effects of Regulatory Matters</w:t>
      </w:r>
    </w:p>
    <w:p>
      <w:pPr>
        <w:spacing w:after="0" w:line="16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As described in Note 4 to the consolidated financial statements, the Company’s regulated utility operations are subject to accounting standards for the effects of certain types of regulation. As of December 31, 2024, there was $373.3 million of regulatory assets and $602.0 million of regulatory liabilities recorded.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Management assesses quarterly whether regulatory assets and liabilities meet the criteria for probability of future recovery or deferral. As disclosed by management, these standards require the Company to reflect the effect of regulatory decisions in its financial statements.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the Company’s accounting for the effects of regulatory matters is a critical audit matter is the significant judgment by management in determining the recoverability of costs; this in turn led to a high degree of auditor judgment, subjectivity and effort in performing procedures and evaluating audit evidence obtained related to the recoverability of costs.</w:t>
      </w:r>
    </w:p>
    <w:p>
      <w:pPr>
        <w:spacing w:after="0" w:line="9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implementation of new regulatory orders, changes to existing regulatory orders, and assessing the recoverability of costs. These procedures also included, among others, evaluating (i) the reasonableness of management’s assessment of impacts arising from correspondence with regulators and changes in laws and regulations, (ii) management’s judgments related to the recoverability of regulatory assets and the establishment of regulatory liabilities, and (iii) the sufficiency of the disclosures in the consolidated financial statements. Testing the regulatory assets and liabilities involved considering the provisions and formulas outlined in rate orders, other regulatory correspondence, and application of relevant regulatory precedents.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1963.</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846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ALLETE Consolidated Balance Sheet</w:t>
            </w: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7"/>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$32.8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of $1.7 and $1.6 )</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148.1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 Net</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154.6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30"/>
        </w:trPr>
        <w:tc>
          <w:tcPr>
            <w:tcW w:w="8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Prepayments and Other</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99.7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3"/>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435.2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5,181.5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5,013.4</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371.7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 Net</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155.3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270.5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$6,754.3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Equity</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$113.6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Taxes</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54.6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23.4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94.7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30"/>
        </w:trPr>
        <w:tc>
          <w:tcPr>
            <w:tcW w:w="8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117.9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3"/>
        </w:trPr>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404.2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1,704.7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253.4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570.5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312.8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23"/>
        </w:trPr>
        <w:tc>
          <w:tcPr>
            <w:tcW w:w="8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3,363.8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3,249.3</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Guarantees and Contingencies (Note 9)</w:t>
            </w:r>
          </w:p>
        </w:tc>
        <w:tc>
          <w:tcPr>
            <w:tcW w:w="16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Without Par Value, 80.0 Shares Authorized, 57.9 and 57.6 Shares Issued and Outstanding</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1,823.2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1,803.7</w:t>
            </w: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1,042.9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r>
      <w:tr>
        <w:trPr>
          <w:trHeight w:val="223"/>
        </w:trPr>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ALLETE Equity</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2,848.0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2,809.6</w:t>
            </w: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r>
      <w:tr>
        <w:trPr>
          <w:trHeight w:val="223"/>
        </w:trPr>
        <w:tc>
          <w:tcPr>
            <w:tcW w:w="8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3,390.1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Equity</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$6,754.3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75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ALLETE Consolidated Statement of Income</w:t>
            </w:r>
          </w:p>
        </w:tc>
        <w:tc>
          <w:tcPr>
            <w:tcW w:w="1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$1,242.7</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$1,238.3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282.1</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636.4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29"/>
        </w:trPr>
        <w:tc>
          <w:tcPr>
            <w:tcW w:w="7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 Non-utility</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7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1,529.8</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1,879.8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477.6</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64.6</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129.2</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473.5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361.4</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345.3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271.5</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251.8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9"/>
        </w:trPr>
        <w:tc>
          <w:tcPr>
            <w:tcW w:w="7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65.4</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57.2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75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1,369.7</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1,698.9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w:t>
            </w:r>
          </w:p>
        </w:tc>
      </w:tr>
      <w:tr>
        <w:trPr>
          <w:trHeight w:val="223"/>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160.1</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180.9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(81.7)</w:t>
            </w: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Earnings</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25.0</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7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23.0</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85.0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75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(33.7)</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25.9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Non-Controlling Interest and Income Taxes</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126.4</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206.8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30"/>
        </w:trPr>
        <w:tc>
          <w:tcPr>
            <w:tcW w:w="7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4.7</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27.9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121.7</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178.9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30"/>
        </w:trPr>
        <w:tc>
          <w:tcPr>
            <w:tcW w:w="7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(57.6)</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$179.3</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$247.1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57.7</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57.3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9"/>
        </w:trPr>
        <w:tc>
          <w:tcPr>
            <w:tcW w:w="7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57.8</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$3.11</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$4.31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7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$3.10</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$4.30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796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w w:val="99"/>
              </w:rPr>
              <w:t>ALLETE Consolidated Statement of Comprehensive Income</w:t>
            </w: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6"/>
              </w:rPr>
              <w:t>$121.7</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$178.9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Income Tax Expense (Benefit) of $—, $0.1 and $(0.2)</w:t>
            </w: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of Income Tax Expense (Benefit) of $(0.1), $2.4 and $(0.1)</w:t>
            </w: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124.1</w:t>
            </w: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182.8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30"/>
        </w:trPr>
        <w:tc>
          <w:tcPr>
            <w:tcW w:w="7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9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(57.6)</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ALLETE</w:t>
            </w: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6"/>
              </w:rPr>
              <w:t>$181.7</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$251.0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80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ALLETE Consolidated Statement of Cash Flows</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6"/>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$121.7</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$178.9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AFUDC – Equity</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Equity Investments – Net of Dividends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 Loss on Investments and Property, Plant and Equipment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271.3</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251.7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PSAs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Other Intangible Assets and Other Assets</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and ESOP Compensation Expense</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Plan Expense (Benefit)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Bad Debt Expense</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(Payments) for Interim Rate Refund</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23.0</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277.1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29"/>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Prepayments and Other</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Renewable Tax Credit Sales</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61.1</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Contributions to Defined Benefit Pension Plans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Regulatory and Other Non-Current Assets</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42.2</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Regulatory and Other Non-Current Liabilities</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457.1</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585.3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Available-for-sale Securities</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Purchase of Available-for-sale Securities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 of Subsidiaries – Net of Cash and Restricted Cash Acquired</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Equity Investments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(354.9)</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20.4</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(340.7)</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(283.6)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12.9</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Issuance Costs</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Short-Term and Long-Term Debt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658.0</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437.0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Short-Term and Long-Term Debt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(649.4)</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(566.7)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Non-Controlling Interest in Subsidiaries – Net of Issuance Costs</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Cash provided (used in) by Financing Activities</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(140.6)</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(262.5)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Cash Equivalents and Restricted Cash</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79.4</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8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$55.2</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ALLETE Consolidated Statement of Equity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$1,803.7</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$1,781.5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r>
      <w:tr>
        <w:trPr>
          <w:trHeight w:val="229"/>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19.5</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23"/>
        </w:trPr>
        <w:tc>
          <w:tcPr>
            <w:tcW w:w="8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1,823.2</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1,803.7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r>
      <w:tr>
        <w:trPr>
          <w:trHeight w:val="250"/>
        </w:trPr>
        <w:tc>
          <w:tcPr>
            <w:tcW w:w="8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(20.5)</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Net of Income Taxes</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Debt Securities</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Plans</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(18.1)</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1,026.4</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934.8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179.3</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247.1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Dividends</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(162.8)</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(155.5)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1,042.9</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1,026.4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934.8</w:t>
            </w: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Subsidiaries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597.0</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656.4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Non-Controlling Interest in Subsidiaries – Net of Issuance Costs</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(55.0)</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542.1</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597.0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r>
      <w:tr>
        <w:trPr>
          <w:trHeight w:val="250"/>
        </w:trPr>
        <w:tc>
          <w:tcPr>
            <w:tcW w:w="8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$3,390.1</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$3,406.6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$3,348.3</w:t>
            </w:r>
          </w:p>
        </w:tc>
      </w:tr>
      <w:tr>
        <w:trPr>
          <w:trHeight w:val="250"/>
        </w:trPr>
        <w:tc>
          <w:tcPr>
            <w:tcW w:w="8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Non-Controlling Interest in Subsidiaries</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Redeemable Non-Controlling Interest</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$0.4</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Per Share of Common Stock</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$2.82</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547"/>
        </w:trPr>
        <w:tc>
          <w:tcPr>
            <w:tcW w:w="810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Financial Statement Preparation. </w:t>
      </w:r>
      <w:r>
        <w:rPr>
          <w:rFonts w:ascii="Times New Roman" w:cs="Times New Roman" w:eastAsia="Times New Roman" w:hAnsi="Times New Roman"/>
          <w:sz w:val="18"/>
          <w:szCs w:val="18"/>
          <w:color w:val="auto"/>
        </w:rPr>
        <w:t>References in this report to “we,” “us,” and “our” are to ALLETE and its subsidiaries, collectively. We prepare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in conformity with GAAP. These principles require management to make informed judgments, best estimates, and assumptions that affect the reported amounts of assets, liabilities, revenue and expenses. Actual results could differ from those estimates. The presentation of certain prior period amounts on the Consolidated Financial Statements have been adjusted for comparative purposes.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The Company performed an evaluation of subsequent events for potential recognition and disclosure through the time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issuance.</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Our Consolidated Financial Statements include the accounts of ALLETE, all of our majority owned subsidiary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variable interest entities of which ALLETE is the primary beneficiary. All material intercompany balances and transactions have been eliminated in consolidation.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The accounting guidance for “Variable Interest Entities” (VIE) is a consolidation model that considers if a company has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variable interest in a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Entities are required to consolidate a VIE when it is determined that they have a controlling financial interest in a VIE and therefore are the primary beneficiary of that VIE, as defined by the accounting guidance for “Variable Interest Entities.” In determining whether ALLETE is the primary beneficiary of a VIE, management considers whether ALLETE has the power to direct the most significant activities of the VIE and is obligated to absorb losses or receive the expected residual returns that are significant to the VIE. The accounting guidance for VIEs applies to certain ALLETE Clean Energy wind energy facilities, certain New Energy Equity facilities, and our investment in Nobles 2. (See </w:t>
      </w:r>
      <w:r>
        <w:rPr>
          <w:rFonts w:ascii="Times New Roman" w:cs="Times New Roman" w:eastAsia="Times New Roman" w:hAnsi="Times New Roman"/>
          <w:sz w:val="18"/>
          <w:szCs w:val="18"/>
          <w:i w:val="1"/>
          <w:iCs w:val="1"/>
          <w:color w:val="auto"/>
        </w:rPr>
        <w:t>Tax Equity Financing</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Segments. </w:t>
      </w:r>
      <w:r>
        <w:rPr>
          <w:rFonts w:ascii="Times New Roman" w:cs="Times New Roman" w:eastAsia="Times New Roman" w:hAnsi="Times New Roman"/>
          <w:sz w:val="18"/>
          <w:szCs w:val="18"/>
          <w:color w:val="auto"/>
        </w:rPr>
        <w:t>We present two reportable segments: Regulated Operations and ALLETE Clean Energy. Our segments were determined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guidance on segment reporting. We measure performance of our operations through budgeting and monitoring of contributions to consolidated net income by each business segment.</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or has developed 1,600 MW of wind energy generation in five major energy markets and eight states across the U.S. with a majority contracted under PSAs of various durations. In addition, ALLETE Clean Energy engages in the development of wind energy facilities to operate under long-term PSAs or for sale to others upon completion.</w:t>
      </w:r>
    </w:p>
    <w:p>
      <w:pPr>
        <w:spacing w:after="0" w:line="21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New Energy, our investment in Nobles 2, South Shore Energy, BNI Energy, ALLETE Properties, other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corporate expenditures, unallocated interest expense, a small amount of non-rate base generation, land holdings in Minnesota, and earnings on cash and investments.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Energy is a renewable energy development company with a primary focus on solar and storage facilities while also offering comprehensive operations, maintenance and asset management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in Nobles 2 represents a 49 percent equity interest in Nobles 2, the entity that owns and operates a 250 MW wind energy facility in southwestern Minnesota pursuant to a 20-year PPA with Minnesota Power.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(See Note 3. Jointly-Owned Facilities and Assets.)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BNI Energy mines and sells lignite coal to two North Dakota mine-mouth generating units, one of which is Square Butte. In 2024, Square Butte supplied 50 percent (227.5 MW) of its output to Minnesota Power under long-term contracts. (See Note 9. Commitments, Guarantees and Contingencies.)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Properties represents our legacy Florida real estate investment. Our strategy incorporates the possibility of a bulk sale of the entire ALLETE Properties portfolio. Proceeds from a bulk sale would be strategically deployed to support growth at our Regulated Operations and ALLETE Clean Energy. ALLETE Properties continues to pursue sales of individual parcels over time and will continue to maintain key entitlements and infrastructure.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 consider all investments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December 31, 2024, restricted cash amounts included in Prepayments and Other on the Consolidated Balance Sheet are primarily related to funds held in escrow for the purchase of land. As of December 31, 2024, and 2023, restricted cash amounts included in Prepayments and Other also include deposits required under a tax equity financing agreement and collateral deposits required under an ALLETE Clean Energy loan agreement. The restricted cash amounts included in Other Non-Current Assets represent collateral deposits required under an ALLETE Clean Energy loan agreement and PSAs. The following table provides a reconciliation of cash, cash equivalents and restricted cash reported within the Consolidated Balance Sheet that aggregate to the amounts presented in the Consolidated Statement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0" w:type="dxa"/>
            <w:vAlign w:val="bottom"/>
          </w:tcPr>
          <w:p>
            <w:pPr>
              <w:spacing w:after="0"/>
              <w:rPr>
                <w:sz w:val="19"/>
                <w:szCs w:val="19"/>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$32.8</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$71.9</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40" w:type="dxa"/>
            <w:vAlign w:val="bottom"/>
          </w:tcPr>
          <w:p>
            <w:pPr>
              <w:spacing w:after="0"/>
              <w:rPr>
                <w:sz w:val="19"/>
                <w:szCs w:val="19"/>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Prepayments and Other</w:t>
            </w: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19.9</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8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69"/>
        </w:trPr>
        <w:tc>
          <w:tcPr>
            <w:tcW w:w="40" w:type="dxa"/>
            <w:vAlign w:val="bottom"/>
          </w:tcPr>
          <w:p>
            <w:pPr>
              <w:spacing w:after="0"/>
              <w:rPr>
                <w:sz w:val="14"/>
                <w:szCs w:val="14"/>
                <w:color w:val="auto"/>
              </w:rPr>
            </w:pPr>
          </w:p>
        </w:tc>
        <w:tc>
          <w:tcPr>
            <w:tcW w:w="59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Cash, Cash Equivalents and Restricted Cash on the Consolidated</w:t>
            </w:r>
          </w:p>
        </w:tc>
        <w:tc>
          <w:tcPr>
            <w:tcW w:w="1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40" w:type="dxa"/>
            <w:vAlign w:val="bottom"/>
          </w:tcPr>
          <w:p>
            <w:pPr>
              <w:spacing w:after="0"/>
              <w:rPr>
                <w:sz w:val="21"/>
                <w:szCs w:val="21"/>
                <w:color w:val="auto"/>
              </w:rPr>
            </w:pPr>
          </w:p>
        </w:tc>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1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$55.2</w:t>
            </w:r>
          </w:p>
        </w:tc>
        <w:tc>
          <w:tcPr>
            <w:tcW w:w="1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$79.4</w:t>
            </w:r>
          </w:p>
        </w:tc>
        <w:tc>
          <w:tcPr>
            <w:tcW w:w="9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54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Statement of Cash Flow Information.</w:t>
            </w:r>
          </w:p>
        </w:tc>
        <w:tc>
          <w:tcPr>
            <w:tcW w:w="1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8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8"/>
        </w:trPr>
        <w:tc>
          <w:tcPr>
            <w:tcW w:w="5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Interest – Net of Amounts Capitalized</w:t>
            </w:r>
          </w:p>
        </w:tc>
        <w:tc>
          <w:tcPr>
            <w:tcW w:w="18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$75.1</w:t>
            </w:r>
          </w:p>
        </w:tc>
        <w:tc>
          <w:tcPr>
            <w:tcW w:w="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40" w:type="dxa"/>
            <w:vAlign w:val="bottom"/>
          </w:tcPr>
          <w:p>
            <w:pPr>
              <w:spacing w:after="0"/>
              <w:rPr>
                <w:sz w:val="19"/>
                <w:szCs w:val="19"/>
                <w:color w:val="auto"/>
              </w:rPr>
            </w:pP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$19.1</w:t>
            </w: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for Capital Additions to Property, Plant and Equipment</w:t>
            </w: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40" w:type="dxa"/>
            <w:vAlign w:val="bottom"/>
            <w:shd w:val="clear" w:color="auto" w:fill="CCEEFF"/>
          </w:tcPr>
          <w:p>
            <w:pPr>
              <w:spacing w:after="0"/>
              <w:rPr>
                <w:sz w:val="19"/>
                <w:szCs w:val="19"/>
                <w:color w:val="auto"/>
              </w:rPr>
            </w:pP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Reclassification of Property, Plant and Equipment to Inventory </w:t>
            </w:r>
            <w:r>
              <w:rPr>
                <w:rFonts w:ascii="Times New Roman" w:cs="Times New Roman" w:eastAsia="Times New Roman" w:hAnsi="Times New Roman"/>
                <w:sz w:val="16"/>
                <w:szCs w:val="16"/>
                <w:i w:val="1"/>
                <w:iCs w:val="1"/>
                <w:color w:val="auto"/>
              </w:rPr>
              <w:t>(a)</w:t>
            </w:r>
          </w:p>
        </w:tc>
        <w:tc>
          <w:tcPr>
            <w:tcW w:w="18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9"/>
        </w:trPr>
        <w:tc>
          <w:tcPr>
            <w:tcW w:w="40" w:type="dxa"/>
            <w:vAlign w:val="bottom"/>
          </w:tcPr>
          <w:p>
            <w:pPr>
              <w:spacing w:after="0"/>
              <w:rPr>
                <w:sz w:val="19"/>
                <w:szCs w:val="19"/>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Capitalized Asset Retirement Costs </w:t>
            </w:r>
            <w:r>
              <w:rPr>
                <w:rFonts w:ascii="Times New Roman" w:cs="Times New Roman" w:eastAsia="Times New Roman" w:hAnsi="Times New Roman"/>
                <w:sz w:val="16"/>
                <w:szCs w:val="16"/>
                <w:i w:val="1"/>
                <w:iCs w:val="1"/>
                <w:color w:val="auto"/>
              </w:rPr>
              <w:t>(b)</w:t>
            </w:r>
          </w:p>
        </w:tc>
        <w:tc>
          <w:tcPr>
            <w:tcW w:w="1840" w:type="dxa"/>
            <w:vAlign w:val="bottom"/>
          </w:tcPr>
          <w:p>
            <w:pPr>
              <w:spacing w:after="0"/>
              <w:rPr>
                <w:sz w:val="19"/>
                <w:szCs w:val="19"/>
                <w:color w:val="auto"/>
              </w:rPr>
            </w:pP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$55.0</w:t>
            </w: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40" w:type="dxa"/>
            <w:vAlign w:val="bottom"/>
            <w:tcBorders>
              <w:bottom w:val="single" w:sz="8" w:color="auto"/>
            </w:tcBorders>
            <w:shd w:val="clear" w:color="auto" w:fill="CCEEFF"/>
          </w:tcPr>
          <w:p>
            <w:pPr>
              <w:spacing w:after="0"/>
              <w:rPr>
                <w:sz w:val="19"/>
                <w:szCs w:val="19"/>
                <w:color w:val="auto"/>
              </w:rPr>
            </w:pPr>
          </w:p>
        </w:tc>
        <w:tc>
          <w:tcPr>
            <w:tcW w:w="59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AFUDC–Equity</w:t>
            </w:r>
          </w:p>
        </w:tc>
        <w:tc>
          <w:tcPr>
            <w:tcW w:w="18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52" w:lineRule="exact"/>
        <w:rPr>
          <w:sz w:val="20"/>
          <w:szCs w:val="20"/>
          <w:color w:val="auto"/>
        </w:rPr>
      </w:pPr>
    </w:p>
    <w:p>
      <w:pPr>
        <w:jc w:val="both"/>
        <w:ind w:left="340" w:hanging="332"/>
        <w:spacing w:after="0" w:line="261" w:lineRule="auto"/>
        <w:tabs>
          <w:tab w:leader="none" w:pos="34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decommissioning of the existing Northern Wind assets resulted in a reclassification from Property, Plant and Equipment – Net to Inventories – Net in the second quarter of 2022 as they were repowered and subsequently sold to a subsidiary of Xcel Energy Inc. In the third quarter of 2022, safe harbor equipment was transferred to the project entity resulting in an additional reclassification from Property, Plant and Equipment – Net to Inventories – Net.</w:t>
      </w:r>
    </w:p>
    <w:p>
      <w:pPr>
        <w:ind w:left="340" w:hanging="332"/>
        <w:spacing w:after="0" w:line="275" w:lineRule="auto"/>
        <w:tabs>
          <w:tab w:leader="none" w:pos="34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Capitalized asset retirement costs in 2024 reflect the impact of estimated compliance costs related to the EPA’s CCR Legacy Impoundment Rule finalized in May 2024. (See Note 9.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are reported on the Consolidated Balance Sheet net of an allowance for doubtful accounts. The allowance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our evaluation of the receivable portfolio under current conditions, overall portfolio quality, review of specific situations and such other factors that, in our judgment, deserve recognition in estimating losses.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4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4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Billed</w:t>
            </w:r>
          </w:p>
        </w:tc>
        <w:tc>
          <w:tcPr>
            <w:tcW w:w="4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$115.9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Unbilled</w:t>
            </w:r>
          </w:p>
        </w:tc>
        <w:tc>
          <w:tcPr>
            <w:tcW w:w="40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27.2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6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4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Trade Accounts Receivable</w:t>
            </w:r>
          </w:p>
        </w:tc>
        <w:tc>
          <w:tcPr>
            <w:tcW w:w="40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141.4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3"/>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4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40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$148.1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bl>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We are subject to concentration of credit risk primarily as a result of accounts receivable. Minnesota Power sells electricity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eight Large Power Customers. Receivables from these customers totaled $13.3 million as of December 31, 2024 ($11.2 million as of December 31, 2023). Minnesota Power does not obtain collateral to support utility receivables, but monitors the credit standing of major customers. In addition, Minnesota Power, as permitted by the MPUC, requires its taconite-producing Large Power Customers to pay weekly for electric usage based on monthly energy usage estimates, which allows us to closely manage collection of amounts due. Minnesota Power’s taconite customers, which are currently owned by two entities at the end of 2024, accounted for 33 percent of Regulated Operations operating revenue and 27 percent of consolidated operating revenue in 2024 (32 percent of Regulated Operations operating revenue and 21 percent of consolidated operating revenue in 2023 and 32 percent of Regulated Operations operating revenue and 26 percent of consolidated operating revenue in 2022).</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Long-Term Finance Receivables. </w:t>
      </w:r>
      <w:r>
        <w:rPr>
          <w:rFonts w:ascii="Times New Roman" w:cs="Times New Roman" w:eastAsia="Times New Roman" w:hAnsi="Times New Roman"/>
          <w:sz w:val="18"/>
          <w:szCs w:val="18"/>
          <w:color w:val="auto"/>
        </w:rPr>
        <w:t>Long-term finance receivables relating to our real estate operations are collateralized by property sold, accrue interest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Available-for-Sale Securities. </w:t>
      </w:r>
      <w:r>
        <w:rPr>
          <w:rFonts w:ascii="Times New Roman" w:cs="Times New Roman" w:eastAsia="Times New Roman" w:hAnsi="Times New Roman"/>
          <w:sz w:val="18"/>
          <w:szCs w:val="18"/>
          <w:color w:val="auto"/>
        </w:rPr>
        <w:t>Available-for-sale debt and equity securities are recorded at fair value. Unrealized gains and losses on available-for-sale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securities are included in accumulated other comprehensive income (loss), net of tax. Unrealized gains and losses on available-for-sale equity securities are recognized in earnings. We use the specific identification method as the basis for determining the cost of securities sold.</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 Net. </w:t>
      </w:r>
      <w:r>
        <w:rPr>
          <w:rFonts w:ascii="Times New Roman" w:cs="Times New Roman" w:eastAsia="Times New Roman" w:hAnsi="Times New Roman"/>
          <w:sz w:val="18"/>
          <w:szCs w:val="18"/>
          <w:color w:val="auto"/>
        </w:rPr>
        <w:t>Inventories are stated at the lower of cost or net realizable value. Inventories in our Regulated Operations segment are carried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 – Net</w:t>
            </w:r>
          </w:p>
        </w:tc>
        <w:tc>
          <w:tcPr>
            <w:tcW w:w="36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Fuel </w:t>
            </w:r>
            <w:r>
              <w:rPr>
                <w:rFonts w:ascii="Times New Roman" w:cs="Times New Roman" w:eastAsia="Times New Roman" w:hAnsi="Times New Roman"/>
                <w:sz w:val="16"/>
                <w:szCs w:val="16"/>
                <w:i w:val="1"/>
                <w:iCs w:val="1"/>
                <w:color w:val="auto"/>
              </w:rPr>
              <w:t>(a)</w:t>
            </w:r>
          </w:p>
        </w:tc>
        <w:tc>
          <w:tcPr>
            <w:tcW w:w="3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107.6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Facilities Under Development </w:t>
            </w:r>
            <w:r>
              <w:rPr>
                <w:rFonts w:ascii="Times New Roman" w:cs="Times New Roman" w:eastAsia="Times New Roman" w:hAnsi="Times New Roman"/>
                <w:sz w:val="16"/>
                <w:szCs w:val="16"/>
                <w:i w:val="1"/>
                <w:iCs w:val="1"/>
                <w:color w:val="auto"/>
              </w:rPr>
              <w:t>(b)</w:t>
            </w:r>
          </w:p>
        </w:tc>
        <w:tc>
          <w:tcPr>
            <w:tcW w:w="3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24.5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 – Net</w:t>
            </w:r>
          </w:p>
        </w:tc>
        <w:tc>
          <w:tcPr>
            <w:tcW w:w="3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$154.6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r>
    </w:tbl>
    <w:p>
      <w:pPr>
        <w:spacing w:after="0" w:line="65"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Fuel consists primarily of coal inventory at Minnesota Power.</w:t>
      </w:r>
    </w:p>
    <w:p>
      <w:pPr>
        <w:spacing w:after="0" w:line="28" w:lineRule="exact"/>
        <w:rPr>
          <w:rFonts w:ascii="Times New Roman" w:cs="Times New Roman" w:eastAsia="Times New Roman" w:hAnsi="Times New Roman"/>
          <w:sz w:val="16"/>
          <w:szCs w:val="16"/>
          <w:i w:val="1"/>
          <w:iCs w:val="1"/>
          <w:color w:val="auto"/>
        </w:rPr>
      </w:pPr>
    </w:p>
    <w:p>
      <w:pPr>
        <w:ind w:left="240" w:hanging="232"/>
        <w:spacing w:after="0"/>
        <w:tabs>
          <w:tab w:leader="none" w:pos="240" w:val="left"/>
        </w:tabs>
        <w:numPr>
          <w:ilvl w:val="0"/>
          <w:numId w:val="2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Renewable Energy Facilities Under Development consists primarily of project costs related to renewable energy development projects at New Energy.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Prepayments and Other Current Assets. </w:t>
      </w:r>
      <w:r>
        <w:rPr>
          <w:rFonts w:ascii="Times New Roman" w:cs="Times New Roman" w:eastAsia="Times New Roman" w:hAnsi="Times New Roman"/>
          <w:sz w:val="18"/>
          <w:szCs w:val="18"/>
          <w:color w:val="auto"/>
        </w:rPr>
        <w:t>Prepayments and Other on the Consolidated Balance Sheet included $32.4 million of costs in excess of billings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New Energy as of December 31, 2024 ($21.5 million as of December 31, 2023).</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are recorded at original cost and are reported on the Consolidated Balance Sheet net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depreciation. Expenditures for additions, significant replacements, improvements and major plant overhauls are capitalized; maintenance and repair costs are expensed as incurred. Gains or losses on property, plant and equipment for Corporate and Other operations, except New Energy, are recognized when they are retired or otherwise disposed. When property, plant and equipment in our Regulated Operations and ALLETE Clean Energy segments as well as at New Energy are retired or otherwise disposed, no gain or loss is recognized in accordance with the accounting standards for composite depreciation except for certain circumstances where the retirement is unforeseen or unexpected.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2. Property, Plant and Equipment.)</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long-standing ratemaking practices approved by applicable state and federal regulatory commissions allow for the recovery of the remaining book value of retired plant assets. The MPUC order for Minnesota Power’s 2015 IRP directed Minnesota Power to retire Boswell Units 1 and 2, which occurred in the fourth quarter of 2018. As part of the 2016 general retail rate case, the MPUC allowed recovery of the remaining book value of Boswell Units 1 and 2 through 2022. Minnesota Power’s latest IRP, which was approved by the MPUC in an order dated January 9, 2023, includes ceasing coal operations at Boswell Units 3 and 4 by 2030 and 2035, respectively. Boswell Unit 3 and Unit 4 have a net book value of approximately $220 million and $395 million, respectively, as of December 31, 2024. (See Note 4. Regulatory Matters.) Minnesota Power also retired Taconite Harbor in the first quarter of 2023 consistent with its latest IRP. As part of the 2022 general retail rate case, the MPUC allowed recovery of the remaining book value of Taconite Harbor through 2026.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We review our long-lived assets for indicators of impairment in accordance with the accounting standards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property, plant and equipment on a quarterly basis. This includes our property, plant and equipment (see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and land inventory. Land inventory is accounted for as held for use and is recorded at cost, unless the carrying value is determined not to be recoverable in accordance with the accounting standards for property, plant and equipment, in which case the land inventory is written down to estimated fair value.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standards for property, plant and equipment, if indicators of impairment exist, we test our long-lived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use; sales prices; holding period and timing of sales; method of disposition; and future expenditures necessary to maintain the operations.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monitor changes in the broader energy markets along with wind resource expectations that could indicate impairment at ALLETE Clean Energy wind energy facilities upon contract expirations. A decline in energy prices or lower wind resource expectations could result in a future impairment.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and 2022 there were triggering events identified for our property, plant, and equipment at certain ALLETE Clean Energy wind energy facilities. A recoverability test was performed indicating that the undiscounted cash flows adequately supported the property, plant and equipment book values. As a result, no impairment was recorded in 2023 or 2022. In 2024, there were no triggering events identified for our property, plant, and equipment at ALLETE Clean Energy.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Government Grants. </w:t>
      </w:r>
      <w:r>
        <w:rPr>
          <w:rFonts w:ascii="Times New Roman" w:cs="Times New Roman" w:eastAsia="Times New Roman" w:hAnsi="Times New Roman"/>
          <w:sz w:val="18"/>
          <w:szCs w:val="18"/>
          <w:color w:val="auto"/>
        </w:rPr>
        <w:t>We recognize government grants when there is reasonable assurance that the Company will comply with the conditions attached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and that the grant will be received. Grants whose primary condition is the purchase, construction, or acquisition of a long-lived asset are considered asset-based grants and are recognized as a reduction to such asset’s cost basis, which reduces future depreciation. Cash inflows from asset-based grants are considered cash flows provided by investing activities. Other grants not related to long-lived assets are considered income-based grants, which are recognized as a reduction to the related cost of activities that generated the benefit are presented. Cash inflows from grants related to income are considered cash flows provided by operating activities.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2024, Minnesota Power received $14.9 million in state funding related to its HVDC Transmission System Project as part of an energy and climate budget bill passed by the Minnesota Legislature in 2023. This was considered an asset-based grant and resulted in the reduction to cost basis for the related assets, and it is subject to regulatory obligations with the MPUC.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benefits recognized from income-based government grants in our consolidated statement of income in 2022, 2023 or 2024.</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Derivatives. </w:t>
      </w:r>
      <w:r>
        <w:rPr>
          <w:rFonts w:ascii="Times New Roman" w:cs="Times New Roman" w:eastAsia="Times New Roman" w:hAnsi="Times New Roman"/>
          <w:sz w:val="18"/>
          <w:szCs w:val="18"/>
          <w:color w:val="auto"/>
        </w:rPr>
        <w:t>ALLETE is exposed to certain risks relating to its business operations that can be managed through the use of derivative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ALLETE may enter into derivative instruments to manage those risks including interest rate risk related to certain variable-rate borrowings, and commodity price and transmission congestion cost risk related to sales to electric customers. We have determined that either these agreements are immaterial to the financial statements, are not derivatives, or, if they are derivatives, these agreements qualify for the normal purchases and normal sales exception to derivative accounting guidance; therefore, derivative accounting is not required.</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Accounting for Stock-Based Compensation. </w:t>
      </w:r>
      <w:r>
        <w:rPr>
          <w:rFonts w:ascii="Times New Roman" w:cs="Times New Roman" w:eastAsia="Times New Roman" w:hAnsi="Times New Roman"/>
          <w:sz w:val="18"/>
          <w:szCs w:val="18"/>
          <w:color w:val="auto"/>
        </w:rPr>
        <w:t>We apply the fair value recognition guidance for share-based payments. Under this guidance, we recognize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compensation expense for all share-based payments granted, net of an estimated forfeiture rate. (See Note 13. Employee Stock and Incentive Plans.)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the excess of the purchase price (consideration transferred) over the estimated fair value of net assets of acquired businesses.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GAAP, goodwill is not amortized. Goodwill is assessed annually in the fourth quarter for impairment and whenever an event occurs or circumstances change that would indicate the carrying amount may be impaired. Impairment testing for goodwill is done at the reporting unit level.</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the date of our annual goodwill impairment testing in 2024, the Company elected to bypass the qualitative assessment of goodwill for impairment, proceeding directly to the two-step impairment test for the New Energy reporting unit. In performing Step 1 of the impairment test, we compared the fair value of the reporting unit to its carrying value including goodwill. If the carrying value including goodwill were to exceed the fair value of a reporting unit, Step 2 of the impairment test would be performed. Step 2 of the impairment test requires the carrying value of goodwill to be reduced to its fair value, if lower, as of the test date.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Step 1 of the impairment test, we estimated the reporting unit's fair value using standard valuation techniques, including techniques which use estimates of projected future results and cash flows to be generated by the reporting unit. Such techniques generally include a terminal value that utilizes a growth rate on debt-free cash flows. These cash flow valuations involve a number of estimates that require broad assumptions and significant judgment by management regarding future performance. Our annual impairment test in 2024 indicated that the estimated fair value of New Energy exceeded its carrying value, and therefore no impairment existed. The fair value of the reporting unit was determined using a discounted cash flow model, using significant assumptions which included a discount rate of 12.5 percent, cash flow forecasts through 2033, gross margins, and a terminal growth rate of 3.5 percent.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4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16"/>
                <w:szCs w:val="16"/>
                <w:i w:val="1"/>
                <w:iCs w:val="1"/>
                <w:color w:val="auto"/>
              </w:rPr>
              <w:t>(a)</w:t>
            </w:r>
          </w:p>
        </w:tc>
        <w:tc>
          <w:tcPr>
            <w:tcW w:w="43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ALLETE Properties</w:t>
            </w:r>
          </w:p>
        </w:tc>
        <w:tc>
          <w:tcPr>
            <w:tcW w:w="4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3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Benefit Plans</w:t>
            </w:r>
          </w:p>
        </w:tc>
        <w:tc>
          <w:tcPr>
            <w:tcW w:w="4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107.6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9"/>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3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134.2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4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$270.5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bl>
    <w:p>
      <w:pPr>
        <w:spacing w:after="0" w:line="79" w:lineRule="exact"/>
        <w:rPr>
          <w:sz w:val="20"/>
          <w:szCs w:val="20"/>
          <w:color w:val="auto"/>
        </w:rPr>
      </w:pPr>
    </w:p>
    <w:p>
      <w:pPr>
        <w:ind w:left="340" w:hanging="332"/>
        <w:spacing w:after="0" w:line="283" w:lineRule="auto"/>
        <w:tabs>
          <w:tab w:leader="none" w:pos="367"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Contract Assets include payments made to customers as an incentive to execute or extend service agreements. The contract payments are being amortized over the term of the respective agreements as a reduction to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42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42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Interim Rate Refund</w:t>
            </w:r>
          </w:p>
        </w:tc>
        <w:tc>
          <w:tcPr>
            <w:tcW w:w="42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23.0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Manufactured Gas Plant </w:t>
            </w:r>
            <w:r>
              <w:rPr>
                <w:rFonts w:ascii="Times New Roman" w:cs="Times New Roman" w:eastAsia="Times New Roman" w:hAnsi="Times New Roman"/>
                <w:sz w:val="16"/>
                <w:szCs w:val="16"/>
                <w:i w:val="1"/>
                <w:iCs w:val="1"/>
                <w:color w:val="auto"/>
              </w:rPr>
              <w:t>(a)</w:t>
            </w:r>
          </w:p>
        </w:tc>
        <w:tc>
          <w:tcPr>
            <w:tcW w:w="42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81.1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3"/>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$117.9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r>
    </w:tbl>
    <w:p>
      <w:pPr>
        <w:spacing w:after="0" w:line="79" w:lineRule="exact"/>
        <w:rPr>
          <w:sz w:val="20"/>
          <w:szCs w:val="20"/>
          <w:color w:val="auto"/>
        </w:rPr>
      </w:pPr>
    </w:p>
    <w:p>
      <w:pPr>
        <w:ind w:left="340" w:hanging="332"/>
        <w:spacing w:after="0" w:line="283" w:lineRule="auto"/>
        <w:tabs>
          <w:tab w:leader="none" w:pos="259"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manufactured gas plant represents the current liability for remediation of a former manufactured gas plant site located in Superior, Wisconsin, and formerly operated by SWL&amp;P. (See Note 9. Commitments, Guarantees and Contingencies.)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Asset Retirement Obligation </w:t>
            </w:r>
            <w:r>
              <w:rPr>
                <w:rFonts w:ascii="Times New Roman" w:cs="Times New Roman" w:eastAsia="Times New Roman" w:hAnsi="Times New Roman"/>
                <w:sz w:val="16"/>
                <w:szCs w:val="16"/>
                <w:i w:val="1"/>
                <w:iCs w:val="1"/>
                <w:color w:val="auto"/>
              </w:rPr>
              <w:t>(a)(b)</w:t>
            </w:r>
          </w:p>
        </w:tc>
        <w:tc>
          <w:tcPr>
            <w:tcW w:w="4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$261.3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4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3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36.4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4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$312.8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r>
    </w:tbl>
    <w:p>
      <w:pPr>
        <w:spacing w:after="0" w:line="79" w:lineRule="exact"/>
        <w:rPr>
          <w:sz w:val="20"/>
          <w:szCs w:val="20"/>
          <w:color w:val="auto"/>
        </w:rPr>
      </w:pPr>
    </w:p>
    <w:p>
      <w:pPr>
        <w:ind w:left="340" w:hanging="332"/>
        <w:spacing w:after="0" w:line="256" w:lineRule="auto"/>
        <w:tabs>
          <w:tab w:leader="none" w:pos="245"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$42.3 million in Other Non-Current Assets on the Consolidated Balance Sheet as of December 31, 2024 ($37.2 million as of December 31, 2023).</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line="270" w:lineRule="auto"/>
        <w:tabs>
          <w:tab w:leader="none" w:pos="245"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increase in Asset Retirement Obligation in 2024 reflects the impact of estimated compliance costs related to the EPA’s CCR Legacy Impoundment Rule finalized in May 2024. (See Note 9.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We determine if a contract is, or contains, a lease at inception and recognize a right-of-use asset and lease liability for all leases with a term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12 months. Our right-of-use assets and lease liabilities for operating and finance leases are included in Other Non-Current Assets, Other Current Liabilities and Other Non-Current Liabilities, respectively, in our Consolidated Balance Sheet.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for the lease term and lease liabilities represent the obligation to make lease payments arising from the lease. Operating and finance lease right-of-use assets and lease liabilities are recognized at the commencement date based on the estimated present value of lease payments over the lease term. As our leases do not provide an explicit rate, we determine the present value of future lease payments based on our estimated incremental borrowing rate using information available at the lease commencement date. The operating and finance lease right-of-use assets includes lease payments to be made during the lease term and any lease incentives, as applicable.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leases may include options to extend or buy out the lease at certain points throughout the term, and if it is reasonably certain at lease commencement that we will exercise that option, we include those rental payments in our calculation of the right-of-use asset and lease liability. Lease and rent expense are recognized on a straight-line basis over the lease term for operating leases. Finance leases recognize interest expense using the interest expense method over the lease term and amortization expense on a straight-line basis over the shorter of the useful life of the asset or the lease term, unless a buy out option is reasonably certain to be exercised, for which we then amortize on a straight-line basis over the useful life of the asset. Leases with a term of 12 months or less are not recognized on the Consolidated Balance Sheet.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operating leases are for heavy equipment, vehicles and land with fixed monthly payments which we group into two categories: Vehicles and Equipment; and Land and Other. Our largest operating lease is for the drag line at BNI Energy which includes a termination payment at the end of the lease term if we do not exercise our purchase option. The amount of this payment is $3 million and is included in our calculation of the right-of-use asset and lease liability recorded. None of our other leases contain residual value guarantees. We have one finance lease for heavy equipment which includes a purchase option we are reasonably certain to exercise when the lease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on the components of lease cost and presentation of cash flows were as follows:</w:t>
            </w:r>
          </w:p>
        </w:tc>
        <w:tc>
          <w:tcPr>
            <w:tcW w:w="19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December 31</w:t>
            </w:r>
          </w:p>
        </w:tc>
        <w:tc>
          <w:tcPr>
            <w:tcW w:w="1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9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9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3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9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53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related to leases were as follows:</w:t>
            </w: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 Information Related to Leases:</w:t>
            </w:r>
          </w:p>
        </w:tc>
        <w:tc>
          <w:tcPr>
            <w:tcW w:w="1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Other Non-Current Assets</w:t>
            </w: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$9.1</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Other Non-Current Assets</w:t>
            </w:r>
          </w:p>
        </w:tc>
        <w:tc>
          <w:tcPr>
            <w:tcW w:w="19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1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$11.0</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83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Other Current Liabilities</w:t>
            </w: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Other Current Liabilities</w:t>
            </w:r>
          </w:p>
        </w:tc>
        <w:tc>
          <w:tcPr>
            <w:tcW w:w="19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Other Non-Current Liabilities</w:t>
            </w: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Other Non-Current Liabilities</w:t>
            </w:r>
          </w:p>
        </w:tc>
        <w:tc>
          <w:tcPr>
            <w:tcW w:w="19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$10.9</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r>
      <w:tr>
        <w:trPr>
          <w:trHeight w:val="250"/>
        </w:trPr>
        <w:tc>
          <w:tcPr>
            <w:tcW w:w="83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Statement Information Related to Leases:</w:t>
            </w:r>
          </w:p>
        </w:tc>
        <w:tc>
          <w:tcPr>
            <w:tcW w:w="1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Rent Expense</w:t>
            </w:r>
          </w:p>
        </w:tc>
        <w:tc>
          <w:tcPr>
            <w:tcW w:w="19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Interest Expense</w:t>
            </w: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Amortization Expense</w:t>
            </w:r>
          </w:p>
        </w:tc>
        <w:tc>
          <w:tcPr>
            <w:tcW w:w="19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Operating and Finance Lease Expenses</w:t>
            </w:r>
          </w:p>
        </w:tc>
        <w:tc>
          <w:tcPr>
            <w:tcW w:w="1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83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 - Vehicles and Equipment</w:t>
            </w:r>
          </w:p>
        </w:tc>
        <w:tc>
          <w:tcPr>
            <w:tcW w:w="19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 Land and Other</w:t>
            </w:r>
          </w:p>
        </w:tc>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 - Vehicles and Equipment</w:t>
            </w:r>
          </w:p>
        </w:tc>
        <w:tc>
          <w:tcPr>
            <w:tcW w:w="19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83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 Vehicles and Equipment</w:t>
            </w:r>
          </w:p>
        </w:tc>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 - Land and Other</w:t>
            </w:r>
          </w:p>
        </w:tc>
        <w:tc>
          <w:tcPr>
            <w:tcW w:w="19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5.9 %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8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Finance Leases - Vehicles and Equipment</w:t>
            </w:r>
          </w:p>
        </w:tc>
        <w:tc>
          <w:tcPr>
            <w:tcW w:w="1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5.4 %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December 31, 2024,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6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 Due</w:t>
            </w:r>
          </w:p>
        </w:tc>
        <w:tc>
          <w:tcPr>
            <w:tcW w:w="4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14.7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5.5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9.2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Lease Obligations</w:t>
            </w:r>
          </w:p>
        </w:tc>
        <w:tc>
          <w:tcPr>
            <w:tcW w:w="4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Lease Obligations</w:t>
            </w:r>
          </w:p>
        </w:tc>
        <w:tc>
          <w:tcPr>
            <w:tcW w:w="43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$6.0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3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Environmental Liabilities. </w:t>
      </w:r>
      <w:r>
        <w:rPr>
          <w:rFonts w:ascii="Times New Roman" w:cs="Times New Roman" w:eastAsia="Times New Roman" w:hAnsi="Times New Roman"/>
          <w:sz w:val="18"/>
          <w:szCs w:val="18"/>
          <w:color w:val="auto"/>
        </w:rPr>
        <w:t>We review environmental matters on a quarterly basis. Accruals for environmental matters are recorded when it is probable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9. Commitments, Guarantees and Contingencies.)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Utility </w:t>
      </w:r>
      <w:r>
        <w:rPr>
          <w:rFonts w:ascii="Times New Roman" w:cs="Times New Roman" w:eastAsia="Times New Roman" w:hAnsi="Times New Roman"/>
          <w:sz w:val="18"/>
          <w:szCs w:val="18"/>
          <w:color w:val="auto"/>
        </w:rPr>
        <w:t>includes sales from our regulated operations for generation, transmission and distribution of electric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water and gas services to our customers. Also included is an immaterial amount of regulated steam generation that is used by customers in the production of paper and pulp.</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Non-utility </w:t>
      </w:r>
      <w:r>
        <w:rPr>
          <w:rFonts w:ascii="Times New Roman" w:cs="Times New Roman" w:eastAsia="Times New Roman" w:hAnsi="Times New Roman"/>
          <w:sz w:val="18"/>
          <w:szCs w:val="18"/>
          <w:color w:val="auto"/>
        </w:rPr>
        <w:t>includes sales of goods and services to customers from ALLETE Clean Energy and our Corporate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Non-utility </w:t>
      </w:r>
      <w:r>
        <w:rPr>
          <w:rFonts w:ascii="Times New Roman" w:cs="Times New Roman" w:eastAsia="Times New Roman" w:hAnsi="Times New Roman"/>
          <w:sz w:val="18"/>
          <w:szCs w:val="18"/>
          <w:color w:val="auto"/>
        </w:rPr>
        <w:t>is the non-cash adjustments to revenue recognized by ALLETE Clean Energy for the amortization of differences between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and estimated market prices for PSAs that were assumed during the acquisition of various wind energy facilities.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is recognized upon transfer of control of promised goods or services to our customers in an amount that reflects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Revenue Streams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Residential and Commercial </w:t>
      </w:r>
      <w:r>
        <w:rPr>
          <w:rFonts w:ascii="Times New Roman" w:cs="Times New Roman" w:eastAsia="Times New Roman" w:hAnsi="Times New Roman"/>
          <w:sz w:val="18"/>
          <w:szCs w:val="18"/>
          <w:color w:val="auto"/>
        </w:rPr>
        <w:t>includes sales for electric, gas or water service to customers, who have implied contracts with the utility, under rates governed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Municipal </w:t>
      </w:r>
      <w:r>
        <w:rPr>
          <w:rFonts w:ascii="Times New Roman" w:cs="Times New Roman" w:eastAsia="Times New Roman" w:hAnsi="Times New Roman"/>
          <w:sz w:val="18"/>
          <w:szCs w:val="18"/>
          <w:color w:val="auto"/>
        </w:rPr>
        <w:t>includes sales to 14 non-affiliated municipal customers in Minnesota under long-term wholesale electric contracts. One of these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contracts include a termination clause requiring a three-year notice to terminate. These contracts have termination dates ranging through 2037, with a majority of contracts expiring in 2029. Performance obligations with these customers are satisfied at the time energy is delivered to an agreed upon municipal substation or meter.</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includes sales recognized from contracts with customers in the taconite mining, paper, pulp and secondary wood products, pipeline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Industrial sales accounted for approximately 56 percent of total regulated utility kWh sales for the year ended December 31, 2024. Within industrial revenue, Minnesota Power had eight Large Power Customer contracts, each serving requirements of 10 MW or more of customer load as of December 31, 2024. These contracts automatically renew past the contract term unless a four-year written notice is given. Large Power Customer contracts have earliest termination dates ranging from 2028 through 2029.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$60 million per annum through 2028 and approximately $10 million in 2029,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Power Suppliers </w:t>
      </w:r>
      <w:r>
        <w:rPr>
          <w:rFonts w:ascii="Times New Roman" w:cs="Times New Roman" w:eastAsia="Times New Roman" w:hAnsi="Times New Roman"/>
          <w:sz w:val="18"/>
          <w:szCs w:val="18"/>
          <w:color w:val="auto"/>
        </w:rPr>
        <w:t>includes the sale of energy under a long-term PSA with one customer as well as MISO market and liquidation sales. The expiration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this PSA is 2028. Performance obligations with these customers are satisfied at the time energy is delivered to an agreed upon delivery point defined in the contract (generally the MISO pricing node). The current contract with one customer contains variable pricing components that prevent us from estimating future minimum revenue.</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includes all remaining individually immaterial revenue streams for Minnesota Power and SWL&amp;P, and is comprised of steam sales to paper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pulp mills, wheeling revenue and other sources. Revenue for steam sales to customers is recognized at the time steam is delivered and simultaneously consumed. Revenue is recognized at the time each performance obligation is satisfied.</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ECO Financial incentives </w:t>
      </w:r>
      <w:r>
        <w:rPr>
          <w:rFonts w:ascii="Times New Roman" w:cs="Times New Roman" w:eastAsia="Times New Roman" w:hAnsi="Times New Roman"/>
          <w:sz w:val="18"/>
          <w:szCs w:val="18"/>
          <w:color w:val="auto"/>
        </w:rPr>
        <w:t>reflects certain revenue that is a result of the achievement of certain objectives for our ECO financial incentives. This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ECO financial incentives are recognized in the period in which the MPUC approves the filing, which is typically mid-year.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Non-utility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ALLETE Clean Energy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Long-term PSA </w:t>
      </w:r>
      <w:r>
        <w:rPr>
          <w:rFonts w:ascii="Times New Roman" w:cs="Times New Roman" w:eastAsia="Times New Roman" w:hAnsi="Times New Roman"/>
          <w:sz w:val="18"/>
          <w:szCs w:val="18"/>
          <w:color w:val="auto"/>
        </w:rPr>
        <w:t>revenue includes all sales recognized under long-term contracts for production, curtailment, capacity and associated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from ALLETE Clean Energy wind energy facilities. Expiration dates of these PSAs range from 2027 through 2039.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 of Wind Energy Facility </w:t>
      </w:r>
      <w:r>
        <w:rPr>
          <w:rFonts w:ascii="Times New Roman" w:cs="Times New Roman" w:eastAsia="Times New Roman" w:hAnsi="Times New Roman"/>
          <w:sz w:val="18"/>
          <w:szCs w:val="18"/>
          <w:color w:val="auto"/>
        </w:rPr>
        <w:t>includes revenue recognized for the design, development, construction, and sale of a wind energy facility to a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for these types of agreements are satisfied at the time the completed project is transferred to the customer at the commercial operation date. Revenue from the sale of a wind energy facility is recognized at the time of asset transfer.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is the non-cash adjustments to revenue recognized by ALLETE Clean Energy for the amortization of differences between contract prices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Contract </w:t>
      </w:r>
      <w:r>
        <w:rPr>
          <w:rFonts w:ascii="Times New Roman" w:cs="Times New Roman" w:eastAsia="Times New Roman" w:hAnsi="Times New Roman"/>
          <w:sz w:val="18"/>
          <w:szCs w:val="18"/>
          <w:color w:val="auto"/>
        </w:rPr>
        <w:t>encompasses the sale and delivery of coal to customer generation facilities. Revenue is recognized on a monthly basis at the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plus a specified profit per ton of coal delivered to the customer. Coal sales are secured under long-term coal supply agreements extending through 2037. Performance obligations are satisfied during the period as coal is delivered to customer generation facilities.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 of Renewable Development Projects </w:t>
      </w:r>
      <w:r>
        <w:rPr>
          <w:rFonts w:ascii="Times New Roman" w:cs="Times New Roman" w:eastAsia="Times New Roman" w:hAnsi="Times New Roman"/>
          <w:sz w:val="18"/>
          <w:szCs w:val="18"/>
          <w:color w:val="auto"/>
        </w:rPr>
        <w:t>includes revenue recognized from development only and development plus construction type projects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to a customer. For development only projects, revenue is recognized at point in time when all required development responsibilities have been completed and ownership has transferred to the customer. For development plus construction, the transaction price is allocated to two performance obligations based upon the standalone selling price of each obligation. Revenue is recognized on the development performance obligation upon satisfying all required development activities and ownership transferring to the customer. Revenue for the construction performance obligation is recognized over time based on construction costs incurred, beginning at notice to proceed through the commercial operation date.</w:t>
      </w:r>
    </w:p>
    <w:p>
      <w:pPr>
        <w:spacing w:after="0" w:line="209"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primarily includes revenue from BNI Energy unrelated to coal, revenue from New Energy for asset management services and non-development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the sale of real estate from ALLETE Properties,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base steam generation that is sold for use during production of paper and pulp. Performance obligations are satisfied when control transfers to the customer</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Payment Terms. </w:t>
      </w:r>
      <w:r>
        <w:rPr>
          <w:rFonts w:ascii="Times New Roman" w:cs="Times New Roman" w:eastAsia="Times New Roman" w:hAnsi="Times New Roman"/>
          <w:sz w:val="18"/>
          <w:szCs w:val="18"/>
          <w:color w:val="auto"/>
        </w:rPr>
        <w:t>Payment terms and conditions vary across our businesses. Aside from taconite-producing Large Power Customers, payment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require payment to be made within 15 days to 30 days from the end of the period that the service has been rendered.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taconite-producing Large Power Customers receive credit for the time value of money; however, we have determined that our contracts do not include a significant financing component as the period between when we transfer the service to the customer and when they pay for such service is minimal.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(Continued)</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Assets Recognized From the Costs to Obtain a Contract with a Customer. </w:t>
      </w:r>
      <w:r>
        <w:rPr>
          <w:rFonts w:ascii="Times New Roman" w:cs="Times New Roman" w:eastAsia="Times New Roman" w:hAnsi="Times New Roman"/>
          <w:sz w:val="18"/>
          <w:szCs w:val="18"/>
          <w:color w:val="auto"/>
        </w:rPr>
        <w:t>We recognize as an asset the incremental costs of obtaining a contract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if we expect the benefit of those costs to be longer than one year. We expense incremental costs when the asset that would have resulted from capitalizing these costs would have been amortized in one year or less. As of December 31, 2024, we have $15.9 million of assets recognized for costs incurred to obtain contracts with our customers ($18.5 million as of December 31, 2023).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We recognized $2.4 million of non-cash amortization for the year ended December 31, 2024 ($2.4 million for the year ended December 31, 2023).</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Unamortized Discount and Premium on Debt. </w:t>
      </w:r>
      <w:r>
        <w:rPr>
          <w:rFonts w:ascii="Times New Roman" w:cs="Times New Roman" w:eastAsia="Times New Roman" w:hAnsi="Times New Roman"/>
          <w:sz w:val="18"/>
          <w:szCs w:val="18"/>
          <w:color w:val="auto"/>
        </w:rPr>
        <w:t>Discount and premium on debt are deferred and amortized over the terms of the related debt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a method which approximates the effective interest method.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Tax Equity Financings. </w:t>
      </w:r>
      <w:r>
        <w:rPr>
          <w:rFonts w:ascii="Times New Roman" w:cs="Times New Roman" w:eastAsia="Times New Roman" w:hAnsi="Times New Roman"/>
          <w:sz w:val="18"/>
          <w:szCs w:val="18"/>
          <w:color w:val="auto"/>
        </w:rPr>
        <w:t>Certain subsidiaries of ALLETE have entered into tax equity financings that include forming limited liability companies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third-party investors for certain wind and solar projects. Tax equity financings have specific terms that dictate distributions of cash and the allocation of tax attributes among the LLC members, who are divided into two categories: the sponsor and third-party investors. ALLETE subsidiaries are the sponsors in these tax equity financings. The distributions of cash and allocation of tax attributes in these financings generally differ from the underlying ownership percentage interests in the related LLC, with a disproportionate share of tax attributes (including accelerated depreciation and production tax credits) allocated to third-party investors in order to achieve targeted after-tax rates of return, or target yield, from project operations, and a disproportionate share of cash distributions made to the sponsor.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target yield and other terms vary by tax equity financing. Once the target yield has been achieved or defined time period is met, a “flip point” is recognized. In addition, tax equity financings typically provide that cash distributions can be temporarily increased to the third-party investors in order to meet cumulative distribution thresholds. After the flip point, tax attributes and cash distributions are both typically disproportionately allocated to the sponsor.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equity financings include affirmative and negative covenants that are similar to what a project lender would require in a project financing, such as financial reporting, insurance, maintenance and prudent operator standards. Most covenants are no longer applicable once the flip point occurs and any other obligations of the third-party investor have been eliminated.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third-party investors’ portions of equity ownership in tax equity LLCs are recorded as non-controlling interest in subsidiaries on the Consolidated Balance Sheet and earnings allocated to third-party investors are recorded as net loss attributable to non-controlling interest on the Consolidated Statement of Income.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Non-Controlling Interest in Subsidiaries and Redeemable Non-Controlling Interest. </w:t>
      </w:r>
      <w:r>
        <w:rPr>
          <w:rFonts w:ascii="Times New Roman" w:cs="Times New Roman" w:eastAsia="Times New Roman" w:hAnsi="Times New Roman"/>
          <w:sz w:val="18"/>
          <w:szCs w:val="18"/>
          <w:color w:val="auto"/>
        </w:rPr>
        <w:t>Non-controlling interest in subsidiaries and redeemable non-controlling interest represent the portion of equity ownership, net income (loss), and comprehensive income (loss) in subsidiaries that is not attributable to equity holders of ALLETE. Non-controlling Interest in Subsidiaries as of and for the years ended December 31, 2024 and 2023, are related to the tax equity financings for ALLETE Clean Energy’s 106 MW Glen Ullin, 80 MW South Peak, 303 MW Diamond Spring and 303 MW Caddo wind energy facilities as well as ALLETE’s equity investment in the 250 MW Nobles 2 wind energy facility. Redeemable Non-Controlling Interest as of and for the year ended December 31, 2024, is related to a tax equity financing entered into in the fourth quarter of 2023 for certain New Energy solar energy facilities totaling 14 MW. This tax equity financing is classified as redeemable non-controlling interest as the redemption price and date are fixed and determinable.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those wind and solar projects with tax equity financings where the economic benefits are not allocated based on the underlying ownership percentage interests, we have determined that the appropriate methodology for calculating the non-controlling interest in subsidiaries balance is the hypothetical liquidation at book value (HLBV) method. The HLBV method is a balance sheet approach which reflects the substantive economic arrangements in the tax equity financing structures.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HLBV method, amounts reported as non-controlling interest in subsidiaries on the Consolidated Balance Sheet represent the amounts the third-party investors would hypothetically receive at each balance sheet reporting date under the liquidation provisions of the LLC agreements, assuming the net assets of the wind and solar projects were liquidated at amounts determined in accordance with GAAP and distributed to the third-party investor and sponsor. The resulting non-controlling interest in subsidiaries balance in these projects is reported as a component of equity on the Consolidated Balance Sheet as either Non-Controlling Interest in Subsidiaries or Redeemable Non-Controlling Interest.</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these projects attributable to non-controlling interest under the HLBV method is determined as the difference in non-controlling interest in subsidiaries and redeemable non-controlling interest on the Consolidated Balance Sheet at the start and end of each reporting period, after taking into account any capital transactions between the projects and the third-party investors.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Factors used in the HLBV calculation include GAAP income, taxable income (loss), tax attributes such as accelerated depreciation, investment tax credits and production tax credits, capital contributions, cash distributions, and the target yield specified in the corresponding LLC agreement. Changes in these factors could have a significant impact on the amounts that third-party investors and sponsors would receive upon a hypothetical liquidation. The use of the HLBV method to allocate income to the non-controlling interest in subsidiaries may create variability in our results of operations as the application of the HLBV method can drive variability in net income or loss attributable to non-controlling interest in subsidiaries from period to period.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 Other</w:t>
            </w:r>
          </w:p>
        </w:tc>
        <w:tc>
          <w:tcPr>
            <w:tcW w:w="2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Pension and Other Postretirement Benefit Plan Non-Service Credit </w:t>
            </w:r>
            <w:r>
              <w:rPr>
                <w:rFonts w:ascii="Times New Roman" w:cs="Times New Roman" w:eastAsia="Times New Roman" w:hAnsi="Times New Roman"/>
                <w:sz w:val="16"/>
                <w:szCs w:val="16"/>
                <w:i w:val="1"/>
                <w:iCs w:val="1"/>
                <w:color w:val="auto"/>
              </w:rPr>
              <w:t>(a)</w:t>
            </w:r>
          </w:p>
        </w:tc>
        <w:tc>
          <w:tcPr>
            <w:tcW w:w="2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$13.6</w:t>
            </w:r>
          </w:p>
        </w:tc>
        <w:tc>
          <w:tcPr>
            <w:tcW w:w="14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and Investment Income </w:t>
            </w:r>
            <w:r>
              <w:rPr>
                <w:rFonts w:ascii="Times New Roman" w:cs="Times New Roman" w:eastAsia="Times New Roman" w:hAnsi="Times New Roman"/>
                <w:sz w:val="16"/>
                <w:szCs w:val="16"/>
                <w:i w:val="1"/>
                <w:iCs w:val="1"/>
                <w:color w:val="auto"/>
              </w:rPr>
              <w:t>(b)</w:t>
            </w:r>
          </w:p>
        </w:tc>
        <w:tc>
          <w:tcPr>
            <w:tcW w:w="2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 Equity</w:t>
            </w:r>
          </w:p>
        </w:tc>
        <w:tc>
          <w:tcPr>
            <w:tcW w:w="2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5.0</w:t>
            </w:r>
          </w:p>
        </w:tc>
        <w:tc>
          <w:tcPr>
            <w:tcW w:w="14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Land Sales</w:t>
            </w:r>
          </w:p>
        </w:tc>
        <w:tc>
          <w:tcPr>
            <w:tcW w:w="2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PSA Liability </w:t>
            </w:r>
            <w:r>
              <w:rPr>
                <w:rFonts w:ascii="Times New Roman" w:cs="Times New Roman" w:eastAsia="Times New Roman" w:hAnsi="Times New Roman"/>
                <w:sz w:val="16"/>
                <w:szCs w:val="16"/>
                <w:i w:val="1"/>
                <w:iCs w:val="1"/>
                <w:color w:val="auto"/>
              </w:rPr>
              <w:t>(c)</w:t>
            </w:r>
          </w:p>
        </w:tc>
        <w:tc>
          <w:tcPr>
            <w:tcW w:w="2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Gain on Arbitration Award </w:t>
            </w:r>
            <w:r>
              <w:rPr>
                <w:rFonts w:ascii="Times New Roman" w:cs="Times New Roman" w:eastAsia="Times New Roman" w:hAnsi="Times New Roman"/>
                <w:sz w:val="18"/>
                <w:szCs w:val="18"/>
                <w:i w:val="1"/>
                <w:iCs w:val="1"/>
                <w:color w:val="auto"/>
              </w:rPr>
              <w:t>(d)</w:t>
            </w:r>
          </w:p>
        </w:tc>
        <w:tc>
          <w:tcPr>
            <w:tcW w:w="2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58.4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3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 Other</w:t>
            </w:r>
          </w:p>
        </w:tc>
        <w:tc>
          <w:tcPr>
            <w:tcW w:w="2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$23.0</w:t>
            </w: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$85.0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79" w:lineRule="exact"/>
        <w:rPr>
          <w:sz w:val="20"/>
          <w:szCs w:val="20"/>
          <w:color w:val="auto"/>
        </w:rPr>
      </w:pPr>
    </w:p>
    <w:p>
      <w:pPr>
        <w:ind w:left="340" w:hanging="332"/>
        <w:spacing w:after="0" w:line="259" w:lineRule="auto"/>
        <w:tabs>
          <w:tab w:leader="none" w:pos="340"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components of net periodic pension and other postretirement benefit cost other than service cost. (See Note 12. Pension and Other Postretirement Benefit Plans.)</w:t>
      </w:r>
    </w:p>
    <w:p>
      <w:pPr>
        <w:ind w:left="340" w:hanging="332"/>
        <w:spacing w:after="0" w:line="255" w:lineRule="auto"/>
        <w:tabs>
          <w:tab w:leader="none" w:pos="340"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Interest and Investment Income for the year ended December 31, 2023, reflects $5.1 million of interest income related to interest awarded as part of an arbitration ruling involving a subsidiary of ALLETE Clean Energy. (See Note 9. Commitments, Guarantees and Contingencies.)</w:t>
      </w:r>
    </w:p>
    <w:p>
      <w:pPr>
        <w:ind w:left="340" w:hanging="332"/>
        <w:spacing w:after="0" w:line="255" w:lineRule="auto"/>
        <w:tabs>
          <w:tab w:leader="none" w:pos="331"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gain on removal of the PSA liability for the Northern Wind project upon decommissioning of the legacy wind energy facility assets, which was more than offset by a reserve for an anticipated loss on the sale of the Northern Wind project that was recorded in Cost of Sales - Non-Utility on the Consolidated Statement of Income.</w:t>
      </w:r>
    </w:p>
    <w:p>
      <w:pPr>
        <w:ind w:left="340" w:hanging="332"/>
        <w:spacing w:after="0" w:line="257" w:lineRule="auto"/>
        <w:tabs>
          <w:tab w:leader="none" w:pos="340"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This reflects a gain recognized for the favorable outcome of an arbitration ruling involving a subsidiary of ALLETE Clean Energy. (See Note 9. Commitments, Guarantees and Contingencies.)</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ALLETE and its subsidiaries file a consolidated federal income tax return as well as combined and separate state income tax returns.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for income taxes using the liability method in accordance with GAAP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6"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Due to the effects of regulation on Minnesota Power and SWL&amp;P, certain adjustments made to deferred income taxes are, in turn, recorded as regulatory assets or liabilities. Tax credits are recorded when earned unless there is a requirement to defer the benefit and amortize it over the book depreciable lives of the related property. The requirement to defer and amortize tax credits only applies to federal credits related to public utility property. In accordance with GAAP for uncertainty in income taxes, we are required to recognize in our financial statements the largest tax benefit of a tax position that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to be sustained on audit, based solely on the technical merits of the position as of the reporting date. The term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means more than 50 percent likely. (See Note 11. Income Tax Expense.)</w:t>
      </w:r>
    </w:p>
    <w:p>
      <w:pPr>
        <w:spacing w:after="0" w:line="1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Excise Taxes. </w:t>
      </w:r>
      <w:r>
        <w:rPr>
          <w:rFonts w:ascii="Times New Roman" w:cs="Times New Roman" w:eastAsia="Times New Roman" w:hAnsi="Times New Roman"/>
          <w:sz w:val="18"/>
          <w:szCs w:val="18"/>
          <w:color w:val="auto"/>
        </w:rPr>
        <w:t>We collect excise taxes from our customers levied by governmental entities. These taxes are stated separately on the billing to the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recorded as a liability to be remitted to the governmental entity. We account for the collection and payment of these taxes on a net basis.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Improvements to Reportable Segment Disclosures. </w:t>
      </w:r>
      <w:r>
        <w:rPr>
          <w:rFonts w:ascii="Times New Roman" w:cs="Times New Roman" w:eastAsia="Times New Roman" w:hAnsi="Times New Roman"/>
          <w:sz w:val="18"/>
          <w:szCs w:val="18"/>
          <w:color w:val="auto"/>
        </w:rPr>
        <w:t>In November 2023, the FASB issued Accounting Standards Update 2023-07,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(ASU 2023-07). ASU 2023-07 requires that an entity provide enhanced disclosures about significant segment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regularly provided to the chief operating decision maker, among other disclosures. ASU 2023-07 is effective for annual periods beginning after December 15, 2023, and this Form 10-K includes the required disclosures. We expect to provide enhanced disclosures for quarterly periods beginning in 2025.</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Improvements to Income Tax Disclosures. </w:t>
      </w:r>
      <w:r>
        <w:rPr>
          <w:rFonts w:ascii="Times New Roman" w:cs="Times New Roman" w:eastAsia="Times New Roman" w:hAnsi="Times New Roman"/>
          <w:sz w:val="18"/>
          <w:szCs w:val="18"/>
          <w:color w:val="auto"/>
        </w:rPr>
        <w:t>In December 2023, the FASB issued Accounting Standards Update 2023-09,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was issued to enhance the transparency and decision usefulness of income tax disclosures by disclosing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rate reconciliation as well as providing additional information for reconciling items above a threshold. It also requires disclosure about certain income taxes paid. ASU 2023-09 is effective for annual periods beginning after December 15, 2024, with early adoption permitted. We do not anticipate ASU 2023-09 having a material effect on the presentation of ALLETE’s consolidated financial statements.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Disaggregation of Income Statement Expenses. </w:t>
      </w:r>
      <w:r>
        <w:rPr>
          <w:rFonts w:ascii="Times New Roman" w:cs="Times New Roman" w:eastAsia="Times New Roman" w:hAnsi="Times New Roman"/>
          <w:sz w:val="18"/>
          <w:szCs w:val="18"/>
          <w:color w:val="auto"/>
        </w:rPr>
        <w:t>In November 2024, the FASB issued Accounting Standards Update 2024-03,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Disaggregation of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Statement Expenses </w:t>
      </w:r>
      <w:r>
        <w:rPr>
          <w:rFonts w:ascii="Times New Roman" w:cs="Times New Roman" w:eastAsia="Times New Roman" w:hAnsi="Times New Roman"/>
          <w:sz w:val="18"/>
          <w:szCs w:val="18"/>
          <w:color w:val="auto"/>
        </w:rPr>
        <w:t>(ASU 2024-03). ASU 2024-03 was issued to improve expense disclosures by providing more detailed information about the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 commonly presented expense captions. ASU 2024-03 is effective for annual periods beginning after December 25, 2026, and quarterly periods beginning after December 15, 2027. We do not anticipate ASU 2024-03 having a material effect on the presentation of ALLETE’s consolidated financial statements.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 Climate-related Disclosures Rule. </w:t>
      </w:r>
      <w:r>
        <w:rPr>
          <w:rFonts w:ascii="Times New Roman" w:cs="Times New Roman" w:eastAsia="Times New Roman" w:hAnsi="Times New Roman"/>
          <w:sz w:val="18"/>
          <w:szCs w:val="18"/>
          <w:color w:val="auto"/>
        </w:rPr>
        <w:t>On March 6, 2024, the SEC issued the final rules regarding the enhancement and standardization of climate-related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disclosures for investors (Rule). The Rule requires registrants to provide certain climate-related information in their annual reports and registration statements. These requirements include disclosing climate-related risks that materially affect or are reasonably likely to materially affect a registrant’s business strategy, results of operations, or financial condition as well as certain disclosures related to greenhouse-gas emissions, and the effects of severe weather events and other natural conditions. The Rule provides that the disclosure requirements will begin phasing in for annual periods beginning in 2025. The Company is evaluating the final rule to determine its impact on the Company’s disclosures. The Rule is currently being challenged before the U.S. Court of Appeals for the Eighth Circuit (Eighth Circuit Court), and the SEC issued a voluntary stay of the Rule on April 4, 2024, pending judicial review.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other new accounting standards that we anticipate having a material effect on the presentation of ALLETE’s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PROPERTY, PLANT AND EQUIPMENT</w:t>
            </w:r>
          </w:p>
        </w:tc>
        <w:tc>
          <w:tcPr>
            <w:tcW w:w="36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91"/>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w:t>
            </w:r>
          </w:p>
        </w:tc>
        <w:tc>
          <w:tcPr>
            <w:tcW w:w="3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in Service</w:t>
            </w:r>
          </w:p>
        </w:tc>
        <w:tc>
          <w:tcPr>
            <w:tcW w:w="3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$5,387.8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$5,167.2</w:t>
            </w: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197.5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30"/>
        </w:trPr>
        <w:tc>
          <w:tcPr>
            <w:tcW w:w="6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(2,077.8)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(1,969.4)</w:t>
            </w:r>
          </w:p>
        </w:tc>
      </w:tr>
      <w:tr>
        <w:trPr>
          <w:trHeight w:val="223"/>
        </w:trPr>
        <w:tc>
          <w:tcPr>
            <w:tcW w:w="6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Regulated Operations – Net</w:t>
            </w:r>
          </w:p>
        </w:tc>
        <w:tc>
          <w:tcPr>
            <w:tcW w:w="36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3,507.5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3,344.5</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ALLETE Clean Energy</w:t>
            </w:r>
          </w:p>
        </w:tc>
        <w:tc>
          <w:tcPr>
            <w:tcW w:w="3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in Service</w:t>
            </w:r>
          </w:p>
        </w:tc>
        <w:tc>
          <w:tcPr>
            <w:tcW w:w="3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1,605.3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1,612.8</w:t>
            </w:r>
          </w:p>
        </w:tc>
      </w:tr>
      <w:tr>
        <w:trPr>
          <w:trHeight w:val="230"/>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51.9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6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(272.9)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23"/>
        </w:trPr>
        <w:tc>
          <w:tcPr>
            <w:tcW w:w="6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ALLETE Clean Energy – Net</w:t>
            </w:r>
          </w:p>
        </w:tc>
        <w:tc>
          <w:tcPr>
            <w:tcW w:w="3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1,384.3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1,432.6</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6"/>
                <w:szCs w:val="16"/>
                <w:i w:val="1"/>
                <w:iCs w:val="1"/>
                <w:color w:val="auto"/>
              </w:rPr>
              <w:t>(a)</w:t>
            </w:r>
          </w:p>
        </w:tc>
        <w:tc>
          <w:tcPr>
            <w:tcW w:w="3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in Service</w:t>
            </w:r>
          </w:p>
        </w:tc>
        <w:tc>
          <w:tcPr>
            <w:tcW w:w="3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377.4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77.5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6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(165.2)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3"/>
        </w:trPr>
        <w:tc>
          <w:tcPr>
            <w:tcW w:w="6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 – Net</w:t>
            </w:r>
          </w:p>
        </w:tc>
        <w:tc>
          <w:tcPr>
            <w:tcW w:w="36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289.7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23"/>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$5,181.5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$5,013.4</w:t>
            </w: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Primarily includes BNI Energy and a small amount of non-rate base generation.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various classes of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Estimated Useful Lives of Property, Plant and Equipment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0628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Regulated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Generation</w:t>
            </w:r>
          </w:p>
        </w:tc>
        <w:tc>
          <w:tcPr>
            <w:tcW w:w="2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 to 50</w:t>
            </w:r>
          </w:p>
        </w:tc>
        <w:tc>
          <w:tcPr>
            <w:tcW w:w="39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ALLETE Clean Energy</w:t>
            </w:r>
          </w:p>
        </w:tc>
        <w:tc>
          <w:tcPr>
            <w:tcW w:w="2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 to 35</w:t>
            </w:r>
          </w:p>
        </w:tc>
      </w:tr>
      <w:tr>
        <w:trPr>
          <w:trHeight w:val="230"/>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Transmission</w:t>
            </w:r>
          </w:p>
        </w:tc>
        <w:tc>
          <w:tcPr>
            <w:tcW w:w="2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50 to 75</w:t>
            </w:r>
          </w:p>
        </w:tc>
        <w:tc>
          <w:tcPr>
            <w:tcW w:w="39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Corporate and Other</w:t>
            </w:r>
          </w:p>
        </w:tc>
        <w:tc>
          <w:tcPr>
            <w:tcW w:w="2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 to 50</w:t>
            </w:r>
          </w:p>
        </w:tc>
      </w:tr>
      <w:tr>
        <w:trPr>
          <w:trHeight w:val="229"/>
        </w:trPr>
        <w:tc>
          <w:tcPr>
            <w:tcW w:w="1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Distribution</w:t>
            </w:r>
          </w:p>
        </w:tc>
        <w:tc>
          <w:tcPr>
            <w:tcW w:w="26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18 to 70</w:t>
            </w:r>
          </w:p>
        </w:tc>
        <w:tc>
          <w:tcPr>
            <w:tcW w:w="39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bl>
    <w:p>
      <w:pPr>
        <w:spacing w:after="0" w:line="3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Asset Retirement Obligations. </w:t>
      </w:r>
      <w:r>
        <w:rPr>
          <w:rFonts w:ascii="Times New Roman" w:cs="Times New Roman" w:eastAsia="Times New Roman" w:hAnsi="Times New Roman"/>
          <w:sz w:val="18"/>
          <w:szCs w:val="18"/>
          <w:color w:val="auto"/>
        </w:rPr>
        <w:t>We recognize, at fair value, obligations associated with the retirement of certain tangible, long-lived assets that result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acquisition, construction, development or normal operation of the asset. Asset retirement obligations (AROs) relate primarily to the decommissioning of our coal-fired and wind energy facilities, and land reclamation at BNI Energy. AROs are included in Other Non-Current Liabilities on the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Conditional asset retirement obligations have been identified for treated wood poles and remaining polychlorinated biphenyl and asbestos-containing assets; however, the period of remediation is indeterminable and removal liabilities have not been recognized.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Long-standing ratemaking practices approved by applicable state and federal regulatory authorities have allowed provisions for future plant removal costs in depreciation rates. These plant removal cost recoveries are classified either as AROs or as a regulatory liability for non-AROs. To the extent annual accruals for plant removal costs differ from accruals under approved depreciation rates, a regulatory asset has been established in accordance with GAAP for AROs. (See Note 4. Regulatory Matters.)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NOTE 2. PROPERTY, PLANT AND EQUIPMENT (Continued)</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580" w:type="dxa"/>
            <w:vAlign w:val="bottom"/>
            <w:tcBorders>
              <w:top w:val="single" w:sz="8" w:color="auto"/>
            </w:tcBorders>
          </w:tcPr>
          <w:p>
            <w:pPr>
              <w:spacing w:after="0"/>
              <w:rPr>
                <w:sz w:val="19"/>
                <w:szCs w:val="19"/>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as of December 31, 2022</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Settled</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4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as of December 31, 2023</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Liabilities Recognized </w:t>
            </w:r>
            <w:r>
              <w:rPr>
                <w:rFonts w:ascii="Times New Roman" w:cs="Times New Roman" w:eastAsia="Times New Roman" w:hAnsi="Times New Roman"/>
                <w:sz w:val="16"/>
                <w:szCs w:val="16"/>
                <w:i w:val="1"/>
                <w:iCs w:val="1"/>
                <w:color w:val="auto"/>
              </w:rPr>
              <w:t>(a)</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Settled</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4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Obligation as of December 31, 2024</w:t>
            </w:r>
          </w:p>
        </w:tc>
        <w:tc>
          <w:tcPr>
            <w:tcW w:w="4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r>
    </w:tbl>
    <w:p>
      <w:pPr>
        <w:spacing w:after="0" w:line="79" w:lineRule="exact"/>
        <w:rPr>
          <w:sz w:val="20"/>
          <w:szCs w:val="20"/>
          <w:color w:val="auto"/>
        </w:rPr>
      </w:pPr>
    </w:p>
    <w:p>
      <w:pPr>
        <w:ind w:left="340" w:hanging="332"/>
        <w:spacing w:after="0" w:line="257" w:lineRule="auto"/>
        <w:tabs>
          <w:tab w:leader="none" w:pos="438"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increase in liabilities recognized in 2024 reflects the impact of estimated compliance costs related to the EPA’s CCR Legacy Impoundment Rule finalized in May 2024. (See Note 9. Commitments, Guarantees and Contingencies.)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JOINTLY-OWNED FACILITIES AND ASSETS</w:t>
      </w:r>
    </w:p>
    <w:p>
      <w:pPr>
        <w:spacing w:after="0" w:line="2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Boswell Unit 4. </w:t>
      </w:r>
      <w:r>
        <w:rPr>
          <w:rFonts w:ascii="Times New Roman" w:cs="Times New Roman" w:eastAsia="Times New Roman" w:hAnsi="Times New Roman"/>
          <w:sz w:val="18"/>
          <w:szCs w:val="18"/>
          <w:color w:val="auto"/>
        </w:rPr>
        <w:t>Minnesota Power owns 80 percent of the 585 MW Boswell Unit 4. While Minnesota Power operates the plant, certain decisions about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of Boswell Unit 4 are subject to the oversight of a committee on which it and WPPI Energy, the owner of the remaining 20 percent, have equal representation and voting rights. Each owner must provide its own financing and is obligated to its ownership share of operating costs. Minnesota Power’s share of operating expenses for Boswell Unit 4 is included in Operating Expenses on the Consolidated Statement of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Power’s investments in jointly-owned facilities and assets and the related ownership percentages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Plant</w:t>
            </w:r>
          </w:p>
        </w:tc>
        <w:tc>
          <w:tcPr>
            <w:tcW w:w="27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Plant in Service</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Construction Work in</w:t>
            </w:r>
          </w:p>
        </w:tc>
        <w:tc>
          <w:tcPr>
            <w:tcW w:w="16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Ownership</w:t>
            </w:r>
          </w:p>
        </w:tc>
        <w:tc>
          <w:tcPr>
            <w:tcW w:w="0" w:type="dxa"/>
            <w:vAlign w:val="bottom"/>
          </w:tcPr>
          <w:p>
            <w:pPr>
              <w:spacing w:after="0"/>
              <w:rPr>
                <w:sz w:val="1"/>
                <w:szCs w:val="1"/>
                <w:color w:val="auto"/>
              </w:rPr>
            </w:pPr>
          </w:p>
        </w:tc>
      </w:tr>
      <w:tr>
        <w:trPr>
          <w:trHeight w:val="238"/>
        </w:trPr>
        <w:tc>
          <w:tcPr>
            <w:tcW w:w="3240" w:type="dxa"/>
            <w:vAlign w:val="bottom"/>
            <w:tcBorders>
              <w:bottom w:val="single" w:sz="8" w:color="auto"/>
            </w:tcBorders>
            <w:vMerge w:val="continue"/>
          </w:tcPr>
          <w:p>
            <w:pPr>
              <w:spacing w:after="0"/>
              <w:rPr>
                <w:sz w:val="20"/>
                <w:szCs w:val="20"/>
                <w:color w:val="auto"/>
              </w:rPr>
            </w:pPr>
          </w:p>
        </w:tc>
        <w:tc>
          <w:tcPr>
            <w:tcW w:w="276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0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Progress</w:t>
            </w:r>
          </w:p>
        </w:tc>
        <w:tc>
          <w:tcPr>
            <w:tcW w:w="1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7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Boswell Unit 4</w:t>
            </w:r>
          </w:p>
        </w:tc>
        <w:tc>
          <w:tcPr>
            <w:tcW w:w="2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$716.2</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$396.7</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$14.2</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 Assets</w:t>
            </w:r>
          </w:p>
        </w:tc>
        <w:tc>
          <w:tcPr>
            <w:tcW w:w="27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101.1</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w:t>
            </w:r>
          </w:p>
        </w:tc>
        <w:tc>
          <w:tcPr>
            <w:tcW w:w="2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9.3 - 14.7</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$817.3</w:t>
            </w: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$422.8</w:t>
            </w:r>
          </w:p>
        </w:tc>
        <w:tc>
          <w:tcPr>
            <w:tcW w:w="2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$14.2</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7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Boswell Unit 4</w:t>
            </w:r>
          </w:p>
        </w:tc>
        <w:tc>
          <w:tcPr>
            <w:tcW w:w="2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$725.9</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$369.8</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 Assets</w:t>
            </w:r>
          </w:p>
        </w:tc>
        <w:tc>
          <w:tcPr>
            <w:tcW w:w="27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101.0</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w:t>
            </w:r>
          </w:p>
        </w:tc>
        <w:tc>
          <w:tcPr>
            <w:tcW w:w="2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9.3 - 14.7</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$826.9</w:t>
            </w: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$393.4</w:t>
            </w:r>
          </w:p>
        </w:tc>
        <w:tc>
          <w:tcPr>
            <w:tcW w:w="2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Nemadji Trail Energy Center. </w:t>
      </w:r>
      <w:r>
        <w:rPr>
          <w:rFonts w:ascii="Times New Roman" w:cs="Times New Roman" w:eastAsia="Times New Roman" w:hAnsi="Times New Roman"/>
          <w:sz w:val="18"/>
          <w:szCs w:val="18"/>
          <w:color w:val="auto"/>
        </w:rPr>
        <w:t>South Shore Energy, ALLETE’s non-rate regulated, Wisconsin subsidiary, is developing NTEC, an approximately 600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MW proposed combined-cycle natural gas-fired generating facility to be built in Superior, Wisconsin, which will be jointly owned by Dairyland Power Cooperative, Basin and South Shore Energy. Minnesota Power is expected to purchase approximately 20 percent of the facility's output starting upon completion of the facility pursuant to a capacity dedication agreement. Construction of NTEC is subject to obtaining additional permits from local, state and federal authorities. The total project cost is estimated to be approximately $700 million, of which South Shore Energy will be responsible for approximately 20 percent. South Shore Energy’s portion of NTEC project costs incurred through December 31, 2024, is approximately $10 million.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NOTE 4. REGULATORY MATTERS</w:t>
      </w:r>
    </w:p>
    <w:p>
      <w:pPr>
        <w:spacing w:after="0" w:line="25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Electric Rates. </w:t>
      </w:r>
      <w:r>
        <w:rPr>
          <w:rFonts w:ascii="Times New Roman" w:cs="Times New Roman" w:eastAsia="Times New Roman" w:hAnsi="Times New Roman"/>
          <w:sz w:val="18"/>
          <w:szCs w:val="18"/>
          <w:color w:val="auto"/>
        </w:rPr>
        <w:t>Entities within our Regulated Operations segment file for periodic rate revisions with the MPUC, PSCW or FERC. As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MPUC, Minnesota Power also recognizes revenue under cost recovery riders for transmission, renewable and environmental investments and expenditures. (See </w:t>
      </w:r>
      <w:r>
        <w:rPr>
          <w:rFonts w:ascii="Times New Roman" w:cs="Times New Roman" w:eastAsia="Times New Roman" w:hAnsi="Times New Roman"/>
          <w:sz w:val="18"/>
          <w:szCs w:val="18"/>
          <w:i w:val="1"/>
          <w:iCs w:val="1"/>
          <w:color w:val="auto"/>
        </w:rPr>
        <w:t>Transmission Cost Recovery Rider, Renewable Cost Recovery Rider, Solar Cost Recovery Rider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Environmental Improvement Rider</w:t>
      </w:r>
      <w:r>
        <w:rPr>
          <w:rFonts w:ascii="Times New Roman" w:cs="Times New Roman" w:eastAsia="Times New Roman" w:hAnsi="Times New Roman"/>
          <w:sz w:val="18"/>
          <w:szCs w:val="18"/>
          <w:color w:val="auto"/>
        </w:rPr>
        <w:t>.) Revenue from cost recovery riders was $20.0 million in 2024 ($57.0 million in 2023; $38.8 million in 2022).</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Minnesota Retail Rates. </w:t>
      </w:r>
      <w:r>
        <w:rPr>
          <w:rFonts w:ascii="Times New Roman" w:cs="Times New Roman" w:eastAsia="Times New Roman" w:hAnsi="Times New Roman"/>
          <w:sz w:val="18"/>
          <w:szCs w:val="18"/>
          <w:color w:val="auto"/>
        </w:rPr>
        <w:t>Minnesota Power’s retail base rates through 2022 were based on a 2018 MPUC retail rate order that allowed for a 9.25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return on common equity and a 53.81 percent equity ratio. Interim rates were implemented in Minnesota Power’s 2022 general rate case beginning in January 2022, and the resolution of Minnesota Power’s 2022 general rate case changed the allowed return on equity to 9.65 percent and the equity ratio to 52.50 percent beginning October 1, 2023. (See </w:t>
      </w:r>
      <w:r>
        <w:rPr>
          <w:rFonts w:ascii="Times New Roman" w:cs="Times New Roman" w:eastAsia="Times New Roman" w:hAnsi="Times New Roman"/>
          <w:sz w:val="18"/>
          <w:szCs w:val="18"/>
          <w:i w:val="1"/>
          <w:iCs w:val="1"/>
          <w:color w:val="auto"/>
        </w:rPr>
        <w:t>2022 Minnesota General Rate Case</w:t>
      </w:r>
      <w:r>
        <w:rPr>
          <w:rFonts w:ascii="Times New Roman" w:cs="Times New Roman" w:eastAsia="Times New Roman" w:hAnsi="Times New Roman"/>
          <w:sz w:val="18"/>
          <w:szCs w:val="18"/>
          <w:color w:val="auto"/>
        </w:rPr>
        <w:t>.) Minnesota Power expects to implement updated rates based on the 2024 MPUC retail rate order in the first quarter of 2025. This order allows for a return on equity 9.78 percent and an equity ratio of 53.00 percent.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Minnesota General Rate Case. </w:t>
      </w:r>
      <w:r>
        <w:rPr>
          <w:rFonts w:ascii="Times New Roman" w:cs="Times New Roman" w:eastAsia="Times New Roman" w:hAnsi="Times New Roman"/>
          <w:sz w:val="18"/>
          <w:szCs w:val="18"/>
          <w:color w:val="auto"/>
        </w:rPr>
        <w:t>On November 1, 2023, Minnesota Power filed a retail rate increase request with the MPUC seeking an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approximately 12.00 percent for retail customers, net of rider revenue incorporated into base rates. The rate filing sought a return on equity of 10.30 percent and a 53.00 percent equity ratio. On an annualized basis, the requested final rate increase would have generated approximately $89 million in additional revenue. In separate orders dated December 19, 2023, the MPUC accepted the filing as complete and approved an annual interim rate increase of approximately $64 million, net of rider revenue, beginning January 1, 2024, subject to refund.</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 2024, Minnesota Power entered into a settlement agreement with the Minnesota Department of Commerce, Minnesota Office of the Attorney General, Residential Utilities Division, and Large Power Intervenors to settle the retail rate increase request. As part of the settlement agreement, the parties agreed on all issues, including an overall rate increase of $33.97 million, net of rider revenue and amounts transferring to the fuel adjustment clause, a return on equity of 9.78 percent, an equity ratio of 53.00 percent, all non-financial items and cost allocation. In an order dated November 25, 2024, the MPUC approved the settlement agreement. Final rates are expected to be implemented in the first quarter of 2025; interim rates will be collected through this period with reserves recorded as necessary. As a result of the settlement, Minnesota Power recorded a reserve for an interim rate refund of $23.0 million pre-tax as of December 31, 2024, which is subject to MPUC approval of Minnesota Power’s refund calculation.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2022 Minnesota General Rate Case</w:t>
      </w:r>
      <w:r>
        <w:rPr>
          <w:rFonts w:ascii="Times New Roman" w:cs="Times New Roman" w:eastAsia="Times New Roman" w:hAnsi="Times New Roman"/>
          <w:sz w:val="18"/>
          <w:szCs w:val="18"/>
          <w:color w:val="auto"/>
        </w:rPr>
        <w:t>. In an order dated February 28, 2023, the MPUC made determinations regarding Minnesota Power’s general rate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allowing a return on common equity of 9.65 percent and a 52.50 percent equity ratio. In March 2023, Minnesota Power filed a petition for reconsideration with the MPUC requesting reconsideration and clarification of certain decisions in the MPUC’s order. The MPUC denied the requests for reconsideration in an order dated May 15, 2023.</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order dated September 29, 2023, the MPUC approved Minnesota Power’s final rates, which were implemented beginning on October 1, 2023. The MPUC order also approved Minnesota Power’s interim rate refund plan. Interim rates were collected through the third quarter of 2023 with reserves recorded as necessary. Minnesota Power recorded a reserve for an interim rate refund of approximately $39 million pre-tax as of September 30, 2023 (approximately $18 million as of December 31, 2022), which was refunded to customers during the fourth quarter of 2023.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 appealed with the Minnesota Court of Appeals (Court) specific aspects of the MPUC’s February 2023 and May 2023 rate case orders for the ratemaking treatment of Taconite Harbor and Minnesota Power’s prepaid pension asset. On September 9, 2024, the Court affirmed the MPUC’s Taconite Harbor treatment, but reversed and remanded the treatment of Minnesota Power’s prepaid pension asset back to the MPUC. The Court directed the MPUC to determine the amount of Minnesota Power’s prepaid pension asset to be included in rate base. The MPUC has not yet determined the next procedural steps in implementing the Court’s decision.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4. REGULATORY MATTERS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Rates (Continued)</w:t>
      </w:r>
    </w:p>
    <w:p>
      <w:pPr>
        <w:spacing w:after="0" w:line="2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FERC-Approved Wholesale Rates. </w:t>
      </w:r>
      <w:r>
        <w:rPr>
          <w:rFonts w:ascii="Times New Roman" w:cs="Times New Roman" w:eastAsia="Times New Roman" w:hAnsi="Times New Roman"/>
          <w:sz w:val="18"/>
          <w:szCs w:val="18"/>
          <w:color w:val="auto"/>
        </w:rPr>
        <w:t>Minnesota Power has wholesale contracts with 14 non-affiliated municipal customers in Minnesota and SWL&amp;P. Two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wholesale contracts include a termination clause requiring a three-year notice to terminate.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Power’s wholesale electric contract with the Nashwauk Public Utilities Commission is effective through December 31, 2037. The wholesale electric service contract with SWL&amp;P is effective through February 29, 2028. Under the agreement with SWL&amp;P, no termination notice has been given. The rates included in these two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Power’s wholesale electric contracts with 13 other municipal customers were extended in January 2022 and are effective through 2029. These contracts are based on fixed prices for capacity and energy. The base energy charge for each year is adjusted annually for updated fuel and purchased power costs.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Transmission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investments and expenditures, including a return on the capital invested. Current customer billing rates are based on an MPUC order dated March 5, 2024. On November 13, 2024, Minnesota Power submitted its latest transmission factor filing. Following approval of the filing by the MPUC, Minnesota Power will be authorized to include updated billing rates on customer bills.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Renewable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the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renewable investments and expenditures, including a return on the capital invested. Current customer billing rates for the renewable cost recovery rider were approved by the MPUC in an order dated June 25, 2024.</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Solar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solar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investments and expenditures for meeting the state of Minnesota’s solar energy standard. Current customer billing rates were approved by the MPUC in an order dated December 26, 2023. On October 8, 2024, Minnesota Power submitted its latest solar factor filing. Following approval of the filing by the MPUC, Minnesota Power will be authorized to include updated billing rates on customer bills.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Fuel Adjustment Clause</w:t>
      </w:r>
      <w:r>
        <w:rPr>
          <w:rFonts w:ascii="Times New Roman" w:cs="Times New Roman" w:eastAsia="Times New Roman" w:hAnsi="Times New Roman"/>
          <w:sz w:val="18"/>
          <w:szCs w:val="18"/>
          <w:color w:val="auto"/>
        </w:rPr>
        <w:t>. Fuel and purchased power costs related to Minnesota Power’s retail customers are recovered from customers through the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clause. The method of accounting for all Minnesota electric utilities is a monthly budgeted, forward-looking fuel adjustment clause with annual prudence review and true-up to actual allowed costs.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incurred higher fuel and purchased power costs in 2022 than those factored in its fuel adjustment forecast filed in May 2021 for 2022, which resulted in the recognition of an approximately $13 million regulatory asset as of December 31, 2022. The MPUC approved recovery of the regulatory asset in an order dated July 31, 2023; recovery of the regulatory asset began in the third quarter of 2023 and ended in mid-2024.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 incurred lower fuel and purchased power costs in 2023 than those factored in its fuel adjustment forecast filed in May 2022 for 2023, which resulted in the recognition of a $15.5 million regulatory liability as of December 31, 2023. Minnesota Power requested to refund the regulatory liability over 12 months beginning in the third quarter of 2024 as part of its annual true-up filing submitted to the MPUC on March 1, 2024. In an order dated July 1, 2024, the MPUC approved the filing, and authorized Minnesota Power to refund the regulatory liability over 12 months beginning on September 1, 2024.</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Minnesota Power incurred higher fuel and purchased power costs in 2024 than those factored in its fuel adjustment forecast filed in May 2023 for 2024, which resulted in the recognition of a $4.5 million regulatory asset as of December 31, 2024. Minnesota Power expects to request recovery of the regulatory asset as part of its annual true-up filing with the MPUC in March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Power’s filed its annual forecasted fuel and purchased power rates for 2025 on May 1, 2024, which was subsequently approved by the MPUC in an order dated November 8, 2024. The fuel and purchased power rates for Minnesota Power retail customers are based on this filing beginning January 1,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 4. REGULATORY MATTERS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 Rates (Continued)</w:t>
      </w:r>
    </w:p>
    <w:p>
      <w:pPr>
        <w:spacing w:after="0" w:line="2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Deferred Accounting Petition. </w:t>
      </w:r>
      <w:r>
        <w:rPr>
          <w:rFonts w:ascii="Times New Roman" w:cs="Times New Roman" w:eastAsia="Times New Roman" w:hAnsi="Times New Roman"/>
          <w:sz w:val="18"/>
          <w:szCs w:val="18"/>
          <w:color w:val="auto"/>
        </w:rPr>
        <w:t>On December 30, 2024, Minnesota Power submitted a petition with the MPUC seeking deferral accounting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investigative costs and the increase in depreciation expense resulting from compliance costs that will be incurred related to the new Coal Combustion Rule (CCR) Legacy Rule, which was published in the Federal Register on May 8, 2024. (See Note 9. Commitments, Guarantees and Contingencies.) Compliance with the CCR Legacy Rule is expected to result in a significant increase to our MPUC-approved decommissioning costs for Boswell and Laskin. If the MPUC approves our request for deferral accounting treatment, these costs would be deferred for recovery to our next rate case or other regulatory proceeding. In 2024, we recorded depreciation expense related to this rule, of which $4.2 million pre-tax would be moved to a deferred tracking account for MPUC review through a future rate case or other proceeding if the MPUC approves our request for deferral accounting treatment. We are unable to predict the outcome of this proceeding.</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Wisconsin Retail Rates. </w:t>
      </w:r>
      <w:r>
        <w:rPr>
          <w:rFonts w:ascii="Times New Roman" w:cs="Times New Roman" w:eastAsia="Times New Roman" w:hAnsi="Times New Roman"/>
          <w:sz w:val="18"/>
          <w:szCs w:val="18"/>
          <w:color w:val="auto"/>
        </w:rPr>
        <w:t>SWL&amp;P’s retail rates through 2022 were based on a December 2018 order by the PSCW that allowed for a return on equity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10.40 percent and a 55.00 percent equity ratio. The resolution of SWL&amp;P’s 2022 general rate case changed the allowed return on equity to 10.00 percent and maintained an equity ratio of 55.00 percent. (See </w:t>
      </w:r>
      <w:r>
        <w:rPr>
          <w:rFonts w:ascii="Times New Roman" w:cs="Times New Roman" w:eastAsia="Times New Roman" w:hAnsi="Times New Roman"/>
          <w:sz w:val="18"/>
          <w:szCs w:val="18"/>
          <w:i w:val="1"/>
          <w:iCs w:val="1"/>
          <w:color w:val="auto"/>
        </w:rPr>
        <w:t>2022 Wisconsin General Rate Case</w:t>
      </w:r>
      <w:r>
        <w:rPr>
          <w:rFonts w:ascii="Times New Roman" w:cs="Times New Roman" w:eastAsia="Times New Roman" w:hAnsi="Times New Roman"/>
          <w:sz w:val="18"/>
          <w:szCs w:val="18"/>
          <w:color w:val="auto"/>
        </w:rPr>
        <w:t xml:space="preserve">.) The resolution of SWL&amp;P’s 2024 general rate case further changed the allowed return on equity to 9.80 percent and continued to maintain an equity ratio of 55.00 percent beginning January 1, 2025. (See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Wisconsin General Rate Case</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Wisconsin General Rate Case. </w:t>
      </w:r>
      <w:r>
        <w:rPr>
          <w:rFonts w:ascii="Times New Roman" w:cs="Times New Roman" w:eastAsia="Times New Roman" w:hAnsi="Times New Roman"/>
          <w:sz w:val="18"/>
          <w:szCs w:val="18"/>
          <w:color w:val="auto"/>
        </w:rPr>
        <w:t>On March 29, 2024, SWL&amp;P filed a rate increase request for its electric, gas and water utilities with the PSCW.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sought an overall return on equity of 10.00 percent and a 55.00 percent equity ratio. On an annualized basis, the requested change would have increased rates by approximately 5.90 percent for retail customers and generated an estimated $7.3 million of additional revenue. In an order dated December 12, 2024, the PSCW approved an annual increase of approximately $5.5 million reflecting a return on equity of 9.80 percent and a 55.00 percent equity ratio. Final rates went into effect January 1, 2025.</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2022 Wisconsin General Rate Case. </w:t>
      </w:r>
      <w:r>
        <w:rPr>
          <w:rFonts w:ascii="Times New Roman" w:cs="Times New Roman" w:eastAsia="Times New Roman" w:hAnsi="Times New Roman"/>
          <w:sz w:val="18"/>
          <w:szCs w:val="18"/>
          <w:color w:val="auto"/>
        </w:rPr>
        <w:t>In an order dated December 20, 2022, the PSCW approved an annual increase of $3.3 million reflecting a return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of 10.00 percent and a 55.00 percent equity ratio. Final rates went into effect January 1, 2023.</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Integrated Resource Plan. </w:t>
      </w:r>
      <w:r>
        <w:rPr>
          <w:rFonts w:ascii="Times New Roman" w:cs="Times New Roman" w:eastAsia="Times New Roman" w:hAnsi="Times New Roman"/>
          <w:sz w:val="18"/>
          <w:szCs w:val="18"/>
          <w:color w:val="auto"/>
        </w:rPr>
        <w:t>On February 1, 2021, Minnesota Power filed its latest IRP, which was approved by the MPUC in an order dated January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approved IRP, which reflects a joint agreement reached with various stakeholders, outlines Minnesota Power’s clean-energy transition plans through 2035. These plans include expanding its renewable energy supply, achieving coal-free operations at its facilities by 2035, and investing in a resilient and flexible transmission and distribution grid.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 Minnesota Power expects to file its next IRP in March 2025.</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Solar Energy Request For Proposals. </w:t>
      </w:r>
      <w:r>
        <w:rPr>
          <w:rFonts w:ascii="Times New Roman" w:cs="Times New Roman" w:eastAsia="Times New Roman" w:hAnsi="Times New Roman"/>
          <w:sz w:val="18"/>
          <w:szCs w:val="18"/>
          <w:color w:val="auto"/>
        </w:rPr>
        <w:t>On October 2, 2023, Minnesota Power filed a notice with the MPUC of its intent to issue a RFP for up to 300 MW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 energy resources. Minnesota Power issued the RFP on November 15, 2023, which were accepted through January 17, 2024. Minnesota Power announced plans to build an 85 MW solar project and a 119.5 MW solar project in northern Minnesota, both of which are expected to be in service in mid-2027, subject to MPUC approval.</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Wind Energy Request For Proposals. </w:t>
      </w:r>
      <w:r>
        <w:rPr>
          <w:rFonts w:ascii="Times New Roman" w:cs="Times New Roman" w:eastAsia="Times New Roman" w:hAnsi="Times New Roman"/>
          <w:sz w:val="18"/>
          <w:szCs w:val="18"/>
          <w:color w:val="auto"/>
        </w:rPr>
        <w:t>On December 15, 2023, Minnesota Power filed a notice with the MPUC of its intent to issue a RFP for up to 400 MW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wind energy resources. Minnesota Power issued the RFP on February 15, 2024, which were accepted through April 11,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4. REGULATORY MATTERS (Continued)</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 Plan. </w:t>
      </w:r>
      <w:r>
        <w:rPr>
          <w:rFonts w:ascii="Times New Roman" w:cs="Times New Roman" w:eastAsia="Times New Roman" w:hAnsi="Times New Roman"/>
          <w:sz w:val="18"/>
          <w:szCs w:val="18"/>
          <w:color w:val="auto"/>
        </w:rPr>
        <w:t>Minnesota requires electric utilities to spend a minimum of 1.5 percent of gross operating revenues, excluding revenue received from exempt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from service provided in the state on ECOs each year. On April 1, 2024, Minnesota Power submitted its 2023 ECO annual filing, formerly known as the conservation improvement program, detailing Minnesota Power’s ECO plan results and proposed financial incentive, which was approved by the MPUC on November 8, 2024. As a result, Minnesota Power recognized revenue of $2.2 million in 2024 for the approved financial incentive ($2.2 million in 2023 and $1.9 million in 2022). The financial incentives are recognized in the period in which the MPUC approves the filing.</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2023, Minnesota Power submitted its triennial filing for 2024 through 2026 to the MPUC and Minnesota Department of Commerce, which outlines Minnesota Power’s ECO spending and energy-saving goals for those years. Minnesota Power’s investment goals are $12.7 million for 2025 and $12.8 million for 2026.</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MISO Return on Equity Complaints. </w:t>
      </w:r>
      <w:r>
        <w:rPr>
          <w:rFonts w:ascii="Times New Roman" w:cs="Times New Roman" w:eastAsia="Times New Roman" w:hAnsi="Times New Roman"/>
          <w:sz w:val="18"/>
          <w:szCs w:val="18"/>
          <w:color w:val="auto"/>
        </w:rPr>
        <w:t>MISO transmission owners, including ALLETE and ATC, had an authorized return on equity of 10.02 percent,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10.52 percent including an incentive adder for participation in a regional transmission organization based on a 2020 FERC order which was subject to various legal challenges related to the return on equity calculation and refund period ordered by the FERC. In August 2022, the U.S. Court of Appeals for the District of Columbia Circuit vacated and remanded the 2020 FERC order back to the FERC. On October 17, 2024, FERC ordered a return on equity of 9.98 percent, or 10.48 percent including an incentive adder for participation in a RTO, effective September 28, 2016. (See Note 6. Equity Investments.)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Minnesota Solar Energy Standard. </w:t>
      </w:r>
      <w:r>
        <w:rPr>
          <w:rFonts w:ascii="Times New Roman" w:cs="Times New Roman" w:eastAsia="Times New Roman" w:hAnsi="Times New Roman"/>
          <w:sz w:val="18"/>
          <w:szCs w:val="18"/>
          <w:color w:val="auto"/>
        </w:rPr>
        <w:t>Minnesota law requires at least 1.5 percent of total retail electric sales, excluding sales to certain customers,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solar energy. At least 10 percent of the 1.5 percent mandate must be met by solar energy generated by or procured from solar photovoltaic devices with a nameplate capacity of 40 kW or less and community solar garden subscriptions. Minnesota Power has met both parts of the solar mandate to date.</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Minnesota Distributed Solar Energy Standard. </w:t>
      </w:r>
      <w:r>
        <w:rPr>
          <w:rFonts w:ascii="Times New Roman" w:cs="Times New Roman" w:eastAsia="Times New Roman" w:hAnsi="Times New Roman"/>
          <w:sz w:val="18"/>
          <w:szCs w:val="18"/>
          <w:color w:val="auto"/>
        </w:rPr>
        <w:t>Minnesota law requires at least 3 percent of Minnesota Power’s retail electric sales to be generated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distributed solar energy resources by 2030. Minnesota Power expects to need between 65 MW and 85 MW of distributed solar capacity to meet this requirement. On January 30, 2025, Minnesota Power issued a RFP seeking distributed solar projects as part of its compliance with this distributed solar energy standard. The RFP seeks proposals for solar generating facilities of 10 MW or less that will be connected to Minnesota Power’s distribution system.</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Regulatory Assets and Liabilities. </w:t>
      </w:r>
      <w:r>
        <w:rPr>
          <w:rFonts w:ascii="Times New Roman" w:cs="Times New Roman" w:eastAsia="Times New Roman" w:hAnsi="Times New Roman"/>
          <w:sz w:val="18"/>
          <w:szCs w:val="18"/>
          <w:color w:val="auto"/>
        </w:rPr>
        <w:t>Our regulated utility operations are subject to accounting standards for the effects of certain types of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REGULATORY MATTERS (Continued)</w:t>
            </w:r>
          </w:p>
        </w:tc>
        <w:tc>
          <w:tcPr>
            <w:tcW w:w="30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tc>
        <w:tc>
          <w:tcPr>
            <w:tcW w:w="3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8"/>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Assets </w:t>
            </w:r>
            <w:r>
              <w:rPr>
                <w:rFonts w:ascii="Times New Roman" w:cs="Times New Roman" w:eastAsia="Times New Roman" w:hAnsi="Times New Roman"/>
                <w:sz w:val="18"/>
                <w:szCs w:val="18"/>
                <w:i w:val="1"/>
                <w:iCs w:val="1"/>
                <w:color w:val="auto"/>
              </w:rPr>
              <w:t>(a)</w:t>
            </w:r>
          </w:p>
        </w:tc>
        <w:tc>
          <w:tcPr>
            <w:tcW w:w="3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Fuel Adjustment Clause </w:t>
            </w:r>
            <w:r>
              <w:rPr>
                <w:rFonts w:ascii="Times New Roman" w:cs="Times New Roman" w:eastAsia="Times New Roman" w:hAnsi="Times New Roman"/>
                <w:sz w:val="18"/>
                <w:szCs w:val="18"/>
                <w:i w:val="1"/>
                <w:iCs w:val="1"/>
                <w:color w:val="auto"/>
              </w:rPr>
              <w:t>(b)</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7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72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Regulatory Assets</w:t>
            </w:r>
          </w:p>
        </w:tc>
        <w:tc>
          <w:tcPr>
            <w:tcW w:w="3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Assets</w:t>
            </w:r>
          </w:p>
        </w:tc>
        <w:tc>
          <w:tcPr>
            <w:tcW w:w="3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Defined Benefit Pension and Other Postretirement Benefit Plans </w:t>
            </w:r>
            <w:r>
              <w:rPr>
                <w:rFonts w:ascii="Times New Roman" w:cs="Times New Roman" w:eastAsia="Times New Roman" w:hAnsi="Times New Roman"/>
                <w:sz w:val="18"/>
                <w:szCs w:val="18"/>
                <w:i w:val="1"/>
                <w:iCs w:val="1"/>
                <w:color w:val="auto"/>
              </w:rPr>
              <w:t>(c)</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$200.3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18"/>
                <w:szCs w:val="18"/>
                <w:i w:val="1"/>
                <w:iCs w:val="1"/>
                <w:color w:val="auto"/>
              </w:rPr>
              <w:t>(d)</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84.9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Asset Retirement Obligations </w:t>
            </w:r>
            <w:r>
              <w:rPr>
                <w:rFonts w:ascii="Times New Roman" w:cs="Times New Roman" w:eastAsia="Times New Roman" w:hAnsi="Times New Roman"/>
                <w:sz w:val="18"/>
                <w:szCs w:val="18"/>
                <w:i w:val="1"/>
                <w:iCs w:val="1"/>
                <w:color w:val="auto"/>
              </w:rPr>
              <w:t>(e)</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41.0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Taconite Harbor </w:t>
            </w:r>
            <w:r>
              <w:rPr>
                <w:rFonts w:ascii="Times New Roman" w:cs="Times New Roman" w:eastAsia="Times New Roman" w:hAnsi="Times New Roman"/>
                <w:sz w:val="18"/>
                <w:szCs w:val="18"/>
                <w:i w:val="1"/>
                <w:iCs w:val="1"/>
                <w:color w:val="auto"/>
              </w:rPr>
              <w:t>(g)</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Manufactured Gas Plant </w:t>
            </w:r>
            <w:r>
              <w:rPr>
                <w:rFonts w:ascii="Times New Roman" w:cs="Times New Roman" w:eastAsia="Times New Roman" w:hAnsi="Times New Roman"/>
                <w:sz w:val="18"/>
                <w:szCs w:val="18"/>
                <w:i w:val="1"/>
                <w:iCs w:val="1"/>
                <w:color w:val="auto"/>
              </w:rPr>
              <w:t>(h)</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Cost Recovery Riders </w:t>
            </w:r>
            <w:r>
              <w:rPr>
                <w:rFonts w:ascii="Times New Roman" w:cs="Times New Roman" w:eastAsia="Times New Roman" w:hAnsi="Times New Roman"/>
                <w:sz w:val="18"/>
                <w:szCs w:val="18"/>
                <w:i w:val="1"/>
                <w:iCs w:val="1"/>
                <w:color w:val="auto"/>
              </w:rPr>
              <w:t>(f)</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Fuel Adjustment Clause </w:t>
            </w:r>
            <w:r>
              <w:rPr>
                <w:rFonts w:ascii="Times New Roman" w:cs="Times New Roman" w:eastAsia="Times New Roman" w:hAnsi="Times New Roman"/>
                <w:sz w:val="18"/>
                <w:szCs w:val="18"/>
                <w:i w:val="1"/>
                <w:iCs w:val="1"/>
                <w:color w:val="auto"/>
              </w:rPr>
              <w:t>(b)</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PPACA Income Tax Deferral</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72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Regulatory Assets</w:t>
            </w:r>
          </w:p>
        </w:tc>
        <w:tc>
          <w:tcPr>
            <w:tcW w:w="3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$371.7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Liabilities </w:t>
            </w:r>
            <w:r>
              <w:rPr>
                <w:rFonts w:ascii="Times New Roman" w:cs="Times New Roman" w:eastAsia="Times New Roman" w:hAnsi="Times New Roman"/>
                <w:sz w:val="18"/>
                <w:szCs w:val="18"/>
                <w:i w:val="1"/>
                <w:iCs w:val="1"/>
                <w:color w:val="auto"/>
              </w:rPr>
              <w:t>(i)</w:t>
            </w:r>
          </w:p>
        </w:tc>
        <w:tc>
          <w:tcPr>
            <w:tcW w:w="30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Interim Rate Refund</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$23.0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Fuel Adjustment Clause </w:t>
            </w:r>
            <w:r>
              <w:rPr>
                <w:rFonts w:ascii="Times New Roman" w:cs="Times New Roman" w:eastAsia="Times New Roman" w:hAnsi="Times New Roman"/>
                <w:sz w:val="18"/>
                <w:szCs w:val="18"/>
                <w:i w:val="1"/>
                <w:iCs w:val="1"/>
                <w:color w:val="auto"/>
              </w:rPr>
              <w:t>(b)</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72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3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$31.5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Liabilities</w:t>
            </w:r>
          </w:p>
        </w:tc>
        <w:tc>
          <w:tcPr>
            <w:tcW w:w="3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18"/>
                <w:szCs w:val="18"/>
                <w:i w:val="1"/>
                <w:iCs w:val="1"/>
                <w:color w:val="auto"/>
              </w:rPr>
              <w:t>(d)</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$292.7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Wholesale and Retail Contra AFUDC </w:t>
            </w:r>
            <w:r>
              <w:rPr>
                <w:rFonts w:ascii="Times New Roman" w:cs="Times New Roman" w:eastAsia="Times New Roman" w:hAnsi="Times New Roman"/>
                <w:sz w:val="18"/>
                <w:szCs w:val="18"/>
                <w:i w:val="1"/>
                <w:iCs w:val="1"/>
                <w:color w:val="auto"/>
              </w:rPr>
              <w:t>(j)</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77.6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Plant Removal Obligations </w:t>
            </w:r>
            <w:r>
              <w:rPr>
                <w:rFonts w:ascii="Times New Roman" w:cs="Times New Roman" w:eastAsia="Times New Roman" w:hAnsi="Times New Roman"/>
                <w:sz w:val="18"/>
                <w:szCs w:val="18"/>
                <w:i w:val="1"/>
                <w:iCs w:val="1"/>
                <w:color w:val="auto"/>
              </w:rPr>
              <w:t>(k)</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Defined Benefit Pension and Other Postretirement Benefit Plans </w:t>
            </w:r>
            <w:r>
              <w:rPr>
                <w:rFonts w:ascii="Times New Roman" w:cs="Times New Roman" w:eastAsia="Times New Roman" w:hAnsi="Times New Roman"/>
                <w:sz w:val="18"/>
                <w:szCs w:val="18"/>
                <w:i w:val="1"/>
                <w:iCs w:val="1"/>
                <w:color w:val="auto"/>
              </w:rPr>
              <w:t>(c)</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40.7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Non-Jurisdictional Land Sales </w:t>
            </w:r>
            <w:r>
              <w:rPr>
                <w:rFonts w:ascii="Times New Roman" w:cs="Times New Roman" w:eastAsia="Times New Roman" w:hAnsi="Times New Roman"/>
                <w:sz w:val="18"/>
                <w:szCs w:val="18"/>
                <w:i w:val="1"/>
                <w:iCs w:val="1"/>
                <w:color w:val="auto"/>
              </w:rPr>
              <w:t>(l)</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59.7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w:t>
            </w:r>
            <w:r>
              <w:rPr>
                <w:rFonts w:ascii="Times New Roman" w:cs="Times New Roman" w:eastAsia="Times New Roman" w:hAnsi="Times New Roman"/>
                <w:sz w:val="18"/>
                <w:szCs w:val="18"/>
                <w:i w:val="1"/>
                <w:iCs w:val="1"/>
                <w:color w:val="auto"/>
              </w:rPr>
              <w:t>(m)</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Boswell Units 1 and 2 Net Plant and Equipment </w:t>
            </w:r>
            <w:r>
              <w:rPr>
                <w:rFonts w:ascii="Times New Roman" w:cs="Times New Roman" w:eastAsia="Times New Roman" w:hAnsi="Times New Roman"/>
                <w:sz w:val="18"/>
                <w:szCs w:val="18"/>
                <w:i w:val="1"/>
                <w:iCs w:val="1"/>
                <w:color w:val="auto"/>
              </w:rPr>
              <w:t>(n)</w:t>
            </w:r>
          </w:p>
        </w:tc>
        <w:tc>
          <w:tcPr>
            <w:tcW w:w="3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Fuel Adjustment Clause </w:t>
            </w:r>
            <w:r>
              <w:rPr>
                <w:rFonts w:ascii="Times New Roman" w:cs="Times New Roman" w:eastAsia="Times New Roman" w:hAnsi="Times New Roman"/>
                <w:sz w:val="18"/>
                <w:szCs w:val="18"/>
                <w:i w:val="1"/>
                <w:iCs w:val="1"/>
                <w:color w:val="auto"/>
              </w:rPr>
              <w:t>(b)</w:t>
            </w:r>
          </w:p>
        </w:tc>
        <w:tc>
          <w:tcPr>
            <w:tcW w:w="3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7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2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Regulatory Liabilities</w:t>
            </w:r>
          </w:p>
        </w:tc>
        <w:tc>
          <w:tcPr>
            <w:tcW w:w="3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$570.5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r>
    </w:tbl>
    <w:p>
      <w:pPr>
        <w:spacing w:after="0" w:line="56"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Current regulatory assets are presented within Prepayments and Other on the Consolidated Balance Sheet.</w:t>
      </w:r>
    </w:p>
    <w:p>
      <w:pPr>
        <w:spacing w:after="0" w:line="19" w:lineRule="exact"/>
        <w:rPr>
          <w:rFonts w:ascii="Times New Roman" w:cs="Times New Roman" w:eastAsia="Times New Roman" w:hAnsi="Times New Roman"/>
          <w:sz w:val="14"/>
          <w:szCs w:val="14"/>
          <w:i w:val="1"/>
          <w:iCs w:val="1"/>
          <w:color w:val="auto"/>
        </w:rPr>
      </w:pPr>
    </w:p>
    <w:p>
      <w:pPr>
        <w:ind w:left="340" w:hanging="332"/>
        <w:spacing w:after="0" w:line="259" w:lineRule="auto"/>
        <w:tabs>
          <w:tab w:leader="none" w:pos="332"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Fuel adjustment clause regulatory assets and liabilities represent the amount expected to be recovered from or refunded to customers for the under- or over-collection of fuel adjustment clause recoveries. (See Fuel Adjustment Clause.)</w:t>
      </w:r>
    </w:p>
    <w:p>
      <w:pPr>
        <w:jc w:val="both"/>
        <w:ind w:left="340" w:hanging="332"/>
        <w:spacing w:after="0" w:line="256" w:lineRule="auto"/>
        <w:tabs>
          <w:tab w:leader="none" w:pos="337"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the Consolidated Balance Sheet. The asset or liability will decrease as the deferred items are amortized and recognized as components of net periodic benefit cost. (See Note 12. Pension and Other Postretirement Benefit Plans.)</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line="259" w:lineRule="auto"/>
        <w:tabs>
          <w:tab w:leader="none" w:pos="332"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costs represent the difference between deferred income taxes recognized for financial reporting purposes and amounts previously billed to our customers. The balances will primarily decrease over the remaining life of the related temporary differences.</w:t>
      </w:r>
    </w:p>
    <w:p>
      <w:pPr>
        <w:ind w:left="320" w:hanging="312"/>
        <w:spacing w:after="0"/>
        <w:tabs>
          <w:tab w:leader="none" w:pos="32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Asset retirement obligations will accrete and be amortized over the lives of the related property with asset retirement obligations.</w:t>
      </w:r>
    </w:p>
    <w:p>
      <w:pPr>
        <w:spacing w:after="0" w:line="14" w:lineRule="exact"/>
        <w:rPr>
          <w:rFonts w:ascii="Times New Roman" w:cs="Times New Roman" w:eastAsia="Times New Roman" w:hAnsi="Times New Roman"/>
          <w:sz w:val="14"/>
          <w:szCs w:val="14"/>
          <w:i w:val="1"/>
          <w:iCs w:val="1"/>
          <w:color w:val="auto"/>
        </w:rPr>
      </w:pPr>
    </w:p>
    <w:p>
      <w:pPr>
        <w:jc w:val="both"/>
        <w:ind w:left="340" w:hanging="332"/>
        <w:spacing w:after="0" w:line="254" w:lineRule="auto"/>
        <w:tabs>
          <w:tab w:leader="none" w:pos="327"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cost recovery rider regulatory assets and liabilities are revenue not yet collected from our customers and cash collections from our customers in excess of the revenue recognized, respectively, primarily due to capital expenditures related to Bison and the GNTL as well as differences between production tax credits recognized and those assumed in Minnesota Power’s base rates. The cost recovery rider regulatory assets as of December 31, 2024, will be recovered within the next two years.</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line="261" w:lineRule="auto"/>
        <w:tabs>
          <w:tab w:leader="none" w:pos="332"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the first quarter of 2023, Minnesota Power retired Taconite Harbor Units 1 and 2. The remaining net book value was reclassified from property, plant and equipment to a regulatory asset on the Consolidated Balance Sheet when the units were retired. Minnesota Power expects to receive recovery of the remaining net book value from customers.</w:t>
      </w:r>
    </w:p>
    <w:p>
      <w:pPr>
        <w:ind w:left="340" w:right="20" w:hanging="332"/>
        <w:spacing w:after="0" w:line="254" w:lineRule="auto"/>
        <w:tabs>
          <w:tab w:leader="none" w:pos="332"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regulatory asset represents costs of remediation for a former manufactured gas plant site located in Superior, Wisconsin, and formerly operated by SWL&amp;P. We expect recovery of these remediation costs to be allowed by the PSCW in rates over time.</w:t>
      </w:r>
    </w:p>
    <w:p>
      <w:pPr>
        <w:ind w:left="320" w:hanging="312"/>
        <w:spacing w:after="0"/>
        <w:tabs>
          <w:tab w:leader="none" w:pos="32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Current regulatory liabilities are presented within Other Current Liabilities on the Consolidated Balance Sheet.</w:t>
      </w:r>
    </w:p>
    <w:p>
      <w:pPr>
        <w:spacing w:after="0" w:line="11" w:lineRule="exact"/>
        <w:rPr>
          <w:rFonts w:ascii="Times New Roman" w:cs="Times New Roman" w:eastAsia="Times New Roman" w:hAnsi="Times New Roman"/>
          <w:sz w:val="14"/>
          <w:szCs w:val="14"/>
          <w:i w:val="1"/>
          <w:iCs w:val="1"/>
          <w:color w:val="auto"/>
        </w:rPr>
      </w:pPr>
    </w:p>
    <w:p>
      <w:pPr>
        <w:ind w:left="340" w:hanging="332"/>
        <w:spacing w:after="0" w:line="261" w:lineRule="auto"/>
        <w:tabs>
          <w:tab w:leader="none" w:pos="327"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Wholesale and retail contra AFUDC represents amortization to offset AFUDC Equity and Debt recorded during the construction period of our cost recovery rider projects prior to placing the projects in service. The regulatory liability will decrease over the remaining depreciable life of the related asset.</w:t>
      </w:r>
    </w:p>
    <w:p>
      <w:pPr>
        <w:ind w:left="320" w:hanging="312"/>
        <w:spacing w:after="0"/>
        <w:tabs>
          <w:tab w:leader="none" w:pos="32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Non-legal plant removal obligations included in retail customer rates that have not yet been incurred.</w:t>
      </w:r>
    </w:p>
    <w:p>
      <w:pPr>
        <w:spacing w:after="0" w:line="14" w:lineRule="exact"/>
        <w:rPr>
          <w:rFonts w:ascii="Times New Roman" w:cs="Times New Roman" w:eastAsia="Times New Roman" w:hAnsi="Times New Roman"/>
          <w:sz w:val="14"/>
          <w:szCs w:val="14"/>
          <w:i w:val="1"/>
          <w:iCs w:val="1"/>
          <w:color w:val="auto"/>
        </w:rPr>
      </w:pPr>
    </w:p>
    <w:p>
      <w:pPr>
        <w:ind w:left="340" w:right="20" w:hanging="332"/>
        <w:spacing w:after="0" w:line="251" w:lineRule="auto"/>
        <w:tabs>
          <w:tab w:leader="none" w:pos="327"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regulatory liability represents the net proceeds from the sale of certain land by Minnesota Power that is expected to be refunded to ratepayers through a future rate case or through its renewable resources rider.</w:t>
      </w:r>
    </w:p>
    <w:p>
      <w:pPr>
        <w:ind w:left="340" w:hanging="332"/>
        <w:spacing w:after="0" w:line="261" w:lineRule="auto"/>
        <w:tabs>
          <w:tab w:leader="none" w:pos="337"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North Dakota and federal investment tax credits expected to be realized from Minnesota Power’s Bison facility and SWL&amp;P’s community solar facility that will be credited to retail customers primarily through future renewable cost recovery rider and rate filings as the tax credits are utilized.</w:t>
      </w:r>
    </w:p>
    <w:p>
      <w:pPr>
        <w:ind w:left="340" w:hanging="332"/>
        <w:spacing w:after="0" w:line="283" w:lineRule="auto"/>
        <w:tabs>
          <w:tab w:leader="none" w:pos="332"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2018, Minnesota Power retired Boswell Units 1 and 2 and reclassified the remaining net book value from property, plant and equipment to a regulatory asset on the Consolidated Balance Sheet. The remaining net book value is currently included in Minnesota Power’s rate base and Minnesota Power is earning a return on the outstanding balance.</w:t>
      </w:r>
    </w:p>
    <w:p>
      <w:pPr>
        <w:sectPr>
          <w:pgSz w:w="11900" w:h="16838" w:orient="portrait"/>
          <w:cols w:equalWidth="0" w:num="1">
            <w:col w:w="11240"/>
          </w:cols>
          <w:pgMar w:left="320" w:top="846" w:right="339" w:bottom="1440"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ALLETE, Inc. 2024 Form 10-K</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NOTE 5.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Activity</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New Energy. </w:t>
      </w:r>
      <w:r>
        <w:rPr>
          <w:rFonts w:ascii="Times New Roman" w:cs="Times New Roman" w:eastAsia="Times New Roman" w:hAnsi="Times New Roman"/>
          <w:sz w:val="18"/>
          <w:szCs w:val="18"/>
          <w:color w:val="auto"/>
        </w:rPr>
        <w:t>On April 15, 2022, a wholly-owned subsidiary of ALLETE acquired 100 percent of the membership interests of New Energy for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$165.5 million. Total consideration of approximately $158.8 million was paid in cash on the acquisition date, which is net of cash acquired and debt assumed. New Energy, which is headquartered in Annapolis, Maryland, is a renewable energy development company with a primary focus on solar and storage facilities while also offering comprehensive operations, maintenance and asset management services. The acquisition of New Energy is consistent with ALLETE’s stated strategy of additional investment in renewable energy and related infrastructure across North America to support the Company’s sustainability-in-action strategy while providing potential long-term earnings growth.</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purchase price was allocated based on the estimated fair values of the assets acquired and the liabilities assumed at the date of acquisition. The allocation of the purchase price, which was finalized in the fourth quarter of 2022, is shown in the following table. Fair value measurements were valued primarily using the discounted cash flow method and replacement cost basis. The goodwill recorded is primarily attributable to the highly skilled workforce of New Energy and synergies expected to arise as a result of the acquisition.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presented separate results of operations since closing or combined pro forma financial information of the Company and New Energy since the beginning of 2021, as the results of operations for New Energy are not material to the Company's consolidated financials.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360" w:type="dxa"/>
            <w:vAlign w:val="bottom"/>
            <w:tcBorders>
              <w:top w:val="single" w:sz="8" w:color="auto"/>
            </w:tcBorders>
          </w:tcPr>
          <w:p>
            <w:pPr>
              <w:spacing w:after="0"/>
              <w:rPr>
                <w:sz w:val="21"/>
                <w:szCs w:val="2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36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Inventory </w:t>
            </w:r>
            <w:r>
              <w:rPr>
                <w:rFonts w:ascii="Times New Roman" w:cs="Times New Roman" w:eastAsia="Times New Roman" w:hAnsi="Times New Roman"/>
                <w:sz w:val="16"/>
                <w:szCs w:val="16"/>
                <w:i w:val="1"/>
                <w:iCs w:val="1"/>
                <w:color w:val="auto"/>
              </w:rPr>
              <w:t>(a)</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6"/>
                <w:szCs w:val="16"/>
                <w:i w:val="1"/>
                <w:iCs w:val="1"/>
                <w:color w:val="auto"/>
              </w:rPr>
              <w:t>(b)</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360" w:type="dxa"/>
            <w:vAlign w:val="bottom"/>
          </w:tcPr>
          <w:p>
            <w:pPr>
              <w:spacing w:after="0"/>
              <w:rPr>
                <w:sz w:val="19"/>
                <w:szCs w:val="19"/>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6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4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r>
    </w:tbl>
    <w:p>
      <w:pPr>
        <w:spacing w:after="0" w:line="92"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$11.6 million of purchase price accounting for certain projects under development at the time of acquisition.</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3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tax purpose, the purchase price allocation resulted in $154.9 million of deductible goodwill.</w:t>
      </w: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Acquisition-related costs were $2.7 million after-tax, expensed as incurred during 2022 and recorded in Operating and Maintenance on the Consolidated Statement of Income.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6. EQUITY INVESTMENTS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Investment in ATC. </w:t>
      </w:r>
      <w:r>
        <w:rPr>
          <w:rFonts w:ascii="Times New Roman" w:cs="Times New Roman" w:eastAsia="Times New Roman" w:hAnsi="Times New Roman"/>
          <w:sz w:val="18"/>
          <w:szCs w:val="18"/>
          <w:color w:val="auto"/>
        </w:rPr>
        <w:t>Our wholly-owned subsidiary, ALLETE Transmission Holdings, owns approximately 8 percent of ATC, a Wisconsin-based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owns and maintains electric transmission assets in portions of Wisconsin, Michigan, Minnesota and Illinois. We account for our investment in ATC under the equity method of accounting. In 2024, we invested $5.8 million in ATC. In total, we expect to invest approximately $18.3 million in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ALLETE’s Investment in ATC</w:t>
            </w:r>
          </w:p>
        </w:tc>
        <w:tc>
          <w:tcPr>
            <w:tcW w:w="3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Beginning Balance</w:t>
            </w:r>
          </w:p>
        </w:tc>
        <w:tc>
          <w:tcPr>
            <w:tcW w:w="3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$179.7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Investments</w:t>
            </w:r>
          </w:p>
        </w:tc>
        <w:tc>
          <w:tcPr>
            <w:tcW w:w="33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ATC Earnings</w:t>
            </w:r>
          </w:p>
        </w:tc>
        <w:tc>
          <w:tcPr>
            <w:tcW w:w="3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26.5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ATC Earnings</w:t>
            </w:r>
          </w:p>
        </w:tc>
        <w:tc>
          <w:tcPr>
            <w:tcW w:w="3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the Remeasurement of Deferred Income Taxes</w:t>
            </w:r>
          </w:p>
        </w:tc>
        <w:tc>
          <w:tcPr>
            <w:tcW w:w="33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Ending Balance</w:t>
            </w:r>
          </w:p>
        </w:tc>
        <w:tc>
          <w:tcPr>
            <w:tcW w:w="3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$194.4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r>
    </w:tbl>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ATC Summarized Financial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0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38"/>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0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9"/>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6,792.6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6,337.0</w:t>
            </w:r>
          </w:p>
        </w:tc>
      </w:tr>
      <w:tr>
        <w:trPr>
          <w:trHeight w:val="223"/>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$6,919.2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$6,452.2</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3,083.4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r>
      <w:tr>
        <w:trPr>
          <w:trHeight w:val="230"/>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40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2,808.4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2,635.1</w:t>
            </w:r>
          </w:p>
        </w:tc>
      </w:tr>
      <w:tr>
        <w:trPr>
          <w:trHeight w:val="223"/>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4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$6,919.2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$6,452.2</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3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$911.3</w:t>
            </w:r>
          </w:p>
        </w:tc>
        <w:tc>
          <w:tcPr>
            <w:tcW w:w="13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$818.9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442.3</w:t>
            </w: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407.6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7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137.8</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131.7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$331.2</w:t>
            </w: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$279.6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23"/>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ALLETE’s Equity in Net Income</w:t>
            </w:r>
          </w:p>
        </w:tc>
        <w:tc>
          <w:tcPr>
            <w:tcW w:w="37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$23.1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ATC’s authorized return on equity was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In August 2022, the U.S. Court of Appeals for the District of Columbia Circuit vacated and remanded the 2020 FERC order back to FERC. As a result of this decision, ATC recorded a reserve in the third quarter of 2022 for anticipated refunds to its customers for approximately $31 million of which our share was approximately $2.4 million pre-tax. On October 17, 2024, FERC ordered a return on equity of 9.98 percent, or 10.48 percent including an incentive adder for participation in a RTO, effective September 28, 2016.</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FERC issued a Notice of Proposed Rulemaking in April 2021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NOTE 6. EQUITY INVESTMENTS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Investment in Nobles 2. </w:t>
      </w:r>
      <w:r>
        <w:rPr>
          <w:rFonts w:ascii="Times New Roman" w:cs="Times New Roman" w:eastAsia="Times New Roman" w:hAnsi="Times New Roman"/>
          <w:sz w:val="18"/>
          <w:szCs w:val="18"/>
          <w:color w:val="auto"/>
        </w:rPr>
        <w:t>Our subsidiary, ALLETE South Wind, owns a 49 percent equity interest in Nobles 2, the entity that owns and operates a 250 MW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 energy facility in southwestern Minnesota pursuant to a 20-year PPA with Minnesota Power. We account for our investment in Nobles 2 under the equity method of accounting.</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ALLETE’s Investment in Nobles 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000" w:type="dxa"/>
            <w:vAlign w:val="bottom"/>
            <w:tcBorders>
              <w:top w:val="single" w:sz="8" w:color="auto"/>
            </w:tcBorders>
          </w:tcPr>
          <w:p>
            <w:pPr>
              <w:spacing w:after="0"/>
              <w:rPr>
                <w:sz w:val="19"/>
                <w:szCs w:val="19"/>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December 31, 2023</w:t>
            </w: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in Nobles 2 Earnings </w:t>
            </w:r>
            <w:r>
              <w:rPr>
                <w:rFonts w:ascii="Times New Roman" w:cs="Times New Roman" w:eastAsia="Times New Roman" w:hAnsi="Times New Roman"/>
                <w:sz w:val="16"/>
                <w:szCs w:val="16"/>
                <w:i w:val="1"/>
                <w:iCs w:val="1"/>
                <w:color w:val="auto"/>
              </w:rPr>
              <w:t>(a)</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Distributed Nobles 2 Earnings</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December 31, 2024</w:t>
            </w: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Company also recorded net loss attributable to non-controlling interest of $11.7 million related to its investment in Nobles 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equity securities.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and fixed income securities.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NOTE 7. FAIR VALUE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our assets and liabilities that were accounted for at fair value on a recurring basis as of December 31, 2024, and December 31, 2023.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430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660" w:type="dxa"/>
            <w:vAlign w:val="bottom"/>
          </w:tcPr>
          <w:p>
            <w:pPr>
              <w:spacing w:after="0"/>
              <w:rPr>
                <w:sz w:val="19"/>
                <w:szCs w:val="19"/>
                <w:color w:val="auto"/>
              </w:rPr>
            </w:pPr>
          </w:p>
        </w:tc>
      </w:tr>
      <w:tr>
        <w:trPr>
          <w:trHeight w:val="238"/>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19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Available-for-sale – Corporate and Governmental Debt Securities </w:t>
            </w:r>
            <w:r>
              <w:rPr>
                <w:rFonts w:ascii="Times New Roman" w:cs="Times New Roman" w:eastAsia="Times New Roman" w:hAnsi="Times New Roman"/>
                <w:sz w:val="16"/>
                <w:szCs w:val="16"/>
                <w:i w:val="1"/>
                <w:iCs w:val="1"/>
                <w:color w:val="auto"/>
              </w:rPr>
              <w:t>(b)</w:t>
            </w: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6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9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8.5</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$17.1</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$6.8</w:t>
            </w:r>
          </w:p>
        </w:tc>
        <w:tc>
          <w:tcPr>
            <w:tcW w:w="12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r>
      <w:tr>
        <w:trPr>
          <w:trHeight w:val="237"/>
        </w:trPr>
        <w:tc>
          <w:tcPr>
            <w:tcW w:w="62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19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$21.1</w:t>
            </w:r>
          </w:p>
        </w:tc>
        <w:tc>
          <w:tcPr>
            <w:tcW w:w="12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$21.1</w:t>
            </w:r>
          </w:p>
        </w:tc>
        <w:tc>
          <w:tcPr>
            <w:tcW w:w="12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r>
    </w:tbl>
    <w:p>
      <w:pPr>
        <w:spacing w:after="0" w:line="6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Assets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right="60" w:hanging="332"/>
        <w:spacing w:after="0" w:line="248" w:lineRule="auto"/>
        <w:tabs>
          <w:tab w:leader="none" w:pos="34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December 31, 2024, the aggregate amount of available-for-sale corporate and governmental debt securities maturing in one year or less was $2.0 million, in one year to less than three years was $2.8 million, in three years to less than five years was $1.5 million and in five or more years was $0.5 million.</w:t>
      </w:r>
    </w:p>
    <w:p>
      <w:pPr>
        <w:spacing w:after="0" w:line="1"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Liabilities on the Consolidated Balance Sheet.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19"/>
                <w:szCs w:val="19"/>
                <w:color w:val="auto"/>
              </w:rPr>
            </w:pPr>
          </w:p>
        </w:tc>
        <w:tc>
          <w:tcPr>
            <w:tcW w:w="440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tc>
        <w:tc>
          <w:tcPr>
            <w:tcW w:w="660" w:type="dxa"/>
            <w:vAlign w:val="bottom"/>
          </w:tcPr>
          <w:p>
            <w:pPr>
              <w:spacing w:after="0"/>
              <w:rPr>
                <w:sz w:val="19"/>
                <w:szCs w:val="19"/>
                <w:color w:val="auto"/>
              </w:rPr>
            </w:pPr>
          </w:p>
        </w:tc>
      </w:tr>
      <w:tr>
        <w:trPr>
          <w:trHeight w:val="238"/>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2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2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2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$8.7</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 Corporate and Governmental Debt Securities</w:t>
            </w: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c>
          <w:tcPr>
            <w:tcW w:w="1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c>
          <w:tcPr>
            <w:tcW w:w="12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r>
      <w:tr>
        <w:trPr>
          <w:trHeight w:val="237"/>
        </w:trPr>
        <w:tc>
          <w:tcPr>
            <w:tcW w:w="6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Liabilities: </w:t>
            </w:r>
            <w:r>
              <w:rPr>
                <w:rFonts w:ascii="Times New Roman" w:cs="Times New Roman" w:eastAsia="Times New Roman" w:hAnsi="Times New Roman"/>
                <w:sz w:val="16"/>
                <w:szCs w:val="16"/>
                <w:i w:val="1"/>
                <w:iCs w:val="1"/>
                <w:color w:val="auto"/>
              </w:rPr>
              <w:t>(b)</w:t>
            </w:r>
          </w:p>
        </w:tc>
        <w:tc>
          <w:tcPr>
            <w:tcW w:w="2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2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r>
    </w:tbl>
    <w:p>
      <w:pPr>
        <w:spacing w:after="0" w:line="6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Assets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Liabilities on the Consolidated Balance Sheet.</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transfers in and transfers out of levels as of the actual date of the event or change in circumstances that caused the transfer. For the years ended December 31, 2024 and 2023, there were no transfers in or out of Levels 1, 2 or 3.</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With the exception of the item listed in the following table, the estimated fair value of all financial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approximates the carrying amount. The fair value for the item listed in the following table was based on quoted market prices for the same or similar instruments (Level 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FAIR VALUE (Continued)</w:t>
            </w:r>
          </w:p>
        </w:tc>
        <w:tc>
          <w:tcPr>
            <w:tcW w:w="4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4220" w:type="dxa"/>
            <w:vAlign w:val="bottom"/>
            <w:tcBorders>
              <w:bottom w:val="single" w:sz="8" w:color="auto"/>
            </w:tcBorders>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Carrying Amount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4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42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$1,808.0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$1,668.0</w:t>
            </w:r>
          </w:p>
        </w:tc>
      </w:tr>
      <w:tr>
        <w:trPr>
          <w:trHeight w:val="229"/>
        </w:trPr>
        <w:tc>
          <w:tcPr>
            <w:tcW w:w="5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4220" w:type="dxa"/>
            <w:vAlign w:val="bottom"/>
            <w:tcBorders>
              <w:bottom w:val="single" w:sz="8" w:color="auto"/>
            </w:tcBorders>
            <w:shd w:val="clear" w:color="auto" w:fill="CCEEFF"/>
          </w:tcPr>
          <w:p>
            <w:pPr>
              <w:jc w:val="center"/>
              <w:ind w:left="1890"/>
              <w:spacing w:after="0"/>
              <w:rPr>
                <w:sz w:val="20"/>
                <w:szCs w:val="20"/>
                <w:color w:val="auto"/>
              </w:rPr>
            </w:pPr>
            <w:r>
              <w:rPr>
                <w:rFonts w:ascii="Times New Roman" w:cs="Times New Roman" w:eastAsia="Times New Roman" w:hAnsi="Times New Roman"/>
                <w:sz w:val="18"/>
                <w:szCs w:val="18"/>
                <w:color w:val="auto"/>
              </w:rPr>
              <w:t>$1,799.4</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$1,670.6</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 Excludes unamortized debt issuance costs.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Assets and Liabilities Measured at Fair Value on a Nonrecurring Basis. </w:t>
      </w:r>
      <w:r>
        <w:rPr>
          <w:rFonts w:ascii="Times New Roman" w:cs="Times New Roman" w:eastAsia="Times New Roman" w:hAnsi="Times New Roman"/>
          <w:sz w:val="18"/>
          <w:szCs w:val="18"/>
          <w:color w:val="auto"/>
        </w:rPr>
        <w:t>Non-financial assets such as equity method investments, goodwill,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property, plant and equipment are measured at fair value when there is an indicator of impairment and recorded at fair value only when an impairment is recognized.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Method Investments. </w:t>
      </w:r>
      <w:r>
        <w:rPr>
          <w:rFonts w:ascii="Times New Roman" w:cs="Times New Roman" w:eastAsia="Times New Roman" w:hAnsi="Times New Roman"/>
          <w:sz w:val="18"/>
          <w:szCs w:val="18"/>
          <w:color w:val="auto"/>
        </w:rPr>
        <w:t>The aggregate carrying amount of our equity investments was $340.1 million as of December 31, 2024 ($331.2 million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The Company assesses our equity investments in ATC and Nobles 2 for impairment whenever events or changes in circumstances indicate that the carrying amount of our investments may not be recoverable. For the years ended December 31, 2024 and 2023, there were no indicators of impairment. (See Note 6. Equity Investments.)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Company assesses the impairment of goodwill annually in the fourth quarter and whenever an event occurs or circumstances change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indicate that the carrying amount may be impaired. The Company’s goodwill is a result of the New Energy acquisition in 2022. (See Note 1. Operations and Significant Accounting Policies and Note 5. Acquisitions.) The aggregate carrying amount of goodwill was $154.9 million as of December 31, 2024.</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The Company assesses the impairment of property, plant, and equipment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amount of property, plant, and equipment assets may not be recoverable. (See Note 1. Operations and Significant Accounting Policies.) For the years ended December 31, 2024, and 2023, there was no impairment of property, plant, and equipment.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long-standing ratemaking practices approved by applicable state and federal regulatory commissions allow for the recovery of the remaining book value of retired plant assets. The MPUC order for Minnesota Power’s 2015 IRP directed Minnesota Power to retire Boswell Units 1 and 2, which occurred in the fourth quarter of 2018. As part of the 2016 general retail rate case, the MPUC allowed recovery of the remaining book value of Boswell Units 1 and 2 through 2022. Minnesota Power’s latest IRP, which was approved by the MPUC in an order dated January 9, 2023, includes ceasing coal operations at Boswell Units 3 and 4 by 2030 and 2035, respectively. Boswell Unit 3 and Unit 4 have a net book value of approximately $220 million and $395 million, respectively, as of December 31, 2024. (See Note 4. Regulatory Matters.) Minnesota Power also retired Taconite Harbor in the first quarter of 2023 consistent with its latest IRP. As part of the 2022 general retail rate case, the MPUC allowed recovery of the remaining book value of Taconite Harbor through 2026.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NOTE 8. SHORT-TERM AND LONG-TERM DEBT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Debt. </w:t>
      </w:r>
      <w:r>
        <w:rPr>
          <w:rFonts w:ascii="Times New Roman" w:cs="Times New Roman" w:eastAsia="Times New Roman" w:hAnsi="Times New Roman"/>
          <w:sz w:val="18"/>
          <w:szCs w:val="18"/>
          <w:color w:val="auto"/>
        </w:rPr>
        <w:t>As of December 31, 2024, total short-term debt outstanding was $94.7 million ($111.4 million as of December 31, 2023), and consisted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long-term debt due within one year and included no unamortized debt issuance costs.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consolidated bank lines of credit aggregating to $362.0 million ($423.1 million as of December 31, 2023), most of which expire in January 2027. We had $16.2 million outstanding in standby letters of credit and $20.0 million outstanding draws under our lines of credit as of December 31, 2024 ($19.4 million in standby letters of credit and $34.1 million outstanding draws as of December 31, 2023).</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As of December 31, 2024, total long-term debt outstanding was $1,704.7 million ($1,679.9 million as of December 31,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$8.6 million of unamortized debt issuance costs. The aggregate amount of long-term debt maturing in 2025 is $94.7 million; $80.2 million in 2026; $182.5 million in 2027; $55.8 million in 2028; $220.3 million in 2029; and $1,174.5 million thereafter. Substantially all of our regulated electric plant is subject to the lien of the mortgages collateralizing outstanding first mortgage bonds. The mortgages contain non-financial covenants customary in utility mortgages, including restrictions on our ability to incur liens, dispose of assets, and merge with other entities.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is obligated to make financing payments for the Camp Ripley solar array totaling $1.4 million annually during the financing term, which expires in 2027. Minnesota Power has the option at the end of the financing term to renew for a two-year term, or to purchase the solar array for approximately $4 million. Minnesota Power anticipates exercising the purchase option when the term expires.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2024, ALLETE issued $100 million of its First Mortgage Bonds (Bonds) to certain institutional buyers in the private placement market. The Bonds, which bear interest at 5.72 percent, will mature on April 30, 2039 and pay interest semi-annually in April and October of each year, commencing on October 30, 2024. ALLETE has the option to prepay all or a portion of the Bonds at its discretion, subject to a make-whole provision. The Bonds are subject to additional terms and conditions which are customary for these types of transactions. Proceeds from the sale of the Bonds were used to refinance existing indebtedness and for general corporate purposes. The Bonds were sold in reliance on an exemption from registration under Section 4(a)(2) of the Securities Act of 1933, as amended, to institutional accredited investors.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2024, ALLETE issued a notice to the holders of its 2.65 percent senior notes due September 10, 2025, (“2025 Notes”) regarding the Company’s exercise of its option to prepay all of the issued and outstanding 2025 Notes. ALLETE prepaid all $150 million in aggregate principal amount of the 2025 Notes on September 5, 2024. The 2025 Notes were prepaid at 100 percent of their principal amount, plus accrued and unpaid interest.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2024, ALLETE issued and sold $150 million of senior unsecured notes (“Notes”) to certain institutional buyers in the private placement market. The Notes were sold in reliance on an exemption from registration under Section 4(a)(2) of the Securities Act of 1933, as amended, to institutional accredited investors. Of the Notes issued and sold, $100 million of the Notes bear interest at a rate of 5.94 percent and mature on September 5, 2029, and $50 million of the Notes bear interest at a rate of 6.18 percent and mature on September 5, 2034. Interest on the Notes will be payable semi-annually on March 5 and September 5 of each year, commencing on March 5, 2025. The Company has the option to prepay all or a portion of the Notes at its discretion, subject to a make-whole provision. The Notes are subject to additional terms and conditions which are customary for these types of transactions. Proceeds from the sale of the Notes were used for refinancing of debt and general corporate purposes.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we may incur certain forms of indebtedness only with the written consent of Alloy Parent. (See Note 15. Agreement and Plan of Merger.)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NOTE 8. SHORT-TERM AND LONG-TERM DEBT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(Continued)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Mortgage Bonds</w:t>
            </w:r>
          </w:p>
        </w:tc>
        <w:tc>
          <w:tcPr>
            <w:tcW w:w="2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3.69% Series Due 2024</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4.90% Series Due 2025</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5.10% Series Due 2025</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3.20% Series Due 2026</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5.99% Series Due 2027</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3.30% Series Due 2028</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4.08% Series Due 2029</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3.74% Series Due 2029</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2.50% Series Due 2030</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3.86% Series Due 2030</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2.79% Series Due 2031</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4.54% Series Due 2032</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4.98% Series Due 2033</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125.0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5.69% Series Due 2036</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5.72% Series Due 2039</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6.00% Series Due 2040</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5.82% Series Due 2040</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4.08% Series Due 2042</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4.21% Series Due 2043</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4.95% Series Due 2044</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5.05% Series Due 2044</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4.39% Series Due 2044</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4.07% Series Due 2048</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9"/>
              </w:rPr>
              <w:t>4.47% Series Due 2049</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20" w:type="dxa"/>
            <w:vAlign w:val="bottom"/>
          </w:tcPr>
          <w:p>
            <w:pPr>
              <w:jc w:val="center"/>
              <w:ind w:right="6150"/>
              <w:spacing w:after="0"/>
              <w:rPr>
                <w:sz w:val="20"/>
                <w:szCs w:val="20"/>
                <w:color w:val="auto"/>
              </w:rPr>
            </w:pPr>
            <w:r>
              <w:rPr>
                <w:rFonts w:ascii="Times New Roman" w:cs="Times New Roman" w:eastAsia="Times New Roman" w:hAnsi="Times New Roman"/>
                <w:sz w:val="18"/>
                <w:szCs w:val="18"/>
                <w:color w:val="auto"/>
                <w:w w:val="99"/>
              </w:rPr>
              <w:t>3.30% Series Due 2050</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94.0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Armenia Mountain Senior Secured Notes 3.26% Due 2024</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Variable Rate Demand Refunding Revenue Bonds Series 2006, Due 2025</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Variable Rate Due 2027</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2.65% Due 2025</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3.11% Due 2027</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5.94% Due 2029</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6.18% Due 2034</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SWL&amp;P First Mortgage Bonds 4.15% Series Due 2028</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SWL&amp;P First Mortgage Bonds 4.14% Series Due 2048</w:t>
            </w:r>
          </w:p>
        </w:tc>
        <w:tc>
          <w:tcPr>
            <w:tcW w:w="2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2024 Weighted Average Rate 4.47% Due 2025 – 2051</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53.2</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95.1</w:t>
            </w: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1,799.4</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1,791.3</w:t>
            </w:r>
          </w:p>
        </w:tc>
      </w:tr>
      <w:tr>
        <w:trPr>
          <w:trHeight w:val="230"/>
        </w:trPr>
        <w:tc>
          <w:tcPr>
            <w:tcW w:w="8220" w:type="dxa"/>
            <w:vAlign w:val="bottom"/>
            <w:tcBorders>
              <w:bottom w:val="single" w:sz="8" w:color="auto"/>
            </w:tcBorders>
            <w:shd w:val="clear" w:color="auto" w:fill="CCEEFF"/>
          </w:tcPr>
          <w:p>
            <w:pPr>
              <w:jc w:val="center"/>
              <w:ind w:right="6110"/>
              <w:spacing w:after="0"/>
              <w:rPr>
                <w:sz w:val="20"/>
                <w:szCs w:val="20"/>
                <w:color w:val="auto"/>
              </w:rPr>
            </w:pPr>
            <w:r>
              <w:rPr>
                <w:rFonts w:ascii="Times New Roman" w:cs="Times New Roman" w:eastAsia="Times New Roman" w:hAnsi="Times New Roman"/>
                <w:sz w:val="18"/>
                <w:szCs w:val="18"/>
                <w:color w:val="auto"/>
                <w:w w:val="98"/>
              </w:rPr>
              <w:t>Less: Due Within One Year</w:t>
            </w:r>
          </w:p>
        </w:tc>
        <w:tc>
          <w:tcPr>
            <w:tcW w:w="2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94.7</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111.4</w:t>
            </w:r>
          </w:p>
        </w:tc>
      </w:tr>
      <w:tr>
        <w:trPr>
          <w:trHeight w:val="223"/>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Long-Term Debt</w:t>
            </w:r>
          </w:p>
        </w:tc>
        <w:tc>
          <w:tcPr>
            <w:tcW w:w="2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$1,704.7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$1,679.9</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NOTE 8. SHORT-TERM AND LONG-TERM DEBT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(Continued)</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Our long-term debt arrangements contain customary covenants. In addition, our lines of credit and letters of credit supporting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December 31, 2024, our ratio was approximately 0.36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however, under the Merger Agreement, the Company has agreed not to declare or pay dividends except for quarterly cash dividends payable by us in respect of shares of our common stock on a schedule consistent with our past practices in an amount not to exceed 5 percent per share more than the dividend payable during the prior 12-month period, subject to certain other exceptions. (See Note 15. Agreement and Plan of Merger.) As of December 31, 2024, ALLETE was in compliance with its financial covenants.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GUARANTEES AND CONTINGENCIES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estimated minimum payments for certain long-term commitments as of December 31,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Purchase Obligations</w:t>
            </w:r>
          </w:p>
        </w:tc>
        <w:tc>
          <w:tcPr>
            <w:tcW w:w="2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$192.9</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$37.4</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$91.8</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$59.8</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Easements </w:t>
            </w:r>
            <w:r>
              <w:rPr>
                <w:rFonts w:ascii="Times New Roman" w:cs="Times New Roman" w:eastAsia="Times New Roman" w:hAnsi="Times New Roman"/>
                <w:sz w:val="16"/>
                <w:szCs w:val="16"/>
                <w:i w:val="1"/>
                <w:iCs w:val="1"/>
                <w:color w:val="auto"/>
              </w:rPr>
              <w:t>(a)</w:t>
            </w:r>
          </w:p>
        </w:tc>
        <w:tc>
          <w:tcPr>
            <w:tcW w:w="2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$27.2</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$8.4</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PPAs </w:t>
            </w:r>
            <w:r>
              <w:rPr>
                <w:rFonts w:ascii="Times New Roman" w:cs="Times New Roman" w:eastAsia="Times New Roman" w:hAnsi="Times New Roman"/>
                <w:sz w:val="16"/>
                <w:szCs w:val="16"/>
                <w:i w:val="1"/>
                <w:iCs w:val="1"/>
                <w:color w:val="auto"/>
              </w:rPr>
              <w:t>(b)</w:t>
            </w:r>
          </w:p>
        </w:tc>
        <w:tc>
          <w:tcPr>
            <w:tcW w:w="2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$134.6</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$136.0</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$130.1</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$133.3</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$134.1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Purchase Obligations </w:t>
            </w:r>
            <w:r>
              <w:rPr>
                <w:rFonts w:ascii="Times New Roman" w:cs="Times New Roman" w:eastAsia="Times New Roman" w:hAnsi="Times New Roman"/>
                <w:sz w:val="16"/>
                <w:szCs w:val="16"/>
                <w:i w:val="1"/>
                <w:iCs w:val="1"/>
                <w:color w:val="auto"/>
              </w:rPr>
              <w:t>(c)</w:t>
            </w:r>
          </w:p>
        </w:tc>
        <w:tc>
          <w:tcPr>
            <w:tcW w:w="2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$31.8</w:t>
            </w: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9"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Easement obligations represent the minimum payments for our land easement agreements at our wind energy facilities.</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Does not include the Oliver Wind I, Oliver Wind II or Nobles 2 PPAs, as Minnesota Power only pays for energy as it is delivered. (See Power Purchase Agreements.)</w:t>
      </w:r>
    </w:p>
    <w:p>
      <w:pPr>
        <w:spacing w:after="0" w:line="5"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3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Consists of long-term service agreements for wind energy facilities and minimum purchase commitments under coal and rail contracts.</w:t>
      </w: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Power Purchase and Sales Agreements. </w:t>
      </w:r>
      <w:r>
        <w:rPr>
          <w:rFonts w:ascii="Times New Roman" w:cs="Times New Roman" w:eastAsia="Times New Roman" w:hAnsi="Times New Roman"/>
          <w:sz w:val="18"/>
          <w:szCs w:val="18"/>
          <w:color w:val="auto"/>
        </w:rPr>
        <w:t>Our long-term PPAs have been evaluated under the accounting guidance for variable interest entities.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agreements have also been evaluated under the accounting guidance for derivatives. We have determined that either these agreements are not derivatives, or, if they are derivatives, these agreements qualify for the normal purchases and normal sales exception to derivative accounting guidance; therefore, derivative accounting is not required.</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Square Butte PPA. </w:t>
      </w:r>
      <w:r>
        <w:rPr>
          <w:rFonts w:ascii="Times New Roman" w:cs="Times New Roman" w:eastAsia="Times New Roman" w:hAnsi="Times New Roman"/>
          <w:sz w:val="18"/>
          <w:szCs w:val="18"/>
          <w:color w:val="auto"/>
        </w:rPr>
        <w:t>Minnesota Power has a PPA with Square Butte that extends through 2026 (Agreement). Minnesota Power is obligated to pay its pro rata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Square Butte’s costs based on its entitlement to the output of Square Butte’s 455 MW coal fired generating unit. Minnesota Power’s output entitlement under the Agreement is 50 percent for the remainder of the Agreement, subject to the provisions of the Minnkota Power PSA described in the following table.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2024, Square Butte had total debt outstanding of $168.9 million. Annual debt service for Square Butte is expected to be approximately $30.6 million in 2025 and $32.1 million in 2026 of which Minnesota Power’s obligation is 50 percent. Fuel expenses are recoverable through Minnesota Power’s fuel adjustment clause and include the cost of coal purchased from BNI Energy under a long-term contract.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NOTE 9.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Purchase and Sales Agreements (Continued)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Power’s cost of power purchased from Square Butte during 2024 was $87.7 million ($86.2 million in 2023; $82.7 million in 2022). This reflects Minnesota Power’s pro rata share of total Square Butte costs based on the 50 percent output entitlement. Included in this amount was Minnesota Power’s pro rata share of interest expense of $4.9 million in 2024 ($5.5 million in 2023; $5.1 million in 2022). Minnesota Power’s payments to Square Butte are approved as a purchased power expense for ratemaking purposes by both the MPUC and the FERC.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 has also entered into the following long-term PPAs for the purchase of capacity and energy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Counterparty</w:t>
            </w:r>
          </w:p>
        </w:tc>
        <w:tc>
          <w:tcPr>
            <w:tcW w:w="144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w w:val="98"/>
              </w:rPr>
              <w:t>Quantity</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Commencement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PPAs</w:t>
            </w: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Calpine Corporation</w:t>
            </w:r>
          </w:p>
        </w:tc>
        <w:tc>
          <w:tcPr>
            <w:tcW w:w="14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rPr>
              <w:t>25 MW</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Capacity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2019</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Fixed</w:t>
            </w:r>
          </w:p>
        </w:tc>
      </w:tr>
      <w:tr>
        <w:trPr>
          <w:trHeight w:val="229"/>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Manitoba Hydro</w:t>
            </w: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PPA 1</w:t>
            </w:r>
          </w:p>
        </w:tc>
        <w:tc>
          <w:tcPr>
            <w:tcW w:w="14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9"/>
              </w:rPr>
              <w:t>250 MW</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Capacity / Energy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2035</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(a)</w:t>
            </w:r>
          </w:p>
        </w:tc>
      </w:tr>
      <w:tr>
        <w:trPr>
          <w:trHeight w:val="229"/>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PPA 2</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99"/>
              </w:rPr>
              <w:t>133 MW</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2040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Forward Market Prices</w:t>
            </w:r>
          </w:p>
        </w:tc>
      </w:tr>
      <w:tr>
        <w:trPr>
          <w:trHeight w:val="23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Nobles 2</w:t>
            </w:r>
          </w:p>
        </w:tc>
        <w:tc>
          <w:tcPr>
            <w:tcW w:w="14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9"/>
              </w:rPr>
              <w:t>250 MW</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Capacity / Energy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2040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Fixed</w:t>
            </w:r>
          </w:p>
        </w:tc>
      </w:tr>
      <w:tr>
        <w:trPr>
          <w:trHeight w:val="229"/>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Oliver Wind I</w:t>
            </w:r>
          </w:p>
        </w:tc>
        <w:tc>
          <w:tcPr>
            <w:tcW w:w="1440" w:type="dxa"/>
            <w:vAlign w:val="bottom"/>
          </w:tcPr>
          <w:p>
            <w:pPr>
              <w:jc w:val="center"/>
              <w:ind w:left="293"/>
              <w:spacing w:after="0"/>
              <w:rPr>
                <w:sz w:val="20"/>
                <w:szCs w:val="20"/>
                <w:color w:val="auto"/>
              </w:rPr>
            </w:pPr>
            <w:r>
              <w:rPr>
                <w:rFonts w:ascii="Times New Roman" w:cs="Times New Roman" w:eastAsia="Times New Roman" w:hAnsi="Times New Roman"/>
                <w:sz w:val="16"/>
                <w:szCs w:val="16"/>
                <w:i w:val="1"/>
                <w:iCs w:val="1"/>
                <w:color w:val="auto"/>
                <w:w w:val="96"/>
              </w:rPr>
              <w:t>(b)</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2006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2040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Fixed</w:t>
            </w:r>
          </w:p>
        </w:tc>
      </w:tr>
      <w:tr>
        <w:trPr>
          <w:trHeight w:val="229"/>
        </w:trPr>
        <w:tc>
          <w:tcPr>
            <w:tcW w:w="2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Oliver Wind II</w:t>
            </w:r>
          </w:p>
        </w:tc>
        <w:tc>
          <w:tcPr>
            <w:tcW w:w="1440" w:type="dxa"/>
            <w:vAlign w:val="bottom"/>
            <w:tcBorders>
              <w:bottom w:val="single" w:sz="8" w:color="auto"/>
            </w:tcBorders>
            <w:shd w:val="clear" w:color="auto" w:fill="CCEEFF"/>
          </w:tcPr>
          <w:p>
            <w:pPr>
              <w:jc w:val="center"/>
              <w:ind w:left="293"/>
              <w:spacing w:after="0"/>
              <w:rPr>
                <w:sz w:val="20"/>
                <w:szCs w:val="20"/>
                <w:color w:val="auto"/>
              </w:rPr>
            </w:pPr>
            <w:r>
              <w:rPr>
                <w:rFonts w:ascii="Times New Roman" w:cs="Times New Roman" w:eastAsia="Times New Roman" w:hAnsi="Times New Roman"/>
                <w:sz w:val="16"/>
                <w:szCs w:val="16"/>
                <w:i w:val="1"/>
                <w:iCs w:val="1"/>
                <w:color w:val="auto"/>
                <w:w w:val="96"/>
              </w:rPr>
              <w:t>(b)</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2007</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2040</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Fixed</w:t>
            </w:r>
          </w:p>
        </w:tc>
      </w:tr>
    </w:tbl>
    <w:p>
      <w:pPr>
        <w:spacing w:after="0" w:line="133" w:lineRule="exact"/>
        <w:rPr>
          <w:sz w:val="20"/>
          <w:szCs w:val="20"/>
          <w:color w:val="auto"/>
        </w:rPr>
      </w:pPr>
    </w:p>
    <w:p>
      <w:pPr>
        <w:ind w:left="340" w:hanging="332"/>
        <w:spacing w:after="0" w:line="261" w:lineRule="auto"/>
        <w:tabs>
          <w:tab w:leader="none" w:pos="340" w:val="left"/>
        </w:tabs>
        <w:numPr>
          <w:ilvl w:val="0"/>
          <w:numId w:val="3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capacity price was adjusted annually until 2020 by the change in a governmental inflationary index. The energy price is based on a formula that includes an annual fixed component adjusted for the change in a governmental inflationary index and a natural gas index, as well as market prices.</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3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PPAs provide for the purchase of all output from the 50 MW Oliver Wind I and 48 MW Oliver Wind II wind energy facilities.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 has also entered into the following long-term PSAs for the sale of capacity and energy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Counterparty</w:t>
            </w:r>
          </w:p>
        </w:tc>
        <w:tc>
          <w:tcPr>
            <w:tcW w:w="134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b w:val="1"/>
                <w:bCs w:val="1"/>
                <w:color w:val="auto"/>
                <w:w w:val="98"/>
              </w:rPr>
              <w:t>Quantity</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Commencement</w:t>
            </w:r>
          </w:p>
        </w:tc>
        <w:tc>
          <w:tcPr>
            <w:tcW w:w="1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8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Pricing</w:t>
            </w:r>
          </w:p>
        </w:tc>
      </w:tr>
      <w:tr>
        <w:trPr>
          <w:trHeight w:val="22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PSAs</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Basin</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2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PSA 1</w:t>
            </w:r>
          </w:p>
        </w:tc>
        <w:tc>
          <w:tcPr>
            <w:tcW w:w="1340" w:type="dxa"/>
            <w:vAlign w:val="bottom"/>
          </w:tcPr>
          <w:p>
            <w:pPr>
              <w:jc w:val="center"/>
              <w:ind w:left="214"/>
              <w:spacing w:after="0"/>
              <w:rPr>
                <w:sz w:val="20"/>
                <w:szCs w:val="20"/>
                <w:color w:val="auto"/>
              </w:rPr>
            </w:pPr>
            <w:r>
              <w:rPr>
                <w:rFonts w:ascii="Times New Roman" w:cs="Times New Roman" w:eastAsia="Times New Roman" w:hAnsi="Times New Roman"/>
                <w:sz w:val="16"/>
                <w:szCs w:val="16"/>
                <w:i w:val="1"/>
                <w:iCs w:val="1"/>
                <w:color w:val="auto"/>
              </w:rPr>
              <w:t>(a)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Capacity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18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May 2025</w:t>
            </w:r>
          </w:p>
        </w:tc>
        <w:tc>
          <w:tcPr>
            <w:tcW w:w="1880" w:type="dxa"/>
            <w:vAlign w:val="bottom"/>
          </w:tcPr>
          <w:p>
            <w:pPr>
              <w:jc w:val="center"/>
              <w:ind w:right="214"/>
              <w:spacing w:after="0"/>
              <w:rPr>
                <w:sz w:val="20"/>
                <w:szCs w:val="20"/>
                <w:color w:val="auto"/>
              </w:rPr>
            </w:pPr>
            <w:r>
              <w:rPr>
                <w:rFonts w:ascii="Times New Roman" w:cs="Times New Roman" w:eastAsia="Times New Roman" w:hAnsi="Times New Roman"/>
                <w:sz w:val="18"/>
                <w:szCs w:val="18"/>
                <w:color w:val="auto"/>
              </w:rPr>
              <w:t>Fixed</w:t>
            </w:r>
          </w:p>
        </w:tc>
      </w:tr>
      <w:tr>
        <w:trPr>
          <w:trHeight w:val="230"/>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PSA 2</w:t>
            </w:r>
          </w:p>
        </w:tc>
        <w:tc>
          <w:tcPr>
            <w:tcW w:w="1340" w:type="dxa"/>
            <w:vAlign w:val="bottom"/>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w w:val="99"/>
              </w:rPr>
              <w:t>100 MW</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Capacity</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184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May 2028</w:t>
            </w:r>
          </w:p>
        </w:tc>
        <w:tc>
          <w:tcPr>
            <w:tcW w:w="1880" w:type="dxa"/>
            <w:vAlign w:val="bottom"/>
            <w:shd w:val="clear" w:color="auto" w:fill="CCEEFF"/>
          </w:tcPr>
          <w:p>
            <w:pPr>
              <w:jc w:val="center"/>
              <w:ind w:right="214"/>
              <w:spacing w:after="0"/>
              <w:rPr>
                <w:sz w:val="20"/>
                <w:szCs w:val="20"/>
                <w:color w:val="auto"/>
              </w:rPr>
            </w:pPr>
            <w:r>
              <w:rPr>
                <w:rFonts w:ascii="Times New Roman" w:cs="Times New Roman" w:eastAsia="Times New Roman" w:hAnsi="Times New Roman"/>
                <w:sz w:val="18"/>
                <w:szCs w:val="18"/>
                <w:color w:val="auto"/>
              </w:rPr>
              <w:t>Fixed</w:t>
            </w:r>
          </w:p>
        </w:tc>
      </w:tr>
      <w:tr>
        <w:trPr>
          <w:trHeight w:val="230"/>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Great River Energy</w:t>
            </w:r>
          </w:p>
        </w:tc>
        <w:tc>
          <w:tcPr>
            <w:tcW w:w="13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9"/>
              </w:rPr>
              <w:t>100 MW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Capacity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18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May 2025</w:t>
            </w:r>
          </w:p>
        </w:tc>
        <w:tc>
          <w:tcPr>
            <w:tcW w:w="1880" w:type="dxa"/>
            <w:vAlign w:val="bottom"/>
          </w:tcPr>
          <w:p>
            <w:pPr>
              <w:jc w:val="center"/>
              <w:ind w:right="214"/>
              <w:spacing w:after="0"/>
              <w:rPr>
                <w:sz w:val="20"/>
                <w:szCs w:val="20"/>
                <w:color w:val="auto"/>
              </w:rPr>
            </w:pPr>
            <w:r>
              <w:rPr>
                <w:rFonts w:ascii="Times New Roman" w:cs="Times New Roman" w:eastAsia="Times New Roman" w:hAnsi="Times New Roman"/>
                <w:sz w:val="16"/>
                <w:szCs w:val="16"/>
                <w:color w:val="auto"/>
              </w:rPr>
              <w:t>Fixed</w:t>
            </w: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Minnkota Power</w:t>
            </w:r>
          </w:p>
        </w:tc>
        <w:tc>
          <w:tcPr>
            <w:tcW w:w="1340" w:type="dxa"/>
            <w:vAlign w:val="bottom"/>
            <w:shd w:val="clear" w:color="auto" w:fill="CCEEFF"/>
          </w:tcPr>
          <w:p>
            <w:pPr>
              <w:jc w:val="center"/>
              <w:ind w:left="214"/>
              <w:spacing w:after="0"/>
              <w:rPr>
                <w:sz w:val="20"/>
                <w:szCs w:val="20"/>
                <w:color w:val="auto"/>
              </w:rPr>
            </w:pPr>
            <w:r>
              <w:rPr>
                <w:rFonts w:ascii="Times New Roman" w:cs="Times New Roman" w:eastAsia="Times New Roman" w:hAnsi="Times New Roman"/>
                <w:sz w:val="16"/>
                <w:szCs w:val="16"/>
                <w:i w:val="1"/>
                <w:iCs w:val="1"/>
                <w:color w:val="auto"/>
              </w:rPr>
              <w:t>(b)</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Capacity / Energy</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2014</w:t>
            </w:r>
          </w:p>
        </w:tc>
        <w:tc>
          <w:tcPr>
            <w:tcW w:w="184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December 2026</w:t>
            </w:r>
          </w:p>
        </w:tc>
        <w:tc>
          <w:tcPr>
            <w:tcW w:w="1880" w:type="dxa"/>
            <w:vAlign w:val="bottom"/>
            <w:shd w:val="clear" w:color="auto" w:fill="CCEEFF"/>
          </w:tcPr>
          <w:p>
            <w:pPr>
              <w:jc w:val="center"/>
              <w:ind w:right="214"/>
              <w:spacing w:after="0"/>
              <w:rPr>
                <w:sz w:val="20"/>
                <w:szCs w:val="20"/>
                <w:color w:val="auto"/>
              </w:rPr>
            </w:pPr>
            <w:r>
              <w:rPr>
                <w:rFonts w:ascii="Times New Roman" w:cs="Times New Roman" w:eastAsia="Times New Roman" w:hAnsi="Times New Roman"/>
                <w:sz w:val="16"/>
                <w:szCs w:val="16"/>
                <w:i w:val="1"/>
                <w:iCs w:val="1"/>
                <w:color w:val="auto"/>
                <w:w w:val="96"/>
              </w:rPr>
              <w:t>(b)</w:t>
            </w:r>
          </w:p>
        </w:tc>
      </w:tr>
      <w:tr>
        <w:trPr>
          <w:trHeight w:val="229"/>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Oconto Electric Cooperative</w:t>
            </w:r>
          </w:p>
        </w:tc>
        <w:tc>
          <w:tcPr>
            <w:tcW w:w="13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25 MW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Capacity / Energy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2019</w:t>
            </w:r>
          </w:p>
        </w:tc>
        <w:tc>
          <w:tcPr>
            <w:tcW w:w="18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May 2026</w:t>
            </w:r>
          </w:p>
        </w:tc>
        <w:tc>
          <w:tcPr>
            <w:tcW w:w="1880" w:type="dxa"/>
            <w:vAlign w:val="bottom"/>
          </w:tcPr>
          <w:p>
            <w:pPr>
              <w:jc w:val="center"/>
              <w:ind w:right="214"/>
              <w:spacing w:after="0"/>
              <w:rPr>
                <w:sz w:val="20"/>
                <w:szCs w:val="20"/>
                <w:color w:val="auto"/>
              </w:rPr>
            </w:pPr>
            <w:r>
              <w:rPr>
                <w:rFonts w:ascii="Times New Roman" w:cs="Times New Roman" w:eastAsia="Times New Roman" w:hAnsi="Times New Roman"/>
                <w:sz w:val="18"/>
                <w:szCs w:val="18"/>
                <w:color w:val="auto"/>
              </w:rPr>
              <w:t>Fixed</w:t>
            </w:r>
          </w:p>
        </w:tc>
      </w:tr>
      <w:tr>
        <w:trPr>
          <w:trHeight w:val="230"/>
        </w:trPr>
        <w:tc>
          <w:tcPr>
            <w:tcW w:w="2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Silver Bay Power</w:t>
            </w:r>
          </w:p>
        </w:tc>
        <w:tc>
          <w:tcPr>
            <w:tcW w:w="1340" w:type="dxa"/>
            <w:vAlign w:val="bottom"/>
            <w:tcBorders>
              <w:bottom w:val="single" w:sz="8" w:color="auto"/>
            </w:tcBorders>
            <w:shd w:val="clear" w:color="auto" w:fill="CCEEFF"/>
          </w:tcPr>
          <w:p>
            <w:pPr>
              <w:jc w:val="center"/>
              <w:ind w:left="194"/>
              <w:spacing w:after="0"/>
              <w:rPr>
                <w:sz w:val="20"/>
                <w:szCs w:val="20"/>
                <w:color w:val="auto"/>
              </w:rPr>
            </w:pPr>
            <w:r>
              <w:rPr>
                <w:rFonts w:ascii="Times New Roman" w:cs="Times New Roman" w:eastAsia="Times New Roman" w:hAnsi="Times New Roman"/>
                <w:sz w:val="16"/>
                <w:szCs w:val="16"/>
                <w:i w:val="1"/>
                <w:iCs w:val="1"/>
                <w:color w:val="auto"/>
              </w:rPr>
              <w:t>(c)</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2017</w:t>
            </w:r>
          </w:p>
        </w:tc>
        <w:tc>
          <w:tcPr>
            <w:tcW w:w="1840" w:type="dxa"/>
            <w:vAlign w:val="bottom"/>
            <w:tcBorders>
              <w:bottom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December 2031</w:t>
            </w:r>
          </w:p>
        </w:tc>
        <w:tc>
          <w:tcPr>
            <w:tcW w:w="1880" w:type="dxa"/>
            <w:vAlign w:val="bottom"/>
            <w:tcBorders>
              <w:bottom w:val="single" w:sz="8" w:color="auto"/>
            </w:tcBorders>
            <w:shd w:val="clear" w:color="auto" w:fill="CCEEFF"/>
          </w:tcPr>
          <w:p>
            <w:pPr>
              <w:jc w:val="center"/>
              <w:ind w:right="214"/>
              <w:spacing w:after="0"/>
              <w:rPr>
                <w:sz w:val="20"/>
                <w:szCs w:val="20"/>
                <w:color w:val="auto"/>
              </w:rPr>
            </w:pPr>
            <w:r>
              <w:rPr>
                <w:rFonts w:ascii="Times New Roman" w:cs="Times New Roman" w:eastAsia="Times New Roman" w:hAnsi="Times New Roman"/>
                <w:sz w:val="16"/>
                <w:szCs w:val="16"/>
                <w:i w:val="1"/>
                <w:iCs w:val="1"/>
                <w:color w:val="auto"/>
                <w:w w:val="96"/>
              </w:rPr>
              <w:t>(d)</w:t>
            </w:r>
          </w:p>
        </w:tc>
      </w:tr>
    </w:tbl>
    <w:p>
      <w:pPr>
        <w:spacing w:after="0" w:line="79" w:lineRule="exact"/>
        <w:rPr>
          <w:sz w:val="20"/>
          <w:szCs w:val="20"/>
          <w:color w:val="auto"/>
        </w:rPr>
      </w:pPr>
    </w:p>
    <w:p>
      <w:pPr>
        <w:ind w:left="340" w:hanging="332"/>
        <w:spacing w:after="0" w:line="268" w:lineRule="auto"/>
        <w:tabs>
          <w:tab w:leader="none" w:pos="34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agreement provided for 75 MW of capacity from June 1, 2022, through May 31, 2023, and increased to 125 MW of capacity from June 1, 2023, through May 31, 2025.</w:t>
      </w:r>
    </w:p>
    <w:p>
      <w:pPr>
        <w:jc w:val="both"/>
        <w:ind w:left="340" w:right="20" w:hanging="332"/>
        <w:spacing w:after="0" w:line="252" w:lineRule="auto"/>
        <w:tabs>
          <w:tab w:leader="none" w:pos="34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41 percent in 2024 (37 percent in 2023 and 32 percent in 2022). (See Square Butte PPA.)</w:t>
      </w:r>
    </w:p>
    <w:p>
      <w:pPr>
        <w:ind w:left="320" w:hanging="312"/>
        <w:spacing w:after="0"/>
        <w:tabs>
          <w:tab w:leader="none" w:pos="32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Silver Bay Power supplies approximately 90 MW of load to Northshore Mining, an affiliate of Silver Bay Power.</w:t>
      </w:r>
    </w:p>
    <w:p>
      <w:pPr>
        <w:spacing w:after="0" w:line="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energy pricing escalates at a fixed rate annually and is adjusted for changes in a natural gas index.</w:t>
      </w:r>
    </w:p>
    <w:p>
      <w:pPr>
        <w:spacing w:after="0" w:line="2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Coal, Rail and Shipping Contracts. </w:t>
      </w:r>
      <w:r>
        <w:rPr>
          <w:rFonts w:ascii="Times New Roman" w:cs="Times New Roman" w:eastAsia="Times New Roman" w:hAnsi="Times New Roman"/>
          <w:sz w:val="18"/>
          <w:szCs w:val="18"/>
          <w:color w:val="auto"/>
        </w:rPr>
        <w:t>Minnesota Power has coal supply agreements providing for the purchase of a significant portion of its coal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through December 2027. Minnesota Power also has coal transportation agreements in place for the delivery of a significant portion of its coal requirements through December 2027. The costs of fuel and related transportation costs for Minnesota Power’s generation are recoverable from Minnesota Power’s utility customers through the fuel adjustment clause.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NOTE 9.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The electric utility industry is regulated both at the federal and state level to address air emissions. Minnesota Power’s thermal generating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mainly burn low-sulfur western sub-bituminous coal, as well as natural gas and biomass. All of Minnesota Power’s coal-fired generating facilities are equipped with pollution control equipment such as scrubbers, baghouses and low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technologies. Under currently applicable environmental regulations, these facilities are substantially compliant with emission requirements.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Cross-State Air Pollution Rule (CSAPR). </w:t>
      </w:r>
      <w:r>
        <w:rPr>
          <w:rFonts w:ascii="Times New Roman" w:cs="Times New Roman" w:eastAsia="Times New Roman" w:hAnsi="Times New Roman"/>
          <w:sz w:val="18"/>
          <w:szCs w:val="18"/>
          <w:color w:val="auto"/>
        </w:rPr>
        <w:t>The CSAPR requires certain states in the eastern half of the U.S., including Minnesota, to reduce power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and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allowances issued and pending issuance as well as consideration of current rules, we currently expect generation levels and emission rates will result in continued compliance with the CSAPR. Minnesota Power will continue to monitor ongoing CSAPR rulemakings and compliance implementation, including the EPA’s Good Neighbor Rule which modifies certain aspects of the CSAPR’s program scope and extent (see </w:t>
      </w:r>
      <w:r>
        <w:rPr>
          <w:rFonts w:ascii="Times New Roman" w:cs="Times New Roman" w:eastAsia="Times New Roman" w:hAnsi="Times New Roman"/>
          <w:sz w:val="18"/>
          <w:szCs w:val="18"/>
          <w:i w:val="1"/>
          <w:iCs w:val="1"/>
          <w:color w:val="auto"/>
        </w:rPr>
        <w:t>EPA Good Neighbor Plan for 2015 Ozone NAAQS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National Ambient Air Quality Standards (NAAQS). </w:t>
      </w:r>
      <w:r>
        <w:rPr>
          <w:rFonts w:ascii="Times New Roman" w:cs="Times New Roman" w:eastAsia="Times New Roman" w:hAnsi="Times New Roman"/>
          <w:sz w:val="18"/>
          <w:szCs w:val="18"/>
          <w:color w:val="auto"/>
        </w:rPr>
        <w:t>The EPA is required to review each NAAQS every five years. If the EPA determines that a state’s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is not in compliance with the NAAQS, the state is required to adopt plans describing how it will reduce emissions to attain the NAAQS. Minnesota Power actively monitors NAAQS developments, and the EPA has recently reassessed several primary and secondary NAAQS for NOx,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and particulate matter. Implementation of the EPA’s February 2024 final rule lowering the annual primary standard for fine particulate matter began on May 6, 2024. On December 27, 2024, the EPA published a final rule in the Federal Register revising the secondary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NAAQS while retaining the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and particulate matter secondary standards, with a final rule effective date of January 27, 2025. Anticipated timelines and compliance costs related to this and other potential NAAQS revisions cannot yet be estimated but costs could be material. Minnesota Power would seek recovery of additional costs through a rate proceeding.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9.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EPA Good Neighbor Plan for 2015 Ozone NAAQS</w:t>
      </w:r>
      <w:r>
        <w:rPr>
          <w:rFonts w:ascii="Times New Roman" w:cs="Times New Roman" w:eastAsia="Times New Roman" w:hAnsi="Times New Roman"/>
          <w:sz w:val="18"/>
          <w:szCs w:val="18"/>
          <w:color w:val="auto"/>
        </w:rPr>
        <w:t>. On June 5, 2023, after disapproving state implementation plans, the EPA published a final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Plan (FIP) rule in the Federal Register, the Good Neighbor Plan, to address regional ozone transport for the 2015 Ozone NAAQS by reducing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emissions during the period of May 1 through September 30 (ozone season). In its justification for the final rule, the EPA asserted that 23 states, including Minnesota, were modeled as significant contributors to downwind states’ challenges in attaining or maintaining ozone NAAQS compliance within their state borders. The Good Neighbor Plan is designed to resolve this interstate transport issue by implementing a variety of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reduction strategies, including federal implementation plan requirements,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emission limitations, and ozone season allowance program requirements. The final rule imposed restrictions on fossil-fuel fired power plants in 22 states and on certain industrial sources in 20 states, with implementation occurring through changes to the existing CSAPR program for power plants.</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 EPA partially disapproved the Good Neighbor State Implementation Plans (SIPs) for the states of Minnesota and Wisconsin, among others, Minnesota became subject to the final Good Neighbor Plan. However, Minnesota Power and a coalition of other Minnesota utilities and industry (the parties) co-filed challenges to the EPA’s final Minnesota SIP disapproval, submitting a petition for reconsideration and stay to the EPA, and a petition for judicial review to the Eighth Circuit Court. The parties are challenging and requesting reconsideration of certain technical components of the EPA’s review and subsequent partial disapproval of the state of Minnesota’s SIP. On July 5, 2023, the Eighth Circuit Court granted a stay of the SIP disapproval preventing the Good Neighbor Plan from taking effect in Minnesota; oral arguments occurred on October 22, 2024. On April 4, 2024, the EPA published a partial denial of several administrative reconsideration and stay petitions, including from the Minnesota coalition. On September 29, 2023, the EPA issued an updated final interim rule addressing the stays in Minnesota and five other states, formally delaying the effective date of the final FIP for states with active stays in place. The state of Minnesota therefore did not become subject to compliance obligations for the 2023 or 2024 ozone seasons.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Future compliance obligations will depend on resolution of the stay and outcomes of related litigation. Additional challenges have been filed against the final FIP rule by the Minnesota coalition parties and other entities, although the Minnesota coalition FIP challenge is currently in abeyance pending resolution of the SIP disapproval case. On June 27, 2024, the U.S. Supreme Court granted an emergency stay of the FIP rule requested by several states and industry groups, staying enforcement pending the D.C. Circuit’s review and any petition for writ of certiorari. In response to the U.S. Supreme Court’s stay order, the EPA published a third interim rule in the Federal Register on November 6, 2024, staying the effectiveness of the Good Neighbor FIP in the 10 remaining covered states, including Wisconsin. Anticipated timelines and compliance costs related to final Good Neighbor Plan compliance cannot yet be estimated due to uncertainties about SIP approval resolution, implementation timing, FIP rule outcome, and allowance costs and facility emissions during the ozone season. However, the costs could be material, including costs of additional NOx controls, emission allowance program participation, or operational changes, if any are required. Minnesota Power would seek recovery of additional costs through a rate proceeding.</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EPA National Emission Standards for Hazardous Air Pollutants for Major Sources: Industrial, Commercial and Institutional Boilers and Process Heaters (Industrial Boiler MACT) Rule</w:t>
      </w:r>
      <w:r>
        <w:rPr>
          <w:rFonts w:ascii="Times New Roman" w:cs="Times New Roman" w:eastAsia="Times New Roman" w:hAnsi="Times New Roman"/>
          <w:sz w:val="18"/>
          <w:szCs w:val="18"/>
          <w:color w:val="auto"/>
        </w:rPr>
        <w:t>. A final rule issued by the EPA for Industrial Boiler MACT became effective in 2013 with compliance required at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sources in 2016, which applied to Minnesota Power’s Hibbard Renewable Energy Center and Rapids Energy Center. Compliance consisted largely of adjustments to fuels and operating practices and compliance costs were not material. After this initial rulemaking, litigation from 2016 through 2018 resulted in court orders directing that the EPA reconsider certain aspects of the regulation. A final rule incorporating these revisions became effective in December 2022, with a compliance deadline of October 6, 2025. Compliance costs are not expected to be material.</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EPA Mercury and Air Toxics Standards (MATS) Rule</w:t>
      </w:r>
      <w:r>
        <w:rPr>
          <w:rFonts w:ascii="Times New Roman" w:cs="Times New Roman" w:eastAsia="Times New Roman" w:hAnsi="Times New Roman"/>
          <w:sz w:val="18"/>
          <w:szCs w:val="18"/>
          <w:color w:val="auto"/>
        </w:rPr>
        <w:t>. On April 25, 2024, the EPA published a final rule to revise the existing 2012 MATS Rule,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air emissions of hazardous air pollutants from coal- and oil-fired electric generating units (EGUs). The final rule eliminates certain MATS compliance flexibility, lowers the particulate emission standard for all coal-fired EGUs, and reduces the mercury emission standard for lignite-fired EGUs. The rule became effective July 8, 2024, with compliance required beginning July 6, 2027. The MATS regulation applies at Minnesota Power’s Boswell facility, which is currently well-controlled for these emissions and already complying with some of the new requirements. The Company anticipates the new rule will not have material impacts at Boswell. However, compliance costs cannot yet be fully estimated, and recovery of any additional costs would be sought through a rate proceeding. Litigation against the EPA’s latest MATS Rule revision from a number of U.S. states as well as several companies and industry groups is ongoing. Motions to stay the rule were denied by the U.S. Court of Appeals for the D.C. Circuit on August 6, 2024, and the U.S. Supreme Court on October 4, 2024.</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NOTE 9.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Change. </w:t>
      </w:r>
      <w:r>
        <w:rPr>
          <w:rFonts w:ascii="Times New Roman" w:cs="Times New Roman" w:eastAsia="Times New Roman" w:hAnsi="Times New Roman"/>
          <w:sz w:val="18"/>
          <w:szCs w:val="18"/>
          <w:color w:val="auto"/>
        </w:rPr>
        <w:t>The scientific community generally accepts that emissions of GHGs are linked to global climate change which creates physical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renewable power supply for both our operations and the operations of others;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energy conservation initiatives for our customers and engaging in other demand side management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efficiency of our generating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research of technologies to reduce carbon emissions from generating facilities and carbon sequestration efforts;</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developing less carbon intensive future generating assets such as efficient and flexible natural gas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fired generating facilities;</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vegetation on right-of-way corridors to reduce potential wildfire or storm damage risks; and</w:t>
      </w:r>
    </w:p>
    <w:p>
      <w:pPr>
        <w:spacing w:after="0" w:line="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 Regulation of GHG Emissions. </w:t>
      </w:r>
      <w:r>
        <w:rPr>
          <w:rFonts w:ascii="Times New Roman" w:cs="Times New Roman" w:eastAsia="Times New Roman" w:hAnsi="Times New Roman"/>
          <w:sz w:val="18"/>
          <w:szCs w:val="18"/>
          <w:color w:val="auto"/>
        </w:rPr>
        <w:t>On April 25, 2024, the EPA issued several final greenhouse gas regulations to establish emissions standards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for fossil fuel-fired electric generating units (EGUs) under Section 111 of the Clean Air Act (CAA). The final rules revise new source performance standards (NSPS) for new, modified and reconstructed EGUs (Section 111(b) of the CAA) and creates new emission guidelines for existing EGUs (Section 111(d) of the CAA). The action also officially repeals the predecessor regulation “Affordable Clean Energy Rule”, first issued in 2019 and later vacated in 2021. Compliance will be required beginning January 1, 2030, for existing sources, and upon commencing operation of new units. The 111(d) rule also requires states to submit plans to provide for the establishment, implementation and enforcement of performance standards for existing sources. States must submit either a state plan or negative declaration letter to the EPA by May 11, 2026.</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final Section 111 rules apply to several Company assets, including existing EGUs at the Boswell and Laskin facilities as well as the proposed combined cycle natural gas-fired generating facility, Nemadji Trail Energy Center. The Company anticipates compliance with the rules may require operational or planning adjustments. The state implementation plan process for Section 111(d) existing units will also be a factor in determining specific requirements and timing. We are unable to predict compliance costs at this time; however, the costs could be material. Minnesota Power would seek recovery of additional costs through a rate proceeding. The Company is also monitoring litigation of the final Section 111 rules, which began when the rules were published in the Federal Register on May 9, 2024, and continues in federal court. Both the D.C. Circuit and the U.S. Supreme Court have declined requests to block the rule from becoming effective while litigation is ongoing. Oral arguments in the D.C. Circuit occurred on December 6, 2024, with a merits decision currently expected by mid-2025. Outcomes from ongoing litigation may impact both the timing of rule effectiveness and the ultimate compliance obligations required by the rule.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NOTE 9.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w:t>
      </w:r>
      <w:r>
        <w:rPr>
          <w:rFonts w:ascii="Times New Roman" w:cs="Times New Roman" w:eastAsia="Times New Roman" w:hAnsi="Times New Roman"/>
          <w:sz w:val="18"/>
          <w:szCs w:val="18"/>
          <w:color w:val="auto"/>
        </w:rPr>
        <w:t>The Clean Water Act requires NPDES permits be obtained from the EPA or delegated state agencies for any wastewater discharged into navigable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waters. We have obtained all necessary NPDES permits, including NPDES storm water permits for applicable facilities, to conduct our operations.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Steam Electric Power Generating Effluent Limitations Guidelines. </w:t>
      </w:r>
      <w:r>
        <w:rPr>
          <w:rFonts w:ascii="Times New Roman" w:cs="Times New Roman" w:eastAsia="Times New Roman" w:hAnsi="Times New Roman"/>
          <w:sz w:val="18"/>
          <w:szCs w:val="18"/>
          <w:color w:val="auto"/>
        </w:rPr>
        <w:t>In 2015, the EPA issued revised federal effluent limitation guidelines (ELG) for steam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power generating stations under the Clean Water Act. It set effluent limits and prescribed Best Available Control Technology (BACT) for several wastewater streams, including flue gas desulphurization (FGD) water, bottom ash transport water and coal combustion landfill leachate. In October 2020, the EPA published a final ELG Rule allowing re-use of bottom ash transport water in FGD scrubber systems with limited discharges related to maintaining system water balance. The rule set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9, 2024, the EPA finalized revisions to the 2020 ELG rule. The final rule establishes zero discharge limitations for bottom ash transport water, FGD wastewater, and combustion residual leachate. A definition for legacy wastewater was established, with deferral to state permit programs for setting discharge limits based on best professional judgment. The rule maintains exemptions for units permanently ceasing coal combustion by 2028 and adds a new subcategory for units that are retiring by 2032 and have already complied with either the 2015 or 2020 ELG rules. Additionally, the rule establishes mercury and arsenic limitations for functionally equivalent discharges of leachate via groundwater to surface water. Compliance deadlines are determined by the applicable state permitting authority through permit incorporation as soon as July 8, 2024, but no later than December 31, 2029.</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Bottom ash transport and FGD wastewater ELGs are not expected to have a significant impact on Minnesota Power operations. Zero leachate discharge requirements have the potential to impact dewatering associated with the closed Taconite Harbor dry ash landfill. New limitations for arsenic and mercury related to functionally equivalent (groundwater to surface water) discharges are not currently anticipated to impact Minnesota Power facilities.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Permitted Water Discharges – Sulfate</w:t>
      </w:r>
      <w:r>
        <w:rPr>
          <w:rFonts w:ascii="Times New Roman" w:cs="Times New Roman" w:eastAsia="Times New Roman" w:hAnsi="Times New Roman"/>
          <w:sz w:val="18"/>
          <w:szCs w:val="18"/>
          <w:color w:val="auto"/>
        </w:rPr>
        <w:t>. In 2017, the MPCA released a draft water quality standard in an attempt to update Minnesota’s existing 10 mg/L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Clean Water Act requires the MPCA to update the state's impaired water list every two years. Beginning in 2021 through the latest release approved by the EPA in April 2024, this list now includes Minnesota lakes and streams identified as wild rice waters that are listed for sulfate impairment. The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or its customers, if any.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NOTE 9.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Solid and Hazardous Waste. </w:t>
      </w:r>
      <w:r>
        <w:rPr>
          <w:rFonts w:ascii="Times New Roman" w:cs="Times New Roman" w:eastAsia="Times New Roman" w:hAnsi="Times New Roman"/>
          <w:sz w:val="18"/>
          <w:szCs w:val="18"/>
          <w:color w:val="auto"/>
        </w:rPr>
        <w:t>The Resource Conservation and Recovery Act of 1976 regulates the management and disposal of solid and hazardous wastes.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notify the EPA of hazardous waste activity and, consequently, routinely submit reports to the EPA.</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Coal Ash Management Facilities. </w:t>
      </w:r>
      <w:r>
        <w:rPr>
          <w:rFonts w:ascii="Times New Roman" w:cs="Times New Roman" w:eastAsia="Times New Roman" w:hAnsi="Times New Roman"/>
          <w:sz w:val="18"/>
          <w:szCs w:val="18"/>
          <w:color w:val="auto"/>
        </w:rPr>
        <w:t>Minnesota Power produces the majority of its coal ash at Boswell, with small amounts of ash generated at Hibbard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Boswell Ash Wastewater Spill. </w:t>
      </w:r>
      <w:r>
        <w:rPr>
          <w:rFonts w:ascii="Times New Roman" w:cs="Times New Roman" w:eastAsia="Times New Roman" w:hAnsi="Times New Roman"/>
          <w:sz w:val="18"/>
          <w:szCs w:val="18"/>
          <w:color w:val="auto"/>
        </w:rPr>
        <w:t>On August 12, 2024, Minnesota Power received a Notice of Violation (NOV) from the MPCA, related to the spill at Boswell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pipeline carrying ash wastewater from an inactive onsite storage pond to Blackwater Creek, which the Company reported on July 16, 2024. Minnesota Power responded to the MPCA NOV, clarifying certain statements made by the MPCA, as well as providing a written report and required plans. We are awaiting a proposed Stipulation Agreement from the MPCA. Minnesota Power continues to work with state and federal agencies to evaluate and mitigate the impacts from this event. We are unable to predict the mitigation or other costs related to the ash wastewater spill at this time; however, the costs could be material.</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Coal Combustion Residuals from Electric Utilities (CCR). </w:t>
      </w:r>
      <w:r>
        <w:rPr>
          <w:rFonts w:ascii="Times New Roman" w:cs="Times New Roman" w:eastAsia="Times New Roman" w:hAnsi="Times New Roman"/>
          <w:sz w:val="18"/>
          <w:szCs w:val="18"/>
          <w:color w:val="auto"/>
        </w:rPr>
        <w:t>In 2015, the EPA published a final rule (2015 Rule) regulating CCR as nonhazardous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Subtitle D of the Resource Conservation and Recovery Act (RCRA) in the Federal Register. The rule included additional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 continues to work on minimizing compliance costs through evaluation of beneficial re-use and recycling of CCR. In 2018, a U.S. District Court for the District of Columbia decision vacated specific provisions of the CCR rule, which resulted in a change to the status of existing clay-lined impoundments at Boswell being considered unlined. In September 2020, the EPA finalized the CCR Part A Rule, which required all unlined impoundments to cease disposal and initiate closure. Upon completion of dry ash conversion activities, Boswell ceased disposal in both impoundments in September 2022. Both impoundments are now inactive and have initiated closure.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8, 2024, the EPA's final CCR Legacy Impoundment Rule was published in the Federal Register. The final rule expands the scope of units regulated under the CCR rule to include legacy ponds (inactive surface impoundments at inactive facilities) and creates a new category of units called CCR management units (CCRMU), which includes inactive and closed impoundments and landfills as well as other non-containerized accumulations of CCR. The final rule requires all regulated generating facilities to evaluate and identify past deposits of CCR materials on their sites and close or re-close existing CCR units to meet current closure standards, as well as install groundwater monitoring systems, conduct groundwater monitoring, and implement groundwater corrective actions as necessary. The Final Rule requires a Facility Evaluation Report by February 2027, which will identify regulated units and applicable requirements. Additionally, the EPA finalized portions of the proposed CCR Part B Rule, which allows CCR units to certify closure while conducting groundwater remediation activities. Impacts to previously closed CCR units at Boswell and Laskin are anticipated. Compliance costs for Minnesota Power’s Boswell and Laskin facilities are estimated to be between approximately $50 million and $85 million and are expected to be incurred over the next 10 years based on our preliminary assessment. These estimates may be revised as Minnesota Power completes the required facility evaluations. Minnesota Power is expected to seek recovery of these costs through a rate proceeding.</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EPA released a proposed CCR Part B rulemaking in February 2020 addressing options for beneficial reuse of CCR materials, alternative liner demonstrations and other CCR regulatory revisions. Portions of the Part B rule addressing alternative liner equivalency standards were finalized in November 2020. A final rule establishing the remaining CCR beneficial reuse requirements is expected but has been moved to EPA’s long term rulemakings, without a publication target date currently. According to its latest Unified Agenda, the EPA had planned to publish the final CCR federal permit rule implementing a permitting program for tribal lands and nonparticipating states in December 2024, but that did not occur.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NOTE 9.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Environmental Matters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Manufactured Gas Plant Site. </w:t>
      </w:r>
      <w:r>
        <w:rPr>
          <w:rFonts w:ascii="Times New Roman" w:cs="Times New Roman" w:eastAsia="Times New Roman" w:hAnsi="Times New Roman"/>
          <w:sz w:val="18"/>
          <w:szCs w:val="18"/>
          <w:color w:val="auto"/>
        </w:rPr>
        <w:t>SWL&amp;P has completed a portion of the remediation activities at a former manufactured gas plant site located in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Wisconsin, and formerly operated by SWL&amp;P. We continue working with the Wisconsin Department of Natural Resources on the remaining remediation at the site and surrounding properties. As of December 31, 2024, SWL&amp;P has recorded a liability of approximately $0.3 million for remediation costs at this site. SWL&amp;P has recorded the recovery of the remediation costs associated with the site as a regulatory asset as we expect recovery of these costs to be allowed by the PSCW.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multiple credit facility agreements in place that provide the ability to issue standby letters of credit to satisfy our contractual security requirements across our businesses. As of December 31, 2024, we had $134.7 million of outstanding letters of credit issued, including those issued under our revolving credit facility, and $122.2 million in outstanding surety bonds. We do not believe it is likely that any of these outstanding letters of credit will be drawn upon.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under the tax credit transferability provision of the Inflation Reduction Act, we entered into agreements with third parties to sell a portion of our renewable tax credits. ALLETE has indemnified the parties for the value of renewable tax credits sold to date of approximately $64.3 million.</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As of December 31, 2024, we had $23.3 million outstanding in standby letters of credit and surety bonds at our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which are pledged as security to MISO, the NDPSC and a state agency.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ALLETE Clean Energy</w:t>
      </w:r>
      <w:r>
        <w:rPr>
          <w:rFonts w:ascii="Times New Roman" w:cs="Times New Roman" w:eastAsia="Times New Roman" w:hAnsi="Times New Roman"/>
          <w:sz w:val="18"/>
          <w:szCs w:val="18"/>
          <w:color w:val="auto"/>
        </w:rPr>
        <w:t>. ALLETE Clean Energy is party to PSAs that expire in various years between 2027 and 2039. As of December 31, 2024, ALLETE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Clean Energy has $94.5 million outstanding in standby letters of credit and surety bonds, the majority of which are pledged as security under these PSAs.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BNI Energy</w:t>
      </w:r>
      <w:r>
        <w:rPr>
          <w:rFonts w:ascii="Times New Roman" w:cs="Times New Roman" w:eastAsia="Times New Roman" w:hAnsi="Times New Roman"/>
          <w:sz w:val="18"/>
          <w:szCs w:val="18"/>
          <w:color w:val="auto"/>
        </w:rPr>
        <w:t>. As of December 31, 2024, BNI Energy had surety bonds outstanding of $88.8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in Nobles 2</w:t>
      </w:r>
      <w:r>
        <w:rPr>
          <w:rFonts w:ascii="Times New Roman" w:cs="Times New Roman" w:eastAsia="Times New Roman" w:hAnsi="Times New Roman"/>
          <w:sz w:val="18"/>
          <w:szCs w:val="18"/>
          <w:color w:val="auto"/>
        </w:rPr>
        <w:t>. Nobles 2 wind energy facility requires standby letters of credit as security for certain contractual obligations. As of December 31, 2024, ALLETE South Wind has $10.1 million outstanding in standby letters of credit, related to our portion of the security requirements relative to our ownership in Nobles 2.</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South Shore Energy</w:t>
      </w:r>
      <w:r>
        <w:rPr>
          <w:rFonts w:ascii="Times New Roman" w:cs="Times New Roman" w:eastAsia="Times New Roman" w:hAnsi="Times New Roman"/>
          <w:sz w:val="18"/>
          <w:szCs w:val="18"/>
          <w:color w:val="auto"/>
        </w:rPr>
        <w:t>. As of December 31, 2024, South Shore Energy had $29.7 million outstanding in standby letters of credit pledged as security in connection with the development of NTEC.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New Energy.</w:t>
      </w:r>
      <w:r>
        <w:rPr>
          <w:rFonts w:ascii="Times New Roman" w:cs="Times New Roman" w:eastAsia="Times New Roman" w:hAnsi="Times New Roman"/>
          <w:sz w:val="18"/>
          <w:szCs w:val="18"/>
          <w:color w:val="auto"/>
        </w:rPr>
        <w:t xml:space="preserve"> As of December 31, 2024, New Energy had $10.4 million outstanding in standby letters of credit related to the development of renewable energy projects.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ALLETE Properties</w:t>
      </w:r>
      <w:r>
        <w:rPr>
          <w:rFonts w:ascii="Times New Roman" w:cs="Times New Roman" w:eastAsia="Times New Roman" w:hAnsi="Times New Roman"/>
          <w:sz w:val="18"/>
          <w:szCs w:val="18"/>
          <w:color w:val="auto"/>
        </w:rPr>
        <w:t>. As of December 31, 2024, ALLETE Properties had surety bonds outstanding to governmental entities totaling $2.0 million primarily related to development and maintenance obligations for various projects. The estimated cost of the remaining development work is $1.0 million. ALLETE Properties does not believe it is likely that any of these outstanding surety bonds will be drawn upon.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NOTE 9.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(Continued)</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Community Development District Obligations. </w:t>
      </w:r>
      <w:r>
        <w:rPr>
          <w:rFonts w:ascii="Times New Roman" w:cs="Times New Roman" w:eastAsia="Times New Roman" w:hAnsi="Times New Roman"/>
          <w:sz w:val="18"/>
          <w:szCs w:val="18"/>
          <w:color w:val="auto"/>
        </w:rPr>
        <w:t>In 2005, the Town Center District issued $26.4 million of tax-exempt, 6.0 percent capital improvement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bonds. The capital improvement revenue bonds are payable over 31 years (by May 1, 2036) and are secured by special assessments on the benefited land. To the extent that ALLETE Properties still owns land at the time of the assessment, it will incur the cost of its portion of these assessments, based upon its ownership of benefited property.</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owned 32 percent of the assessable land in the Town Center District (33 percent as of December 31, 2023). As of December 31, 2024, ownership levels, our annual assessments related to capital improvement and special assessment bonds for the ALLETE Properties project within the district is approximately $0.7 million. As we sell property at this project, the obligation to pay special assessments will pass to the new landowners. In accordance with accounting guidance, these bonds are not reflected as debt on our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Arbitration Proceeding</w:t>
      </w:r>
      <w:r>
        <w:rPr>
          <w:rFonts w:ascii="Times New Roman" w:cs="Times New Roman" w:eastAsia="Times New Roman" w:hAnsi="Times New Roman"/>
          <w:sz w:val="18"/>
          <w:szCs w:val="18"/>
          <w:color w:val="auto"/>
        </w:rPr>
        <w:t>. In the first quarter of 2023, an ALLETE Clean Energy subsidiary initiated arbitration proceedings seeking damages against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for non-performance under a contract. Arbitration hearings were held in June and July 2023, and a final arbitration ruling was issued in favor of ALLETE Clean Energy’s subsidiary in September 2023. The final arbitration ruling awarded $68.3 million to ALLETE Clean Energy’s subsidiary, which included prejudgment interest of $5.1 million, recovery of $3.6 million of arbitration-related costs, and resulted in the recognition of a $58.4 million pre-tax gain in the third quarter of 2023. The arbitration ruling also resulted in the receipt of approximately $60 million of cash, net of distribution to non-controlling interest, in the third quarter of 2023.</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Merger-related Complaints</w:t>
      </w:r>
      <w:r>
        <w:rPr>
          <w:rFonts w:ascii="Times New Roman" w:cs="Times New Roman" w:eastAsia="Times New Roman" w:hAnsi="Times New Roman"/>
          <w:sz w:val="18"/>
          <w:szCs w:val="18"/>
          <w:color w:val="auto"/>
        </w:rPr>
        <w:t>. Three complaints have been filed against ALLETE and its directors. The first was filed on July 1, 2024, in the U.S.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for the Southern District of New York, alleging violation of Sections 14(a) and 20(a) of the Securities Exchange Act of 1934, disclosure deficiency in the Preliminary Proxy, and seeking to enjoin the transaction until certain disclosures are corrected. On September 3, 2024, that complaint was voluntarily dismissed without prejudice. Two additional complaints were filed on August 6, 2024, and August 7, 2024, in the New York State Supreme Court, alleging negligent misrepresentation and negligence related to alleged deficiencies in the Preliminary Proxy. Those complaints have not been served on any defendant. The Company believes that the remaining complaints are without merit.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COMMON STOCK AND EARNINGS PER SHARE</w:t>
            </w:r>
          </w:p>
        </w:tc>
        <w:tc>
          <w:tcPr>
            <w:tcW w:w="3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91"/>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Common Stock</w:t>
            </w:r>
          </w:p>
        </w:tc>
        <w:tc>
          <w:tcPr>
            <w:tcW w:w="3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38"/>
        </w:trPr>
        <w:tc>
          <w:tcPr>
            <w:tcW w:w="69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53,220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r>
      <w:tr>
        <w:trPr>
          <w:trHeight w:val="223"/>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 Direct</w:t>
            </w:r>
          </w:p>
        </w:tc>
        <w:tc>
          <w:tcPr>
            <w:tcW w:w="3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Issuance</w:t>
            </w:r>
          </w:p>
        </w:tc>
        <w:tc>
          <w:tcPr>
            <w:tcW w:w="3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3,680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23"/>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57,237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1,781.5</w:t>
            </w:r>
          </w:p>
        </w:tc>
      </w:tr>
      <w:tr>
        <w:trPr>
          <w:trHeight w:val="223"/>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 Direct</w:t>
            </w:r>
          </w:p>
        </w:tc>
        <w:tc>
          <w:tcPr>
            <w:tcW w:w="3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6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57,561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1,803.7</w:t>
            </w:r>
          </w:p>
        </w:tc>
      </w:tr>
      <w:tr>
        <w:trPr>
          <w:trHeight w:val="223"/>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 Direct</w:t>
            </w:r>
          </w:p>
        </w:tc>
        <w:tc>
          <w:tcPr>
            <w:tcW w:w="3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6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57,882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$1,823.2</w:t>
            </w:r>
          </w:p>
        </w:tc>
      </w:tr>
    </w:tbl>
    <w:p>
      <w:pPr>
        <w:spacing w:after="0" w:line="3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Equity Issuance Program. </w:t>
      </w:r>
      <w:r>
        <w:rPr>
          <w:rFonts w:ascii="Times New Roman" w:cs="Times New Roman" w:eastAsia="Times New Roman" w:hAnsi="Times New Roman"/>
          <w:sz w:val="18"/>
          <w:szCs w:val="18"/>
          <w:color w:val="auto"/>
        </w:rPr>
        <w:t>We entered into a distribution agreement with Lampert Capital Markets, in 2008, as amended most recently in 2020,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issuance and sale of up to an aggregate of 13.6 million shares of our common stock, without par value, of which 2.1 million shares remain available for issuance as of December 31, 2024. For the year ended December 31, 2024, no shares of common stock were issued under this agreement (none in 2023; none in 2022). 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We compute basic earnings per share using the weighted average number of shares of common stock outstanding during each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difference between basic and diluted earnings per share, if any, arises from non-vested restricted stock units and performance share awards granted under our Executive Long-Term Incentive Compensation Plan.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Basic and Diluted</w:t>
            </w:r>
          </w:p>
        </w:tc>
        <w:tc>
          <w:tcPr>
            <w:tcW w:w="3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40" w:type="dxa"/>
            <w:vAlign w:val="bottom"/>
          </w:tcPr>
          <w:p>
            <w:pPr>
              <w:spacing w:after="0"/>
              <w:rPr>
                <w:sz w:val="19"/>
                <w:szCs w:val="19"/>
                <w:color w:val="auto"/>
              </w:rPr>
            </w:pP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980" w:type="dxa"/>
            <w:vAlign w:val="bottom"/>
          </w:tcPr>
          <w:p>
            <w:pPr>
              <w:spacing w:after="0"/>
              <w:rPr>
                <w:sz w:val="19"/>
                <w:szCs w:val="19"/>
                <w:color w:val="auto"/>
              </w:rPr>
            </w:pPr>
          </w:p>
        </w:tc>
      </w:tr>
      <w:tr>
        <w:trPr>
          <w:trHeight w:val="23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3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$179.3</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3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57.7</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$3.11</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$247.1</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3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57.3</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$4.31</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$189.3</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3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55.9</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$3.38</w:t>
            </w:r>
          </w:p>
        </w:tc>
        <w:tc>
          <w:tcPr>
            <w:tcW w:w="1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INCOME TAX EXPENSE</w:t>
            </w:r>
          </w:p>
        </w:tc>
        <w:tc>
          <w:tcPr>
            <w:tcW w:w="3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1"/>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8"/>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Current Income Tax Expense </w:t>
            </w:r>
            <w:r>
              <w:rPr>
                <w:rFonts w:ascii="Times New Roman" w:cs="Times New Roman" w:eastAsia="Times New Roman" w:hAnsi="Times New Roman"/>
                <w:sz w:val="16"/>
                <w:szCs w:val="16"/>
                <w:i w:val="1"/>
                <w:iCs w:val="1"/>
                <w:color w:val="auto"/>
              </w:rPr>
              <w:t>(a)</w:t>
            </w:r>
          </w:p>
        </w:tc>
        <w:tc>
          <w:tcPr>
            <w:tcW w:w="30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$8.4</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0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12.1</w:t>
            </w:r>
          </w:p>
        </w:tc>
        <w:tc>
          <w:tcPr>
            <w:tcW w:w="13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59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$20.5</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0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16"/>
                <w:szCs w:val="16"/>
                <w:i w:val="1"/>
                <w:iCs w:val="1"/>
                <w:color w:val="auto"/>
              </w:rPr>
              <w:t>(b)</w:t>
            </w:r>
          </w:p>
        </w:tc>
        <w:tc>
          <w:tcPr>
            <w:tcW w:w="3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State </w:t>
            </w:r>
            <w:r>
              <w:rPr>
                <w:rFonts w:ascii="Times New Roman" w:cs="Times New Roman" w:eastAsia="Times New Roman" w:hAnsi="Times New Roman"/>
                <w:sz w:val="16"/>
                <w:szCs w:val="16"/>
                <w:i w:val="1"/>
                <w:iCs w:val="1"/>
                <w:color w:val="auto"/>
              </w:rPr>
              <w:t>(c)</w:t>
            </w:r>
          </w:p>
        </w:tc>
        <w:tc>
          <w:tcPr>
            <w:tcW w:w="30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w:t>
            </w:r>
          </w:p>
        </w:tc>
        <w:tc>
          <w:tcPr>
            <w:tcW w:w="13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3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(0.7)</w:t>
            </w: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5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30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$(15.8)</w:t>
            </w:r>
          </w:p>
        </w:tc>
        <w:tc>
          <w:tcPr>
            <w:tcW w:w="13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$17.6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$27.9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92" w:lineRule="exact"/>
        <w:rPr>
          <w:sz w:val="20"/>
          <w:szCs w:val="20"/>
          <w:color w:val="auto"/>
        </w:rPr>
      </w:pPr>
    </w:p>
    <w:p>
      <w:pPr>
        <w:ind w:left="340" w:hanging="332"/>
        <w:spacing w:after="0" w:line="250" w:lineRule="auto"/>
        <w:tabs>
          <w:tab w:leader="none" w:pos="340" w:val="left"/>
        </w:tabs>
        <w:numPr>
          <w:ilvl w:val="0"/>
          <w:numId w:val="4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years ended December 31, 2024, the federal current tax expense was partially offset by tax credits. For the years ended December 31, 2023 and 2022, the federal current tax expense was partially offset by tax credits and NOLs.</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line="246" w:lineRule="auto"/>
        <w:tabs>
          <w:tab w:leader="none" w:pos="340" w:val="left"/>
        </w:tabs>
        <w:numPr>
          <w:ilvl w:val="0"/>
          <w:numId w:val="4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federal deferred income tax benefit is primarily due to tax credits. For the year ended December 31, 2023, the federal deferred income tax benefit was partially offset by deferred partnership income.</w:t>
      </w:r>
    </w:p>
    <w:p>
      <w:pPr>
        <w:ind w:left="320" w:hanging="312"/>
        <w:spacing w:after="0"/>
        <w:tabs>
          <w:tab w:leader="none" w:pos="320" w:val="left"/>
        </w:tabs>
        <w:numPr>
          <w:ilvl w:val="0"/>
          <w:numId w:val="4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year ended December 31, 2022, the state impact includes the benefit of deferred repricing as a result of the New Energy acquisition.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Taxes from Federal Statutory</w:t>
            </w:r>
          </w:p>
        </w:tc>
        <w:tc>
          <w:tcPr>
            <w:tcW w:w="2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Rate to Total Income Tax Expense</w:t>
            </w:r>
          </w:p>
        </w:tc>
        <w:tc>
          <w:tcPr>
            <w:tcW w:w="2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Non-Controlling Interest and Income Taxes</w:t>
            </w:r>
          </w:p>
        </w:tc>
        <w:tc>
          <w:tcPr>
            <w:tcW w:w="2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$126.4</w:t>
            </w:r>
          </w:p>
        </w:tc>
        <w:tc>
          <w:tcPr>
            <w:tcW w:w="14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$206.8</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$100.1</w:t>
            </w:r>
          </w:p>
        </w:tc>
      </w:tr>
      <w:tr>
        <w:trPr>
          <w:trHeight w:val="230"/>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21 %</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Computed at Statutory Federal Rate</w:t>
            </w:r>
          </w:p>
        </w:tc>
        <w:tc>
          <w:tcPr>
            <w:tcW w:w="2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$26.5</w:t>
            </w:r>
          </w:p>
        </w:tc>
        <w:tc>
          <w:tcPr>
            <w:tcW w:w="14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$43.4</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 Due to:</w:t>
            </w:r>
          </w:p>
        </w:tc>
        <w:tc>
          <w:tcPr>
            <w:tcW w:w="2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 – Net of Federal Income Tax Benefit</w:t>
            </w:r>
          </w:p>
        </w:tc>
        <w:tc>
          <w:tcPr>
            <w:tcW w:w="2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13.5</w:t>
            </w:r>
          </w:p>
        </w:tc>
        <w:tc>
          <w:tcPr>
            <w:tcW w:w="14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19.7</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Revaluation – Net of Federal Income Tax Benefit</w:t>
            </w:r>
          </w:p>
        </w:tc>
        <w:tc>
          <w:tcPr>
            <w:tcW w:w="26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Production Tax Credits </w:t>
            </w:r>
            <w:r>
              <w:rPr>
                <w:rFonts w:ascii="Times New Roman" w:cs="Times New Roman" w:eastAsia="Times New Roman" w:hAnsi="Times New Roman"/>
                <w:sz w:val="16"/>
                <w:szCs w:val="16"/>
                <w:i w:val="1"/>
                <w:iCs w:val="1"/>
                <w:color w:val="auto"/>
              </w:rPr>
              <w:t>(a)</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(32.4)</w:t>
            </w:r>
          </w:p>
        </w:tc>
        <w:tc>
          <w:tcPr>
            <w:tcW w:w="1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(31.6)</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w:t>
            </w:r>
            <w:r>
              <w:rPr>
                <w:rFonts w:ascii="Times New Roman" w:cs="Times New Roman" w:eastAsia="Times New Roman" w:hAnsi="Times New Roman"/>
                <w:sz w:val="16"/>
                <w:szCs w:val="16"/>
                <w:i w:val="1"/>
                <w:iCs w:val="1"/>
                <w:color w:val="auto"/>
              </w:rPr>
              <w:t>(a)</w:t>
            </w:r>
          </w:p>
        </w:tc>
        <w:tc>
          <w:tcPr>
            <w:tcW w:w="2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(5.8)</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Regulatory Differences – Excess Deferred Tax Benefit</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(9.9)</w:t>
            </w:r>
          </w:p>
        </w:tc>
        <w:tc>
          <w:tcPr>
            <w:tcW w:w="1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(9.9)</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11.0</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13.3</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AFUDC - Equity</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Costs</w:t>
            </w:r>
          </w:p>
        </w:tc>
        <w:tc>
          <w:tcPr>
            <w:tcW w:w="26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$27.9</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r>
    </w:tbl>
    <w:p>
      <w:pPr>
        <w:spacing w:after="0" w:line="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For the years ended December 31, 2023 and 2024, the credits are presented net of any estimated discount on the sale of certain credits.</w:t>
      </w:r>
    </w:p>
    <w:p>
      <w:pPr>
        <w:spacing w:after="0" w:line="2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 was an expense of 3.7 percent for 2024 (expense of 13.5 percent for 2023; benefit of 31.2 percent for 2022). The 2024, 2023 and 2022 effective tax rates were primarily impacted by tax credits and non-controlling interests in subsidiaries.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INCOME TAX EXPENSE (Continued)</w:t>
            </w:r>
          </w:p>
        </w:tc>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Assets and Liabilities</w:t>
            </w:r>
          </w:p>
        </w:tc>
        <w:tc>
          <w:tcPr>
            <w:tcW w:w="2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Gain - Land Sales</w:t>
            </w:r>
          </w:p>
        </w:tc>
        <w:tc>
          <w:tcPr>
            <w:tcW w:w="2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r>
      <w:tr>
        <w:trPr>
          <w:trHeight w:val="23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2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9"/>
                <w:szCs w:val="19"/>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Property-Related</w:t>
            </w:r>
          </w:p>
        </w:tc>
        <w:tc>
          <w:tcPr>
            <w:tcW w:w="2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19"/>
                <w:szCs w:val="19"/>
                <w:color w:val="auto"/>
              </w:rPr>
            </w:pPr>
          </w:p>
        </w:tc>
      </w:tr>
      <w:tr>
        <w:trPr>
          <w:trHeight w:val="23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NOL Carryforwards</w:t>
            </w:r>
          </w:p>
        </w:tc>
        <w:tc>
          <w:tcPr>
            <w:tcW w:w="2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486.9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20" w:type="dxa"/>
            <w:vAlign w:val="bottom"/>
          </w:tcPr>
          <w:p>
            <w:pPr>
              <w:spacing w:after="0"/>
              <w:rPr>
                <w:sz w:val="19"/>
                <w:szCs w:val="19"/>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Power Sales Agreements</w:t>
            </w:r>
          </w:p>
        </w:tc>
        <w:tc>
          <w:tcPr>
            <w:tcW w:w="2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Liabilities</w:t>
            </w:r>
          </w:p>
        </w:tc>
        <w:tc>
          <w:tcPr>
            <w:tcW w:w="2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84.0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19"/>
                <w:szCs w:val="19"/>
                <w:color w:val="auto"/>
              </w:rPr>
            </w:pPr>
          </w:p>
        </w:tc>
      </w:tr>
      <w:tr>
        <w:trPr>
          <w:trHeight w:val="229"/>
        </w:trPr>
        <w:tc>
          <w:tcPr>
            <w:tcW w:w="7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r>
      <w:tr>
        <w:trPr>
          <w:trHeight w:val="223"/>
        </w:trPr>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2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682.0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20" w:type="dxa"/>
            <w:vAlign w:val="bottom"/>
          </w:tcPr>
          <w:p>
            <w:pPr>
              <w:spacing w:after="0"/>
              <w:rPr>
                <w:sz w:val="19"/>
                <w:szCs w:val="19"/>
                <w:color w:val="auto"/>
              </w:rPr>
            </w:pPr>
          </w:p>
        </w:tc>
      </w:tr>
      <w:tr>
        <w:trPr>
          <w:trHeight w:val="229"/>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 Valuation Allowance</w:t>
            </w:r>
          </w:p>
        </w:tc>
        <w:tc>
          <w:tcPr>
            <w:tcW w:w="27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(44.9)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19"/>
                <w:szCs w:val="19"/>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$637.1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20" w:type="dxa"/>
            <w:vAlign w:val="bottom"/>
          </w:tcPr>
          <w:p>
            <w:pPr>
              <w:spacing w:after="0"/>
              <w:rPr>
                <w:sz w:val="19"/>
                <w:szCs w:val="19"/>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Gain</w:t>
            </w:r>
          </w:p>
        </w:tc>
        <w:tc>
          <w:tcPr>
            <w:tcW w:w="2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Property-Related</w:t>
            </w:r>
          </w:p>
        </w:tc>
        <w:tc>
          <w:tcPr>
            <w:tcW w:w="2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619.7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0" w:type="dxa"/>
            <w:vAlign w:val="bottom"/>
          </w:tcPr>
          <w:p>
            <w:pPr>
              <w:spacing w:after="0"/>
              <w:rPr>
                <w:sz w:val="19"/>
                <w:szCs w:val="19"/>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Asset for Benefit Obligations</w:t>
            </w:r>
          </w:p>
        </w:tc>
        <w:tc>
          <w:tcPr>
            <w:tcW w:w="2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9"/>
                <w:szCs w:val="19"/>
                <w:color w:val="auto"/>
              </w:rPr>
            </w:pPr>
          </w:p>
        </w:tc>
      </w:tr>
      <w:tr>
        <w:trPr>
          <w:trHeight w:val="23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Investment Tax Credits</w:t>
            </w:r>
          </w:p>
        </w:tc>
        <w:tc>
          <w:tcPr>
            <w:tcW w:w="2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9"/>
                <w:szCs w:val="19"/>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Partnership Basis Differences</w:t>
            </w:r>
          </w:p>
        </w:tc>
        <w:tc>
          <w:tcPr>
            <w:tcW w:w="2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164.3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 w:type="dxa"/>
            <w:vAlign w:val="bottom"/>
          </w:tcPr>
          <w:p>
            <w:pPr>
              <w:spacing w:after="0"/>
              <w:rPr>
                <w:sz w:val="19"/>
                <w:szCs w:val="19"/>
                <w:color w:val="auto"/>
              </w:rPr>
            </w:pPr>
          </w:p>
        </w:tc>
      </w:tr>
      <w:tr>
        <w:trPr>
          <w:trHeight w:val="230"/>
        </w:trPr>
        <w:tc>
          <w:tcPr>
            <w:tcW w:w="7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Regulatory Assets</w:t>
            </w:r>
          </w:p>
        </w:tc>
        <w:tc>
          <w:tcPr>
            <w:tcW w:w="2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9"/>
                <w:szCs w:val="19"/>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$890.5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20" w:type="dxa"/>
            <w:vAlign w:val="bottom"/>
          </w:tcPr>
          <w:p>
            <w:pPr>
              <w:spacing w:after="0"/>
              <w:rPr>
                <w:sz w:val="19"/>
                <w:szCs w:val="19"/>
                <w:color w:val="auto"/>
              </w:rPr>
            </w:pPr>
          </w:p>
        </w:tc>
      </w:tr>
      <w:tr>
        <w:trPr>
          <w:trHeight w:val="223"/>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Deferred Income Taxes </w:t>
            </w:r>
            <w:r>
              <w:rPr>
                <w:rFonts w:ascii="Times New Roman" w:cs="Times New Roman" w:eastAsia="Times New Roman" w:hAnsi="Times New Roman"/>
                <w:sz w:val="16"/>
                <w:szCs w:val="16"/>
                <w:i w:val="1"/>
                <w:iCs w:val="1"/>
                <w:color w:val="auto"/>
              </w:rPr>
              <w:t>(a)</w:t>
            </w:r>
          </w:p>
        </w:tc>
        <w:tc>
          <w:tcPr>
            <w:tcW w:w="27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$253.4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 w:type="dxa"/>
            <w:vAlign w:val="bottom"/>
          </w:tcPr>
          <w:p>
            <w:pPr>
              <w:spacing w:after="0"/>
              <w:rPr>
                <w:sz w:val="19"/>
                <w:szCs w:val="19"/>
                <w:color w:val="auto"/>
              </w:rPr>
            </w:pPr>
          </w:p>
        </w:tc>
      </w:tr>
      <w:tr>
        <w:trPr>
          <w:trHeight w:val="271"/>
        </w:trPr>
        <w:tc>
          <w:tcPr>
            <w:tcW w:w="7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Recorded as a net Deferred Income Tax liability on the Consolidated Balance Sheet.</w:t>
            </w:r>
          </w:p>
        </w:tc>
        <w:tc>
          <w:tcPr>
            <w:tcW w:w="2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NOL and Tax Credit Carryforwards</w:t>
            </w:r>
          </w:p>
        </w:tc>
        <w:tc>
          <w:tcPr>
            <w:tcW w:w="2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2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$424.7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$480.4</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State NOL Carryforwards </w:t>
            </w:r>
            <w:r>
              <w:rPr>
                <w:rFonts w:ascii="Times New Roman" w:cs="Times New Roman" w:eastAsia="Times New Roman" w:hAnsi="Times New Roman"/>
                <w:sz w:val="16"/>
                <w:szCs w:val="16"/>
                <w:i w:val="1"/>
                <w:iCs w:val="1"/>
                <w:color w:val="auto"/>
              </w:rPr>
              <w:t>(a)</w:t>
            </w:r>
          </w:p>
        </w:tc>
        <w:tc>
          <w:tcPr>
            <w:tcW w:w="27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$258.8</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$280.9</w:t>
            </w:r>
          </w:p>
        </w:tc>
      </w:tr>
      <w:tr>
        <w:trPr>
          <w:trHeight w:val="229"/>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State Tax Credit Carryforwards </w:t>
            </w:r>
            <w:r>
              <w:rPr>
                <w:rFonts w:ascii="Times New Roman" w:cs="Times New Roman" w:eastAsia="Times New Roman" w:hAnsi="Times New Roman"/>
                <w:sz w:val="16"/>
                <w:szCs w:val="16"/>
                <w:i w:val="1"/>
                <w:iCs w:val="1"/>
                <w:color w:val="auto"/>
              </w:rPr>
              <w:t>(b)</w:t>
            </w:r>
          </w:p>
        </w:tc>
        <w:tc>
          <w:tcPr>
            <w:tcW w:w="2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$19.9</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bl>
    <w:p>
      <w:pPr>
        <w:spacing w:after="0" w:line="79"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Pre-tax amounts; state NOL carryforwards net of a $9.7 million valuation allowance.</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4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of a $42.3 million valuation allowance as of December 31, 2024 ($55.4 million as of December 31, 2023).</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tax credit carryforward periods expire between 2035 and 2044. We expect to fully utilize the tax credit carryforwards; therefore, no federal valuation allowance has been recognized as of December 31, 2024. The apportioned state NOL, capital loss and tax credit carryforward periods expire between 2025 and 2045. We have established a valuation allowance against certain state NOL, capital loss and tax credits that we do not expect to utilize before their expiration.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INCOME TAX EXPENSE (Continued)</w:t>
            </w:r>
          </w:p>
        </w:tc>
        <w:tc>
          <w:tcPr>
            <w:tcW w:w="3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9"/>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Income Tax Benefits</w:t>
            </w:r>
          </w:p>
        </w:tc>
        <w:tc>
          <w:tcPr>
            <w:tcW w:w="3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0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3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0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 The gross unrecognized tax benefits as of December 31, 2024, included $0.6 million of net unrecognized tax benefits which, if recognized, would affect the annual effective income tax rate.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accrued interest of $0.2 million ($0.1 million as of December 31, 2023; none as of December 31, 2022) related to unrecognized tax benefits included on the Consolidated Balance Sheet due to our NOL carryforwards. We classify interest related to unrecognized tax benefits as interest expense and tax-related penalties in operating expenses on the Consolidated Statement of Income. Interest expense related to unrecognized tax benefits on the Consolidated Statement of Income was immaterial in 2024, 2023 and 2022. There were no penalties recognized in 2024, 2023 or 2022. The unrecognized tax benefit amounts have been presented as an increase to the net deferred tax liability on the Consolidated Balance Sheet.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changes to unrecognized tax benefits are expected during the next 12 months.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and its subsidiaries file a consolidated federal income tax return as well as combined and separate state income tax returns in various jurisdictions. ALLETE is currently under examination by the state of Minnesota for the tax years 2020 through 2022. ALLETE has no open federal audits, and is no longer subject to federal examination for years before 2021 or state examination for years before 2020. Additionally, the statute of limitations related to the federal tax credit carryforwards will remain open until those credits are utilized in subsequent returns.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 PLANS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noncontributory union, non-union and combined retiree defined benefit pension plans covering eligible employees. The combined retiree defined benefit pension plan was created in 2016, to include all union and non-union retirees from the existing plans as of January 2016. The plans provide defined benefits based on years of service and final average pay. We made $25.0 million in cash contributions to the plan trusts in 2024 ($17.3 million in 2023; none in 2022). We also have a defined contribution RSOP covering substantially all employees. The 2024 plan year employer contributions totaled $15.7 million ($13.7 million for the 2023 plan year; $12.0 million for the 2022 plan year). (See Note 10. Common Stock and Earnings Per Share and Note 13. Employee Stock and Incentive Plans.)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non-union defined benefit pension plan was frozen in 2018, and does not allow further crediting of service or earnings to the plan. Further, it is closed to new participants. The Minnesota Power union defined benefit pension plan is also closed to new participants, and the SWL&amp;P union defined benefit pension plan was closed to new participants effective February 1, 2022.</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postretirement health care and life insurance plans covering eligible employees. In 2010, the postretirement health care plan was closed to employees hired after January 2011, and the eligibility requirements were amended. The postretirement life plan was amended in 2014 to close the plan to non-union employees retiring after 2015, and in 2018, the plan was amended to limit the benefit level for union employees retiring after 2018. In 2023, the postretirement health care plan was amended to change the company contribution to an annual stipend for certain retirees.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2024, no contributions were made to the VEBAs (none in 2023; none in 2022) and no contributions were made to the grantor trusts (none in 2023; none in 2022).</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 PLANS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On January 15, 2025, we contributed $19.1 million in cash to the defined benefit pension plans, and do not expect to make additional cash contributions to the defined benefit pension plans in 2025. We do not expect to make any contributions to the defined benefit postretirement health and life plans in 2025.</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Accounting for defined benefit pension and other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the Consolidated Balance Sheet, in accordance with the accounting standards for the effect of certain types of regulation applicable to our Regulated Operations. The defined benefit pension and postretirement health and life benefit expense (credits) associated with our other operations are recognized in accumulated other comprehensive income.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Obligation and Funded Status</w:t>
            </w:r>
          </w:p>
        </w:tc>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8"/>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6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$701.7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2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$746.3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Actuarial (Gain) Loss </w:t>
            </w:r>
            <w:r>
              <w:rPr>
                <w:rFonts w:ascii="Times New Roman" w:cs="Times New Roman" w:eastAsia="Times New Roman" w:hAnsi="Times New Roman"/>
                <w:sz w:val="16"/>
                <w:szCs w:val="16"/>
                <w:i w:val="1"/>
                <w:iCs w:val="1"/>
                <w:color w:val="auto"/>
              </w:rPr>
              <w:t>(a)</w:t>
            </w:r>
          </w:p>
        </w:tc>
        <w:tc>
          <w:tcPr>
            <w:tcW w:w="2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7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7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 End of Year</w:t>
            </w:r>
          </w:p>
        </w:tc>
        <w:tc>
          <w:tcPr>
            <w:tcW w:w="26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$719.5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Beginning of Year</w:t>
            </w:r>
          </w:p>
        </w:tc>
        <w:tc>
          <w:tcPr>
            <w:tcW w:w="2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$589.0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Employer Contribution </w:t>
            </w:r>
            <w:r>
              <w:rPr>
                <w:rFonts w:ascii="Times New Roman" w:cs="Times New Roman" w:eastAsia="Times New Roman" w:hAnsi="Times New Roman"/>
                <w:sz w:val="16"/>
                <w:szCs w:val="16"/>
                <w:i w:val="1"/>
                <w:iCs w:val="1"/>
                <w:color w:val="auto"/>
              </w:rPr>
              <w:t>(b)</w:t>
            </w:r>
          </w:p>
        </w:tc>
        <w:tc>
          <w:tcPr>
            <w:tcW w:w="2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7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3"/>
        </w:trPr>
        <w:tc>
          <w:tcPr>
            <w:tcW w:w="7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Year</w:t>
            </w:r>
          </w:p>
        </w:tc>
        <w:tc>
          <w:tcPr>
            <w:tcW w:w="26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$604.1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Funded Status, End of Year</w:t>
            </w:r>
          </w:p>
        </w:tc>
        <w:tc>
          <w:tcPr>
            <w:tcW w:w="2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$(115.4)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36"/>
        </w:trPr>
        <w:tc>
          <w:tcPr>
            <w:tcW w:w="75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Pension Amounts Recognized in Consolidated Balance Sheet Consist of:</w:t>
            </w:r>
          </w:p>
        </w:tc>
        <w:tc>
          <w:tcPr>
            <w:tcW w:w="2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2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$(113.5)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r>
    </w:tbl>
    <w:p>
      <w:pPr>
        <w:spacing w:after="0" w:line="79"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actuarial gain in 2024 was primarily the result of increases in discount rates. The actuarial loss in 2023 was primarily the result of decreases in discount rates.</w:t>
      </w:r>
    </w:p>
    <w:p>
      <w:pPr>
        <w:spacing w:after="0" w:line="25" w:lineRule="exact"/>
        <w:rPr>
          <w:rFonts w:ascii="Times New Roman" w:cs="Times New Roman" w:eastAsia="Times New Roman" w:hAnsi="Times New Roman"/>
          <w:sz w:val="16"/>
          <w:szCs w:val="16"/>
          <w:i w:val="1"/>
          <w:iCs w:val="1"/>
          <w:color w:val="auto"/>
        </w:rPr>
      </w:pPr>
    </w:p>
    <w:p>
      <w:pPr>
        <w:ind w:left="340" w:right="20" w:hanging="332"/>
        <w:spacing w:after="0" w:line="257" w:lineRule="auto"/>
        <w:tabs>
          <w:tab w:leader="none" w:pos="400" w:val="left"/>
        </w:tabs>
        <w:numPr>
          <w:ilvl w:val="0"/>
          <w:numId w:val="4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Participant Contributions noted above, any contributions made by the Company to pension plan trusts and any direct benefit payments made under certain plans.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pension costs that are reported as a component within the Consolidated Balance Sheet, reflected in long-term regulatory assets or liabilities and accumulated other comprehensive income, consist primarily of a net loss of $235.2 million as of December 31, 2024 (net loss of $256.9 million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 PLANS (Continued)</w:t>
            </w: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1"/>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Pension Amounts Recognized in Consolidated Balance Sheet</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40" w:type="dxa"/>
            <w:vAlign w:val="bottom"/>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136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7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Contributions in Excess of Net Periodic Benefit Cost (Prepaid Pension Asset)</w:t>
            </w:r>
          </w:p>
        </w:tc>
        <w:tc>
          <w:tcPr>
            <w:tcW w:w="1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119.9</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99.6</w:t>
            </w:r>
          </w:p>
        </w:tc>
        <w:tc>
          <w:tcPr>
            <w:tcW w:w="40" w:type="dxa"/>
            <w:vAlign w:val="bottom"/>
          </w:tcPr>
          <w:p>
            <w:pPr>
              <w:spacing w:after="0"/>
              <w:rPr>
                <w:sz w:val="19"/>
                <w:szCs w:val="19"/>
                <w:color w:val="auto"/>
              </w:rPr>
            </w:pPr>
          </w:p>
        </w:tc>
      </w:tr>
      <w:tr>
        <w:trPr>
          <w:trHeight w:val="223"/>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Pension Amounts Recognized in Consolidated Balance Sheet</w:t>
            </w:r>
          </w:p>
        </w:tc>
        <w:tc>
          <w:tcPr>
            <w:tcW w:w="1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$(115.4)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40" w:type="dxa"/>
            <w:vAlign w:val="bottom"/>
          </w:tcPr>
          <w:p>
            <w:pPr>
              <w:spacing w:after="0"/>
              <w:rPr>
                <w:sz w:val="19"/>
                <w:szCs w:val="19"/>
                <w:color w:val="auto"/>
              </w:rPr>
            </w:pPr>
          </w:p>
        </w:tc>
      </w:tr>
      <w:tr>
        <w:trPr>
          <w:trHeight w:val="66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Pension Cost</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20"/>
                <w:szCs w:val="20"/>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38.6</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(44.8)</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Loss</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19"/>
                <w:szCs w:val="19"/>
                <w:color w:val="auto"/>
              </w:rPr>
            </w:pPr>
          </w:p>
        </w:tc>
      </w:tr>
      <w:tr>
        <w:trPr>
          <w:trHeight w:val="229"/>
        </w:trPr>
        <w:tc>
          <w:tcPr>
            <w:tcW w:w="7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Pension Cost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$6.8</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Borders>
              <w:bottom w:val="single" w:sz="8" w:color="auto"/>
            </w:tcBorders>
            <w:shd w:val="clear" w:color="auto" w:fill="CCEEFF"/>
          </w:tcPr>
          <w:p>
            <w:pPr>
              <w:spacing w:after="0"/>
              <w:rPr>
                <w:sz w:val="19"/>
                <w:szCs w:val="19"/>
                <w:color w:val="auto"/>
              </w:rPr>
            </w:pP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These components of net periodic pension cost are included in the line item “Other” under Other Income (Expense) on the Consolidated Statement of Income.</w:t>
      </w:r>
    </w:p>
    <w:p>
      <w:pPr>
        <w:spacing w:after="0" w:line="282" w:lineRule="exact"/>
        <w:rPr>
          <w:sz w:val="20"/>
          <w:szCs w:val="20"/>
          <w:color w:val="auto"/>
        </w:rPr>
      </w:pPr>
    </w:p>
    <w:p>
      <w:pPr>
        <w:ind w:left="20" w:right="5280"/>
        <w:spacing w:after="0" w:line="247" w:lineRule="auto"/>
        <w:rPr>
          <w:sz w:val="20"/>
          <w:szCs w:val="20"/>
          <w:color w:val="auto"/>
        </w:rPr>
      </w:pPr>
      <w:r>
        <w:rPr>
          <w:rFonts w:ascii="Times New Roman" w:cs="Times New Roman" w:eastAsia="Times New Roman" w:hAnsi="Times New Roman"/>
          <w:sz w:val="18"/>
          <w:szCs w:val="18"/>
          <w:b w:val="1"/>
          <w:bCs w:val="1"/>
          <w:color w:val="auto"/>
        </w:rPr>
        <w:t>Other Changes in Pension Plan Assets and Benefit Obligations Recognized in Other Comprehensive Income and Regulatory Assets or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1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Loss</w:t>
            </w:r>
          </w:p>
        </w:tc>
        <w:tc>
          <w:tcPr>
            <w:tcW w:w="19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(6.5)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and Regulatory Assets or Liabilities</w:t>
            </w:r>
          </w:p>
        </w:tc>
        <w:tc>
          <w:tcPr>
            <w:tcW w:w="1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$(21.6)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67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an Accumulated Benefit Obligation in Excess of Plan Assets</w:t>
            </w: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9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$719.5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$701.7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9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$604.1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 PLANS (Continued)</w:t>
            </w:r>
          </w:p>
        </w:tc>
        <w:tc>
          <w:tcPr>
            <w:tcW w:w="17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1"/>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Health and Life Obligation and Funded Status</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$73.9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Actuarial Gain </w:t>
            </w:r>
            <w:r>
              <w:rPr>
                <w:rFonts w:ascii="Times New Roman" w:cs="Times New Roman" w:eastAsia="Times New Roman" w:hAnsi="Times New Roman"/>
                <w:sz w:val="16"/>
                <w:szCs w:val="16"/>
                <w:i w:val="1"/>
                <w:iCs w:val="1"/>
                <w:color w:val="auto"/>
              </w:rPr>
              <w:t>(a)</w:t>
            </w:r>
          </w:p>
        </w:tc>
        <w:tc>
          <w:tcPr>
            <w:tcW w:w="17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Plan Amendments </w:t>
            </w:r>
            <w:r>
              <w:rPr>
                <w:rFonts w:ascii="Times New Roman" w:cs="Times New Roman" w:eastAsia="Times New Roman" w:hAnsi="Times New Roman"/>
                <w:sz w:val="16"/>
                <w:szCs w:val="16"/>
                <w:i w:val="1"/>
                <w:iCs w:val="1"/>
                <w:color w:val="auto"/>
              </w:rPr>
              <w:t>(b)</w:t>
            </w: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3"/>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End of Year</w:t>
            </w:r>
          </w:p>
        </w:tc>
        <w:tc>
          <w:tcPr>
            <w:tcW w:w="17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Beginning of Year</w:t>
            </w:r>
          </w:p>
        </w:tc>
        <w:tc>
          <w:tcPr>
            <w:tcW w:w="1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$173.8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 (Withdrawal)</w:t>
            </w:r>
          </w:p>
        </w:tc>
        <w:tc>
          <w:tcPr>
            <w:tcW w:w="17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7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8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Fair Value, End of Year</w:t>
            </w: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$174.2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3"/>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End of Year</w:t>
            </w:r>
          </w:p>
        </w:tc>
        <w:tc>
          <w:tcPr>
            <w:tcW w:w="17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$101.8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7"/>
        </w:trPr>
        <w:tc>
          <w:tcPr>
            <w:tcW w:w="8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Postretirement Health and Life Amounts Recognized in Consolidated Balance Sheet Consist of:</w:t>
            </w:r>
          </w:p>
        </w:tc>
        <w:tc>
          <w:tcPr>
            <w:tcW w:w="17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Assets</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$107.6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79" w:lineRule="exact"/>
        <w:rPr>
          <w:sz w:val="20"/>
          <w:szCs w:val="20"/>
          <w:color w:val="auto"/>
        </w:rPr>
      </w:pPr>
    </w:p>
    <w:p>
      <w:pPr>
        <w:ind w:left="340" w:hanging="332"/>
        <w:spacing w:after="0" w:line="259" w:lineRule="auto"/>
        <w:tabs>
          <w:tab w:leader="none" w:pos="340" w:val="left"/>
        </w:tabs>
        <w:numPr>
          <w:ilvl w:val="0"/>
          <w:numId w:val="4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actuarial gain in 2024 was primarily the result of increases in discount rates and the actual return on plan assets exceeding the expected return on plan assets. The actuarial gain in 2023 was primarily the result of the actual return on plan assets exceeding the expected return on plan assets.</w:t>
      </w:r>
    </w:p>
    <w:p>
      <w:pPr>
        <w:ind w:left="340" w:hanging="332"/>
        <w:spacing w:after="0"/>
        <w:tabs>
          <w:tab w:leader="none" w:pos="340" w:val="left"/>
        </w:tabs>
        <w:numPr>
          <w:ilvl w:val="0"/>
          <w:numId w:val="4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 2023, the postretirement health care plan was amended to change the company contribution to an annual stipend for certain retirees.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accounting standards for retirement benefits, only assets in the VEBAs are treated as plan assets in the preceding table for the purpose of determining funded status. In addition to the postretirement health and life assets reported in the previous table, we had $13.4 million in irrevocable grantor trusts included in Other Non-Current Assets on the Consolidated Balance Sheet as of December 31, 2024 ($12.8 million as of December 31, 2023).</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postretirement health and life costs that are reported as a component within the Consolidated Balance Sheet, reflected in regulatory long-term assets or liabilities and accumulated other comprehensive income,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Postretirement Health and Life Costs</w:t>
            </w:r>
          </w:p>
        </w:tc>
        <w:tc>
          <w:tcPr>
            <w:tcW w:w="3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w:t>
            </w:r>
          </w:p>
        </w:tc>
        <w:tc>
          <w:tcPr>
            <w:tcW w:w="3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$(27.1)</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3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(22.1)</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Postretirement Health and Life Credit</w:t>
            </w:r>
          </w:p>
        </w:tc>
        <w:tc>
          <w:tcPr>
            <w:tcW w:w="34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$(49.2)</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 PLANS (Continued)</w:t>
            </w:r>
          </w:p>
        </w:tc>
        <w:tc>
          <w:tcPr>
            <w:tcW w:w="1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1"/>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Postretirement Health and Life Amounts Recognized in Consolidated Balance Sheet</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Gain </w:t>
            </w:r>
            <w:r>
              <w:rPr>
                <w:rFonts w:ascii="Times New Roman" w:cs="Times New Roman" w:eastAsia="Times New Roman" w:hAnsi="Times New Roman"/>
                <w:sz w:val="16"/>
                <w:szCs w:val="16"/>
                <w:i w:val="1"/>
                <w:iCs w:val="1"/>
                <w:color w:val="auto"/>
              </w:rPr>
              <w:t>(a)</w:t>
            </w:r>
          </w:p>
        </w:tc>
        <w:tc>
          <w:tcPr>
            <w:tcW w:w="1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Pr>
          <w:p>
            <w:pPr>
              <w:spacing w:after="0"/>
              <w:rPr>
                <w:sz w:val="19"/>
                <w:szCs w:val="19"/>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1460" w:type="dxa"/>
            <w:vAlign w:val="bottom"/>
          </w:tcPr>
          <w:p>
            <w:pPr>
              <w:spacing w:after="0"/>
              <w:rPr>
                <w:sz w:val="19"/>
                <w:szCs w:val="19"/>
                <w:color w:val="auto"/>
              </w:rPr>
            </w:pPr>
          </w:p>
        </w:tc>
        <w:tc>
          <w:tcPr>
            <w:tcW w:w="1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22.1</w:t>
            </w: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Pr>
          <w:p>
            <w:pPr>
              <w:spacing w:after="0"/>
              <w:rPr>
                <w:sz w:val="19"/>
                <w:szCs w:val="19"/>
                <w:color w:val="auto"/>
              </w:rPr>
            </w:pPr>
          </w:p>
        </w:tc>
      </w:tr>
      <w:tr>
        <w:trPr>
          <w:trHeight w:val="229"/>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Accumulated Net Periodic Benefit Cost in Excess of Contributions </w:t>
            </w:r>
            <w:r>
              <w:rPr>
                <w:rFonts w:ascii="Times New Roman" w:cs="Times New Roman" w:eastAsia="Times New Roman" w:hAnsi="Times New Roman"/>
                <w:sz w:val="16"/>
                <w:szCs w:val="16"/>
                <w:i w:val="1"/>
                <w:iCs w:val="1"/>
                <w:color w:val="auto"/>
              </w:rPr>
              <w:t>(a)</w:t>
            </w:r>
          </w:p>
        </w:tc>
        <w:tc>
          <w:tcPr>
            <w:tcW w:w="1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52.6</w:t>
            </w: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41.3</w:t>
            </w:r>
          </w:p>
        </w:tc>
        <w:tc>
          <w:tcPr>
            <w:tcW w:w="40" w:type="dxa"/>
            <w:vAlign w:val="bottom"/>
          </w:tcPr>
          <w:p>
            <w:pPr>
              <w:spacing w:after="0"/>
              <w:rPr>
                <w:sz w:val="19"/>
                <w:szCs w:val="19"/>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Postretirement Health and Life Amounts Recognized in Consolidated Balance Sheet</w:t>
            </w:r>
          </w:p>
        </w:tc>
        <w:tc>
          <w:tcPr>
            <w:tcW w:w="1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$101.8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40" w:type="dxa"/>
            <w:vAlign w:val="bottom"/>
          </w:tcPr>
          <w:p>
            <w:pPr>
              <w:spacing w:after="0"/>
              <w:rPr>
                <w:sz w:val="19"/>
                <w:szCs w:val="19"/>
                <w:color w:val="auto"/>
              </w:rPr>
            </w:pPr>
          </w:p>
        </w:tc>
      </w:tr>
      <w:tr>
        <w:trPr>
          <w:trHeight w:val="285"/>
        </w:trPr>
        <w:tc>
          <w:tcPr>
            <w:tcW w:w="74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Excludes gains, losses and contributions associated with irrevocable grantor trusts.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8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Postretirement Health and Life Cost</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9"/>
                <w:szCs w:val="19"/>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9"/>
                <w:szCs w:val="19"/>
                <w:color w:val="auto"/>
              </w:rPr>
            </w:pP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(11.1)</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(11.4)</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(Gain) Loss</w:t>
            </w:r>
          </w:p>
        </w:tc>
        <w:tc>
          <w:tcPr>
            <w:tcW w:w="1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19"/>
                <w:szCs w:val="19"/>
                <w:color w:val="auto"/>
              </w:rPr>
            </w:pPr>
          </w:p>
        </w:tc>
      </w:tr>
      <w:tr>
        <w:trPr>
          <w:trHeight w:val="229"/>
        </w:trPr>
        <w:tc>
          <w:tcPr>
            <w:tcW w:w="7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(8.5)</w:t>
            </w:r>
          </w:p>
        </w:tc>
        <w:tc>
          <w:tcPr>
            <w:tcW w:w="9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Postretirement Health and Life Credit</w:t>
            </w:r>
          </w:p>
        </w:tc>
        <w:tc>
          <w:tcPr>
            <w:tcW w:w="14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$(20.6)</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$(15.0)</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bl>
    <w:p>
      <w:pPr>
        <w:spacing w:after="0" w:line="79" w:lineRule="exact"/>
        <w:rPr>
          <w:sz w:val="20"/>
          <w:szCs w:val="20"/>
          <w:color w:val="auto"/>
        </w:rPr>
      </w:pPr>
    </w:p>
    <w:p>
      <w:pPr>
        <w:ind w:left="340" w:hanging="332"/>
        <w:spacing w:after="0" w:line="283" w:lineRule="auto"/>
        <w:tabs>
          <w:tab w:leader="none" w:pos="340" w:val="left"/>
        </w:tabs>
        <w:numPr>
          <w:ilvl w:val="0"/>
          <w:numId w:val="4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components of net periodic postretirement health and life cost are included in the line item “Other” under Other Income (Expense) on the Consolidated Statement of Income.</w:t>
      </w:r>
    </w:p>
    <w:p>
      <w:pPr>
        <w:spacing w:after="0" w:line="221" w:lineRule="exact"/>
        <w:rPr>
          <w:sz w:val="20"/>
          <w:szCs w:val="20"/>
          <w:color w:val="auto"/>
        </w:rPr>
      </w:pPr>
    </w:p>
    <w:p>
      <w:pPr>
        <w:ind w:left="20" w:right="4980"/>
        <w:spacing w:after="0" w:line="247" w:lineRule="auto"/>
        <w:rPr>
          <w:sz w:val="20"/>
          <w:szCs w:val="20"/>
          <w:color w:val="auto"/>
        </w:rPr>
      </w:pPr>
      <w:r>
        <w:rPr>
          <w:rFonts w:ascii="Times New Roman" w:cs="Times New Roman" w:eastAsia="Times New Roman" w:hAnsi="Times New Roman"/>
          <w:sz w:val="18"/>
          <w:szCs w:val="18"/>
          <w:b w:val="1"/>
          <w:bCs w:val="1"/>
          <w:color w:val="auto"/>
        </w:rPr>
        <w:t>Other Changes in Postretirement Benefit Plan Assets and Benefit Obligations Recognized in Other Comprehensive Income and Regulatory Assets or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w:t>
            </w:r>
          </w:p>
        </w:tc>
        <w:tc>
          <w:tcPr>
            <w:tcW w:w="2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 Arising During the Period</w:t>
            </w:r>
          </w:p>
        </w:tc>
        <w:tc>
          <w:tcPr>
            <w:tcW w:w="2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Gain</w:t>
            </w:r>
          </w:p>
        </w:tc>
        <w:tc>
          <w:tcPr>
            <w:tcW w:w="2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and Regulatory Assets or Liabilities</w:t>
            </w:r>
          </w:p>
        </w:tc>
        <w:tc>
          <w:tcPr>
            <w:tcW w:w="24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tc>
        <w:tc>
          <w:tcPr>
            <w:tcW w:w="3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vMerge w:val="continue"/>
          </w:tcPr>
          <w:p>
            <w:pPr>
              <w:spacing w:after="0"/>
              <w:rPr>
                <w:sz w:val="21"/>
                <w:szCs w:val="21"/>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Health and Life</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2030 – 2034</w:t>
            </w:r>
          </w:p>
        </w:tc>
        <w:tc>
          <w:tcPr>
            <w:tcW w:w="3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$272.7</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 PLANS (Continued)</w:t>
            </w: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1"/>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Benefit Obligation</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8"/>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1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5.78%</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5.39%</w:t>
            </w: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Health and Life</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5.79%</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5.42%</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3.52%</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Trend Rates</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Trend Rate</w:t>
            </w:r>
          </w:p>
        </w:tc>
        <w:tc>
          <w:tcPr>
            <w:tcW w:w="1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Ultimate Trend Rate</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29"/>
        </w:trPr>
        <w:tc>
          <w:tcPr>
            <w:tcW w:w="7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Year Ultimate Trend Rate Effective</w:t>
            </w:r>
          </w:p>
        </w:tc>
        <w:tc>
          <w:tcPr>
            <w:tcW w:w="1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r>
      <w:tr>
        <w:trPr>
          <w:trHeight w:val="66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Costs</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8"/>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Health and Life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5.42%</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5.89%</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3.09%</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Postretirement Health and Life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r>
      <w:tr>
        <w:trPr>
          <w:trHeight w:val="229"/>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3.52%</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3.58%</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3.58%</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discount rate is computed using a bond matching study which utilizes a portfolio of high quality bonds that produce cash flows similar to the projected costs of our pension and other postretirement plans.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actuarial assumptions about mortality to calculate the pension and postretirement health and life benefit obligations. The mortality assumptions used to calculate our pension and other postretirement benefit obligations as of December 31, 2024, considered a modified PRI-2012 mortality table and MP-2021 mortality projection scale.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Actual Plan Asset Allocations</w:t>
            </w:r>
          </w:p>
        </w:tc>
        <w:tc>
          <w:tcPr>
            <w:tcW w:w="3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140" w:type="dxa"/>
            <w:vAlign w:val="bottom"/>
          </w:tcPr>
          <w:p>
            <w:pPr>
              <w:spacing w:after="0"/>
              <w:rPr>
                <w:sz w:val="18"/>
                <w:szCs w:val="18"/>
                <w:color w:val="auto"/>
              </w:rPr>
            </w:pP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31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Health and Life </w:t>
            </w:r>
            <w:r>
              <w:rPr>
                <w:rFonts w:ascii="Times New Roman" w:cs="Times New Roman" w:eastAsia="Times New Roman" w:hAnsi="Times New Roman"/>
                <w:sz w:val="16"/>
                <w:szCs w:val="16"/>
                <w:i w:val="1"/>
                <w:iCs w:val="1"/>
                <w:color w:val="auto"/>
              </w:rPr>
              <w:t>(a)</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57 %</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57 %</w:t>
            </w:r>
          </w:p>
        </w:tc>
        <w:tc>
          <w:tcPr>
            <w:tcW w:w="19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67 %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31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40 %</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40 %</w:t>
            </w:r>
          </w:p>
        </w:tc>
        <w:tc>
          <w:tcPr>
            <w:tcW w:w="19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33 %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3 %</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3 %</w:t>
            </w:r>
          </w:p>
        </w:tc>
        <w:tc>
          <w:tcPr>
            <w:tcW w:w="19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100 %</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100 %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Includes VEBAs and irrevocable grantor trusts.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shares of ALLETE common stock included in pension plan equity securities as of December 31, 2024 (no shares as of December 31, 2023).</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defined benefit pension plans have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are diversified to achieve strong returns within managed risk. Equity securities are diversified among domestic companies with large, mid and small market capitalization, as well as investments in international companies. The majority of debt securities are made up of investment grade bonds.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 PLANS (Continued)</w:t>
            </w:r>
          </w:p>
        </w:tc>
        <w:tc>
          <w:tcPr>
            <w:tcW w:w="18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Following are the current targeted allocations as of December 31, 2024:</w:t>
            </w: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 Target Allocations</w:t>
            </w:r>
          </w:p>
        </w:tc>
        <w:tc>
          <w:tcPr>
            <w:tcW w:w="1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Health and Life </w:t>
            </w:r>
            <w:r>
              <w:rPr>
                <w:rFonts w:ascii="Times New Roman" w:cs="Times New Roman" w:eastAsia="Times New Roman" w:hAnsi="Times New Roman"/>
                <w:sz w:val="16"/>
                <w:szCs w:val="16"/>
                <w:i w:val="1"/>
                <w:iCs w:val="1"/>
                <w:color w:val="auto"/>
              </w:rPr>
              <w:t>(a)</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Includes VEBAs and irrevocable grantor trusts.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(See Note 7. Fair Value.)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Pension Fair Value</w:t>
            </w: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592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1080" w:type="dxa"/>
            <w:vAlign w:val="bottom"/>
            <w:tcBorders>
              <w:bottom w:val="single" w:sz="8" w:color="auto"/>
            </w:tcBorders>
          </w:tcPr>
          <w:p>
            <w:pPr>
              <w:spacing w:after="0"/>
              <w:rPr>
                <w:sz w:val="22"/>
                <w:szCs w:val="22"/>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U.S. Large-cap </w:t>
            </w:r>
            <w:r>
              <w:rPr>
                <w:rFonts w:ascii="Times New Roman" w:cs="Times New Roman" w:eastAsia="Times New Roman" w:hAnsi="Times New Roman"/>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$73.2</w:t>
            </w: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U.S. Mid-cap Growth </w:t>
            </w:r>
            <w:r>
              <w:rPr>
                <w:rFonts w:ascii="Times New Roman" w:cs="Times New Roman" w:eastAsia="Times New Roman" w:hAnsi="Times New Roman"/>
                <w:sz w:val="16"/>
                <w:szCs w:val="16"/>
                <w:i w:val="1"/>
                <w:iCs w:val="1"/>
                <w:color w:val="auto"/>
              </w:rPr>
              <w:t>(a)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U.S. Small-cap </w:t>
            </w:r>
            <w:r>
              <w:rPr>
                <w:rFonts w:ascii="Times New Roman" w:cs="Times New Roman" w:eastAsia="Times New Roman" w:hAnsi="Times New Roman"/>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$99.1</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201.6</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235.4</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235.4</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$18.3</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$334.5</w:t>
            </w: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$18.3</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$604.1</w:t>
            </w:r>
          </w:p>
        </w:tc>
      </w:tr>
    </w:tbl>
    <w:p>
      <w:pPr>
        <w:spacing w:after="0" w:line="79"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underlying investments consist of actively-managed funds managed to achieve the returns of certain U.S. equity and fixed income securities indexes.</w:t>
      </w:r>
    </w:p>
    <w:p>
      <w:pPr>
        <w:spacing w:after="0" w:line="39" w:lineRule="exact"/>
        <w:rPr>
          <w:rFonts w:ascii="Times New Roman" w:cs="Times New Roman" w:eastAsia="Times New Roman" w:hAnsi="Times New Roman"/>
          <w:sz w:val="16"/>
          <w:szCs w:val="16"/>
          <w:i w:val="1"/>
          <w:iCs w:val="1"/>
          <w:color w:val="auto"/>
        </w:rPr>
      </w:pPr>
    </w:p>
    <w:p>
      <w:pPr>
        <w:ind w:left="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b w:val="1"/>
          <w:bCs w:val="1"/>
          <w:color w:val="auto"/>
        </w:rPr>
        <w:t>Recurring Fair Value Measures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Activity in Level 3</w:t>
            </w:r>
          </w:p>
        </w:tc>
        <w:tc>
          <w:tcPr>
            <w:tcW w:w="4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Real Estate</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780" w:type="dxa"/>
            <w:vAlign w:val="bottom"/>
          </w:tcPr>
          <w:p>
            <w:pPr>
              <w:spacing w:after="0"/>
              <w:rPr>
                <w:sz w:val="19"/>
                <w:szCs w:val="19"/>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 Net</w:t>
            </w:r>
          </w:p>
        </w:tc>
        <w:tc>
          <w:tcPr>
            <w:tcW w:w="4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 PLANS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(Continued)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2023</w:t>
            </w:r>
          </w:p>
        </w:tc>
        <w:tc>
          <w:tcPr>
            <w:tcW w:w="108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U.S. Large-cap </w:t>
            </w:r>
            <w:r>
              <w:rPr>
                <w:rFonts w:ascii="Times New Roman" w:cs="Times New Roman" w:eastAsia="Times New Roman" w:hAnsi="Times New Roman"/>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$83.7</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U.S. Mid-cap Growth </w:t>
            </w:r>
            <w:r>
              <w:rPr>
                <w:rFonts w:ascii="Times New Roman" w:cs="Times New Roman" w:eastAsia="Times New Roman" w:hAnsi="Times New Roman"/>
                <w:sz w:val="16"/>
                <w:szCs w:val="16"/>
                <w:i w:val="1"/>
                <w:iCs w:val="1"/>
                <w:color w:val="auto"/>
              </w:rPr>
              <w:t>(a)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69.9</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U.S. Small-cap </w:t>
            </w:r>
            <w:r>
              <w:rPr>
                <w:rFonts w:ascii="Times New Roman" w:cs="Times New Roman" w:eastAsia="Times New Roman" w:hAnsi="Times New Roman"/>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46.5</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$415.1</w:t>
            </w: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w:t>
            </w: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underlying investments consist of actively-managed funds managed to achieve the returns of certain U.S. equity and fixed income securities indexes.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Real Estate</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bottom w:val="single" w:sz="8" w:color="auto"/>
            </w:tcBorders>
          </w:tcPr>
          <w:p>
            <w:pPr>
              <w:spacing w:after="0"/>
              <w:rPr>
                <w:sz w:val="19"/>
                <w:szCs w:val="19"/>
                <w:color w:val="auto"/>
              </w:rPr>
            </w:pPr>
          </w:p>
        </w:tc>
      </w:tr>
      <w:tr>
        <w:trPr>
          <w:trHeight w:val="547"/>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Postretirement Health and Life Fair Value</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592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2024</w:t>
            </w:r>
          </w:p>
        </w:tc>
        <w:tc>
          <w:tcPr>
            <w:tcW w:w="12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16"/>
                <w:szCs w:val="16"/>
                <w:i w:val="1"/>
                <w:iCs w:val="1"/>
                <w:color w:val="auto"/>
              </w:rPr>
              <w:t>(a)</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Mid-cap Growth</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Small-cap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19"/>
                <w:szCs w:val="19"/>
                <w:color w:val="auto"/>
              </w:rPr>
            </w:pP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0" w:type="dxa"/>
            <w:vAlign w:val="bottom"/>
          </w:tcPr>
          <w:p>
            <w:pPr>
              <w:spacing w:after="0"/>
              <w:rPr>
                <w:sz w:val="19"/>
                <w:szCs w:val="19"/>
                <w:color w:val="auto"/>
              </w:rPr>
            </w:pP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underlying investments consist of mutual funds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NOTE 12. PENSION AND OTHER POSTRETIREMENT BENEFIT PLANS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tc>
        <w:tc>
          <w:tcPr>
            <w:tcW w:w="108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16"/>
                <w:szCs w:val="16"/>
                <w:i w:val="1"/>
                <w:iCs w:val="1"/>
                <w:color w:val="auto"/>
              </w:rPr>
              <w:t>(a)</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Mid-cap Growth</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Small-cap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5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r>
    </w:tbl>
    <w:p>
      <w:pPr>
        <w:spacing w:after="0" w:line="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underlying investments consist of mutual funds (Level 1).</w:t>
      </w: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EMPLOYEE STOCK AND INCENTIVE PLANS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Employee Stock Ownership Plan. </w:t>
      </w:r>
      <w:r>
        <w:rPr>
          <w:rFonts w:ascii="Times New Roman" w:cs="Times New Roman" w:eastAsia="Times New Roman" w:hAnsi="Times New Roman"/>
          <w:sz w:val="18"/>
          <w:szCs w:val="18"/>
          <w:color w:val="auto"/>
        </w:rPr>
        <w:t>We sponsor an ESOP within the RSOP. Eligible employees may contribute to the RSOP plan as of their date of hire.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dividends received by the ESOP are distributed to participants. Dividends on allocated ESOP shares are recorded as a reduction of retained earnings. ESOP employer allocations are funded with contributions paid in either cash or the issuance of ALLETE common stock at the Company’s discretion. We record compensation expense equal to the cash or current market price of stock contributed. ESOP compensation expense was $15.7 million in 2024 ($13.7 million in 2023; $12.0 million in 2022).</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accounting standards for stock compensation, unallocated shares of ALLETE common stock held and purchased by the ESOP were treated as unearned ESOP shares and not considered outstanding for earnings per share computations. All ESOP shares have been allocated to participants as of December 31, 2024, 2023 and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Incentive Plan. </w:t>
      </w:r>
      <w:r>
        <w:rPr>
          <w:rFonts w:ascii="Times New Roman" w:cs="Times New Roman" w:eastAsia="Times New Roman" w:hAnsi="Times New Roman"/>
          <w:sz w:val="18"/>
          <w:szCs w:val="18"/>
          <w:color w:val="auto"/>
        </w:rPr>
        <w:t>Under our Executive Long-Term Incentive Compensation Plan (Executive Plan), share-based awards may be issued to key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broad range of methods, including non-qualified and incentive stock options, performance shares, performance units, restricted stock, restricted stock units, stock appreciation rights and other awards. There are 0.7 million shares of ALLETE common stock reserved for issuance under the Executive Plan, of which 0.5 million of these shares remain available for issuance as of December 31,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types of share-based awards were outstanding in 2024, 2023 or 2022:</w:t>
      </w:r>
    </w:p>
    <w:p>
      <w:pPr>
        <w:spacing w:after="0" w:line="25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Performance Shares. </w:t>
      </w:r>
      <w:r>
        <w:rPr>
          <w:rFonts w:ascii="Times New Roman" w:cs="Times New Roman" w:eastAsia="Times New Roman" w:hAnsi="Times New Roman"/>
          <w:sz w:val="18"/>
          <w:szCs w:val="18"/>
          <w:color w:val="auto"/>
        </w:rPr>
        <w:t>Under the performance share awards, the number of shares earned is contingent upon attaining specific market and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over a three-year performance period. Market goals are measured by total shareholder return relative to a group of peer companies while performance goals are measured by earnings per share growth.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incorporates the probability of meeting the total shareholder return goals. Compensation cost is recognized over the three-year performance period based on our estimate of the number of shares which will be earned by the award recipients.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NOTE 13. EMPLOYEE STOCK AND INCENTIVE PLANS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(Continued)</w:t>
      </w:r>
    </w:p>
    <w:p>
      <w:pPr>
        <w:spacing w:after="0" w:line="232"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Under the restricted stock unit awards, shares for participants eligible for retirement vest monthly over a three-year period.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not eligible for retirement,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209"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(ESPP). </w:t>
      </w:r>
      <w:r>
        <w:rPr>
          <w:rFonts w:ascii="Times New Roman" w:cs="Times New Roman" w:eastAsia="Times New Roman" w:hAnsi="Times New Roman"/>
          <w:sz w:val="18"/>
          <w:szCs w:val="18"/>
          <w:color w:val="auto"/>
        </w:rPr>
        <w:t>Under our ESPP, eligible employees may purchase ALLETE common stock at a 5 percent discount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 we are not required to apply fair value accounting to these awards as the discount is not greater than 5 percent.</w:t>
      </w:r>
    </w:p>
    <w:p>
      <w:pPr>
        <w:spacing w:after="0" w:line="18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RSOP</w:t>
      </w:r>
      <w:r>
        <w:rPr>
          <w:rFonts w:ascii="Times New Roman" w:cs="Times New Roman" w:eastAsia="Times New Roman" w:hAnsi="Times New Roman"/>
          <w:sz w:val="18"/>
          <w:szCs w:val="18"/>
          <w:color w:val="auto"/>
        </w:rPr>
        <w:t>. The RSOP is a contributory defined contribution plan subject to the provisions of the Employee Retirement Income Security Act of 1974,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qualifies as an employee stock ownership plan and profit sharing plan. The RSOP provides eligible employees an opportunity to save for retirement.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share-based compensation expense amounts were recognized in our Consolidated Statement of Income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Shares</w:t>
            </w:r>
          </w:p>
        </w:tc>
        <w:tc>
          <w:tcPr>
            <w:tcW w:w="3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0.9</w:t>
            </w: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3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capitalized share-based compensation costs during the years ended December 31, 2024, 2023 or 2022.</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cost for the performance share awards and restricted stock units not yet recognized in our Consolidated Statement of Income was $3.3 million and $1.1 million, respectively. These amounts are expected to be recognized over a weighted-average period of 1.7 years and 1.8 years,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Performance Shares. </w:t>
      </w:r>
      <w:r>
        <w:rPr>
          <w:rFonts w:ascii="Times New Roman" w:cs="Times New Roman" w:eastAsia="Times New Roman" w:hAnsi="Times New Roman"/>
          <w:sz w:val="18"/>
          <w:szCs w:val="18"/>
          <w:color w:val="auto"/>
        </w:rPr>
        <w:t>The following table presents information regarding our non-vested performance shares.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center"/>
              <w:ind w:lef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80" w:type="dxa"/>
            <w:vAlign w:val="bottom"/>
          </w:tcPr>
          <w:p>
            <w:pPr>
              <w:spacing w:after="0"/>
              <w:rPr>
                <w:sz w:val="14"/>
                <w:szCs w:val="14"/>
                <w:color w:val="auto"/>
              </w:rPr>
            </w:pPr>
          </w:p>
        </w:tc>
        <w:tc>
          <w:tcPr>
            <w:tcW w:w="1500" w:type="dxa"/>
            <w:vAlign w:val="bottom"/>
          </w:tcPr>
          <w:p>
            <w:pPr>
              <w:jc w:val="center"/>
              <w:ind w:lef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80" w:type="dxa"/>
            <w:vAlign w:val="bottom"/>
          </w:tcPr>
          <w:p>
            <w:pPr>
              <w:spacing w:after="0"/>
              <w:rPr>
                <w:sz w:val="14"/>
                <w:szCs w:val="14"/>
                <w:color w:val="auto"/>
              </w:rPr>
            </w:pPr>
          </w:p>
        </w:tc>
        <w:tc>
          <w:tcPr>
            <w:tcW w:w="1520" w:type="dxa"/>
            <w:vAlign w:val="bottom"/>
          </w:tcPr>
          <w:p>
            <w:pPr>
              <w:jc w:val="center"/>
              <w:ind w:lef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0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8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48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080" w:type="dxa"/>
            <w:vAlign w:val="bottom"/>
            <w:vMerge w:val="continue"/>
          </w:tcPr>
          <w:p>
            <w:pPr>
              <w:spacing w:after="0"/>
              <w:rPr>
                <w:sz w:val="15"/>
                <w:szCs w:val="15"/>
                <w:color w:val="auto"/>
              </w:rPr>
            </w:pPr>
          </w:p>
        </w:tc>
        <w:tc>
          <w:tcPr>
            <w:tcW w:w="150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080" w:type="dxa"/>
            <w:vAlign w:val="bottom"/>
            <w:vMerge w:val="continue"/>
          </w:tcPr>
          <w:p>
            <w:pPr>
              <w:spacing w:after="0"/>
              <w:rPr>
                <w:sz w:val="15"/>
                <w:szCs w:val="15"/>
                <w:color w:val="auto"/>
              </w:rPr>
            </w:pPr>
          </w:p>
        </w:tc>
        <w:tc>
          <w:tcPr>
            <w:tcW w:w="152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w:t>
            </w:r>
          </w:p>
        </w:tc>
        <w:tc>
          <w:tcPr>
            <w:tcW w:w="10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5"/>
              </w:rPr>
              <w:t>111,498</w:t>
            </w:r>
          </w:p>
        </w:tc>
        <w:tc>
          <w:tcPr>
            <w:tcW w:w="14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$66.71</w:t>
            </w:r>
          </w:p>
        </w:tc>
        <w:tc>
          <w:tcPr>
            <w:tcW w:w="10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60,489</w:t>
            </w:r>
          </w:p>
        </w:tc>
        <w:tc>
          <w:tcPr>
            <w:tcW w:w="15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$69.62</w:t>
            </w:r>
          </w:p>
        </w:tc>
        <w:tc>
          <w:tcPr>
            <w:tcW w:w="10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80,661</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$75.80</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6"/>
                <w:szCs w:val="16"/>
                <w:i w:val="1"/>
                <w:iCs w:val="1"/>
                <w:color w:val="auto"/>
              </w:rPr>
              <w:t>(a)</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88,927</w:t>
            </w:r>
          </w:p>
        </w:tc>
        <w:tc>
          <w:tcPr>
            <w:tcW w:w="1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$64.33</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54,039</w:t>
            </w:r>
          </w:p>
        </w:tc>
        <w:tc>
          <w:tcPr>
            <w:tcW w:w="1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$63.50</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37,731</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$67.22</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Awarded</w:t>
            </w:r>
          </w:p>
        </w:tc>
        <w:tc>
          <w:tcPr>
            <w:tcW w:w="10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(46,725)</w:t>
            </w:r>
          </w:p>
        </w:tc>
        <w:tc>
          <w:tcPr>
            <w:tcW w:w="14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$70.14</w:t>
            </w:r>
          </w:p>
        </w:tc>
        <w:tc>
          <w:tcPr>
            <w:tcW w:w="10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Grant Award</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(50,524)</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$77.49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(12,099)</w:t>
            </w:r>
          </w:p>
        </w:tc>
        <w:tc>
          <w:tcPr>
            <w:tcW w:w="148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$64.81</w:t>
            </w:r>
          </w:p>
        </w:tc>
        <w:tc>
          <w:tcPr>
            <w:tcW w:w="108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(3,030)</w:t>
            </w:r>
          </w:p>
        </w:tc>
        <w:tc>
          <w:tcPr>
            <w:tcW w:w="15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$67.60</w:t>
            </w:r>
          </w:p>
        </w:tc>
        <w:tc>
          <w:tcPr>
            <w:tcW w:w="108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(7,379)</w:t>
            </w:r>
          </w:p>
        </w:tc>
        <w:tc>
          <w:tcPr>
            <w:tcW w:w="152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Non-vested as of December 31</w:t>
            </w:r>
          </w:p>
        </w:tc>
        <w:tc>
          <w:tcPr>
            <w:tcW w:w="10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141,601</w:t>
            </w:r>
          </w:p>
        </w:tc>
        <w:tc>
          <w:tcPr>
            <w:tcW w:w="14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$64.24</w:t>
            </w:r>
          </w:p>
        </w:tc>
        <w:tc>
          <w:tcPr>
            <w:tcW w:w="1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5"/>
              </w:rPr>
              <w:t>111,498</w:t>
            </w:r>
          </w:p>
        </w:tc>
        <w:tc>
          <w:tcPr>
            <w:tcW w:w="15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$66.71</w:t>
            </w: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60,489</w:t>
            </w:r>
          </w:p>
        </w:tc>
        <w:tc>
          <w:tcPr>
            <w:tcW w:w="15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$69.62</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i w:val="1"/>
          <w:iCs w:val="1"/>
          <w:color w:val="auto"/>
        </w:rPr>
        <w:t>(a)</w:t>
        <w:tab/>
        <w:t>Shares granted include accrued dividends</w:t>
      </w:r>
      <w:r>
        <w:rPr>
          <w:rFonts w:ascii="Times New Roman" w:cs="Times New Roman" w:eastAsia="Times New Roman" w:hAnsi="Times New Roman"/>
          <w:sz w:val="17"/>
          <w:szCs w:val="17"/>
          <w:i w:val="1"/>
          <w:iCs w:val="1"/>
          <w:color w:val="auto"/>
        </w:rPr>
        <w:t>.</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approximately 65,300 performance shares granted in January 2025 for the three-year performance period ending in 2027. The ultimate issuance is contingent upon the attainment of certain goals of ALLETE during the performance periods. The grant date fair value of the performance shares granted was $4.6 million. There were approximately 14,200 performance shares awarded in February 2025. The grant date fair value of the shares awarded was $1.0 million.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NOTE 13. EMPLOYEE STOCK AND INCENTIVE PLANS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(Continued)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following table presents information regarding our available restricted stock units.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jc w:val="center"/>
              <w:ind w:lef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00" w:type="dxa"/>
            <w:vAlign w:val="bottom"/>
          </w:tcPr>
          <w:p>
            <w:pPr>
              <w:spacing w:after="0"/>
              <w:rPr>
                <w:sz w:val="14"/>
                <w:szCs w:val="14"/>
                <w:color w:val="auto"/>
              </w:rPr>
            </w:pPr>
          </w:p>
        </w:tc>
        <w:tc>
          <w:tcPr>
            <w:tcW w:w="1460" w:type="dxa"/>
            <w:vAlign w:val="bottom"/>
          </w:tcPr>
          <w:p>
            <w:pPr>
              <w:jc w:val="center"/>
              <w:ind w:lef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80" w:type="dxa"/>
            <w:vAlign w:val="bottom"/>
          </w:tcPr>
          <w:p>
            <w:pPr>
              <w:spacing w:after="0"/>
              <w:rPr>
                <w:sz w:val="14"/>
                <w:szCs w:val="14"/>
                <w:color w:val="auto"/>
              </w:rPr>
            </w:pPr>
          </w:p>
        </w:tc>
        <w:tc>
          <w:tcPr>
            <w:tcW w:w="1520" w:type="dxa"/>
            <w:vAlign w:val="bottom"/>
          </w:tcPr>
          <w:p>
            <w:pPr>
              <w:jc w:val="center"/>
              <w:ind w:lef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0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tcPr>
          <w:p>
            <w:pPr>
              <w:jc w:val="center"/>
              <w:ind w:left="7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60" w:type="dxa"/>
            <w:vAlign w:val="bottom"/>
          </w:tcPr>
          <w:p>
            <w:pPr>
              <w:jc w:val="center"/>
              <w:ind w:left="7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tcPr>
          <w:p>
            <w:pPr>
              <w:jc w:val="center"/>
              <w:ind w:left="5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460" w:type="dxa"/>
            <w:vAlign w:val="bottom"/>
          </w:tcPr>
          <w:p>
            <w:pPr>
              <w:jc w:val="center"/>
              <w:ind w:left="9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100" w:type="dxa"/>
            <w:vAlign w:val="bottom"/>
            <w:vMerge w:val="continue"/>
          </w:tcPr>
          <w:p>
            <w:pPr>
              <w:spacing w:after="0"/>
              <w:rPr>
                <w:sz w:val="16"/>
                <w:szCs w:val="16"/>
                <w:color w:val="auto"/>
              </w:rPr>
            </w:pPr>
          </w:p>
        </w:tc>
        <w:tc>
          <w:tcPr>
            <w:tcW w:w="1460" w:type="dxa"/>
            <w:vAlign w:val="bottom"/>
          </w:tcPr>
          <w:p>
            <w:pPr>
              <w:jc w:val="center"/>
              <w:ind w:left="5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080" w:type="dxa"/>
            <w:vAlign w:val="bottom"/>
            <w:vMerge w:val="continue"/>
          </w:tcPr>
          <w:p>
            <w:pPr>
              <w:spacing w:after="0"/>
              <w:rPr>
                <w:sz w:val="16"/>
                <w:szCs w:val="16"/>
                <w:color w:val="auto"/>
              </w:rPr>
            </w:pPr>
          </w:p>
        </w:tc>
        <w:tc>
          <w:tcPr>
            <w:tcW w:w="152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1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as of January 1</w:t>
            </w:r>
          </w:p>
        </w:tc>
        <w:tc>
          <w:tcPr>
            <w:tcW w:w="1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43,744</w:t>
            </w:r>
          </w:p>
        </w:tc>
        <w:tc>
          <w:tcPr>
            <w:tcW w:w="1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$62.38</w:t>
            </w:r>
          </w:p>
        </w:tc>
        <w:tc>
          <w:tcPr>
            <w:tcW w:w="11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33,564</w:t>
            </w:r>
          </w:p>
        </w:tc>
        <w:tc>
          <w:tcPr>
            <w:tcW w:w="1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$68.80</w:t>
            </w:r>
          </w:p>
        </w:tc>
        <w:tc>
          <w:tcPr>
            <w:tcW w:w="10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28,141</w:t>
            </w:r>
          </w:p>
        </w:tc>
        <w:tc>
          <w:tcPr>
            <w:tcW w:w="15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$73.16</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6"/>
                <w:szCs w:val="16"/>
                <w:i w:val="1"/>
                <w:iCs w:val="1"/>
                <w:color w:val="auto"/>
              </w:rPr>
              <w:t>(a)</w:t>
            </w: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27,956</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$59.62</w:t>
            </w:r>
          </w:p>
        </w:tc>
        <w:tc>
          <w:tcPr>
            <w:tcW w:w="1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21,200</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$61.16</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15,477</w:t>
            </w:r>
          </w:p>
        </w:tc>
        <w:tc>
          <w:tcPr>
            <w:tcW w:w="15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$63.70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Awarded</w:t>
            </w:r>
          </w:p>
        </w:tc>
        <w:tc>
          <w:tcPr>
            <w:tcW w:w="10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(13,381)</w:t>
            </w:r>
          </w:p>
        </w:tc>
        <w:tc>
          <w:tcPr>
            <w:tcW w:w="1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$63.80</w:t>
            </w:r>
          </w:p>
        </w:tc>
        <w:tc>
          <w:tcPr>
            <w:tcW w:w="11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(9,631)</w:t>
            </w:r>
          </w:p>
        </w:tc>
        <w:tc>
          <w:tcPr>
            <w:tcW w:w="14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$81.91</w:t>
            </w:r>
          </w:p>
        </w:tc>
        <w:tc>
          <w:tcPr>
            <w:tcW w:w="10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(7,396)</w:t>
            </w:r>
          </w:p>
        </w:tc>
        <w:tc>
          <w:tcPr>
            <w:tcW w:w="15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$75.55</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(4,208)</w:t>
            </w:r>
          </w:p>
        </w:tc>
        <w:tc>
          <w:tcPr>
            <w:tcW w:w="14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$60.21</w:t>
            </w:r>
          </w:p>
        </w:tc>
        <w:tc>
          <w:tcPr>
            <w:tcW w:w="11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(1,389)</w:t>
            </w:r>
          </w:p>
        </w:tc>
        <w:tc>
          <w:tcPr>
            <w:tcW w:w="14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$63.46</w:t>
            </w:r>
          </w:p>
        </w:tc>
        <w:tc>
          <w:tcPr>
            <w:tcW w:w="10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(2,658)</w:t>
            </w:r>
          </w:p>
        </w:tc>
        <w:tc>
          <w:tcPr>
            <w:tcW w:w="15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$66.44</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as of December 31</w:t>
            </w:r>
          </w:p>
        </w:tc>
        <w:tc>
          <w:tcPr>
            <w:tcW w:w="10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54,111</w:t>
            </w:r>
          </w:p>
        </w:tc>
        <w:tc>
          <w:tcPr>
            <w:tcW w:w="146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$60.77</w:t>
            </w:r>
          </w:p>
        </w:tc>
        <w:tc>
          <w:tcPr>
            <w:tcW w:w="110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43,744</w:t>
            </w:r>
          </w:p>
        </w:tc>
        <w:tc>
          <w:tcPr>
            <w:tcW w:w="146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$62.38</w:t>
            </w:r>
          </w:p>
        </w:tc>
        <w:tc>
          <w:tcPr>
            <w:tcW w:w="108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33,564</w:t>
            </w:r>
          </w:p>
        </w:tc>
        <w:tc>
          <w:tcPr>
            <w:tcW w:w="152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i w:val="1"/>
          <w:iCs w:val="1"/>
          <w:color w:val="auto"/>
        </w:rPr>
        <w:t>(a)</w:t>
        <w:tab/>
        <w:t>Shares granted include accrued dividends.</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approximately 25,900 restricted stock units granted in January 2025 for the vesting period ending in 2027. The grant date fair value of the restricted stock units granted was $1.7 million. There were approximately 12,300 restricted stock units awarded in February 2025. The grant date fair value of the shares awarded was $0.8 million.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BUSINESS SEGMENTS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two reportable segments: Regulated Operations and ALLETE Clean Energy. We measure performance of our operations through budgeting and monitoring of contributions to net income attributable to ALLETE by each reportable segment.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three operating segments, New Energy, a renewable energy development company,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identified that the Chief Operating Decision Maker (CODM) for the Company is not an individual, but rather the Executive Officers of ALLETE. These individuals represent various areas of the Company and provide direction for the allocation of resources. They interact with one another on a regular basis, with more formal meetings quarterly to discuss company strategy. The group is provided with monthly and quarterly financial materials that show net income attributable to ALLETE by segment with variances compared to the budget and prior year. No other measure of segment profit or loss is provided regularly to this group or used to assess performance and allocate resources. The group reviews the segment profit and loss taking into account the Company’s goals and strategy, and provides direction for the allocation of resources.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BUSINESS SEGMENTS (Continued)</w:t>
            </w:r>
          </w:p>
        </w:tc>
        <w:tc>
          <w:tcPr>
            <w:tcW w:w="3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0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$177.0</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$165.7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3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189.8</w:t>
            </w: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184.6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Municipal</w:t>
            </w:r>
          </w:p>
        </w:tc>
        <w:tc>
          <w:tcPr>
            <w:tcW w:w="3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34.2</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Industrial</w:t>
            </w:r>
          </w:p>
        </w:tc>
        <w:tc>
          <w:tcPr>
            <w:tcW w:w="3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610.8</w:t>
            </w: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593.6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Power Suppliers</w:t>
            </w:r>
          </w:p>
        </w:tc>
        <w:tc>
          <w:tcPr>
            <w:tcW w:w="3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137.2</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146.1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30"/>
        </w:trPr>
        <w:tc>
          <w:tcPr>
            <w:tcW w:w="5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93.7</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114.9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3"/>
        </w:trPr>
        <w:tc>
          <w:tcPr>
            <w:tcW w:w="5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Regulated Operations</w:t>
            </w:r>
          </w:p>
        </w:tc>
        <w:tc>
          <w:tcPr>
            <w:tcW w:w="3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1,242.7</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1,238.3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w:t>
            </w:r>
          </w:p>
        </w:tc>
      </w:tr>
      <w:tr>
        <w:trPr>
          <w:trHeight w:val="196"/>
        </w:trPr>
        <w:tc>
          <w:tcPr>
            <w:tcW w:w="57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ALLETE Clean Energy</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PSA</w:t>
            </w:r>
          </w:p>
        </w:tc>
        <w:tc>
          <w:tcPr>
            <w:tcW w:w="3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56.4</w:t>
            </w: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Sale of Wind Energy Facilities </w:t>
            </w:r>
            <w:r>
              <w:rPr>
                <w:rFonts w:ascii="Times New Roman" w:cs="Times New Roman" w:eastAsia="Times New Roman" w:hAnsi="Times New Roman"/>
                <w:sz w:val="16"/>
                <w:szCs w:val="16"/>
                <w:i w:val="1"/>
                <w:iCs w:val="1"/>
                <w:color w:val="auto"/>
              </w:rPr>
              <w:t>(a)</w:t>
            </w:r>
          </w:p>
        </w:tc>
        <w:tc>
          <w:tcPr>
            <w:tcW w:w="3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22.9</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348.4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5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5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ALLETE Clean Energy</w:t>
            </w:r>
          </w:p>
        </w:tc>
        <w:tc>
          <w:tcPr>
            <w:tcW w:w="3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84.3</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418.5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196"/>
        </w:trPr>
        <w:tc>
          <w:tcPr>
            <w:tcW w:w="57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Contract</w:t>
            </w:r>
          </w:p>
        </w:tc>
        <w:tc>
          <w:tcPr>
            <w:tcW w:w="3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105.7</w:t>
            </w: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Renewable Development Projects</w:t>
            </w:r>
          </w:p>
        </w:tc>
        <w:tc>
          <w:tcPr>
            <w:tcW w:w="3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72.1</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9"/>
        </w:trPr>
        <w:tc>
          <w:tcPr>
            <w:tcW w:w="5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25.0</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29.3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5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Corporate and Other</w:t>
            </w:r>
          </w:p>
        </w:tc>
        <w:tc>
          <w:tcPr>
            <w:tcW w:w="3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223.0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23"/>
        </w:trPr>
        <w:tc>
          <w:tcPr>
            <w:tcW w:w="57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$1,529.8</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$1,879.8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Income Attributable to ALLETE </w:t>
            </w:r>
            <w:r>
              <w:rPr>
                <w:rFonts w:ascii="Times New Roman" w:cs="Times New Roman" w:eastAsia="Times New Roman" w:hAnsi="Times New Roman"/>
                <w:sz w:val="16"/>
                <w:szCs w:val="16"/>
                <w:i w:val="1"/>
                <w:iCs w:val="1"/>
                <w:color w:val="auto"/>
              </w:rPr>
              <w:t>(b)</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3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$160.9</w:t>
            </w:r>
          </w:p>
        </w:tc>
        <w:tc>
          <w:tcPr>
            <w:tcW w:w="1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$147.2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30"/>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ALLETE Clean Energy </w:t>
            </w:r>
            <w:r>
              <w:rPr>
                <w:rFonts w:ascii="Times New Roman" w:cs="Times New Roman" w:eastAsia="Times New Roman" w:hAnsi="Times New Roman"/>
                <w:sz w:val="16"/>
                <w:szCs w:val="16"/>
                <w:i w:val="1"/>
                <w:iCs w:val="1"/>
                <w:color w:val="auto"/>
              </w:rPr>
              <w:t>(c)</w:t>
            </w:r>
          </w:p>
        </w:tc>
        <w:tc>
          <w:tcPr>
            <w:tcW w:w="3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17.8</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71.7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5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6"/>
                <w:szCs w:val="16"/>
                <w:i w:val="1"/>
                <w:iCs w:val="1"/>
                <w:color w:val="auto"/>
              </w:rPr>
              <w:t>(d)(e)</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5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Income Attributable to ALLETE</w:t>
            </w:r>
          </w:p>
        </w:tc>
        <w:tc>
          <w:tcPr>
            <w:tcW w:w="3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$179.3</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$247.1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r>
    </w:tbl>
    <w:p>
      <w:pPr>
        <w:spacing w:after="0" w:line="79"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income in 2023 includes the sales of ALLETE Clean Energy’s Northern Wind and Red Barn projects.</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48" w:lineRule="auto"/>
        <w:tabs>
          <w:tab w:leader="none" w:pos="448"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interest expense and interest income resulting from intercompany loan agreements and allocated to certain subsidiaries. The amounts are eliminated in consolidation.</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income in 2023 includes a $44.3 million after-tax gain recognized for a favorable arbitration ruling. (See Note 9. Commitments, Guarantees and Contingencies.)</w:t>
      </w:r>
    </w:p>
    <w:p>
      <w:pPr>
        <w:spacing w:after="0" w:line="15" w:lineRule="exact"/>
        <w:rPr>
          <w:rFonts w:ascii="Times New Roman" w:cs="Times New Roman" w:eastAsia="Times New Roman" w:hAnsi="Times New Roman"/>
          <w:sz w:val="16"/>
          <w:szCs w:val="16"/>
          <w:i w:val="1"/>
          <w:iCs w:val="1"/>
          <w:color w:val="auto"/>
        </w:rPr>
      </w:pPr>
    </w:p>
    <w:p>
      <w:pPr>
        <w:ind w:left="340" w:hanging="332"/>
        <w:spacing w:after="0" w:line="255" w:lineRule="auto"/>
        <w:tabs>
          <w:tab w:leader="none" w:pos="387"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Income in 2022 includes a $8.3 million after-tax expense as a result of purchase price accounting related to projects under development at the time of acquisition and $2.7 million after-tax of transaction costs related to the acquisition of New Energy.</w:t>
      </w:r>
    </w:p>
    <w:p>
      <w:pPr>
        <w:ind w:left="340" w:hanging="332"/>
        <w:spacing w:after="0"/>
        <w:tabs>
          <w:tab w:leader="none" w:pos="340"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income in 2024 includes transaction expenses of $22.6 million after-tax related to the Merger. (See Note 15.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BUSINESS SEGMENTS (Continued)</w:t>
            </w: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Regulated</w:t>
            </w: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ALLETE Clean</w:t>
            </w:r>
          </w:p>
        </w:tc>
        <w:tc>
          <w:tcPr>
            <w:tcW w:w="124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36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and</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3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 /</w:t>
            </w: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$1,242.7</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Non-utility</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1,327.0</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479.7</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296.5</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253.8</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16"/>
                <w:szCs w:val="16"/>
                <w:i w:val="1"/>
                <w:iCs w:val="1"/>
                <w:color w:val="auto"/>
              </w:rPr>
              <w:t>(a)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1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ALLETE</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Information:</w:t>
            </w:r>
          </w:p>
        </w:tc>
        <w:tc>
          <w:tcPr>
            <w:tcW w:w="16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$253.8</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Earnings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$1,477.4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$5,966.8</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$787.5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$6,754.3</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Investment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$294.9</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right="20" w:hanging="332"/>
        <w:spacing w:after="0" w:line="268" w:lineRule="auto"/>
        <w:tabs>
          <w:tab w:leader="none" w:pos="386" w:val="left"/>
        </w:tabs>
        <w:numPr>
          <w:ilvl w:val="0"/>
          <w:numId w:val="4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Segment Items consist of interest expense, equity earnings, AFUDC – Equity and income tax expense for Regulated Operations, and income tax benefit and net loss attributable to non-controlling interest for ALLETE Clean Energy.</w:t>
      </w: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9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Regulated</w:t>
            </w: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ALLETE Clean</w:t>
            </w:r>
          </w:p>
        </w:tc>
        <w:tc>
          <w:tcPr>
            <w:tcW w:w="1240" w:type="dxa"/>
            <w:vAlign w:val="bottom"/>
          </w:tcPr>
          <w:p>
            <w:pPr>
              <w:jc w:val="center"/>
              <w:ind w:right="70"/>
              <w:spacing w:after="0" w:line="19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360" w:type="dxa"/>
            <w:vAlign w:val="bottom"/>
          </w:tcPr>
          <w:p>
            <w:pPr>
              <w:jc w:val="center"/>
              <w:ind w:right="10"/>
              <w:spacing w:after="0" w:line="190" w:lineRule="exact"/>
              <w:rPr>
                <w:sz w:val="20"/>
                <w:szCs w:val="20"/>
                <w:color w:val="auto"/>
              </w:rPr>
            </w:pPr>
            <w:r>
              <w:rPr>
                <w:rFonts w:ascii="Times New Roman" w:cs="Times New Roman" w:eastAsia="Times New Roman" w:hAnsi="Times New Roman"/>
                <w:sz w:val="18"/>
                <w:szCs w:val="18"/>
                <w:b w:val="1"/>
                <w:bCs w:val="1"/>
                <w:color w:val="auto"/>
              </w:rPr>
              <w:t>Corporate and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9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24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36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Other /</w:t>
            </w: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$1,238.3</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$413.4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413.4</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Non-utility</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418.5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1,656.8</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484.3</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342.2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342.2</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299.2</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236.7</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16"/>
                <w:szCs w:val="16"/>
                <w:i w:val="1"/>
                <w:iCs w:val="1"/>
                <w:color w:val="auto"/>
              </w:rPr>
              <w:t>(a)</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c>
          <w:tcPr>
            <w:tcW w:w="1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$71.7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Information:</w:t>
            </w:r>
          </w:p>
        </w:tc>
        <w:tc>
          <w:tcPr>
            <w:tcW w:w="19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$236.7</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Earnings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$4,335.0</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$1,594.1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$5,929.1</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$727.3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$6,656.4</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Investment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$179.7</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$231.0</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right="20" w:hanging="332"/>
        <w:spacing w:after="0" w:line="283" w:lineRule="auto"/>
        <w:tabs>
          <w:tab w:leader="none" w:pos="369"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Segment Items consist of interest expense, equity earnings, AFUDC – Equity and income tax expense for Regulated Operations, and income tax expense, net loss attributable to non-controlling interest and gain recognized for a favorable arbitration ruling for ALLETE Clean Energy.</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ALLETE, Inc. 2024 Form 10-K</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BUSINESS SEGMENTS (Continued)</w:t>
            </w: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300" w:type="dxa"/>
            <w:vAlign w:val="bottom"/>
          </w:tcPr>
          <w:p>
            <w:pPr>
              <w:spacing w:after="0"/>
              <w:rPr>
                <w:sz w:val="24"/>
                <w:szCs w:val="24"/>
                <w:color w:val="auto"/>
              </w:rPr>
            </w:pPr>
          </w:p>
        </w:tc>
        <w:tc>
          <w:tcPr>
            <w:tcW w:w="1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Regulated</w:t>
            </w: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ALLETE Clean</w:t>
            </w: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3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 /</w:t>
            </w: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$1,259.3</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Non-utility</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1,377.6</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545.5</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286.6</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230.5</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16"/>
                <w:szCs w:val="16"/>
                <w:i w:val="1"/>
                <w:iCs w:val="1"/>
                <w:color w:val="auto"/>
              </w:rPr>
              <w:t>(a)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c>
          <w:tcPr>
            <w:tcW w:w="1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Information:</w:t>
            </w:r>
          </w:p>
        </w:tc>
        <w:tc>
          <w:tcPr>
            <w:tcW w:w="16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$58.6</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$230.5</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Earnings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$4,291.4</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$1,873.3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$6,164.7</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$680.9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$6,845.6</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Investment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$160.5</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line="283" w:lineRule="auto"/>
        <w:tabs>
          <w:tab w:leader="none" w:pos="398" w:val="left"/>
        </w:tabs>
        <w:numPr>
          <w:ilvl w:val="0"/>
          <w:numId w:val="5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Segment Items consist of interest expense, equity earnings, AFUDC – Equity and income tax benefit for Regulated Operations, and income tax benefit and net loss attributable to non-controlling interest for ALLETE Clean Energy.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AGREEMENT AND PLAN OF MERGER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2024, ALLETE entered into the Merger Agreement. The Merger Agreement provides that, on the terms and subject to the conditions set forth therein, Alloy Merger Sub will merge with and into ALLETE, with ALLETE continuing as the surviving corporation in the Merger and becoming a subsidiary of Alloy Parent.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which has been unanimously approved by the board of directors of ALLETE and approved and adopted by the shareholders of ALLETE, at the effective time of the Merger (Effective Time), each share of common stock, without par value, of ALLETE (ALLETE common stock) issued and outstanding immediately prior to the Effective Time (other than shares of ALLETE common stock held by any holder who properly exercises dissenters’ rights under Minnesota law in respect of such shares and any shares of ALLETE common stock held by an affiliate of Alloy Parent) shall be converted into the right to receive $67.00 in cash, without interest (Merger Consideration). The aggregate equity value of the ALLETE common stock acquired by Parent will be approximately $3.9 billion as calculated as of May 5,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NOTE 15. AGREEMENT AND PLAN OF MERGER (Continued)</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at the Effective Time, each restricted stock unit (RSU) with respect to ALLETE common stock subject to time-based vesting that is outstanding immediately prior to the Effective Time will be cancelled and converted into a contingent right to receive an amount in cash, without interest, equal to the Merger Consideration, payable (i) in the case of such right converted from unvested RSUs, upon the same vesting conditions as applied to the corresponding RSU or (ii) in the case of such right converted from vested RSUs, as soon as reasonably practicable following the closing date of the Merger (the Closing Date). Each performance share award with respect to ALLETE common stock that is outstanding and unvested immediately prior to the Effective Time and was issued prior to the execution of the Merger Agreement will be cancelled and converted into a right to receive, without interest, the Merger Consideration multiplied by the number of shares of ALLETE common stock subject to the award, determined based on attainment of the greater of target and actual performance as of the last business day immediately preceding the Closing Date. A pro rata portion (based on the elapsed portion of the performance period at that time) of these converted performance share awards will be paid out as soon as reasonably practicable following the Closing Date, with the remainder of the award being subject to time-vesting for the remainder of the applicable performance period. Performance share awards issued following the signing of the Merger Agreement will also be cancelled and converted into a contingent right to receive, without interest, the Merger Consideration multiplied by the number of shares of ALLETE common stock subject to the performance share award, determined at the target level of performance, and shall be subject to time-based vesting following the Merger. Further, purchase rights accumulated during the offering period in effect under the Company’s ESPP immediately prior to closing will be automatically exercised into shares of ALLETE common stock no later than five business days prior to the Closing Date, and the ESPP will be terminated as of immediately prior to the Closing Date.</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Consummation of the Merger is subject to various closing conditions, including: (1) approval of the shareholders of ALLETE; (2) receipt of all required regulatory approvals without the imposition of a Burdensome Condition (as defined in the Merger Agreement);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w:t>
      </w:r>
    </w:p>
    <w:p>
      <w:pPr>
        <w:spacing w:after="0" w:line="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respect to the Company. The Merger Agreement contains certain termination rights for ALLETE and Alloy Parent, which were described in a Current Report of Form 8-K filed by ALLETE on May 6, 2024. In the Merger Agreement, among other things, ALLETE has agreed, subject to certain exceptions, to, and to cause each of its subsidiaries to conduct its business in the ordinary course, consistent with past practice, from the date of the Merger Agreement until the Effective Time,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The Merger Agreement also provides that ALLETE may notify Alloy Parent of our intent to raise equity capital of up to a total of $300 million in the second half of 2025, subject to certain parameters. If Alloy Parent declines to participate in the equity capital raises or fails to provide timely notice with respect thereto, ALLETE will have the right to issue ALLETE common stock in the public markets for an amount equal to any unfunded amounts under such equity capital raises.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10, 2024, ALLETE filed a definitive proxy statement relating to the special meeting of the shareholders held on August 21, 2024. At the special meeting, the shareholders of ALLETE voted to approve and adopt the Merger Agreement and approve the transactions contemplated thereby, including the Merger, among other matters.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19, 2024, ALLETE filed requests for approval of the Merger with the MPUC, PSCW and FERC. On October 7, 2024, the MPUC issued an order referring the docket to the Minnesota Office of Administrative Hearings for a contested case proceeding and requesting the Administrative Law Judge issue a report and recommendation by July 15, 2025. On January 23, 2025, a Stipulation of Facts and Waiver of Hearing was agreed to by all parties and submitted to the PSCW. SWL&amp;P expects a PSCW ruling on the acquisition in the second quarter of 2025. ALLETE received approval from FERC on December 19, 2024. ALLETE also received approval from the Committee on Foreign Investment in the United States and all required international approvals in the third quarter of 2024. On January 31, 2025, ALLETE filed notification and report forms with the Antitrust Division of the Department of Justice and the Federal Trade Commission under the HSR Act. Approval of the Merger from these and other regulators, as well as expiration or early termination of any applicable waiting periods under the HSR Act, is required for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QUARTERLY FINANCIAL DATA (UNAUDITED)</w:t>
            </w: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Information for any one quarterly period is not necessarily indicative of the results which may be expected for the year.</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 31</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Earnings Per Share</w:t>
            </w: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$403.3</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$354.5</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$407.2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$47.3</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$29.4</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$45.3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$50.7</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$33.0</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$45.0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8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$0.88</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$0.57</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$0.78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23"/>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$0.88</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$0.57</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$0.78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$564.9</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$533.4</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$378.8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2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$48.3</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$53.5</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$36.0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$58.2</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$51.5</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$85.9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$1.02</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$0.90</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23"/>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$1.02</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$0.90</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$1.49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$383.5</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$373.1</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$388.3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$53.4</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$13.7</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$33.4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$66.3</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$37.6</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$33.7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8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$1.24</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$0.67</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$0.59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23"/>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$1.24</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$0.67</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$0.59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ALLETE</w:t>
            </w:r>
          </w:p>
        </w:tc>
        <w:tc>
          <w:tcPr>
            <w:tcW w:w="3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 and Reserves</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7"/>
        </w:trPr>
        <w:tc>
          <w:tcPr>
            <w:tcW w:w="7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68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169"/>
        </w:trPr>
        <w:tc>
          <w:tcPr>
            <w:tcW w:w="7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Beginning of</w:t>
            </w:r>
          </w:p>
        </w:tc>
        <w:tc>
          <w:tcPr>
            <w:tcW w:w="15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Charged to</w:t>
            </w:r>
          </w:p>
        </w:tc>
        <w:tc>
          <w:tcPr>
            <w:tcW w:w="118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Other</w:t>
            </w:r>
          </w:p>
        </w:tc>
        <w:tc>
          <w:tcPr>
            <w:tcW w:w="142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4"/>
              </w:rPr>
              <w:t>from</w:t>
            </w:r>
          </w:p>
        </w:tc>
        <w:tc>
          <w:tcPr>
            <w:tcW w:w="124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End of</w:t>
            </w:r>
          </w:p>
        </w:tc>
      </w:tr>
      <w:tr>
        <w:trPr>
          <w:trHeight w:val="243"/>
        </w:trPr>
        <w:tc>
          <w:tcPr>
            <w:tcW w:w="74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5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4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 xml:space="preserve">Reserves </w:t>
            </w:r>
            <w:r>
              <w:rPr>
                <w:rFonts w:ascii="Times New Roman" w:cs="Times New Roman" w:eastAsia="Times New Roman" w:hAnsi="Times New Roman"/>
                <w:sz w:val="16"/>
                <w:szCs w:val="16"/>
                <w:i w:val="1"/>
                <w:iCs w:val="1"/>
                <w:color w:val="auto"/>
              </w:rPr>
              <w:t>(a)</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Deducted from Related Assets</w:t>
            </w:r>
          </w:p>
        </w:tc>
        <w:tc>
          <w:tcPr>
            <w:tcW w:w="1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Reserve For Uncollectible Accounts</w:t>
            </w:r>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Asset Valuation Allowance</w:t>
            </w:r>
          </w:p>
        </w:tc>
        <w:tc>
          <w:tcPr>
            <w:tcW w:w="1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30"/>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9"/>
        </w:trPr>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r>
    </w:tbl>
    <w:p>
      <w:pPr>
        <w:spacing w:after="0" w:line="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i w:val="1"/>
          <w:iCs w:val="1"/>
          <w:color w:val="auto"/>
        </w:rPr>
        <w:t>(a)</w:t>
        <w:tab/>
        <w:t>Includes uncollectible accounts written-off.</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ALLETE, Inc. 2024 Form 10-K</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80"/>
          </w:cols>
          <w:pgMar w:left="320" w:top="846" w:right="3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b w:val="1"/>
          <w:bCs w:val="1"/>
          <w:color w:val="auto"/>
        </w:rPr>
        <w:t>Exhibit 10(b)5</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AMENDMENT TO CREDIT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FOURTH AMENDMENT TO CREDIT AGREEMENT dated as of June 4, 2024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among ALLETE, INC., a Minnesota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and JPMORGAN CHASE BANK, N.A., as the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Capitalized terms used but not defined herein have the respective meanings set forth in the Credit Agreement (as defined below).</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Borrower, the Administrative Agent, and the Lenders party thereto have entered into the Amended and Restated Credit Agreement dated as of January 10, 2019 (as previously amended,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and the Existing Credit Agreement, as amended by this Amendment is referred to herein as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WHEREAS, in connection with (i) that certain Agreement and Plan of Merger dated as of May 5, 2024, by and among the Borrower, Alloy Parent LLC, a Delaware limited liability company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Alloy Merger Sub LLC, a Delaware limited liability company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and (ii) the attendant merger of Merger Sub into the Borrower, with the Borrower surviving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and a potential subsequent conversion of the Borrower into a Minnesota limited liability company (the “</w:t>
      </w:r>
      <w:r>
        <w:rPr>
          <w:rFonts w:ascii="Times New Roman" w:cs="Times New Roman" w:eastAsia="Times New Roman" w:hAnsi="Times New Roman"/>
          <w:sz w:val="22"/>
          <w:szCs w:val="22"/>
          <w:u w:val="single" w:color="auto"/>
          <w:color w:val="auto"/>
        </w:rPr>
        <w:t>Resulting LLC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the Borrower requests that the Administrative Agent and the Required Lenders (1) consent to the consummation of the Merger, including any Change in Control in connection therewith, (2) if applicable, consent to the Conversion (this clause (2), together with clause (1), the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and (3) amend certain provisions of the Existing Credit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WHEREAS, if the Conversion occurs, the Borrower intends to execute and deliver a Reaffirmation Agreement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Reaffirmation Agreement</w:t>
      </w:r>
      <w:r>
        <w:rPr>
          <w:rFonts w:ascii="Times New Roman" w:cs="Times New Roman" w:eastAsia="Times New Roman" w:hAnsi="Times New Roman"/>
          <w:sz w:val="22"/>
          <w:szCs w:val="22"/>
          <w:color w:val="auto"/>
        </w:rPr>
        <w:t>”), whereby the Resulting LLC will expressly reaffirm its obligations as the Borrower under Credit Agreement and the other Loan Documents; and</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Borrower, the Lenders party hereto, and the Administrative Agent have agreed to the Consent and to amend the Existing Credit Agreement in accordance with the terms and conditions set forth herein;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herein contained and other good and valuable consideration, the receipt and sufficiency of which are hereby acknowledged, the parties hereto agree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Consent to Merger</w:t>
      </w:r>
      <w:r>
        <w:rPr>
          <w:rFonts w:ascii="Times New Roman" w:cs="Times New Roman" w:eastAsia="Times New Roman" w:hAnsi="Times New Roman"/>
          <w:sz w:val="22"/>
          <w:szCs w:val="22"/>
          <w:color w:val="auto"/>
        </w:rPr>
        <w:t xml:space="preserve">. Subject to (i) satisfaction of the conditions precedent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(ii) the Merger Agreement (as delivered to the Administrative Agent prior to the date hereof) not having been amended in a manner that is materially adverse to the Lenders (provided, that any decrease or increase in the purchase price under the Merger Agreement shall not be considered to be materially adverse to the interests of the Lenders), the Required Lenders consent to the consummation of the Merger, including any resulting Change in Control in connection therewith; provided that, if (x) the Merger Agreement is terminated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1240"/>
          </w:cols>
          <w:pgMar w:left="320" w:top="121" w:right="339" w:bottom="1440" w:gutter="0" w:footer="0" w:header="0"/>
        </w:sectPr>
      </w:pPr>
    </w:p>
    <w:bookmarkStart w:id="138" w:name="page139"/>
    <w:bookmarkEnd w:id="138"/>
    <w:p>
      <w:pPr>
        <w:spacing w:after="0" w:line="271" w:lineRule="auto"/>
        <w:rPr>
          <w:sz w:val="20"/>
          <w:szCs w:val="20"/>
          <w:color w:val="auto"/>
        </w:rPr>
      </w:pPr>
      <w:r>
        <w:rPr>
          <w:rFonts w:ascii="Times New Roman" w:cs="Times New Roman" w:eastAsia="Times New Roman" w:hAnsi="Times New Roman"/>
          <w:sz w:val="22"/>
          <w:szCs w:val="22"/>
          <w:color w:val="auto"/>
        </w:rPr>
        <w:t>consummation of the Merger or (y) the Merger has not occurred on or prior to the second anniversary of the date of this Amendment, such consent shall be withdrawn.</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Consent to Conversion</w:t>
      </w:r>
      <w:r>
        <w:rPr>
          <w:rFonts w:ascii="Times New Roman" w:cs="Times New Roman" w:eastAsia="Times New Roman" w:hAnsi="Times New Roman"/>
          <w:sz w:val="21"/>
          <w:szCs w:val="21"/>
          <w:color w:val="auto"/>
        </w:rPr>
        <w:t>. To the extent the Conversion occurs, subject to:</w:t>
      </w:r>
    </w:p>
    <w:p>
      <w:pPr>
        <w:spacing w:after="0" w:line="233" w:lineRule="exact"/>
        <w:rPr>
          <w:sz w:val="20"/>
          <w:szCs w:val="20"/>
          <w:color w:val="auto"/>
        </w:rPr>
      </w:pPr>
    </w:p>
    <w:p>
      <w:pPr>
        <w:ind w:left="920" w:hanging="264"/>
        <w:spacing w:after="0"/>
        <w:tabs>
          <w:tab w:leader="none" w:pos="9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satisfaction of the conditions precedent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the consummation of the Merger;</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receipt of Resulting LLC’s executed counterpart to the Reaffirmation Agreement; and</w:t>
      </w:r>
    </w:p>
    <w:p>
      <w:pPr>
        <w:spacing w:after="0" w:line="219" w:lineRule="exact"/>
        <w:rPr>
          <w:rFonts w:ascii="Times New Roman" w:cs="Times New Roman" w:eastAsia="Times New Roman" w:hAnsi="Times New Roman"/>
          <w:sz w:val="22"/>
          <w:szCs w:val="22"/>
          <w:color w:val="auto"/>
        </w:rPr>
      </w:pPr>
    </w:p>
    <w:p>
      <w:pPr>
        <w:jc w:val="both"/>
        <w:ind w:firstLine="656"/>
        <w:spacing w:after="0" w:line="248" w:lineRule="auto"/>
        <w:tabs>
          <w:tab w:leader="none" w:pos="102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receipt of (i) a certificate of the Resulting LLC, dated as of the date of the Conversion and executed by a Responsible Officer, which shall (A) certify the resolutions of its Board of Directors, members or other governing body authorizing the execution and delivery of the Reaffirmation and Resulting LLC’s performance of its obligations thereunder and under the Credit Agreement and the other Loan Documents to which it is a party, (B) identify by name and title and bear the signatures of the officers of the Resulting LLC authorized to sign the Reaffirmation and the other Loan Documents to which it is a party and (C) contain the appropriate attachments, including the certificate of organization (or similar organizational document) of the Resulting LLC certified by the Secretary of State of the State of Minnesota and a true and correct copy of its operating agreement and (ii) a long form good standing certificate for the Borrower from the Secretary of State of the State of Minnesota; provided, that to the extent Resulting LLC has not received such certificate of organization or good standing certificate on the date of the Conversion, Resulting LLC shall deliver such documents promptly after receipt from the Secretary of State of the State of Minnesota,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Required Lenders consent to the consummation of the Conversion.</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Subject to (i) the satisfaction of the conditions precedent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(ii) the substantially concurrent consummation of the Merger, the Existing Credit Agreement is amended in its entirety to read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provided, that if such conditions have not been satisfied on the second anniversary of the date of this Amendment, the amendments to the Existing Credit Agreement shall not take effect.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Borrower represents and warrants to the Lenders that, immediately before and upon the effectiveness of this Amendment: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of the Borrower set forth in the Credit Agreement and the other Loan Documents are and will be true and correct with the same effect as though made on and as of the date hereof except to the extent such representations and warranties specifically relate to an earlier date, in which case such representations and warranties shall have been true and correct on and as of such earlier date.</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No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1240"/>
          </w:cols>
          <w:pgMar w:left="320" w:top="1421" w:right="339" w:bottom="1440" w:gutter="0" w:footer="0" w:header="0"/>
        </w:sectPr>
      </w:pPr>
    </w:p>
    <w:bookmarkStart w:id="139" w:name="page140"/>
    <w:bookmarkEnd w:id="13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Authorization; Validit</w:t>
      </w:r>
      <w:r>
        <w:rPr>
          <w:rFonts w:ascii="Times New Roman" w:cs="Times New Roman" w:eastAsia="Times New Roman" w:hAnsi="Times New Roman"/>
          <w:sz w:val="22"/>
          <w:szCs w:val="22"/>
          <w:color w:val="auto"/>
        </w:rPr>
        <w:t>y. The execution, delivery and performance by the Borrower of this Amendment is within the corporate powers of the Borrower and has been duly authorized by all necessary corporate action. This Amendment has been duly executed and delivered by the Borrower and constitutes a legal, valid and binding obligation of the Borrower, enforceable in accordance with its terms, subject to applicable bankruptcy, insolvency, reorganization, moratorium or other similar laws affecting creditors’ rights generally and general principles of equity.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Government Approval, Regulation, etc</w:t>
      </w:r>
      <w:r>
        <w:rPr>
          <w:rFonts w:ascii="Times New Roman" w:cs="Times New Roman" w:eastAsia="Times New Roman" w:hAnsi="Times New Roman"/>
          <w:sz w:val="22"/>
          <w:szCs w:val="22"/>
          <w:color w:val="auto"/>
        </w:rPr>
        <w:t>. The execution, delivery and performance by the Borrower of this Amendment does 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As of the date hereof, the Merger Agreement (as delivered to the Administrative Agent prior to the date hereof) has not been amended in a manner that is materially adverse to the Lenders.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xml:space="preserve">. This Amendment shall become effective as of the date first written above when the Administrative Agent has received counterparts hereof signed by the Borrower, the Required Lenders and the Administrative Agent (which, subject to </w:t>
      </w:r>
      <w:r>
        <w:rPr>
          <w:rFonts w:ascii="Times New Roman" w:cs="Times New Roman" w:eastAsia="Times New Roman" w:hAnsi="Times New Roman"/>
          <w:sz w:val="22"/>
          <w:szCs w:val="22"/>
          <w:u w:val="single" w:color="auto"/>
          <w:color w:val="auto"/>
        </w:rPr>
        <w:t>Section 10.6(b)</w:t>
      </w:r>
      <w:r>
        <w:rPr>
          <w:rFonts w:ascii="Times New Roman" w:cs="Times New Roman" w:eastAsia="Times New Roman" w:hAnsi="Times New Roman"/>
          <w:sz w:val="22"/>
          <w:szCs w:val="22"/>
          <w:color w:val="auto"/>
        </w:rPr>
        <w:t xml:space="preserve"> of the Credit Agreement, may include any Electronic Signatures transmitted by telecopy, emailed pdf. or any other electronic means that reproduces an image of an actual executed signature page).</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COVENANT</w:t>
      </w:r>
      <w:r>
        <w:rPr>
          <w:rFonts w:ascii="Times New Roman" w:cs="Times New Roman" w:eastAsia="Times New Roman" w:hAnsi="Times New Roman"/>
          <w:sz w:val="21"/>
          <w:szCs w:val="21"/>
          <w:color w:val="auto"/>
        </w:rPr>
        <w:t>. The Borrower shall give the Administrative Agent and the Lenders no less than fifteen (15) days prior notice of the Conversion (if applicable) and to the extent requested in writing by any Lender at least ten (10) days prior to the Conversion, (i) the Borrower shall use commercially reasonable efforts to deliver on or prior to the date of the Conversion</w:t>
      </w:r>
    </w:p>
    <w:p>
      <w:pPr>
        <w:spacing w:after="0" w:line="2" w:lineRule="exact"/>
        <w:rPr>
          <w:sz w:val="20"/>
          <w:szCs w:val="20"/>
          <w:color w:val="auto"/>
        </w:rPr>
      </w:pPr>
    </w:p>
    <w:p>
      <w:pPr>
        <w:jc w:val="both"/>
        <w:ind w:firstLine="8"/>
        <w:spacing w:after="0" w:line="248" w:lineRule="auto"/>
        <w:tabs>
          <w:tab w:leader="none" w:pos="32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documentation and other information regarding the Resulting LLC requested in connection with applicable “know your customer” and anti-money laundering rules and regulations, including the USA PATRIOT Act and (y) a properly completed and signed IRS Form W-8 or W-9, as applicable, for the Resulting LLC and (ii) to the extent the Resulting LLC qualifies as a “legal entity customer” under the Beneficial Ownership Regulation, the Borrower shall use commercially reasonable efforts to deliver on the date of the Conversion such Beneficial Ownership Certification in relation to the Resulting LLC; provided, that if any such information requested pursuant to this </w:t>
      </w:r>
      <w:r>
        <w:rPr>
          <w:rFonts w:ascii="Times New Roman" w:cs="Times New Roman" w:eastAsia="Times New Roman" w:hAnsi="Times New Roman"/>
          <w:sz w:val="22"/>
          <w:szCs w:val="22"/>
          <w:u w:val="single" w:color="auto"/>
          <w:color w:val="auto"/>
        </w:rPr>
        <w:t>Section5</w:t>
      </w:r>
      <w:r>
        <w:rPr>
          <w:rFonts w:ascii="Times New Roman" w:cs="Times New Roman" w:eastAsia="Times New Roman" w:hAnsi="Times New Roman"/>
          <w:sz w:val="22"/>
          <w:szCs w:val="22"/>
          <w:color w:val="auto"/>
        </w:rPr>
        <w:t xml:space="preserve"> is not delivered on the date of the Conversion, the Borrower shall deliver such requested information as promptly as practicable thereafter.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Ratifications</w:t>
      </w:r>
      <w:r>
        <w:rPr>
          <w:rFonts w:ascii="Times New Roman" w:cs="Times New Roman" w:eastAsia="Times New Roman" w:hAnsi="Times New Roman"/>
          <w:sz w:val="22"/>
          <w:szCs w:val="22"/>
          <w:color w:val="auto"/>
        </w:rPr>
        <w:t>. The terms and provisions set forth in this Amendment shall modify and supersede all inconsistent terms and provisions set forth in the Credit Agreement and except as expressly modified and superseded by this Amendment, the terms and provisions of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1240"/>
          </w:cols>
          <w:pgMar w:left="320" w:top="14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Agreement and the other Loan Documents are ratified and confirmed and shall continue in full force and effect.</w:t>
      </w:r>
    </w:p>
    <w:p>
      <w:pPr>
        <w:spacing w:after="0" w:line="2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electronic transmission (including</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.PDF)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that,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in accordance with, the laws of the State of New York.</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Incorporation of Credit A</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reement Provisions</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(Severability),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(Governing Law; Jurisdiction; Consent to Service of Process) and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 xml:space="preserve"> (Waiver of Jury Trial) of the Credit Agreement are incorporated by reference as if fully set forth herein, mutatis mutandis.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All references in any of the Loan Documents to the “Agreement” or the “Credit Agreement” shall mean the Agreement or Credit Agreement, as applicable, as amended by this Amendment.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captions, and arrangements used in this Amendment are for convenience only and shall not affect the interpretation of this Amendment.</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is binding upon and shall inure to the benefit of the Administrative Agent, the Lenders, the Borrower and their respective successors and assigns as provided in the Credit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Loan Document</w:t>
      </w:r>
      <w:r>
        <w:rPr>
          <w:rFonts w:ascii="Times New Roman" w:cs="Times New Roman" w:eastAsia="Times New Roman" w:hAnsi="Times New Roman"/>
          <w:sz w:val="22"/>
          <w:szCs w:val="22"/>
          <w:color w:val="auto"/>
        </w:rPr>
        <w:t>. The execution, delivery and effectiveness of this Amendment shall not, except as expressly provided herein, operate as a waiver of any right, power or remedy of any Lender or the Administrative Agent under any of the Loan Documents, nor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1240"/>
          </w:cols>
          <w:pgMar w:left="320" w:top="1421" w:right="339" w:bottom="1440" w:gutter="0" w:footer="0" w:header="0"/>
        </w:sectPr>
      </w:pPr>
    </w:p>
    <w:bookmarkStart w:id="141" w:name="page142"/>
    <w:bookmarkEnd w:id="141"/>
    <w:p>
      <w:pPr>
        <w:ind w:left="4520" w:hanging="4503"/>
        <w:spacing w:after="0" w:line="476" w:lineRule="auto"/>
        <w:rPr>
          <w:sz w:val="20"/>
          <w:szCs w:val="20"/>
          <w:color w:val="auto"/>
        </w:rPr>
      </w:pPr>
      <w:r>
        <w:rPr>
          <w:rFonts w:ascii="Times New Roman" w:cs="Times New Roman" w:eastAsia="Times New Roman" w:hAnsi="Times New Roman"/>
          <w:sz w:val="22"/>
          <w:szCs w:val="22"/>
          <w:color w:val="auto"/>
        </w:rPr>
        <w:t>waiver of any provision of any of the Loan Documents. This Amendment shall for all purposes constitute a Loan Document. [</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0780"/>
          </w:cols>
          <w:pgMar w:left="320" w:top="1421" w:right="799" w:bottom="1440" w:gutter="0" w:footer="0" w:header="0"/>
        </w:sectPr>
      </w:pPr>
    </w:p>
    <w:bookmarkStart w:id="142" w:name="page143"/>
    <w:bookmarkEnd w:id="14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Amendment has been duly executed and delivered as of the day and year first above written.</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ALLETE, INC., as the Borrower</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 Fourth Amendment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1240"/>
          </w:cols>
          <w:pgMar w:left="320" w:top="1421" w:right="339" w:bottom="1440" w:gutter="0" w:footer="0" w:header="0"/>
        </w:sectPr>
      </w:pPr>
    </w:p>
    <w:bookmarkStart w:id="143" w:name="page144"/>
    <w:bookmarkEnd w:id="143"/>
    <w:p>
      <w:pPr>
        <w:ind w:left="4540"/>
        <w:spacing w:after="0" w:line="271" w:lineRule="auto"/>
        <w:rPr>
          <w:sz w:val="20"/>
          <w:szCs w:val="20"/>
          <w:color w:val="auto"/>
        </w:rPr>
      </w:pPr>
      <w:r>
        <w:rPr>
          <w:rFonts w:ascii="Times New Roman" w:cs="Times New Roman" w:eastAsia="Times New Roman" w:hAnsi="Times New Roman"/>
          <w:sz w:val="22"/>
          <w:szCs w:val="22"/>
          <w:color w:val="auto"/>
        </w:rPr>
        <w:t>JPMORGAN CHASE BANK, N.A., as a Lender, as an Issuing Bank, and as Administrative Agent</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Signature Page – Fourth Amendment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1140"/>
          </w:cols>
          <w:pgMar w:left="320" w:top="1421" w:right="439" w:bottom="1440" w:gutter="0" w:footer="0" w:header="0"/>
        </w:sectPr>
      </w:pPr>
    </w:p>
    <w:bookmarkStart w:id="144" w:name="page145"/>
    <w:bookmarkEnd w:id="144"/>
    <w:p>
      <w:pPr>
        <w:jc w:val="right"/>
        <w:ind w:right="1799"/>
        <w:spacing w:after="0"/>
        <w:rPr>
          <w:sz w:val="20"/>
          <w:szCs w:val="20"/>
          <w:color w:val="auto"/>
        </w:rPr>
      </w:pPr>
      <w:r>
        <w:rPr>
          <w:rFonts w:ascii="Times New Roman" w:cs="Times New Roman" w:eastAsia="Times New Roman" w:hAnsi="Times New Roman"/>
          <w:sz w:val="22"/>
          <w:szCs w:val="22"/>
          <w:color w:val="auto"/>
        </w:rPr>
        <w:t>ROYAL BANK OF CANADA, as a Lender</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Signature Page – Fourth Amendment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0139"/>
          </w:cols>
          <w:pgMar w:left="320" w:top="1421" w:right="1440" w:bottom="1440" w:gutter="0" w:footer="0" w:header="0"/>
        </w:sectPr>
      </w:pPr>
    </w:p>
    <w:bookmarkStart w:id="145" w:name="page146"/>
    <w:bookmarkEnd w:id="145"/>
    <w:p>
      <w:pPr>
        <w:jc w:val="right"/>
        <w:ind w:right="819"/>
        <w:spacing w:after="0"/>
        <w:rPr>
          <w:sz w:val="20"/>
          <w:szCs w:val="20"/>
          <w:color w:val="auto"/>
        </w:rPr>
      </w:pPr>
      <w:r>
        <w:rPr>
          <w:rFonts w:ascii="Times New Roman" w:cs="Times New Roman" w:eastAsia="Times New Roman" w:hAnsi="Times New Roman"/>
          <w:sz w:val="22"/>
          <w:szCs w:val="22"/>
          <w:color w:val="auto"/>
        </w:rPr>
        <w:t>U.S. BANK NATIONAL ASSOCIATION, as a Lender</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Signature Page – Fourth Amendment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0139"/>
          </w:cols>
          <w:pgMar w:left="320" w:top="1421"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color w:val="auto"/>
        </w:rPr>
        <w:t>WELLS FARGO BANK, NATIONAL ASSOCIATION, as a Lender</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Signature Page – Fourth Amendment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0480"/>
          </w:cols>
          <w:pgMar w:left="320" w:top="1421" w:right="1099" w:bottom="1440" w:gutter="0" w:footer="0" w:header="0"/>
        </w:sectPr>
      </w:pPr>
    </w:p>
    <w:bookmarkStart w:id="147" w:name="page148"/>
    <w:bookmarkEnd w:id="147"/>
    <w:p>
      <w:pPr>
        <w:jc w:val="right"/>
        <w:ind w:right="1979"/>
        <w:spacing w:after="0"/>
        <w:rPr>
          <w:sz w:val="20"/>
          <w:szCs w:val="20"/>
          <w:color w:val="auto"/>
        </w:rPr>
      </w:pPr>
      <w:r>
        <w:rPr>
          <w:rFonts w:ascii="Times New Roman" w:cs="Times New Roman" w:eastAsia="Times New Roman" w:hAnsi="Times New Roman"/>
          <w:sz w:val="22"/>
          <w:szCs w:val="22"/>
          <w:color w:val="auto"/>
        </w:rPr>
        <w:t>BANK OF AMERICA, N.A., as a Lender</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Signature Page – Fourth Amendment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0139"/>
          </w:cols>
          <w:pgMar w:left="320" w:top="1421" w:right="1440" w:bottom="1440" w:gutter="0" w:footer="0" w:header="0"/>
        </w:sectPr>
      </w:pPr>
    </w:p>
    <w:bookmarkStart w:id="148" w:name="page149"/>
    <w:bookmarkEnd w:id="148"/>
    <w:p>
      <w:pPr>
        <w:jc w:val="right"/>
        <w:ind w:right="979"/>
        <w:spacing w:after="0"/>
        <w:rPr>
          <w:sz w:val="20"/>
          <w:szCs w:val="20"/>
          <w:color w:val="auto"/>
        </w:rPr>
      </w:pPr>
      <w:r>
        <w:rPr>
          <w:rFonts w:ascii="Times New Roman" w:cs="Times New Roman" w:eastAsia="Times New Roman" w:hAnsi="Times New Roman"/>
          <w:sz w:val="22"/>
          <w:szCs w:val="22"/>
          <w:color w:val="auto"/>
        </w:rPr>
        <w:t>COBANK, ACB, as a Lender and as an Issuing Bank</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Signature Page – Fourth Amendment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0139"/>
          </w:cols>
          <w:pgMar w:left="320" w:top="1421" w:right="1440" w:bottom="1440" w:gutter="0" w:footer="0" w:header="0"/>
        </w:sectPr>
      </w:pPr>
    </w:p>
    <w:bookmarkStart w:id="149" w:name="page150"/>
    <w:bookmarkEnd w:id="149"/>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Exhibit B – Form of Reaffirmation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REAFFIRMATION AGREEMENT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REAFFIRMATION AGREEMENT dated as of [ ] (this “</w:t>
      </w: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among [RESULTING LLC], a [Minnesota] limited liability company (“</w:t>
      </w:r>
      <w:r>
        <w:rPr>
          <w:rFonts w:ascii="Times New Roman" w:cs="Times New Roman" w:eastAsia="Times New Roman" w:hAnsi="Times New Roman"/>
          <w:sz w:val="22"/>
          <w:szCs w:val="22"/>
          <w:u w:val="single" w:color="auto"/>
          <w:color w:val="auto"/>
        </w:rPr>
        <w:t>Resulting LLC</w:t>
      </w:r>
      <w:r>
        <w:rPr>
          <w:rFonts w:ascii="Times New Roman" w:cs="Times New Roman" w:eastAsia="Times New Roman" w:hAnsi="Times New Roman"/>
          <w:sz w:val="22"/>
          <w:szCs w:val="22"/>
          <w:color w:val="auto"/>
        </w:rPr>
        <w:t>”), and JPMORGAN CHASE BANK, N.A., as Administrative Agent.</w:t>
      </w:r>
    </w:p>
    <w:p>
      <w:pPr>
        <w:spacing w:after="0" w:line="17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Reference is made to (i) that certain Amended and Restated Credit Agreement dated as of January 10, 2019 (as amended,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by and among Allete, Inc., a Minnesota Corporation (“</w:t>
      </w:r>
      <w:r>
        <w:rPr>
          <w:rFonts w:ascii="Times New Roman" w:cs="Times New Roman" w:eastAsia="Times New Roman" w:hAnsi="Times New Roman"/>
          <w:sz w:val="21"/>
          <w:szCs w:val="21"/>
          <w:u w:val="single" w:color="auto"/>
          <w:color w:val="auto"/>
        </w:rPr>
        <w:t>Allete</w:t>
      </w:r>
      <w:r>
        <w:rPr>
          <w:rFonts w:ascii="Times New Roman" w:cs="Times New Roman" w:eastAsia="Times New Roman" w:hAnsi="Times New Roman"/>
          <w:sz w:val="21"/>
          <w:szCs w:val="21"/>
          <w:color w:val="auto"/>
        </w:rPr>
        <w:t>”), as the Borrower, the Lenders from time to time party thereto and JPMORGAN CHASE BANK, N.A., as Administrative Agent, and (ii) that certain Fourth Amendment to the Credit Agreement, dated as of June 4, 2024 (the “</w:t>
      </w:r>
      <w:r>
        <w:rPr>
          <w:rFonts w:ascii="Times New Roman" w:cs="Times New Roman" w:eastAsia="Times New Roman" w:hAnsi="Times New Roman"/>
          <w:sz w:val="21"/>
          <w:szCs w:val="21"/>
          <w:u w:val="single" w:color="auto"/>
          <w:color w:val="auto"/>
        </w:rPr>
        <w:t>Fourth Amendment</w:t>
      </w:r>
      <w:r>
        <w:rPr>
          <w:rFonts w:ascii="Times New Roman" w:cs="Times New Roman" w:eastAsia="Times New Roman" w:hAnsi="Times New Roman"/>
          <w:sz w:val="21"/>
          <w:szCs w:val="21"/>
          <w:color w:val="auto"/>
        </w:rPr>
        <w:t>”), by and among Allete, Inc. (“</w:t>
      </w:r>
      <w:r>
        <w:rPr>
          <w:rFonts w:ascii="Times New Roman" w:cs="Times New Roman" w:eastAsia="Times New Roman" w:hAnsi="Times New Roman"/>
          <w:sz w:val="21"/>
          <w:szCs w:val="21"/>
          <w:u w:val="single" w:color="auto"/>
          <w:color w:val="auto"/>
        </w:rPr>
        <w:t>Allete</w:t>
      </w:r>
      <w:r>
        <w:rPr>
          <w:rFonts w:ascii="Times New Roman" w:cs="Times New Roman" w:eastAsia="Times New Roman" w:hAnsi="Times New Roman"/>
          <w:sz w:val="21"/>
          <w:szCs w:val="21"/>
          <w:color w:val="auto"/>
        </w:rPr>
        <w:t>”), as the Borrower, the Administrative Agent and the Lenders party thereto. Capitalized terms used but not defined herein shall have the meanings set forth in the Credit Agreement.</w:t>
      </w:r>
    </w:p>
    <w:p>
      <w:pPr>
        <w:spacing w:after="0" w:line="1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[On][Prior to] the date hereof, the Merger has occurred whereby Merger Sub (as defined in the Fourth Amendment) merged into Allete. On the date hereof, the Conversion (as defined in the Fourth Amendment) has occurred.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Pursuant to Section 1.2 of the Fourth Amendment, Resulting LLC is required, substantially concurrently with the consummation of the Conversion, to execute and deliver to the Administrative Agent this Reaffirmation.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Accordingly, Resulting LLC and the Administrative Agent agree as follows: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Reaffirmation of the Loan Documents</w:t>
      </w:r>
      <w:r>
        <w:rPr>
          <w:rFonts w:ascii="Times New Roman" w:cs="Times New Roman" w:eastAsia="Times New Roman" w:hAnsi="Times New Roman"/>
          <w:sz w:val="22"/>
          <w:szCs w:val="22"/>
          <w:color w:val="auto"/>
        </w:rPr>
        <w:t>. Resulting LLC hereby (a) acknowledges and agrees that it is the “Borrower” under the Credit Agreement, (b) acknowledges the existence, validity and enforceability of the Credit Agreement and the other Loan Documents, (c) confirms and ratifies all of its obligations under the Credit Agreement and the other Loan Documents to which it is a party and (d) agrees that its obligations, and the terms of the Credit Agreement and each of the other Loan Documents to which it is a party, are not impaired or adversely affected in any manner whatsoever by the Merger or the Conversion and shall continue to be in full force and effect in accordance with their terms.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Certain Representations and Warranties by Resulting LLC</w:t>
      </w:r>
      <w:r>
        <w:rPr>
          <w:rFonts w:ascii="Times New Roman" w:cs="Times New Roman" w:eastAsia="Times New Roman" w:hAnsi="Times New Roman"/>
          <w:sz w:val="22"/>
          <w:szCs w:val="22"/>
          <w:color w:val="auto"/>
        </w:rPr>
        <w:t>. Resulting LLC hereby represents and warrants that (a) the execution and delivery by Resulting LLC of this Reaffirmation, and the performance by Resulting LLC of this Reaffirmation and the Credit Agreement, have been duly authorized by all corporate, limited liability company or similar action required to be obtained by Resulting LLC, and (b) this Reaffirmation has been duly executed and delivered by Resulting LLC, and each of this Reaffirmation and the Credit Agreement constitutes a legal, valid and binding obligation of Resulting LLC in accordance with its terms, subject to subject to applicable bankruptcy, insolvency, reorganization, moratorium or other similar laws affecting creditors’ rights generally and general principles of equity.</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Binding Effect; Successors and Assigns</w:t>
      </w:r>
      <w:r>
        <w:rPr>
          <w:rFonts w:ascii="Times New Roman" w:cs="Times New Roman" w:eastAsia="Times New Roman" w:hAnsi="Times New Roman"/>
          <w:sz w:val="22"/>
          <w:szCs w:val="22"/>
          <w:color w:val="auto"/>
        </w:rPr>
        <w:t>. This Reaffirmation shall become effective when the Administrative Agent shall have executed a counterpart hereof and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1240"/>
          </w:cols>
          <w:pgMar w:left="320" w:top="119" w:right="339" w:bottom="1440" w:gutter="0" w:footer="0" w:header="0"/>
        </w:sectPr>
      </w:pPr>
    </w:p>
    <w:bookmarkStart w:id="150" w:name="page151"/>
    <w:bookmarkEnd w:id="150"/>
    <w:p>
      <w:pPr>
        <w:jc w:val="both"/>
        <w:spacing w:after="0" w:line="253" w:lineRule="auto"/>
        <w:rPr>
          <w:sz w:val="20"/>
          <w:szCs w:val="20"/>
          <w:color w:val="auto"/>
        </w:rPr>
      </w:pPr>
      <w:r>
        <w:rPr>
          <w:rFonts w:ascii="Times New Roman" w:cs="Times New Roman" w:eastAsia="Times New Roman" w:hAnsi="Times New Roman"/>
          <w:sz w:val="22"/>
          <w:szCs w:val="22"/>
          <w:color w:val="auto"/>
        </w:rPr>
        <w:t>received copies hereof which, when taken together, bear the signatures of Resulting LLC, and thereafter shall be binding upon and inure to the benefit of Resulting LLC and the Administrative Agent, the Lenders and the Issuing Banks, and their respective permitted successors and assigns. Except as permitted by Section 7.2(c) of the Credit Agreement, Resulting LLC may not assign or otherwise transfer any of its rights or obligations hereunder without the prior written consent of each Lender (and any attempted assignment or transfer by Resulting LLC without such consent shall be null and void).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Effect of Reaffirmation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81" w:lineRule="auto"/>
        <w:tabs>
          <w:tab w:leader="none" w:pos="195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supplemented hereby, the Credit Agreement shall remain in full force and effect, and, except as expressly supplemented hereby, this Reaffirmation shall not alter, modify, amend or in any way affect any of the terms, conditions, obligations, covenants or agreements contained in the Credit Agreement or any other Loan Document.</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95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Reaffirmation shall constitute a “Loan Document” for all purposes of the Credit Agreement and the other Loan Documents. On and after the date hereof, each reference in the Credit Agreement to “this Agreement”, “hereunder”, “hereof” or words of like import shall refer to the Credit Agreement as supplemented by this Reaffirmation, and each reference in any other Loan Document to “the Credit Agreement” (or similar term) shall refer to the Credit Agreement as supplemented by this Reaffirmation.</w:t>
      </w:r>
    </w:p>
    <w:p>
      <w:pPr>
        <w:spacing w:after="0" w:line="19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Reaffirmation shall be governed by, and construed in accordance with, the laws of the State of New York.</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communications and notices hereunder shall be in writing and given as provided in Section 10.01 of the Credit Agreement.</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xml:space="preserve">. The provisions of Sections 10.6, 10.7, 10.9, 10.10 and 10.11 of the Credit Agreement are hereby incorporated by reference,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into this Reaffirmation as if set forth in full herein.</w:t>
      </w:r>
    </w:p>
    <w:p>
      <w:pPr>
        <w:spacing w:after="0" w:line="26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1240"/>
          </w:cols>
          <w:pgMar w:left="320" w:top="1421" w:right="339" w:bottom="1440" w:gutter="0" w:footer="0" w:header="0"/>
        </w:sectPr>
      </w:pPr>
    </w:p>
    <w:bookmarkStart w:id="151" w:name="page152"/>
    <w:bookmarkEnd w:id="15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below have duly executed this Reaffirmation as of the day and year first above written.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[RESULTING LLC], as the Borrower</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By:_______________________________________</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B-3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0800"/>
          </w:cols>
          <w:pgMar w:left="320" w:top="1421" w:right="779" w:bottom="1440" w:gutter="0" w:footer="0" w:header="0"/>
        </w:sectPr>
      </w:pPr>
    </w:p>
    <w:bookmarkStart w:id="152" w:name="page153"/>
    <w:bookmarkEnd w:id="152"/>
    <w:p>
      <w:pPr>
        <w:jc w:val="right"/>
        <w:ind w:right="899"/>
        <w:spacing w:after="0"/>
        <w:rPr>
          <w:sz w:val="20"/>
          <w:szCs w:val="20"/>
          <w:color w:val="auto"/>
        </w:rPr>
      </w:pPr>
      <w:r>
        <w:rPr>
          <w:rFonts w:ascii="Times New Roman" w:cs="Times New Roman" w:eastAsia="Times New Roman" w:hAnsi="Times New Roman"/>
          <w:sz w:val="22"/>
          <w:szCs w:val="22"/>
          <w:color w:val="auto"/>
        </w:rPr>
        <w:t>JPMORGAN CHASE BANK, N.A., as Administrative Agent</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By:_______________________________________</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B-4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766440659 11074672</w:t>
      </w:r>
    </w:p>
    <w:p>
      <w:pPr>
        <w:sectPr>
          <w:pgSz w:w="11900" w:h="16838" w:orient="portrait"/>
          <w:cols w:equalWidth="0" w:num="1">
            <w:col w:w="10139"/>
          </w:cols>
          <w:pgMar w:left="320" w:top="1422"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A –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as of January 10, 2019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ALLETE,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Borrower,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ROYAL BANK OF CANADA,</w:t>
      </w:r>
    </w:p>
    <w:p>
      <w:pPr>
        <w:spacing w:after="0" w:line="1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U.S. BANK NATIONAL ASSOCIATION 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J.P. MORGAN CHASE BANK, N.A.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Sole Lead Arranger and Sole Book 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766170599 11074672</w:t>
      </w:r>
    </w:p>
    <w:p>
      <w:pPr>
        <w:sectPr>
          <w:pgSz w:w="11900" w:h="16838" w:orient="portrait"/>
          <w:cols w:equalWidth="0" w:num="1">
            <w:col w:w="11240"/>
          </w:cols>
          <w:pgMar w:left="320" w:top="112"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ARTICLE 1.  DEFINITIONS AND INTERPRETATION</w:t>
            </w:r>
          </w:p>
        </w:tc>
        <w:tc>
          <w:tcPr>
            <w:tcW w:w="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1</w:t>
            </w:r>
          </w:p>
        </w:tc>
        <w:tc>
          <w:tcPr>
            <w:tcW w:w="1520" w:type="dxa"/>
            <w:vAlign w:val="bottom"/>
          </w:tcPr>
          <w:p>
            <w:pPr>
              <w:spacing w:after="0"/>
              <w:rPr>
                <w:sz w:val="22"/>
                <w:szCs w:val="22"/>
                <w:color w:val="auto"/>
              </w:rPr>
            </w:pPr>
          </w:p>
        </w:tc>
      </w:tr>
      <w:tr>
        <w:trPr>
          <w:trHeight w:val="322"/>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Defined Terms</w:t>
            </w:r>
          </w:p>
        </w:tc>
        <w:tc>
          <w:tcPr>
            <w:tcW w:w="5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1.2.</w:t>
            </w:r>
          </w:p>
        </w:tc>
        <w:tc>
          <w:tcPr>
            <w:tcW w:w="33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23</w:t>
            </w:r>
          </w:p>
        </w:tc>
        <w:tc>
          <w:tcPr>
            <w:tcW w:w="1520" w:type="dxa"/>
            <w:vAlign w:val="bottom"/>
          </w:tcPr>
          <w:p>
            <w:pPr>
              <w:spacing w:after="0"/>
              <w:rPr>
                <w:sz w:val="21"/>
                <w:szCs w:val="21"/>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1.3.</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6"/>
              </w:rPr>
              <w:t>Terms Generally</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1.4.</w:t>
            </w: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Accounting Terms; GAAP</w:t>
            </w:r>
          </w:p>
        </w:tc>
        <w:tc>
          <w:tcPr>
            <w:tcW w:w="1120" w:type="dxa"/>
            <w:vAlign w:val="bottom"/>
            <w:gridSpan w:val="2"/>
          </w:tcPr>
          <w:p>
            <w:pPr>
              <w:jc w:val="right"/>
              <w:ind w:right="701"/>
              <w:spacing w:after="0"/>
              <w:rPr>
                <w:sz w:val="20"/>
                <w:szCs w:val="20"/>
                <w:color w:val="auto"/>
              </w:rPr>
            </w:pPr>
            <w:r>
              <w:rPr>
                <w:rFonts w:ascii="Times New Roman" w:cs="Times New Roman" w:eastAsia="Times New Roman" w:hAnsi="Times New Roman"/>
                <w:sz w:val="20"/>
                <w:szCs w:val="20"/>
                <w:color w:val="auto"/>
              </w:rPr>
              <w:t>24</w:t>
            </w: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1.5.</w:t>
            </w:r>
          </w:p>
        </w:tc>
        <w:tc>
          <w:tcPr>
            <w:tcW w:w="33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Interest Rates; Benchmark Notification</w:t>
            </w:r>
          </w:p>
        </w:tc>
        <w:tc>
          <w:tcPr>
            <w:tcW w:w="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24</w:t>
            </w:r>
          </w:p>
        </w:tc>
        <w:tc>
          <w:tcPr>
            <w:tcW w:w="1520" w:type="dxa"/>
            <w:vAlign w:val="bottom"/>
          </w:tcPr>
          <w:p>
            <w:pPr>
              <w:spacing w:after="0"/>
              <w:rPr>
                <w:sz w:val="21"/>
                <w:szCs w:val="21"/>
                <w:color w:val="auto"/>
              </w:rPr>
            </w:pPr>
          </w:p>
        </w:tc>
      </w:tr>
      <w:tr>
        <w:trPr>
          <w:trHeight w:val="229"/>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1.6.</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Rounding</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25</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1.7.</w:t>
            </w:r>
          </w:p>
        </w:tc>
        <w:tc>
          <w:tcPr>
            <w:tcW w:w="24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Amendment and Restatement</w:t>
            </w:r>
          </w:p>
        </w:tc>
        <w:tc>
          <w:tcPr>
            <w:tcW w:w="88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25</w:t>
            </w: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351"/>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ARTICLE 2.  THE CREDITS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2"/>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Commitments</w:t>
            </w:r>
          </w:p>
        </w:tc>
        <w:tc>
          <w:tcPr>
            <w:tcW w:w="5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89"/>
              </w:rPr>
              <w:t>25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w:t>
            </w: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Loans and Borrowings</w:t>
            </w:r>
          </w:p>
        </w:tc>
        <w:tc>
          <w:tcPr>
            <w:tcW w:w="5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25</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2.3.</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Requests for Borrowings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26</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2.4.</w:t>
            </w: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7"/>
              </w:rPr>
              <w:t>Funding of Borrowings</w:t>
            </w: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26</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2.5.</w:t>
            </w:r>
          </w:p>
        </w:tc>
        <w:tc>
          <w:tcPr>
            <w:tcW w:w="54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Termination, Reduction and Increase of Commitments  27</w:t>
            </w:r>
          </w:p>
        </w:tc>
      </w:tr>
      <w:tr>
        <w:trPr>
          <w:trHeight w:val="230"/>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2.6.</w:t>
            </w:r>
          </w:p>
        </w:tc>
        <w:tc>
          <w:tcPr>
            <w:tcW w:w="33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Repayment of Loans; Evidence of Debt</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28</w:t>
            </w: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2.7.</w:t>
            </w: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Prepayment of Loans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29</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2.8.</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7"/>
              </w:rPr>
              <w:t>Extension of Maturity Date</w:t>
            </w:r>
          </w:p>
        </w:tc>
        <w:tc>
          <w:tcPr>
            <w:tcW w:w="112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rPr>
              <w:t>30</w:t>
            </w: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2.9.</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8"/>
              </w:rPr>
              <w:t>Letters of Credit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2.10.</w:t>
            </w:r>
          </w:p>
        </w:tc>
        <w:tc>
          <w:tcPr>
            <w:tcW w:w="540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Payments Generally; Pro Rata Treatment; Sharing of Set-offs  34</w:t>
            </w:r>
          </w:p>
        </w:tc>
      </w:tr>
      <w:tr>
        <w:trPr>
          <w:trHeight w:val="25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2.11.</w:t>
            </w: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Defaulting Lenders  36</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338"/>
        </w:trPr>
        <w:tc>
          <w:tcPr>
            <w:tcW w:w="562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ARTICLE 3.  INTEREST, FEES, YIELD PROTECTION, ETC</w:t>
            </w:r>
          </w:p>
        </w:tc>
        <w:tc>
          <w:tcPr>
            <w:tcW w:w="1520" w:type="dxa"/>
            <w:vAlign w:val="bottom"/>
          </w:tcPr>
          <w:p>
            <w:pPr>
              <w:jc w:val="right"/>
              <w:ind w:right="1161"/>
              <w:spacing w:after="0"/>
              <w:rPr>
                <w:sz w:val="20"/>
                <w:szCs w:val="20"/>
                <w:color w:val="auto"/>
              </w:rPr>
            </w:pPr>
            <w:r>
              <w:rPr>
                <w:rFonts w:ascii="Times New Roman" w:cs="Times New Roman" w:eastAsia="Times New Roman" w:hAnsi="Times New Roman"/>
                <w:sz w:val="20"/>
                <w:szCs w:val="20"/>
                <w:b w:val="1"/>
                <w:bCs w:val="1"/>
                <w:color w:val="auto"/>
              </w:rPr>
              <w:t>38</w:t>
            </w:r>
          </w:p>
        </w:tc>
      </w:tr>
      <w:tr>
        <w:trPr>
          <w:trHeight w:val="322"/>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38</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3.2.</w:t>
            </w:r>
          </w:p>
        </w:tc>
        <w:tc>
          <w:tcPr>
            <w:tcW w:w="33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8"/>
              </w:rPr>
              <w:t>Interest Elections Relating to Borrowings</w:t>
            </w:r>
          </w:p>
        </w:tc>
        <w:tc>
          <w:tcPr>
            <w:tcW w:w="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38</w:t>
            </w:r>
          </w:p>
        </w:tc>
        <w:tc>
          <w:tcPr>
            <w:tcW w:w="1520" w:type="dxa"/>
            <w:vAlign w:val="bottom"/>
          </w:tcPr>
          <w:p>
            <w:pPr>
              <w:spacing w:after="0"/>
              <w:rPr>
                <w:sz w:val="21"/>
                <w:szCs w:val="21"/>
                <w:color w:val="auto"/>
              </w:rPr>
            </w:pPr>
          </w:p>
        </w:tc>
      </w:tr>
      <w:tr>
        <w:trPr>
          <w:trHeight w:val="230"/>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3.3.</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Fees  39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3.4.</w:t>
            </w: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Alternate Rate of Interest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40</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3.5.</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Increased Costs; Illegality</w:t>
            </w:r>
          </w:p>
        </w:tc>
        <w:tc>
          <w:tcPr>
            <w:tcW w:w="1120" w:type="dxa"/>
            <w:vAlign w:val="bottom"/>
            <w:gridSpan w:val="2"/>
          </w:tcPr>
          <w:p>
            <w:pPr>
              <w:jc w:val="right"/>
              <w:ind w:right="721"/>
              <w:spacing w:after="0"/>
              <w:rPr>
                <w:sz w:val="20"/>
                <w:szCs w:val="20"/>
                <w:color w:val="auto"/>
              </w:rPr>
            </w:pPr>
            <w:r>
              <w:rPr>
                <w:rFonts w:ascii="Times New Roman" w:cs="Times New Roman" w:eastAsia="Times New Roman" w:hAnsi="Times New Roman"/>
                <w:sz w:val="20"/>
                <w:szCs w:val="20"/>
                <w:color w:val="auto"/>
              </w:rPr>
              <w:t>42</w:t>
            </w: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3.6.</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Break Funding Payments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44</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3.7.</w:t>
            </w:r>
          </w:p>
        </w:tc>
        <w:tc>
          <w:tcPr>
            <w:tcW w:w="33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Withholding of Taxes; Gross-Up  44</w:t>
            </w: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0"/>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3.8.</w:t>
            </w: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Mitigation Obligations</w:t>
            </w:r>
          </w:p>
        </w:tc>
        <w:tc>
          <w:tcPr>
            <w:tcW w:w="5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48</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3.9.</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EEA Financial Institutions</w:t>
            </w:r>
          </w:p>
        </w:tc>
        <w:tc>
          <w:tcPr>
            <w:tcW w:w="1120" w:type="dxa"/>
            <w:vAlign w:val="bottom"/>
            <w:gridSpan w:val="2"/>
          </w:tcPr>
          <w:p>
            <w:pPr>
              <w:jc w:val="right"/>
              <w:ind w:right="681"/>
              <w:spacing w:after="0"/>
              <w:rPr>
                <w:sz w:val="20"/>
                <w:szCs w:val="20"/>
                <w:color w:val="auto"/>
              </w:rPr>
            </w:pPr>
            <w:r>
              <w:rPr>
                <w:rFonts w:ascii="Times New Roman" w:cs="Times New Roman" w:eastAsia="Times New Roman" w:hAnsi="Times New Roman"/>
                <w:sz w:val="20"/>
                <w:szCs w:val="20"/>
                <w:color w:val="auto"/>
              </w:rPr>
              <w:t>49</w:t>
            </w: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3.10.</w:t>
            </w:r>
          </w:p>
        </w:tc>
        <w:tc>
          <w:tcPr>
            <w:tcW w:w="388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Plan Assets; Prohibited Transactions  49</w:t>
            </w:r>
          </w:p>
        </w:tc>
        <w:tc>
          <w:tcPr>
            <w:tcW w:w="1520" w:type="dxa"/>
            <w:vAlign w:val="bottom"/>
          </w:tcPr>
          <w:p>
            <w:pPr>
              <w:spacing w:after="0"/>
              <w:rPr>
                <w:sz w:val="22"/>
                <w:szCs w:val="22"/>
                <w:color w:val="auto"/>
              </w:rPr>
            </w:pPr>
          </w:p>
        </w:tc>
      </w:tr>
      <w:tr>
        <w:trPr>
          <w:trHeight w:val="351"/>
        </w:trPr>
        <w:tc>
          <w:tcPr>
            <w:tcW w:w="50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w w:val="99"/>
              </w:rPr>
              <w:t>ARTICLE 4.  REPRESENTATIONS AND WARRANTIES</w:t>
            </w:r>
          </w:p>
        </w:tc>
        <w:tc>
          <w:tcPr>
            <w:tcW w:w="5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49</w:t>
            </w:r>
          </w:p>
        </w:tc>
        <w:tc>
          <w:tcPr>
            <w:tcW w:w="1520" w:type="dxa"/>
            <w:vAlign w:val="bottom"/>
          </w:tcPr>
          <w:p>
            <w:pPr>
              <w:spacing w:after="0"/>
              <w:rPr>
                <w:sz w:val="24"/>
                <w:szCs w:val="24"/>
                <w:color w:val="auto"/>
              </w:rPr>
            </w:pPr>
          </w:p>
        </w:tc>
      </w:tr>
      <w:tr>
        <w:trPr>
          <w:trHeight w:val="322"/>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w:t>
            </w: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Organization; Powers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w:t>
            </w:r>
          </w:p>
        </w:tc>
        <w:tc>
          <w:tcPr>
            <w:tcW w:w="24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88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49</w:t>
            </w: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4.3.</w:t>
            </w:r>
          </w:p>
        </w:tc>
        <w:tc>
          <w:tcPr>
            <w:tcW w:w="33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Governmental Approvals; No Conflicts</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49</w:t>
            </w:r>
          </w:p>
        </w:tc>
        <w:tc>
          <w:tcPr>
            <w:tcW w:w="1520" w:type="dxa"/>
            <w:vAlign w:val="bottom"/>
          </w:tcPr>
          <w:p>
            <w:pPr>
              <w:spacing w:after="0"/>
              <w:rPr>
                <w:sz w:val="21"/>
                <w:szCs w:val="21"/>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4.4.</w:t>
            </w:r>
          </w:p>
        </w:tc>
        <w:tc>
          <w:tcPr>
            <w:tcW w:w="54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Financial Condition; No Material Adverse Change  50</w:t>
            </w:r>
          </w:p>
        </w:tc>
      </w:tr>
      <w:tr>
        <w:trPr>
          <w:trHeight w:val="229"/>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4.5.</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Litigation</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50</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4.6.</w:t>
            </w: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9"/>
              </w:rPr>
              <w:t>Environmental Matters</w:t>
            </w:r>
          </w:p>
        </w:tc>
        <w:tc>
          <w:tcPr>
            <w:tcW w:w="54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50</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0"/>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4.7.</w:t>
            </w: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88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w w:val="99"/>
              </w:rPr>
              <w:t>50</w:t>
            </w: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4.8.</w:t>
            </w:r>
          </w:p>
        </w:tc>
        <w:tc>
          <w:tcPr>
            <w:tcW w:w="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ERISA</w:t>
            </w: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w w:val="89"/>
              </w:rPr>
              <w:t>51</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4.9.</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Disclosure</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4.10.</w:t>
            </w:r>
          </w:p>
        </w:tc>
        <w:tc>
          <w:tcPr>
            <w:tcW w:w="19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Subsidiaries  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4.11.</w:t>
            </w:r>
          </w:p>
        </w:tc>
        <w:tc>
          <w:tcPr>
            <w:tcW w:w="388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Use of Proceeds; Federal Reserve Regulations</w:t>
            </w:r>
          </w:p>
        </w:tc>
        <w:tc>
          <w:tcPr>
            <w:tcW w:w="152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rPr>
              <w:t>51</w:t>
            </w:r>
          </w:p>
        </w:tc>
      </w:tr>
    </w:tbl>
    <w:p>
      <w:pPr>
        <w:spacing w:after="0" w:line="200" w:lineRule="exact"/>
        <w:rPr>
          <w:sz w:val="20"/>
          <w:szCs w:val="20"/>
          <w:color w:val="auto"/>
        </w:rPr>
      </w:pP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468" w:right="339" w:bottom="144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4.12.</w:t>
            </w:r>
          </w:p>
        </w:tc>
        <w:tc>
          <w:tcPr>
            <w:tcW w:w="9460" w:type="dxa"/>
            <w:vAlign w:val="bottom"/>
            <w:gridSpan w:val="10"/>
          </w:tcPr>
          <w:p>
            <w:pPr>
              <w:ind w:left="140"/>
              <w:spacing w:after="0"/>
              <w:rPr>
                <w:sz w:val="20"/>
                <w:szCs w:val="20"/>
                <w:color w:val="auto"/>
              </w:rPr>
            </w:pPr>
            <w:r>
              <w:rPr>
                <w:rFonts w:ascii="Times New Roman" w:cs="Times New Roman" w:eastAsia="Times New Roman" w:hAnsi="Times New Roman"/>
                <w:sz w:val="20"/>
                <w:szCs w:val="20"/>
                <w:color w:val="auto"/>
              </w:rPr>
              <w:t>Anti-Money Laundering and Anti-Terrorism Finance Laws  52</w:t>
            </w:r>
          </w:p>
        </w:tc>
      </w:tr>
      <w:tr>
        <w:trPr>
          <w:trHeight w:val="229"/>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4.13.</w:t>
            </w:r>
          </w:p>
        </w:tc>
        <w:tc>
          <w:tcPr>
            <w:tcW w:w="27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Foreign Corrupt Practices Act</w:t>
            </w:r>
          </w:p>
        </w:tc>
        <w:tc>
          <w:tcPr>
            <w:tcW w:w="6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9"/>
              </w:rPr>
              <w:t>52</w:t>
            </w:r>
          </w:p>
        </w:tc>
        <w:tc>
          <w:tcPr>
            <w:tcW w:w="12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58"/>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4.14.</w:t>
            </w:r>
          </w:p>
        </w:tc>
        <w:tc>
          <w:tcPr>
            <w:tcW w:w="1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Sanctions Laws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5.</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CONDITIONS</w:t>
            </w:r>
          </w:p>
        </w:tc>
        <w:tc>
          <w:tcPr>
            <w:tcW w:w="60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52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22"/>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5.1.</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Effectiveness  52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58"/>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5.2.</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8"/>
              </w:rPr>
              <w:t>Each Credit Event</w:t>
            </w: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54</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6.</w:t>
            </w:r>
          </w:p>
        </w:tc>
        <w:tc>
          <w:tcPr>
            <w:tcW w:w="276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color w:val="auto"/>
                <w:w w:val="98"/>
              </w:rPr>
              <w:t>AFFIRMATIVE 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22"/>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6.1.</w:t>
            </w:r>
          </w:p>
        </w:tc>
        <w:tc>
          <w:tcPr>
            <w:tcW w:w="454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Financial Statements and Other Information  54</w:t>
            </w:r>
          </w:p>
        </w:tc>
        <w:tc>
          <w:tcPr>
            <w:tcW w:w="4920" w:type="dxa"/>
            <w:vAlign w:val="bottom"/>
          </w:tcPr>
          <w:p>
            <w:pPr>
              <w:spacing w:after="0"/>
              <w:rPr>
                <w:sz w:val="24"/>
                <w:szCs w:val="24"/>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6.2.</w:t>
            </w:r>
          </w:p>
        </w:tc>
        <w:tc>
          <w:tcPr>
            <w:tcW w:w="22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55</w:t>
            </w: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30"/>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6.3.</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Legal Existence</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6.4.</w:t>
            </w:r>
          </w:p>
        </w:tc>
        <w:tc>
          <w:tcPr>
            <w:tcW w:w="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30"/>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6.5.</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Insurance</w:t>
            </w:r>
          </w:p>
        </w:tc>
        <w:tc>
          <w:tcPr>
            <w:tcW w:w="6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6.6.</w:t>
            </w: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7"/>
              </w:rPr>
              <w:t>Condition of Property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6.7.</w:t>
            </w:r>
          </w:p>
        </w:tc>
        <w:tc>
          <w:tcPr>
            <w:tcW w:w="33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Observance of Legal Requirements  57</w:t>
            </w:r>
          </w:p>
        </w:tc>
        <w:tc>
          <w:tcPr>
            <w:tcW w:w="124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58"/>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6.8.</w:t>
            </w:r>
          </w:p>
        </w:tc>
        <w:tc>
          <w:tcPr>
            <w:tcW w:w="454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w w:val="98"/>
              </w:rPr>
              <w:t>Inspection of Property; Books and Records; Discussions</w:t>
            </w:r>
          </w:p>
        </w:tc>
        <w:tc>
          <w:tcPr>
            <w:tcW w:w="4920" w:type="dxa"/>
            <w:vAlign w:val="bottom"/>
          </w:tcPr>
          <w:p>
            <w:pPr>
              <w:jc w:val="right"/>
              <w:ind w:right="4441"/>
              <w:spacing w:after="0"/>
              <w:rPr>
                <w:sz w:val="20"/>
                <w:szCs w:val="20"/>
                <w:color w:val="auto"/>
              </w:rPr>
            </w:pPr>
            <w:r>
              <w:rPr>
                <w:rFonts w:ascii="Times New Roman" w:cs="Times New Roman" w:eastAsia="Times New Roman" w:hAnsi="Times New Roman"/>
                <w:sz w:val="20"/>
                <w:szCs w:val="20"/>
                <w:color w:val="auto"/>
              </w:rPr>
              <w:t>57</w:t>
            </w: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7.</w:t>
            </w: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20"/>
                <w:szCs w:val="20"/>
                <w:b w:val="1"/>
                <w:bCs w:val="1"/>
                <w:color w:val="auto"/>
              </w:rPr>
              <w:t>NEGATIVE COVENANTS</w:t>
            </w:r>
          </w:p>
        </w:tc>
        <w:tc>
          <w:tcPr>
            <w:tcW w:w="66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58</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22"/>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7.1.</w:t>
            </w:r>
          </w:p>
        </w:tc>
        <w:tc>
          <w:tcPr>
            <w:tcW w:w="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Liens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7.2.</w:t>
            </w: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Merger; Consolidation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59</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7.3.</w:t>
            </w:r>
          </w:p>
        </w:tc>
        <w:tc>
          <w:tcPr>
            <w:tcW w:w="22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Transactions with Affiliates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30"/>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7.4.</w:t>
            </w:r>
          </w:p>
        </w:tc>
        <w:tc>
          <w:tcPr>
            <w:tcW w:w="33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Permitted Hedge Agreements  60</w:t>
            </w:r>
          </w:p>
        </w:tc>
        <w:tc>
          <w:tcPr>
            <w:tcW w:w="12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7.5.</w:t>
            </w: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Financial Covenant</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61</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30"/>
        </w:trPr>
        <w:tc>
          <w:tcPr>
            <w:tcW w:w="11200" w:type="dxa"/>
            <w:vAlign w:val="bottom"/>
            <w:gridSpan w:val="12"/>
          </w:tcPr>
          <w:p>
            <w:pPr>
              <w:ind w:left="660"/>
              <w:spacing w:after="0"/>
              <w:rPr>
                <w:sz w:val="20"/>
                <w:szCs w:val="20"/>
                <w:color w:val="auto"/>
              </w:rPr>
            </w:pPr>
            <w:r>
              <w:rPr>
                <w:rFonts w:ascii="Times New Roman" w:cs="Times New Roman" w:eastAsia="Times New Roman" w:hAnsi="Times New Roman"/>
                <w:sz w:val="20"/>
                <w:szCs w:val="20"/>
                <w:color w:val="auto"/>
                <w:w w:val="99"/>
              </w:rPr>
              <w:t>Section 7.6.  Anti-Money Laundering and Anti-Terrorism Finance Laws; Foreign Corrupt Practices Act; Sanctions Laws; Restricted</w:t>
            </w:r>
          </w:p>
        </w:tc>
      </w:tr>
      <w:tr>
        <w:trPr>
          <w:trHeight w:val="258"/>
        </w:trPr>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Person</w:t>
            </w: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61</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351"/>
        </w:trPr>
        <w:tc>
          <w:tcPr>
            <w:tcW w:w="354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ARTICLE 8.  EVENTS OF DEFAULT</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w w:val="89"/>
              </w:rPr>
              <w:t>61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22"/>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8.1.</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Events of Default</w:t>
            </w:r>
          </w:p>
        </w:tc>
        <w:tc>
          <w:tcPr>
            <w:tcW w:w="5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63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58"/>
        </w:trPr>
        <w:tc>
          <w:tcPr>
            <w:tcW w:w="11200" w:type="dxa"/>
            <w:vAlign w:val="bottom"/>
            <w:gridSpan w:val="12"/>
          </w:tcPr>
          <w:p>
            <w:pPr>
              <w:ind w:left="660"/>
              <w:spacing w:after="0"/>
              <w:rPr>
                <w:sz w:val="20"/>
                <w:szCs w:val="20"/>
                <w:color w:val="auto"/>
              </w:rPr>
            </w:pPr>
            <w:r>
              <w:rPr>
                <w:rFonts w:ascii="Times New Roman" w:cs="Times New Roman" w:eastAsia="Times New Roman" w:hAnsi="Times New Roman"/>
                <w:sz w:val="20"/>
                <w:szCs w:val="20"/>
                <w:color w:val="auto"/>
              </w:rPr>
              <w:t>Section 8.2.   Equity Cure………………………………………………………...66</w:t>
            </w:r>
          </w:p>
        </w:tc>
      </w:tr>
      <w:tr>
        <w:trPr>
          <w:trHeight w:val="486"/>
        </w:trPr>
        <w:tc>
          <w:tcPr>
            <w:tcW w:w="444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ARTICLE 9.  THE ADMINISTRATIVE AGENT</w:t>
            </w:r>
          </w:p>
        </w:tc>
        <w:tc>
          <w:tcPr>
            <w:tcW w:w="60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63</w:t>
            </w: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22"/>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9.1.</w:t>
            </w:r>
          </w:p>
        </w:tc>
        <w:tc>
          <w:tcPr>
            <w:tcW w:w="22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Authorization and Action</w:t>
            </w:r>
          </w:p>
        </w:tc>
        <w:tc>
          <w:tcPr>
            <w:tcW w:w="4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89"/>
              </w:rPr>
              <w:t>63</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30"/>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9.2.</w:t>
            </w:r>
          </w:p>
        </w:tc>
        <w:tc>
          <w:tcPr>
            <w:tcW w:w="4540" w:type="dxa"/>
            <w:vAlign w:val="bottom"/>
            <w:gridSpan w:val="9"/>
          </w:tcPr>
          <w:p>
            <w:pPr>
              <w:ind w:left="40"/>
              <w:spacing w:after="0"/>
              <w:rPr>
                <w:sz w:val="20"/>
                <w:szCs w:val="20"/>
                <w:color w:val="auto"/>
              </w:rPr>
            </w:pPr>
            <w:r>
              <w:rPr>
                <w:rFonts w:ascii="Times New Roman" w:cs="Times New Roman" w:eastAsia="Times New Roman" w:hAnsi="Times New Roman"/>
                <w:sz w:val="20"/>
                <w:szCs w:val="20"/>
                <w:color w:val="auto"/>
              </w:rPr>
              <w:t>Administrative Agent’s Reliance, Indemnification, Etc</w:t>
            </w:r>
          </w:p>
        </w:tc>
        <w:tc>
          <w:tcPr>
            <w:tcW w:w="4920" w:type="dxa"/>
            <w:vAlign w:val="bottom"/>
          </w:tcPr>
          <w:p>
            <w:pPr>
              <w:jc w:val="right"/>
              <w:ind w:right="4601"/>
              <w:spacing w:after="0"/>
              <w:rPr>
                <w:sz w:val="20"/>
                <w:szCs w:val="20"/>
                <w:color w:val="auto"/>
              </w:rPr>
            </w:pPr>
            <w:r>
              <w:rPr>
                <w:rFonts w:ascii="Times New Roman" w:cs="Times New Roman" w:eastAsia="Times New Roman" w:hAnsi="Times New Roman"/>
                <w:sz w:val="20"/>
                <w:szCs w:val="20"/>
                <w:color w:val="auto"/>
                <w:w w:val="99"/>
              </w:rPr>
              <w:t>66</w:t>
            </w: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9.3.</w:t>
            </w:r>
          </w:p>
        </w:tc>
        <w:tc>
          <w:tcPr>
            <w:tcW w:w="22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Posting of Communications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920" w:type="dxa"/>
            <w:vAlign w:val="bottom"/>
          </w:tcPr>
          <w:p>
            <w:pPr>
              <w:spacing w:after="0"/>
              <w:rPr>
                <w:sz w:val="21"/>
                <w:szCs w:val="21"/>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9.4.</w:t>
            </w:r>
          </w:p>
        </w:tc>
        <w:tc>
          <w:tcPr>
            <w:tcW w:w="33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The Administrative Agent Individually</w:t>
            </w:r>
          </w:p>
        </w:tc>
        <w:tc>
          <w:tcPr>
            <w:tcW w:w="124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rPr>
              <w:t>68</w:t>
            </w:r>
          </w:p>
        </w:tc>
        <w:tc>
          <w:tcPr>
            <w:tcW w:w="4920" w:type="dxa"/>
            <w:vAlign w:val="bottom"/>
          </w:tcPr>
          <w:p>
            <w:pPr>
              <w:spacing w:after="0"/>
              <w:rPr>
                <w:sz w:val="21"/>
                <w:szCs w:val="21"/>
                <w:color w:val="auto"/>
              </w:rPr>
            </w:pPr>
          </w:p>
        </w:tc>
      </w:tr>
      <w:tr>
        <w:trPr>
          <w:trHeight w:val="230"/>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9.5.</w:t>
            </w:r>
          </w:p>
        </w:tc>
        <w:tc>
          <w:tcPr>
            <w:tcW w:w="270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68</w:t>
            </w:r>
          </w:p>
        </w:tc>
        <w:tc>
          <w:tcPr>
            <w:tcW w:w="12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9.6.</w:t>
            </w:r>
          </w:p>
        </w:tc>
        <w:tc>
          <w:tcPr>
            <w:tcW w:w="4540" w:type="dxa"/>
            <w:vAlign w:val="bottom"/>
            <w:gridSpan w:val="9"/>
          </w:tcPr>
          <w:p>
            <w:pPr>
              <w:ind w:left="40"/>
              <w:spacing w:after="0"/>
              <w:rPr>
                <w:sz w:val="20"/>
                <w:szCs w:val="20"/>
                <w:color w:val="auto"/>
              </w:rPr>
            </w:pPr>
            <w:r>
              <w:rPr>
                <w:rFonts w:ascii="Times New Roman" w:cs="Times New Roman" w:eastAsia="Times New Roman" w:hAnsi="Times New Roman"/>
                <w:sz w:val="20"/>
                <w:szCs w:val="20"/>
                <w:color w:val="auto"/>
              </w:rPr>
              <w:t>Acknowledgements of Lenders and Issuing Banks  69</w:t>
            </w:r>
          </w:p>
        </w:tc>
        <w:tc>
          <w:tcPr>
            <w:tcW w:w="4920" w:type="dxa"/>
            <w:vAlign w:val="bottom"/>
          </w:tcPr>
          <w:p>
            <w:pPr>
              <w:spacing w:after="0"/>
              <w:rPr>
                <w:sz w:val="21"/>
                <w:szCs w:val="21"/>
                <w:color w:val="auto"/>
              </w:rPr>
            </w:pPr>
          </w:p>
        </w:tc>
      </w:tr>
      <w:tr>
        <w:trPr>
          <w:trHeight w:val="258"/>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9.7.</w:t>
            </w: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Certain ERISA Matters</w:t>
            </w:r>
          </w:p>
        </w:tc>
        <w:tc>
          <w:tcPr>
            <w:tcW w:w="66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70</w:t>
            </w: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10.</w:t>
            </w:r>
          </w:p>
        </w:tc>
        <w:tc>
          <w:tcPr>
            <w:tcW w:w="2020" w:type="dxa"/>
            <w:vAlign w:val="bottom"/>
            <w:gridSpan w:val="4"/>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36"/>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10.1.</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Notices</w:t>
            </w:r>
          </w:p>
        </w:tc>
        <w:tc>
          <w:tcPr>
            <w:tcW w:w="60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72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29"/>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10.2.</w:t>
            </w:r>
          </w:p>
        </w:tc>
        <w:tc>
          <w:tcPr>
            <w:tcW w:w="204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Waivers; Amendments</w:t>
            </w:r>
          </w:p>
        </w:tc>
        <w:tc>
          <w:tcPr>
            <w:tcW w:w="66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73</w:t>
            </w: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43"/>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10.3.</w:t>
            </w:r>
          </w:p>
        </w:tc>
        <w:tc>
          <w:tcPr>
            <w:tcW w:w="33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124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74</w:t>
            </w:r>
          </w:p>
        </w:tc>
        <w:tc>
          <w:tcPr>
            <w:tcW w:w="4920" w:type="dxa"/>
            <w:vAlign w:val="bottom"/>
          </w:tcPr>
          <w:p>
            <w:pPr>
              <w:spacing w:after="0"/>
              <w:rPr>
                <w:sz w:val="21"/>
                <w:szCs w:val="21"/>
                <w:color w:val="auto"/>
              </w:rPr>
            </w:pPr>
          </w:p>
        </w:tc>
      </w:tr>
      <w:tr>
        <w:trPr>
          <w:trHeight w:val="230"/>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10.4.</w:t>
            </w:r>
          </w:p>
        </w:tc>
        <w:tc>
          <w:tcPr>
            <w:tcW w:w="20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w w:val="97"/>
              </w:rPr>
              <w:t>Successors and Assigns</w:t>
            </w:r>
          </w:p>
        </w:tc>
        <w:tc>
          <w:tcPr>
            <w:tcW w:w="66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76</w:t>
            </w: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58"/>
        </w:trPr>
        <w:tc>
          <w:tcPr>
            <w:tcW w:w="17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10.5.</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Survival</w:t>
            </w:r>
          </w:p>
        </w:tc>
        <w:tc>
          <w:tcPr>
            <w:tcW w:w="6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79</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9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18" w:right="339" w:bottom="1440" w:gutter="0" w:footer="0" w:header="0"/>
          <w:type w:val="continuous"/>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65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Counterparts; Integration; Effectiveness  80</w:t>
            </w:r>
          </w:p>
        </w:tc>
      </w:tr>
      <w:tr>
        <w:trPr>
          <w:trHeight w:val="22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10.7.</w:t>
            </w:r>
          </w:p>
        </w:tc>
        <w:tc>
          <w:tcPr>
            <w:tcW w:w="10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Severability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43"/>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Right of Set-off</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81</w:t>
            </w:r>
          </w:p>
        </w:tc>
        <w:tc>
          <w:tcPr>
            <w:tcW w:w="32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243"/>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10.9.</w:t>
            </w:r>
          </w:p>
        </w:tc>
        <w:tc>
          <w:tcPr>
            <w:tcW w:w="65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  81</w:t>
            </w: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10.10.</w:t>
            </w:r>
          </w:p>
        </w:tc>
        <w:tc>
          <w:tcPr>
            <w:tcW w:w="18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4400" w:type="dxa"/>
            <w:vAlign w:val="bottom"/>
          </w:tcPr>
          <w:p>
            <w:pPr>
              <w:spacing w:after="0"/>
              <w:rPr>
                <w:sz w:val="19"/>
                <w:szCs w:val="19"/>
                <w:color w:val="auto"/>
              </w:rPr>
            </w:pPr>
          </w:p>
        </w:tc>
      </w:tr>
      <w:tr>
        <w:trPr>
          <w:trHeight w:val="243"/>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10.11.</w:t>
            </w:r>
          </w:p>
        </w:tc>
        <w:tc>
          <w:tcPr>
            <w:tcW w:w="10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Headings</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82</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10.12.</w:t>
            </w:r>
          </w:p>
        </w:tc>
        <w:tc>
          <w:tcPr>
            <w:tcW w:w="21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Interest Rate Limitation</w:t>
            </w:r>
          </w:p>
        </w:tc>
        <w:tc>
          <w:tcPr>
            <w:tcW w:w="4400" w:type="dxa"/>
            <w:vAlign w:val="bottom"/>
          </w:tcPr>
          <w:p>
            <w:pPr>
              <w:jc w:val="right"/>
              <w:ind w:right="4021"/>
              <w:spacing w:after="0"/>
              <w:rPr>
                <w:sz w:val="20"/>
                <w:szCs w:val="20"/>
                <w:color w:val="auto"/>
              </w:rPr>
            </w:pPr>
            <w:r>
              <w:rPr>
                <w:rFonts w:ascii="Times New Roman" w:cs="Times New Roman" w:eastAsia="Times New Roman" w:hAnsi="Times New Roman"/>
                <w:sz w:val="20"/>
                <w:szCs w:val="20"/>
                <w:color w:val="auto"/>
              </w:rPr>
              <w:t>82</w:t>
            </w:r>
          </w:p>
        </w:tc>
      </w:tr>
      <w:tr>
        <w:trPr>
          <w:trHeight w:val="243"/>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10.13.</w:t>
            </w: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Advertisement</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82</w:t>
            </w:r>
          </w:p>
        </w:tc>
        <w:tc>
          <w:tcPr>
            <w:tcW w:w="32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243"/>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10.14.</w:t>
            </w: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USA PATRIOT Act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4400" w:type="dxa"/>
            <w:vAlign w:val="bottom"/>
          </w:tcPr>
          <w:p>
            <w:pPr>
              <w:spacing w:after="0"/>
              <w:rPr>
                <w:sz w:val="21"/>
                <w:szCs w:val="21"/>
                <w:color w:val="auto"/>
              </w:rPr>
            </w:pPr>
          </w:p>
        </w:tc>
      </w:tr>
      <w:tr>
        <w:trPr>
          <w:trHeight w:val="22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10.15.</w:t>
            </w:r>
          </w:p>
        </w:tc>
        <w:tc>
          <w:tcPr>
            <w:tcW w:w="656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Treatment of Certain Information  83</w:t>
            </w:r>
          </w:p>
        </w:tc>
      </w:tr>
      <w:tr>
        <w:trPr>
          <w:trHeight w:val="243"/>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10.16.</w:t>
            </w:r>
          </w:p>
        </w:tc>
        <w:tc>
          <w:tcPr>
            <w:tcW w:w="21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No Fiduciary Duty, etc</w:t>
            </w:r>
          </w:p>
        </w:tc>
        <w:tc>
          <w:tcPr>
            <w:tcW w:w="4400" w:type="dxa"/>
            <w:vAlign w:val="bottom"/>
          </w:tcPr>
          <w:p>
            <w:pPr>
              <w:jc w:val="right"/>
              <w:ind w:right="4101"/>
              <w:spacing w:after="0"/>
              <w:rPr>
                <w:sz w:val="20"/>
                <w:szCs w:val="20"/>
                <w:color w:val="auto"/>
              </w:rPr>
            </w:pPr>
            <w:r>
              <w:rPr>
                <w:rFonts w:ascii="Times New Roman" w:cs="Times New Roman" w:eastAsia="Times New Roman" w:hAnsi="Times New Roman"/>
                <w:sz w:val="20"/>
                <w:szCs w:val="20"/>
                <w:color w:val="auto"/>
                <w:w w:val="89"/>
              </w:rPr>
              <w:t>83</w:t>
            </w:r>
          </w:p>
        </w:tc>
      </w:tr>
      <w:tr>
        <w:trPr>
          <w:trHeight w:val="22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10.17.</w:t>
            </w:r>
          </w:p>
        </w:tc>
        <w:tc>
          <w:tcPr>
            <w:tcW w:w="65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CoBank Equity and Security  84</w:t>
            </w:r>
          </w:p>
        </w:tc>
      </w:t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10.18.</w:t>
            </w:r>
          </w:p>
        </w:tc>
        <w:tc>
          <w:tcPr>
            <w:tcW w:w="656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  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18" w:right="33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30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1</w:t>
            </w:r>
          </w:p>
        </w:tc>
        <w:tc>
          <w:tcPr>
            <w:tcW w:w="82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Applicable Margin</w:t>
            </w:r>
          </w:p>
        </w:tc>
      </w:tr>
      <w:tr>
        <w:trPr>
          <w:trHeight w:val="257"/>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2</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Letter of Credit Commitments</w:t>
            </w:r>
          </w:p>
        </w:tc>
      </w:tr>
      <w:tr>
        <w:trPr>
          <w:trHeight w:val="250"/>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2.1</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List of Commitments</w:t>
            </w:r>
          </w:p>
        </w:tc>
      </w:tr>
      <w:tr>
        <w:trPr>
          <w:trHeight w:val="250"/>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2.9</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Existing Letters of Credit</w:t>
            </w:r>
          </w:p>
        </w:tc>
      </w:tr>
      <w:tr>
        <w:trPr>
          <w:trHeight w:val="250"/>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4.5/4.6</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Disclosed Matters</w:t>
            </w:r>
          </w:p>
        </w:tc>
      </w:tr>
      <w:tr>
        <w:trPr>
          <w:trHeight w:val="257"/>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4.10</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648"/>
        </w:trPr>
        <w:tc>
          <w:tcPr>
            <w:tcW w:w="3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8240" w:type="dxa"/>
            <w:vAlign w:val="bottom"/>
          </w:tcPr>
          <w:p>
            <w:pPr>
              <w:spacing w:after="0"/>
              <w:rPr>
                <w:sz w:val="24"/>
                <w:szCs w:val="24"/>
                <w:color w:val="auto"/>
              </w:rPr>
            </w:pPr>
          </w:p>
        </w:tc>
      </w:tr>
      <w:tr>
        <w:trPr>
          <w:trHeight w:val="163"/>
        </w:trPr>
        <w:tc>
          <w:tcPr>
            <w:tcW w:w="960" w:type="dxa"/>
            <w:vAlign w:val="bottom"/>
            <w:tcBorders>
              <w:top w:val="single" w:sz="8" w:color="auto"/>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57"/>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Exhibit A</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50"/>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Exhibit B</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[Reserved]</w:t>
            </w:r>
          </w:p>
        </w:tc>
      </w:tr>
      <w:tr>
        <w:trPr>
          <w:trHeight w:val="250"/>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Exhibit C</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Form of Note</w:t>
            </w:r>
          </w:p>
        </w:tc>
      </w:tr>
      <w:tr>
        <w:trPr>
          <w:trHeight w:val="250"/>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Exhibit D</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250"/>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Exhibit E</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Form of Increase Supplement</w:t>
            </w:r>
          </w:p>
        </w:tc>
      </w:tr>
      <w:tr>
        <w:trPr>
          <w:trHeight w:val="257"/>
        </w:trPr>
        <w:tc>
          <w:tcPr>
            <w:tcW w:w="302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Exhibit F</w:t>
            </w:r>
          </w:p>
        </w:tc>
        <w:tc>
          <w:tcPr>
            <w:tcW w:w="8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Form of U.S. Tax Compliance Certificates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380" w:val="left"/>
          <w:tab w:leader="none" w:pos="1720" w:val="left"/>
        </w:tabs>
        <w:rPr>
          <w:sz w:val="20"/>
          <w:szCs w:val="20"/>
          <w:color w:val="auto"/>
        </w:rPr>
      </w:pPr>
      <w:r>
        <w:rPr>
          <w:rFonts w:ascii="Times New Roman" w:cs="Times New Roman" w:eastAsia="Times New Roman" w:hAnsi="Times New Roman"/>
          <w:sz w:val="14"/>
          <w:szCs w:val="14"/>
          <w:color w:val="auto"/>
        </w:rPr>
        <w:t>766170599 11074672</w:t>
        <w:tab/>
        <w:t>(iv)</w:t>
        <w:tab/>
        <w:t>ALLETE CREDIT AGREEMENT</w:t>
      </w:r>
    </w:p>
    <w:p>
      <w:pPr>
        <w:sectPr>
          <w:pgSz w:w="11900" w:h="16838" w:orient="portrait"/>
          <w:cols w:equalWidth="0" w:num="1">
            <w:col w:w="11260"/>
          </w:cols>
          <w:pgMar w:left="320" w:top="1440" w:right="319" w:bottom="1440" w:gutter="0" w:footer="0" w:header="0"/>
        </w:sectPr>
      </w:pPr>
    </w:p>
    <w:bookmarkStart w:id="158" w:name="page159"/>
    <w:bookmarkEnd w:id="158"/>
    <w:p>
      <w:pPr>
        <w:spacing w:after="0" w:line="10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January 10, 2019, is among ALLETE, INC.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and JPMORGAN CHASE BANK, N.A., as Administrative Agent.</w:t>
      </w:r>
    </w:p>
    <w:p>
      <w:pPr>
        <w:spacing w:after="0" w:line="18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Borrower, various financial institutions and JPMorgan Chase Bank, N.A., as administrative agent, have entered into a credit agreement dated as of November 4, 2013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hereto have agreed to amend and restate the Existing Credit Agreement pursuant to this Agreement; and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parties hereto intend that this Agreement and the documents executed in connection herewith not effect a novation of the obligations of the Borrower under the Existing Credit Agreement, but merely a restatement of and, where applicable, an amendment to the terms governing such obligations;</w:t>
      </w:r>
    </w:p>
    <w:p>
      <w:pPr>
        <w:spacing w:after="0" w:line="16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acknowledged hereby, the parties hereto agree as follows:</w:t>
      </w:r>
    </w:p>
    <w:p>
      <w:pPr>
        <w:spacing w:after="0" w:line="1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1.</w:t>
      </w:r>
    </w:p>
    <w:p>
      <w:pPr>
        <w:spacing w:after="0" w:line="17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DEFINITIONS AND INTERPRETATION</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xml:space="preserve">”, when used in reference to any Loan or Borrowing, refers to whether such Loan, or the Loans comprising such Borrowing, are bearing interest at a rate determined by reference to the Alternate Base Rate. For the avoidance of doubt, a Loan that bears interest at a rate determined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Alternate Base Rate shall, for all purposes of this Agreement, be deemed to be an ABR Loan and not a Term Benchmark Loan.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Accountants</w:t>
      </w:r>
      <w:r>
        <w:rPr>
          <w:rFonts w:ascii="Times New Roman" w:cs="Times New Roman" w:eastAsia="Times New Roman" w:hAnsi="Times New Roman"/>
          <w:sz w:val="20"/>
          <w:szCs w:val="20"/>
          <w:color w:val="auto"/>
        </w:rPr>
        <w:t>” means PricewaterhouseCoopers, L.L.P. or another registered public accounting firm of recognized national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standing.</w:t>
      </w:r>
    </w:p>
    <w:p>
      <w:pPr>
        <w:spacing w:after="0" w:line="20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SOFR</w:t>
      </w:r>
      <w:r>
        <w:rPr>
          <w:rFonts w:ascii="Times New Roman" w:cs="Times New Roman" w:eastAsia="Times New Roman" w:hAnsi="Times New Roman"/>
          <w:sz w:val="20"/>
          <w:szCs w:val="20"/>
          <w:color w:val="auto"/>
        </w:rPr>
        <w:t xml:space="preserve">” means an interest rate per annum equal to (a) the Daily Simple SOFR, plus (b) 0.10%; </w:t>
      </w:r>
      <w:r>
        <w:rPr>
          <w:rFonts w:ascii="Times New Roman" w:cs="Times New Roman" w:eastAsia="Times New Roman" w:hAnsi="Times New Roman"/>
          <w:sz w:val="20"/>
          <w:szCs w:val="20"/>
          <w:i w:val="1"/>
          <w:iCs w:val="1"/>
          <w:color w:val="auto"/>
        </w:rPr>
        <w:t xml:space="preserve">provided that </w:t>
      </w:r>
      <w:r>
        <w:rPr>
          <w:rFonts w:ascii="Times New Roman" w:cs="Times New Roman" w:eastAsia="Times New Roman" w:hAnsi="Times New Roman"/>
          <w:sz w:val="20"/>
          <w:szCs w:val="20"/>
          <w:color w:val="auto"/>
        </w:rPr>
        <w:t>if the Adjusted Daily Simple SOFR as so determined would be less than the Floor, such rate shall be deemed to be equal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Floor for the purposes of this Agreement.</w:t>
      </w:r>
    </w:p>
    <w:p>
      <w:pPr>
        <w:spacing w:after="0" w:line="16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for any Interest Period, an interest rate per annum equal to (a) the Term SOFR Rate for such Interest Period,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0.10%; provided that if the Adjusted Term SOFR Rate as so determined would be less than 0.0%, such rate shall be deemed to be equal to 0.0% for the purposes of this Agreement.</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in its capacity as administrative agent for the Lenders hereunder, and any successor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“Affected Financial Institution” means (a) any EEA Financial Institution or (b) any UK Financial Institution.</w:t>
      </w:r>
    </w:p>
    <w:p>
      <w:pPr>
        <w:spacing w:after="0" w:line="229"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preamble.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means, for any day, a rate per annum equal to the greatest of (a) the Prime Rate in effect on such day,</w:t>
      </w:r>
    </w:p>
    <w:p>
      <w:pPr>
        <w:spacing w:after="0" w:line="22" w:lineRule="exact"/>
        <w:rPr>
          <w:sz w:val="20"/>
          <w:szCs w:val="20"/>
          <w:color w:val="auto"/>
        </w:rPr>
      </w:pPr>
    </w:p>
    <w:p>
      <w:pPr>
        <w:jc w:val="both"/>
        <w:ind w:firstLine="8"/>
        <w:spacing w:after="0" w:line="248" w:lineRule="auto"/>
        <w:tabs>
          <w:tab w:leader="none" w:pos="2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NYFRB Rate in effect on such day plus ½ of 1%, and (c) the Adjusted Term SOFR Rate for a one-month Interest Period as published two U.S. Government Securities Business Days prior to such day (or if such day is not a Business Day, the immediately preceding Business Day) plus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(for the avoidance of doubt, only until the Benchmark Replacement has been determined pursuant to Section 3.4(b)), then the Alternate Base Rate shall be the greater of clauses (a) and (b) above and shall be determined without reference to clause (c) above. For the avoidance of doubt, if the Alternate Base Rate as determined pursuant to the foregoing would be less than 1.0%, such rate shall be deemed to be 1.0% for purposes of this Agreement.</w:t>
      </w:r>
    </w:p>
    <w:p>
      <w:pPr>
        <w:spacing w:after="0" w:line="19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any of its Subsidiaries from time to time concerning or relating to bribery or corruption.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xml:space="preserve">” means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determined pursuant to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9.3(c)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the percentage of the total Commitments represented by such Lender’s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when a Defaulting Lender shall exist, “Applicable Percentage” shall mean the percentage of the total Commitments (disregarding any Defaulting Lender’s Commitments) represented by such Lender’s Commitments. If the Commitments have terminated or expired, the Applicable Percentages shall be determined based upon the Commitments most recently in effect, giving effect to any assignments and to any Lender’s status as a Defaulting Lender at the time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380" w:val="left"/>
          <w:tab w:leader="none" w:pos="16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with respect to any Lender that is a fund that invests in commercial loans, any other fund that invests in commercial loans and is managed or advised by the same investment advisor as such Lender or by an Affiliate of such investment advisor.</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accepted by the Administrative Agent,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in such other form as shall be acceptable to the Administrative Agent.</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Maturity Date and, if different, the date of termination of the Commitments.</w:t>
      </w:r>
    </w:p>
    <w:p>
      <w:pPr>
        <w:spacing w:after="0" w:line="173"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3.4</w:t>
      </w:r>
    </w:p>
    <w:p>
      <w:pPr>
        <w:spacing w:after="0" w:line="17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ownership interest does not result in or provide such Person with immunity from the jurisdiction of courts within the United States or from the enforcement of judgments or writs of attachment on its assets or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380" w:val="left"/>
          <w:tab w:leader="none" w:pos="16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such Person (or such Governmental Authority or instrumentality) to reject, repudiate, disavow or disaffirm any contracts or agreements made by such Person.</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means, initially, the Term SOFR Rate; provided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of Section 3.4.</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 Replacement Date:</w:t>
      </w:r>
    </w:p>
    <w:p>
      <w:pPr>
        <w:spacing w:after="0" w:line="173" w:lineRule="exact"/>
        <w:rPr>
          <w:sz w:val="20"/>
          <w:szCs w:val="20"/>
          <w:color w:val="auto"/>
        </w:rPr>
      </w:pPr>
    </w:p>
    <w:p>
      <w:pPr>
        <w:ind w:left="1940" w:hanging="636"/>
        <w:spacing w:after="0"/>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Adjusted Daily Simple SOFR;</w:t>
      </w:r>
    </w:p>
    <w:p>
      <w:pPr>
        <w:spacing w:after="0" w:line="23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9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46" w:lineRule="exact"/>
        <w:rPr>
          <w:sz w:val="20"/>
          <w:szCs w:val="20"/>
          <w:color w:val="auto"/>
        </w:rPr>
      </w:pPr>
    </w:p>
    <w:p>
      <w:pPr>
        <w:jc w:val="both"/>
        <w:ind w:firstLine="84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6" w:lineRule="exact"/>
        <w:rPr>
          <w:sz w:val="20"/>
          <w:szCs w:val="20"/>
          <w:color w:val="auto"/>
        </w:rPr>
      </w:pPr>
    </w:p>
    <w:p>
      <w:pPr>
        <w:jc w:val="both"/>
        <w:ind w:firstLine="10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Credit Requests or prepayment, conversion or continuation notices, length of lookback periods,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380" w:val="left"/>
          <w:tab w:leader="none" w:pos="16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79" w:lineRule="exact"/>
        <w:rPr>
          <w:sz w:val="20"/>
          <w:szCs w:val="20"/>
          <w:color w:val="auto"/>
        </w:rPr>
      </w:pPr>
    </w:p>
    <w:p>
      <w:pPr>
        <w:jc w:val="both"/>
        <w:ind w:right="20" w:firstLine="859"/>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46" w:lineRule="exact"/>
        <w:rPr>
          <w:sz w:val="20"/>
          <w:szCs w:val="20"/>
          <w:color w:val="auto"/>
        </w:rPr>
      </w:pPr>
    </w:p>
    <w:p>
      <w:pPr>
        <w:jc w:val="both"/>
        <w:ind w:left="660" w:firstLine="644"/>
        <w:spacing w:after="0" w:line="258" w:lineRule="auto"/>
        <w:tabs>
          <w:tab w:leader="none" w:pos="160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59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73" w:lineRule="exact"/>
        <w:rPr>
          <w:sz w:val="20"/>
          <w:szCs w:val="20"/>
          <w:color w:val="auto"/>
        </w:rPr>
      </w:pPr>
    </w:p>
    <w:p>
      <w:pPr>
        <w:jc w:val="both"/>
        <w:ind w:left="660" w:firstLine="644"/>
        <w:spacing w:after="0" w:line="253" w:lineRule="auto"/>
        <w:tabs>
          <w:tab w:leader="none" w:pos="158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59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Board, the NYFRB, the CME Term SOFR Administrator, an insolvency official with jurisdiction over the administrator for such Benchmark (or such component), a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80" w:val="left"/>
          <w:tab w:leader="none" w:pos="16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08"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9"/>
          <w:szCs w:val="19"/>
          <w:color w:val="auto"/>
        </w:rPr>
        <w:t>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5" w:lineRule="exact"/>
        <w:rPr>
          <w:sz w:val="20"/>
          <w:szCs w:val="20"/>
          <w:color w:val="auto"/>
        </w:rPr>
      </w:pPr>
    </w:p>
    <w:p>
      <w:pPr>
        <w:jc w:val="both"/>
        <w:ind w:left="660" w:firstLine="644"/>
        <w:spacing w:after="0" w:line="261" w:lineRule="auto"/>
        <w:tabs>
          <w:tab w:leader="none" w:pos="159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3.4 and (y) ending at the time that a Benchmark Replacement has replaced such then-current Benchmark for all purposes hereunder and under any Loan Document in accordance with Section 3.4.</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ALLETE, Inc., a Minnesota corporation (including any successors thereto, including Resulting LLC (as defined in the Fourth Amendment)).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Financial Statements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Loans of the same Type made, converted or continued on the same date and, in the case of Term Benchmark Loans, as to which a single Interest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380" w:val="left"/>
          <w:tab w:leader="none" w:pos="16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Sunday or other day on which commercial banks in New York City are authorized or required by law to remain closed; provided that, in relation to any interest rate setting with respect to Term Benchmark Loans, any such day that is only an U.S. Government Securities Business Day.</w:t>
      </w:r>
    </w:p>
    <w:p>
      <w:pPr>
        <w:spacing w:after="0" w:line="16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no power purchase agreement shall constitute a Capital Lease Obligation.</w:t>
      </w:r>
    </w:p>
    <w:p>
      <w:pPr>
        <w:spacing w:after="0" w:line="17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w:t>
      </w: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e in Control</w:t>
      </w:r>
      <w:r>
        <w:rPr>
          <w:rFonts w:ascii="Times New Roman" w:cs="Times New Roman" w:eastAsia="Times New Roman" w:hAnsi="Times New Roman"/>
          <w:sz w:val="19"/>
          <w:szCs w:val="19"/>
          <w:color w:val="auto"/>
        </w:rPr>
        <w:t xml:space="preserve">” means the occurrence of any of the following: (a) prior to an initial public offering of the Borrower (or any parent that owns, directly or indirectly, 100% of the Equity Interests of the Borrower (other than any Equity Interests owned by or issued in connection with a management equity plan or vehicle)), Permitted Holders fail to be the “beneficial owners” (as such term is defined in Rule 13d-3 under the Securities Exchange Act of 1934) of more than 50% of the total voting power in the aggregate of the Voting Securities (as defined below) of the Borrower then outstanding;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none of the Equity Interests of the Borrower or the applicable parent holding company constitute Voting Securities, no “Change in Control” shall occur pursuant to this </w:t>
      </w:r>
      <w:r>
        <w:rPr>
          <w:rFonts w:ascii="Times New Roman" w:cs="Times New Roman" w:eastAsia="Times New Roman" w:hAnsi="Times New Roman"/>
          <w:sz w:val="19"/>
          <w:szCs w:val="19"/>
          <w:u w:val="single" w:color="auto"/>
          <w:color w:val="auto"/>
        </w:rPr>
        <w:t>subclause (a)</w:t>
      </w:r>
      <w:r>
        <w:rPr>
          <w:rFonts w:ascii="Times New Roman" w:cs="Times New Roman" w:eastAsia="Times New Roman" w:hAnsi="Times New Roman"/>
          <w:sz w:val="19"/>
          <w:szCs w:val="19"/>
          <w:color w:val="auto"/>
        </w:rPr>
        <w:t xml:space="preserve"> if Permitted Holders otherwise have the right (pursuant to contract, proxy or otherwise), directly or indirectly, to designate, nominate or appoint (and do so designate, nominate or appoint) persons holding a majority of voting power of the board of directors (or similar governing body) of the Borrower (or any parent that owns, directly or indirectly, 100% of the Equity Interests of the Borrower (other than any Equity Interests owned by or issued in connection with a management equity plan or vehicle) and which parent, directly or indirectly, Controls the Borrower), or (b) after the occurrence of an initial public offering of the Borrower (or any parent that owns, directly or indirectly, 100% of the Equity Interests of the Borrower (other than any Equity Interests owned by or issued in connection with a management equity plan or vehicle)), the consummation of any transaction the result of which is that any “person” or “group” (within the meaning of Section 13(d)(3) of the Securities Exchange Act of 1934 but excluding any employee benefit plan of the Borrower or its Subsidiaries, and any Person acting in its capacity as trustee, agent or other fiduciary or administrator of any such plan) (other than one or more Permitted Holders or any direct or indirect wholly-owned (excluding any Equity Interests owned by or issued in connection with a management equity plan or vehicle) parent company of the Borrower) becomes the “beneficial owner” of more than 30% of the total voting power in the aggregate of the Voting Securities of the Borrower then outstanding; provided, that if none of the Equity Interests of the Borrower or the applicable parent holding company constitute Voting Securities, no “Change in Control” shall occur pursuant to this </w:t>
      </w:r>
      <w:r>
        <w:rPr>
          <w:rFonts w:ascii="Times New Roman" w:cs="Times New Roman" w:eastAsia="Times New Roman" w:hAnsi="Times New Roman"/>
          <w:sz w:val="19"/>
          <w:szCs w:val="19"/>
          <w:u w:val="single" w:color="auto"/>
          <w:color w:val="auto"/>
        </w:rPr>
        <w:t>subclause (b)</w:t>
      </w:r>
      <w:r>
        <w:rPr>
          <w:rFonts w:ascii="Times New Roman" w:cs="Times New Roman" w:eastAsia="Times New Roman" w:hAnsi="Times New Roman"/>
          <w:sz w:val="19"/>
          <w:szCs w:val="19"/>
          <w:color w:val="auto"/>
        </w:rPr>
        <w:t xml:space="preserve"> if Permitted Holders otherwise have the right (pursuant to contract, proxy or otherwise), directly or indirectly, to designate, nominate or appoint (and do so designate, nominate or appoint) persons holding a majority of the voting power of the board of directors (or similar governing body) of the Borrower (or any parent that owns, directly or indirectly, 100% of the Equity Interests of the Borrower (other than any Equity Interests owned by or issued in connection with a management equity plan or vehicle) and which parent, directly or indirectly, Controls the Borrower).</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Notwithstanding the foregoing, (i) a reorganization of any direct or indirect parent company of the Borrower will not be deemed to be a Change in Control so long as, after giving effect to such reorganization, no “Change in Control” would be triggered based on the indirect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80" w:val="left"/>
          <w:tab w:leader="none" w:pos="16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ownership of the Borrower, (ii) a Permitted Change in Control shall be deemed not to be a Change in Control and (iii) for the avoidance of doubt, limited partners of investment funds, partnerships and other co-investment vehicles and accounts directly or indirectly managed, advised or controlled by GIP or CPPIB or any of their respective affiliates that have interests in upper tier entities directly or indirectly managed, advised or controlled by GIP or CPPIB or any of their respective affiliates, respectively, shall be deemed not to directly or indirectly own the foregoing Voting Securities (or right to appoint persons holding a majority of the voting power of such governing body(ies)) in the Borrower (or any such parent) for purposes of this definition.</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any United States or foreign regulatory authority, in each case pursuant to Basel III, shall, in each case referred to in the foregoing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be deemed to be a “Change in Law”, regardless of the date enacted, adopted or issued.</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SOFR (or a successor administrator).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CoBank</w:t>
      </w:r>
      <w:r>
        <w:rPr>
          <w:rFonts w:ascii="Times New Roman" w:cs="Times New Roman" w:eastAsia="Times New Roman" w:hAnsi="Times New Roman"/>
          <w:sz w:val="20"/>
          <w:szCs w:val="20"/>
          <w:color w:val="auto"/>
        </w:rPr>
        <w:t>” means CoBank ACB.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CoBank Equities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10.17(a)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each Lender, the commitment of such Lender to make Loans and to acquire participations in Letters of Credit hereunder in an aggregate outstanding amount not exceeding the amount of such Lender’s Commitment as set forth on </w:t>
      </w:r>
      <w:r>
        <w:rPr>
          <w:rFonts w:ascii="Times New Roman" w:cs="Times New Roman" w:eastAsia="Times New Roman" w:hAnsi="Times New Roman"/>
          <w:sz w:val="20"/>
          <w:szCs w:val="20"/>
          <w:u w:val="single" w:color="auto"/>
          <w:color w:val="auto"/>
        </w:rPr>
        <w:t>Schedule 2.1 plus</w:t>
      </w:r>
      <w:r>
        <w:rPr>
          <w:rFonts w:ascii="Times New Roman" w:cs="Times New Roman" w:eastAsia="Times New Roman" w:hAnsi="Times New Roman"/>
          <w:sz w:val="20"/>
          <w:szCs w:val="20"/>
          <w:color w:val="auto"/>
        </w:rPr>
        <w:t xml:space="preserve">, the amount of any increase set forth in each Increase Supplement executed and delivered by such Lender, the Borrower and the Administrative Agent or in the Assignment and Assumption pursuant to which such Lender shall have assumed its Commitment in accordance with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 xml:space="preserve">, as applicable, as such Commitment may be adjusted from time to time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2.5</w:t>
      </w:r>
      <w:r>
        <w:rPr>
          <w:rFonts w:ascii="Times New Roman" w:cs="Times New Roman" w:eastAsia="Times New Roman" w:hAnsi="Times New Roman"/>
          <w:sz w:val="20"/>
          <w:szCs w:val="20"/>
          <w:color w:val="auto"/>
        </w:rPr>
        <w:t xml:space="preserve"> or pursuant to assignments by or to such Lender pursuant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The initial aggregate amount of the Commitments is $400,000,000.</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Assets</w:t>
      </w:r>
      <w:r>
        <w:rPr>
          <w:rFonts w:ascii="Times New Roman" w:cs="Times New Roman" w:eastAsia="Times New Roman" w:hAnsi="Times New Roman"/>
          <w:sz w:val="20"/>
          <w:szCs w:val="20"/>
          <w:color w:val="auto"/>
        </w:rPr>
        <w:t xml:space="preserve">” means the total amount of assets shown on the consolidated balance sheet of the Borrower and its Subsidiaries, determined in accordance with GAAP and prepared as of the end of the fiscal quarter then most recently ended for which financial statements have been delivered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80" w:val="left"/>
          <w:tab w:leader="none" w:pos="16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6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CPPIB</w:t>
      </w:r>
      <w:r>
        <w:rPr>
          <w:rFonts w:ascii="Times New Roman" w:cs="Times New Roman" w:eastAsia="Times New Roman" w:hAnsi="Times New Roman"/>
          <w:sz w:val="20"/>
          <w:szCs w:val="20"/>
          <w:color w:val="auto"/>
        </w:rPr>
        <w:t>” has the meaning assigned to it under the definition of Sponsor.</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means, with respect to any Lender at any time, the sum of the aggregate outstanding principal amount of such Lender’s Loans and its LC Exposure at such time.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Parties</w:t>
      </w:r>
      <w:r>
        <w:rPr>
          <w:rFonts w:ascii="Times New Roman" w:cs="Times New Roman" w:eastAsia="Times New Roman" w:hAnsi="Times New Roman"/>
          <w:sz w:val="20"/>
          <w:szCs w:val="20"/>
          <w:color w:val="auto"/>
        </w:rPr>
        <w:t>” means the Administrative Agent, the Issuing Banks and the Lenders.</w:t>
      </w:r>
    </w:p>
    <w:p>
      <w:pPr>
        <w:spacing w:after="0" w:line="22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Request</w:t>
      </w:r>
      <w:r>
        <w:rPr>
          <w:rFonts w:ascii="Times New Roman" w:cs="Times New Roman" w:eastAsia="Times New Roman" w:hAnsi="Times New Roman"/>
          <w:sz w:val="20"/>
          <w:szCs w:val="20"/>
          <w:color w:val="auto"/>
        </w:rPr>
        <w:t>” means a Credit Request in accordance with Section 2.3, which shall be substantially in the form approved by the Administrative Agent and separately provided to the Borrower.</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upon notice, lapse of time or both would, unless cured or waived, become an Event of Default.</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as determined by the Administrative Agent (or if the Administrative Agent is the Defaulting Lender, by the Required Lenders), that (a) has failed, within three (3) Business Days of the date required to be funded or paid, to</w:t>
      </w:r>
    </w:p>
    <w:p>
      <w:pPr>
        <w:spacing w:after="0" w:line="1" w:lineRule="exact"/>
        <w:rPr>
          <w:sz w:val="20"/>
          <w:szCs w:val="20"/>
          <w:color w:val="auto"/>
        </w:rPr>
      </w:pPr>
    </w:p>
    <w:p>
      <w:pPr>
        <w:jc w:val="both"/>
        <w:ind w:firstLine="8"/>
        <w:spacing w:after="0" w:line="248" w:lineRule="auto"/>
        <w:tabs>
          <w:tab w:leader="none" w:pos="24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fund any portion of its Loans, (ii) fund any portion of its participations in Letters of Credit or (iii) pay over to any Credit Party any other amount required to be paid by it hereunder, unless,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or generally under other agreements in which it commits to extend credit, (c) has failed, within three (3) Business Days after request by a Credit Party (based on the reasonable belief that it may not fulfill its funding obligation),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6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such Credit Party’s receipt of such certification in form and substance satisfactory to it and the Administrative Agent, or (d) has become the subject of (A) a Bankruptcy Event or (B) a Bail-In Action.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Matters</w:t>
      </w:r>
      <w:r>
        <w:rPr>
          <w:rFonts w:ascii="Times New Roman" w:cs="Times New Roman" w:eastAsia="Times New Roman" w:hAnsi="Times New Roman"/>
          <w:sz w:val="20"/>
          <w:szCs w:val="20"/>
          <w:color w:val="auto"/>
        </w:rPr>
        <w:t xml:space="preserve">” means the actions, suits, proceedings and environmental matters (a) disclosed in (i) </w:t>
      </w:r>
      <w:r>
        <w:rPr>
          <w:rFonts w:ascii="Times New Roman" w:cs="Times New Roman" w:eastAsia="Times New Roman" w:hAnsi="Times New Roman"/>
          <w:sz w:val="20"/>
          <w:szCs w:val="20"/>
          <w:u w:val="single" w:color="auto"/>
          <w:color w:val="auto"/>
        </w:rPr>
        <w:t>Schedule 4.5/4.6</w:t>
      </w:r>
      <w:r>
        <w:rPr>
          <w:rFonts w:ascii="Times New Roman" w:cs="Times New Roman" w:eastAsia="Times New Roman" w:hAnsi="Times New Roman"/>
          <w:sz w:val="20"/>
          <w:szCs w:val="20"/>
          <w:color w:val="auto"/>
        </w:rPr>
        <w:t xml:space="preserve"> or</w:t>
      </w:r>
    </w:p>
    <w:p>
      <w:pPr>
        <w:spacing w:after="0" w:line="22" w:lineRule="exact"/>
        <w:rPr>
          <w:sz w:val="20"/>
          <w:szCs w:val="20"/>
          <w:color w:val="auto"/>
        </w:rPr>
      </w:pPr>
    </w:p>
    <w:p>
      <w:pPr>
        <w:jc w:val="both"/>
        <w:ind w:firstLine="8"/>
        <w:spacing w:after="0" w:line="256" w:lineRule="auto"/>
        <w:tabs>
          <w:tab w:leader="none" w:pos="30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the current and periodic reports filed by the Borrower from time to time with the SEC pursuant to the requirements of the Securities Exchange Act of 1934 and the rules and regulations promulgated thereunder, or (ii) disclosed by the Borrower to the Lenders (either directly or indirectly through the Administrative Agent) in writing.</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10.4(b)(vii)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 that do not constitute Disqualified Stock), in whole or in part, on or prior to the date that is 180 days after the Maturity Date.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10.4(b)(vii)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January 10, 2019.</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w:t>
      </w: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auto"/>
        </w:rPr>
        <w:t>ible Assi</w:t>
      </w: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auto"/>
        </w:rPr>
        <w:t>nees</w:t>
      </w:r>
      <w:r>
        <w:rPr>
          <w:rFonts w:ascii="Times New Roman" w:cs="Times New Roman" w:eastAsia="Times New Roman" w:hAnsi="Times New Roman"/>
          <w:sz w:val="20"/>
          <w:szCs w:val="20"/>
          <w:color w:val="auto"/>
        </w:rPr>
        <w:t xml:space="preserve">” means any of the following (a) any commercial banks, finance companies, insurance companies and other financial institutions and funds (whether a corporation, partnership or other entity) engaged generally in making, purchasing or otherwise investing in commercial loans in the ordinary course of its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such entity is a Lender or an Affiliate of a Lender, such entity has been approved by the Administrative Agent, the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10</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Banks and, unless an Event of Default has occurred and is continuing at the time of assignment to such entity, the Borrower (each such approval not to be unreasonably withheld or delayed),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such entity shall be entitled, as of the date such entity becomes a Lender, to receive payments under its Note without deduction or withholding with respect to United States federal income tax, (b) each of the Lenders and (c) any Affiliate or Approved Fund of a Lender, and each is an “Eligible Assignee”, in each case, other than a Disqualified Lender.</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w:t>
      </w:r>
      <w:r>
        <w:rPr>
          <w:rFonts w:ascii="Times New Roman" w:cs="Times New Roman" w:eastAsia="Times New Roman" w:hAnsi="Times New Roman"/>
          <w:sz w:val="20"/>
          <w:szCs w:val="20"/>
          <w:color w:val="auto"/>
        </w:rPr>
        <w:t>” means any and all applicable present and future treaties, laws, rules, regulations, codes, ordinances, orders, decrees, judgments, injunctions, notices or binding agreements issued, promulgated or entered into by or with any Governmental Authority, relating in any way to the environment, preservation or reclamation of natural resources, the presence, management, release or threatened release of any Hazardous Material or to health and safety matters.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w:t>
      </w:r>
      <w:r>
        <w:rPr>
          <w:rFonts w:ascii="Times New Roman" w:cs="Times New Roman" w:eastAsia="Times New Roman" w:hAnsi="Times New Roman"/>
          <w:sz w:val="20"/>
          <w:szCs w:val="20"/>
          <w:color w:val="auto"/>
        </w:rPr>
        <w:t xml:space="preserve">” means (a) shares of corporate stock, partnership interests, limited liability company membership interests, and any other interest that confers on a Person the right to receive a share of the profits and losses of, or distribution of assets of, the issuing Person, and (b) all warrants, options or other rights to acquire any Equity Interest set forth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16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 day notice period is waived), (b) any failure to satisfy the minimum funding standards of Section 412 of the Code or Section 302 of ERISA with respect to any Plan, whether or not waived, (c) the incurrence by the Borrower, any Subsidiary or any ERISA Affiliate of any liability under Title IV of ERISA with respect to the termination of any Plan, (d) the receipt by the Borrower, any Subsidiary or any ERISA Affiliate from the PBGC or a plan administrator of any notice relating to an intention to terminate any Plan or Plans or to appoint a trustee to administer any Plan, (e) the incurrence by the Borrower, any Subsidiary or any ERISA Affiliate of any liability with respect to the withdrawal or partial withdrawal from any Plan or Multiemployer Plan or (f)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 be, insolvent or in reorganization, within the meaning of Title IV of ERISA.</w:t>
      </w:r>
    </w:p>
    <w:p>
      <w:pPr>
        <w:spacing w:after="0" w:line="19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w:t>
      </w:r>
      <w:r>
        <w:rPr>
          <w:rFonts w:ascii="Times New Roman" w:cs="Times New Roman" w:eastAsia="Times New Roman" w:hAnsi="Times New Roman"/>
          <w:sz w:val="20"/>
          <w:szCs w:val="20"/>
          <w:u w:val="single" w:color="auto"/>
          <w:color w:val="auto"/>
        </w:rPr>
        <w:t>Section 3.8(b)</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3.7(f)</w:t>
      </w:r>
      <w:r>
        <w:rPr>
          <w:rFonts w:ascii="Times New Roman" w:cs="Times New Roman" w:eastAsia="Times New Roman" w:hAnsi="Times New Roman"/>
          <w:sz w:val="20"/>
          <w:szCs w:val="20"/>
          <w:color w:val="auto"/>
        </w:rPr>
        <w:t>, and (d) any withholding Taxes imposed under FATCA.</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to such term in the recitals.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Effective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zero for the purposes of this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Borrower.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Fitch</w:t>
      </w:r>
      <w:r>
        <w:rPr>
          <w:rFonts w:ascii="Times New Roman" w:cs="Times New Roman" w:eastAsia="Times New Roman" w:hAnsi="Times New Roman"/>
          <w:sz w:val="20"/>
          <w:szCs w:val="20"/>
          <w:color w:val="auto"/>
        </w:rPr>
        <w:t>” means Fitch Ratings Inc., or any successor thereto.</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Adjusted Term SOFR Rate. For the avoidance of doubt, the initial Floor shall be 0.0%.</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08"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w:t>
      </w:r>
      <w:r>
        <w:rPr>
          <w:rFonts w:ascii="Times New Roman" w:cs="Times New Roman" w:eastAsia="Times New Roman" w:hAnsi="Times New Roman"/>
          <w:sz w:val="20"/>
          <w:szCs w:val="20"/>
          <w:color w:val="auto"/>
        </w:rPr>
        <w:t>” means the Fourth Amendment to Credit Agreement, dated as of the Fourth Amendment Effective Date, by and among the Borrower, the Administrative Agent and the lenders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 Effective Date</w:t>
      </w:r>
      <w:r>
        <w:rPr>
          <w:rFonts w:ascii="Times New Roman" w:cs="Times New Roman" w:eastAsia="Times New Roman" w:hAnsi="Times New Roman"/>
          <w:sz w:val="20"/>
          <w:szCs w:val="20"/>
          <w:color w:val="auto"/>
        </w:rPr>
        <w:t>” means June 4, 2024.</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set forth in the opinions and pronouncements of the Accounting Principles Board and the American 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 the date of determination, consistently applied;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Borrower converts to use the International Financial Reporting Standards by the International Accounting Standards Board or other method of accounting, then the term “GAAP” as used in this Agreement shall be deemed to mean and refer to such International Financial Reporting Standards or such other method of accounting instead, which are applicable to the circumstances as of the date of determination, consistently applied.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GIP</w:t>
      </w:r>
      <w:r>
        <w:rPr>
          <w:rFonts w:ascii="Times New Roman" w:cs="Times New Roman" w:eastAsia="Times New Roman" w:hAnsi="Times New Roman"/>
          <w:sz w:val="20"/>
          <w:szCs w:val="20"/>
          <w:color w:val="auto"/>
        </w:rPr>
        <w:t>” has the meaning assigned to it under the definition of Sponsor.</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or local, and any agency, commission, exchange, association, board, authority, instrumentality, regulatory body, court, central bank or other entity exercising executive, legislative, judicial, taxing, regulatory or administrative powers or functions of or pertaining to government (including supranational bodies such as the European Union or European Central Bank).</w:t>
      </w:r>
    </w:p>
    <w:p>
      <w:pPr>
        <w:spacing w:after="0" w:line="17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shall not include endorsements for collection or deposit in the ordinary course of business. The term “Guaranteed”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Hedge Agreement with such Person,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obligations of such other Person under such Permitted Hedge Agreement with such counterparty shall be terminable at the election of such other Person in the event of a default by such counterparty in its obligations to such other Person.</w:t>
      </w:r>
    </w:p>
    <w:p>
      <w:pPr>
        <w:spacing w:after="0" w:line="168" w:lineRule="exact"/>
        <w:rPr>
          <w:sz w:val="20"/>
          <w:szCs w:val="20"/>
          <w:color w:val="auto"/>
        </w:rPr>
      </w:pPr>
    </w:p>
    <w:p>
      <w:pPr>
        <w:jc w:val="both"/>
        <w:ind w:firstLine="12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4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w:t>
      </w:r>
      <w:r>
        <w:rPr>
          <w:rFonts w:ascii="Times New Roman" w:cs="Times New Roman" w:eastAsia="Times New Roman" w:hAnsi="Times New Roman"/>
          <w:sz w:val="20"/>
          <w:szCs w:val="20"/>
          <w:color w:val="auto"/>
        </w:rPr>
        <w:t xml:space="preserve">y” means a Subsidiary that (a) has consolidated total assets with a book value not exceeding 5% of Consolidated Assets as of the end of the most recent fiscal quarter for which financial statements have been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(b) had total revenues not exceeding 5% of the Borrower’s consolidated total revenues for the period ending on the last day of such fiscal quarter.</w:t>
      </w:r>
    </w:p>
    <w:p>
      <w:pPr>
        <w:spacing w:after="0" w:line="17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Transaction</w:t>
      </w:r>
      <w:r>
        <w:rPr>
          <w:rFonts w:ascii="Times New Roman" w:cs="Times New Roman" w:eastAsia="Times New Roman" w:hAnsi="Times New Roman"/>
          <w:sz w:val="19"/>
          <w:szCs w:val="19"/>
          <w:color w:val="auto"/>
        </w:rPr>
        <w:t xml:space="preserve">” means any transaction or event described in </w:t>
      </w:r>
      <w:r>
        <w:rPr>
          <w:rFonts w:ascii="Times New Roman" w:cs="Times New Roman" w:eastAsia="Times New Roman" w:hAnsi="Times New Roman"/>
          <w:sz w:val="19"/>
          <w:szCs w:val="19"/>
          <w:u w:val="single" w:color="auto"/>
          <w:color w:val="auto"/>
        </w:rPr>
        <w:t>paragraph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so long as, after giving effect to such transaction or event, all Subsidiaries that have become subject to such transactions or events during the 12-month period ending on the date of such transaction or event (a) had consolidated total assets with a fair market value not exceeding 10% of Consolidated Assets as of the end of the most recent fiscal quarter for which financial statements have been delivered pursuant to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ind w:firstLine="8"/>
        <w:spacing w:after="0" w:line="253" w:lineRule="auto"/>
        <w:tabs>
          <w:tab w:leader="none" w:pos="29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had total revenues not exceeding 10% of the Borrower’s consolidated total revenues for the period ending on the last day of such fiscal quarter.</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Supplement</w:t>
      </w:r>
      <w:r>
        <w:rPr>
          <w:rFonts w:ascii="Times New Roman" w:cs="Times New Roman" w:eastAsia="Times New Roman" w:hAnsi="Times New Roman"/>
          <w:sz w:val="20"/>
          <w:szCs w:val="20"/>
          <w:color w:val="auto"/>
        </w:rPr>
        <w:t xml:space="preserve">” means an increase supplement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2.5(d)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the Borrower’s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make any other payment in respect of any shares of equity securities or any option, warrant or other right to acquire any shares of equity securities, (h) obligations under Capital Lease Obligations, (i) Guarantees of such Person in respect of Indebtedness of others, and (j) to the extent not otherwise included, all net obligations of such Person under Permitted Hedge Agreements.</w:t>
      </w:r>
    </w:p>
    <w:p>
      <w:pPr>
        <w:spacing w:after="0" w:line="168" w:lineRule="exact"/>
        <w:rPr>
          <w:sz w:val="20"/>
          <w:szCs w:val="20"/>
          <w:color w:val="auto"/>
        </w:rPr>
      </w:pPr>
    </w:p>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copyrights, trademarks, servicemarks, patents, trade names and service names.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xml:space="preserve">” means a request by the Borrower to convert or continue a Borrowing in accordance with </w:t>
      </w:r>
      <w:r>
        <w:rPr>
          <w:rFonts w:ascii="Times New Roman" w:cs="Times New Roman" w:eastAsia="Times New Roman" w:hAnsi="Times New Roman"/>
          <w:sz w:val="19"/>
          <w:szCs w:val="19"/>
          <w:u w:val="single" w:color="auto"/>
          <w:color w:val="auto"/>
        </w:rPr>
        <w:t>Section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the last day of each March, June, September and December and the Maturity Date, and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9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of the Benchmark applicable to the relevant Loan or Commitment),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3.4(e) shall be available for specification in such Credit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7.2.</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xml:space="preserve">” means JPMorgan Chase, CoBank and any other Lender that agrees to act as an Issuing Bank, each in its capacity as the issuer of Letters of Credit hereunder, and its successors in such capacity as provided in </w:t>
      </w:r>
      <w:r>
        <w:rPr>
          <w:rFonts w:ascii="Times New Roman" w:cs="Times New Roman" w:eastAsia="Times New Roman" w:hAnsi="Times New Roman"/>
          <w:sz w:val="20"/>
          <w:szCs w:val="20"/>
          <w:u w:val="single" w:color="auto"/>
          <w:color w:val="auto"/>
        </w:rPr>
        <w:t>Section 2.9(i)</w:t>
      </w:r>
      <w:r>
        <w:rPr>
          <w:rFonts w:ascii="Times New Roman" w:cs="Times New Roman" w:eastAsia="Times New Roman" w:hAnsi="Times New Roman"/>
          <w:sz w:val="20"/>
          <w:szCs w:val="20"/>
          <w:color w:val="auto"/>
        </w:rPr>
        <w:t>. Any Issuing Bank may, in its discretion, arrange for one or more Letters of Credit to be issued by Affiliates of such Issuing Bank, in which case the term “Issuing Bank” shall include any such Affiliate with respect to Letters of Credit issued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such Affiliate. Each reference herein to the “Issuing Bank” in connection with a Letter of Credit or other matter shall be deemed to be a reference to the relevant Issuing Bank with respect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JPMorgan Chase</w:t>
      </w:r>
      <w:r>
        <w:rPr>
          <w:rFonts w:ascii="Times New Roman" w:cs="Times New Roman" w:eastAsia="Times New Roman" w:hAnsi="Times New Roman"/>
          <w:sz w:val="20"/>
          <w:szCs w:val="20"/>
          <w:color w:val="auto"/>
        </w:rPr>
        <w:t>” means JPMorgan Chase Bank, N.A.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xml:space="preserve">” means, at any time, (a) with respect to all of the Lenders, the sum, without duplication, of (i) the aggregate undrawn amount of all outstanding Letters of Credit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aggregate amount of all LC Disbursements that have not yet been reimbursed by or on behalf of the Borrower at such time and (b) with respect to each Lender, its Applicable Percentage of the amount determined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w:t>
      </w:r>
      <w:r>
        <w:rPr>
          <w:rFonts w:ascii="Times New Roman" w:cs="Times New Roman" w:eastAsia="Times New Roman" w:hAnsi="Times New Roman"/>
          <w:sz w:val="20"/>
          <w:szCs w:val="20"/>
          <w:u w:val="single" w:color="auto"/>
          <w:color w:val="auto"/>
        </w:rPr>
        <w:t>Schedule 2.1</w:t>
      </w:r>
      <w:r>
        <w:rPr>
          <w:rFonts w:ascii="Times New Roman" w:cs="Times New Roman" w:eastAsia="Times New Roman" w:hAnsi="Times New Roman"/>
          <w:sz w:val="20"/>
          <w:szCs w:val="20"/>
          <w:color w:val="auto"/>
        </w:rPr>
        <w:t xml:space="preserve"> and any other Person that shall have become a party hereto pursuant to an Assignment and Assumption or an Increase Supplement other than any such Person that ceases to be a party hereto pursuant to an Assignment and Assumption.</w:t>
      </w:r>
    </w:p>
    <w:p>
      <w:pPr>
        <w:spacing w:after="0" w:line="16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means any standby letter of credit (and any successive renewals thereof) issued pursuant to this Agreement. For the avoidance of doubt, as of the Second Amendment Effective Date, the outstanding Letters of Credit are set forth on </w:t>
      </w:r>
      <w:r>
        <w:rPr>
          <w:rFonts w:ascii="Times New Roman" w:cs="Times New Roman" w:eastAsia="Times New Roman" w:hAnsi="Times New Roman"/>
          <w:sz w:val="20"/>
          <w:szCs w:val="20"/>
          <w:u w:val="single" w:color="auto"/>
          <w:color w:val="auto"/>
        </w:rPr>
        <w:t>Schedule 2.9</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xml:space="preserve">” means, with respect to each Issuing Bank, the commitment of such Issuing Bank to issue Letters of Credit hereunder. The initial amount of each Issuing Bank’s Letter of Credit Commitment is 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 kind.</w:t>
      </w:r>
    </w:p>
    <w:p>
      <w:pPr>
        <w:spacing w:after="0" w:line="229"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(statutory or other), assignment, deposit arrangement, pledge, hypothecation, encumbrance or preference, priority, charge or other security interest in, on or of such asset, (b) the interest of a vendor or a lessor under any conditional sale agreement, capital lease or title retention agreement relating to such asset and (c) in the case of securities, any purchase option, call or similar right of a third party with respect to such securities.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 loan referred to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made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2.9(e)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each Note issued pursuant to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xml:space="preserve"> and each Letter of Credit and the related documentation.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assigned to such term in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0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Change</w:t>
      </w:r>
      <w:r>
        <w:rPr>
          <w:rFonts w:ascii="Times New Roman" w:cs="Times New Roman" w:eastAsia="Times New Roman" w:hAnsi="Times New Roman"/>
          <w:sz w:val="20"/>
          <w:szCs w:val="20"/>
          <w:color w:val="auto"/>
        </w:rPr>
        <w:t>” means a material adverse change in (a) the financial condition, operations, business or property of (i) 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financial condition, operations, business or property of</w:t>
      </w:r>
    </w:p>
    <w:p>
      <w:pPr>
        <w:spacing w:after="0" w:line="28" w:lineRule="exact"/>
        <w:rPr>
          <w:sz w:val="20"/>
          <w:szCs w:val="20"/>
          <w:color w:val="auto"/>
        </w:rPr>
      </w:pPr>
    </w:p>
    <w:p>
      <w:pPr>
        <w:ind w:firstLine="8"/>
        <w:spacing w:after="0" w:line="267" w:lineRule="auto"/>
        <w:tabs>
          <w:tab w:leader="none" w:pos="23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Obligations</w:t>
      </w:r>
      <w:r>
        <w:rPr>
          <w:rFonts w:ascii="Times New Roman" w:cs="Times New Roman" w:eastAsia="Times New Roman" w:hAnsi="Times New Roman"/>
          <w:sz w:val="20"/>
          <w:szCs w:val="20"/>
          <w:color w:val="auto"/>
        </w:rPr>
        <w:t>” means as of any date, Indebtedness (other than Indebtedness under the Loan Documents) or operating leases of any one or more of the Borrower or any Subsidiary or, in the case of the Borrower only, any Guarantee, in an aggregate principal amount exceeding $35,000,000. For purposes of determining Material Obligations, the “principal amount” of Indebtedness, operating leases or Guarantees at any time shall be the maximum aggregate amount (giving effect to any netting agreements) that the Borrower or such Subsidiary, as applicable, would be required to pay if such Indebtedness, operating leases or Guarantees became due and payable on such day.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January 10, 2027.</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or any successor thereto.</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the Mortgage and Deed of Trust, dated as of September 1, 1945, among the Borrower, The Bank of New York Mellon (formerly Irving Trust Company) and Eva Waite (successor to Richard H. West), Trustees.</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MPUC</w:t>
      </w:r>
      <w:r>
        <w:rPr>
          <w:rFonts w:ascii="Times New Roman" w:cs="Times New Roman" w:eastAsia="Times New Roman" w:hAnsi="Times New Roman"/>
          <w:sz w:val="20"/>
          <w:szCs w:val="20"/>
          <w:color w:val="auto"/>
        </w:rPr>
        <w:t>” means the Minnesota Public Utilities Commission or any Governmental Authority succeeding to the functions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2.5(d)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means a promissory note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issued at the request of a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2.6(e)</w:t>
      </w:r>
      <w:r>
        <w:rPr>
          <w:rFonts w:ascii="Times New Roman" w:cs="Times New Roman" w:eastAsia="Times New Roman" w:hAnsi="Times New Roman"/>
          <w:sz w:val="20"/>
          <w:szCs w:val="20"/>
          <w:color w:val="auto"/>
        </w:rPr>
        <w:t xml:space="preserve"> to evidence its Loans.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from a federal funds broker of recognized standing selected by it;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if any of the aforesaid rates as so determined be less than zero, such rate shall be deemed to be zero for purposes of this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interbank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107-56 (signed into law October 26, 2001)).</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w:t>
      </w:r>
    </w:p>
    <w:p>
      <w:pPr>
        <w:spacing w:after="0" w:line="21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Change in Control</w:t>
      </w:r>
      <w:r>
        <w:rPr>
          <w:rFonts w:ascii="Times New Roman" w:cs="Times New Roman" w:eastAsia="Times New Roman" w:hAnsi="Times New Roman"/>
          <w:sz w:val="20"/>
          <w:szCs w:val="20"/>
          <w:color w:val="auto"/>
        </w:rPr>
        <w:t>” means any transaction or series of related transactions which otherwise may constitute a Change in Control in which either, after giving effect to such transaction, Permitted Holders own or otherwise have (as applicable), either directly or indirectly, through one or more holding companies, (i) shall be “beneficial owners” (as such term is defined in Rule 13d-3 of the Securities Exchange Act of 1937, as amended) of more than (x) at any time prior to an initial public offering described in clause (a) of the definition of “Change in Control”, 50%, and (y) at any time after the occurrence of an initial public offering described in clause (b) of the definition of “Change in Control”, 30%, in the case of each of clause (a) and (b), of the total voting power in the aggregate of the Voting Securities in the Borrower (or any parent that owns, directly or indirectly, 100% of the Equity Interests of the Borrower (other than any Equity Interests owned by or issued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connection with a management equity plan or vehicle) and which parent, directly or indirectly, Controls the Borrower) or (ii) the right (pursuant to contract, proxy or otherwise), to designate, nominate or appoint (and do so designate, nominate or appoint) persons holding a majority of the voting power of the board of directors (or similar governing body) of the Borrower (or any parent that owns, directly or indirectly, 100% of the Equity Interests of the Borrower (other than any Equity Interests owned by or issued in connection with a management equity plan or vehicle) and which parent, directly or indirectly, Controls the Borrower), in the case of this clause (ii), if the Borrower or the applicable parent holding company has not issued any Voting Securities.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1952"/>
        <w:spacing w:after="0" w:line="226" w:lineRule="auto"/>
        <w:tabs>
          <w:tab w:leader="none" w:pos="258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imposed by law for taxes, assessments or similar charges incurred in the ordinary course of business that are not yet due or are being contested in compliance with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enforcement of such Liens is stayed pending such contest;</w:t>
      </w:r>
    </w:p>
    <w:p>
      <w:pPr>
        <w:spacing w:after="0" w:line="160" w:lineRule="exact"/>
        <w:rPr>
          <w:rFonts w:ascii="Times New Roman" w:cs="Times New Roman" w:eastAsia="Times New Roman" w:hAnsi="Times New Roman"/>
          <w:sz w:val="20"/>
          <w:szCs w:val="20"/>
          <w:color w:val="auto"/>
        </w:rPr>
      </w:pPr>
    </w:p>
    <w:p>
      <w:pPr>
        <w:jc w:val="both"/>
        <w:ind w:firstLine="1952"/>
        <w:spacing w:after="0" w:line="226" w:lineRule="auto"/>
        <w:tabs>
          <w:tab w:leader="none" w:pos="2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landlords’, vendors’, carriers’, warehousemen’s, mechanics’, materialmen’s, contractors’, repairmen’s and other like Liens imposed by law, arising in the ordinary course of business and securing obligations which are not delinquent or are being contested,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enforcement of such Liens is stayed pending such contest;</w:t>
      </w:r>
    </w:p>
    <w:p>
      <w:pPr>
        <w:spacing w:after="0" w:line="160" w:lineRule="exact"/>
        <w:rPr>
          <w:rFonts w:ascii="Times New Roman" w:cs="Times New Roman" w:eastAsia="Times New Roman" w:hAnsi="Times New Roman"/>
          <w:sz w:val="20"/>
          <w:szCs w:val="20"/>
          <w:color w:val="auto"/>
        </w:rPr>
      </w:pPr>
    </w:p>
    <w:p>
      <w:pPr>
        <w:ind w:firstLine="1952"/>
        <w:spacing w:after="0" w:line="233" w:lineRule="auto"/>
        <w:tabs>
          <w:tab w:leader="none" w:pos="258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 (but not ERISA);</w:t>
      </w:r>
    </w:p>
    <w:p>
      <w:pPr>
        <w:spacing w:after="0" w:line="160" w:lineRule="exact"/>
        <w:rPr>
          <w:rFonts w:ascii="Times New Roman" w:cs="Times New Roman" w:eastAsia="Times New Roman" w:hAnsi="Times New Roman"/>
          <w:sz w:val="20"/>
          <w:szCs w:val="20"/>
          <w:color w:val="auto"/>
        </w:rPr>
      </w:pPr>
    </w:p>
    <w:p>
      <w:pPr>
        <w:jc w:val="both"/>
        <w:ind w:firstLine="1952"/>
        <w:spacing w:after="0" w:line="226" w:lineRule="auto"/>
        <w:tabs>
          <w:tab w:leader="none" w:pos="2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to secure the performance of bids, trade contracts, leases, purchase agreements, government contracts, statutory obligations, surety and appeal bonds, performance bonds and other obligations of a like nature, in each case in the ordinary course of business, and other than promissory notes and contracts for the repayment of borrowed money;</w:t>
      </w:r>
    </w:p>
    <w:p>
      <w:pPr>
        <w:spacing w:after="0" w:line="160" w:lineRule="exact"/>
        <w:rPr>
          <w:rFonts w:ascii="Times New Roman" w:cs="Times New Roman" w:eastAsia="Times New Roman" w:hAnsi="Times New Roman"/>
          <w:sz w:val="20"/>
          <w:szCs w:val="20"/>
          <w:color w:val="auto"/>
        </w:rPr>
      </w:pPr>
    </w:p>
    <w:p>
      <w:pPr>
        <w:jc w:val="both"/>
        <w:ind w:firstLine="1952"/>
        <w:spacing w:after="0" w:line="220" w:lineRule="auto"/>
        <w:tabs>
          <w:tab w:leader="none" w:pos="258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(including contractual security interests) in favor of a financial institution (including securities firms) encumbering deposit accounts or checks or instruments for collection, commodity accounts or securities accounts (including the right of set-off) at or held by such financial institution in the ordinary course of its commercial business and which secure only liabilities owed to such financial institution arising out of or resulting from its maintenance of such account or otherwise are within the general parameters customary in the financial industry;</w:t>
      </w:r>
    </w:p>
    <w:p>
      <w:pPr>
        <w:spacing w:after="0" w:line="14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in respect of judgments that do not constitute an Event of Default under </w:t>
      </w:r>
      <w:r>
        <w:rPr>
          <w:rFonts w:ascii="Times New Roman" w:cs="Times New Roman" w:eastAsia="Times New Roman" w:hAnsi="Times New Roman"/>
          <w:sz w:val="20"/>
          <w:szCs w:val="20"/>
          <w:u w:val="single" w:color="auto"/>
          <w:color w:val="auto"/>
        </w:rPr>
        <w:t>paragraph (k)</w:t>
      </w:r>
      <w:r>
        <w:rPr>
          <w:rFonts w:ascii="Times New Roman" w:cs="Times New Roman" w:eastAsia="Times New Roman" w:hAnsi="Times New Roman"/>
          <w:sz w:val="20"/>
          <w:szCs w:val="20"/>
          <w:color w:val="auto"/>
        </w:rPr>
        <w:t xml:space="preserve"> of</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ind w:firstLine="1952"/>
        <w:spacing w:after="0" w:line="233" w:lineRule="auto"/>
        <w:tabs>
          <w:tab w:leader="none" w:pos="2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of a lessor or licensor in property under an operating lease under which the Borrower or any Subsidiary is lessee or licensee, and any restriction or encumbrance to which the interest of such lessor or licensor is subject;</w:t>
      </w:r>
    </w:p>
    <w:p>
      <w:pPr>
        <w:spacing w:after="0" w:line="15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filed UCC-1 financing statements relating solely to leases not prohibited by this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53" w:lineRule="exact"/>
        <w:rPr>
          <w:rFonts w:ascii="Times New Roman" w:cs="Times New Roman" w:eastAsia="Times New Roman" w:hAnsi="Times New Roman"/>
          <w:sz w:val="20"/>
          <w:szCs w:val="20"/>
          <w:color w:val="auto"/>
        </w:rPr>
      </w:pPr>
    </w:p>
    <w:p>
      <w:pPr>
        <w:ind w:firstLine="1952"/>
        <w:spacing w:after="0"/>
        <w:tabs>
          <w:tab w:leader="none" w:pos="259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granted to others that do not materially interfere with the ordinary conduct of business of the Borrower and its Subsidiaries;</w:t>
      </w:r>
    </w:p>
    <w:p>
      <w:pPr>
        <w:spacing w:after="0" w:line="161" w:lineRule="exact"/>
        <w:rPr>
          <w:rFonts w:ascii="Times New Roman" w:cs="Times New Roman" w:eastAsia="Times New Roman" w:hAnsi="Times New Roman"/>
          <w:sz w:val="20"/>
          <w:szCs w:val="20"/>
          <w:color w:val="auto"/>
        </w:rPr>
      </w:pPr>
    </w:p>
    <w:p>
      <w:pPr>
        <w:ind w:firstLine="1952"/>
        <w:spacing w:after="0" w:line="233" w:lineRule="auto"/>
        <w:tabs>
          <w:tab w:leader="none" w:pos="259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of Intellectual Property granted by the Borrower or any Subsidiary in the ordinary course of business and not materially interfering with the ordinary conduct of the business of the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95" w:lineRule="exact"/>
        <w:rPr>
          <w:sz w:val="20"/>
          <w:szCs w:val="20"/>
          <w:color w:val="auto"/>
        </w:rPr>
      </w:pPr>
    </w:p>
    <w:p>
      <w:pPr>
        <w:jc w:val="both"/>
        <w:ind w:firstLine="1952"/>
        <w:spacing w:after="0" w:line="222" w:lineRule="auto"/>
        <w:tabs>
          <w:tab w:leader="none" w:pos="2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servitudes (contractual and legal), zoning restrictions, rights of way, encroachments, minor defects and irregularities in title and other similar encumbrances on real property imposed by law or arising in the ordinary course of business that do not secure any monetary obligations and do not render title to such property unmarketable or materially interfere with the ability of the Borrower and its Subsidiaries, as the case may be, to utilize their respective properties for their intended purposes;</w:t>
      </w:r>
    </w:p>
    <w:p>
      <w:pPr>
        <w:spacing w:after="0" w:line="148" w:lineRule="exact"/>
        <w:rPr>
          <w:rFonts w:ascii="Times New Roman" w:cs="Times New Roman" w:eastAsia="Times New Roman" w:hAnsi="Times New Roman"/>
          <w:sz w:val="20"/>
          <w:szCs w:val="20"/>
          <w:color w:val="auto"/>
        </w:rPr>
      </w:pPr>
    </w:p>
    <w:p>
      <w:pPr>
        <w:jc w:val="both"/>
        <w:ind w:firstLine="1952"/>
        <w:spacing w:after="0" w:line="220" w:lineRule="auto"/>
        <w:tabs>
          <w:tab w:leader="none" w:pos="259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neither assumed by the Borrower or any Subsidiary nor on account of which the Borrower or any Subsidiary customarily pays interest, upon real estate on which the Borrower or any Subsidiary has a right-of-way, easement, franchise or other servitude or of which the Borrower or any Subsidiary is the lessee, for the purpose of locating transmission and distribution lines and related support structures, pipe lines, substations, measuring stations, tanks, pumping or delivery equipment or similar equipment, or service buildings incidental to any of the foregoing;</w:t>
      </w:r>
    </w:p>
    <w:p>
      <w:pPr>
        <w:spacing w:after="0" w:line="160" w:lineRule="exact"/>
        <w:rPr>
          <w:rFonts w:ascii="Times New Roman" w:cs="Times New Roman" w:eastAsia="Times New Roman" w:hAnsi="Times New Roman"/>
          <w:sz w:val="20"/>
          <w:szCs w:val="20"/>
          <w:color w:val="auto"/>
        </w:rPr>
      </w:pPr>
    </w:p>
    <w:p>
      <w:pPr>
        <w:jc w:val="both"/>
        <w:ind w:firstLine="1952"/>
        <w:spacing w:after="0" w:line="218" w:lineRule="auto"/>
        <w:tabs>
          <w:tab w:leader="none" w:pos="258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with respect to properties involved in the production of oil, gas and other minerals, unitization and pooling agreements and orders, operating agreements, royalties, reversionary interests, preferential purchase rights, farmout agreements, gas balancing agreements and other agreements, in each case that are customary in the oil, gas and mineral production business in the general area of such property and that are entered into in the ordinary course of business;</w:t>
      </w:r>
    </w:p>
    <w:p>
      <w:pPr>
        <w:spacing w:after="0" w:line="163" w:lineRule="exact"/>
        <w:rPr>
          <w:rFonts w:ascii="Times New Roman" w:cs="Times New Roman" w:eastAsia="Times New Roman" w:hAnsi="Times New Roman"/>
          <w:sz w:val="20"/>
          <w:szCs w:val="20"/>
          <w:color w:val="auto"/>
        </w:rPr>
      </w:pPr>
    </w:p>
    <w:p>
      <w:pPr>
        <w:jc w:val="both"/>
        <w:ind w:firstLine="1952"/>
        <w:spacing w:after="0" w:line="226" w:lineRule="auto"/>
        <w:tabs>
          <w:tab w:leader="none" w:pos="2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Governmental Authorities encumbering assets acquired in connection with a government grant program, and the right reserved to, or vested in, any Governmental Authority by the terms of any right, power, franchise, grant, license, or permit, or by any provision of law, to purchase, condemn, recapture or designate a purchaser of any property;</w:t>
      </w:r>
    </w:p>
    <w:p>
      <w:pPr>
        <w:spacing w:after="0" w:line="160"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Margin Stock to the extent that a prohibition on such Liens would violate Regulation U;</w:t>
      </w:r>
    </w:p>
    <w:p>
      <w:pPr>
        <w:spacing w:after="0" w:line="188" w:lineRule="exact"/>
        <w:rPr>
          <w:rFonts w:ascii="Times New Roman" w:cs="Times New Roman" w:eastAsia="Times New Roman" w:hAnsi="Times New Roman"/>
          <w:sz w:val="20"/>
          <w:szCs w:val="20"/>
          <w:color w:val="auto"/>
        </w:rPr>
      </w:pPr>
    </w:p>
    <w:p>
      <w:pPr>
        <w:jc w:val="both"/>
        <w:ind w:firstLine="1952"/>
        <w:spacing w:after="0" w:line="226" w:lineRule="auto"/>
        <w:tabs>
          <w:tab w:leader="none" w:pos="2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cash collateral for Letters of Credit issued under (i) the Borrower’s primary revolving credit facility upon the occurrence of an event of default thereunder or to cover an issuing lender’s credit exposure under such facility with respect to a defaulting lender thereunder and (ii) this Agreement or for a Defaulting Lender’s LC Exposure;</w:t>
      </w:r>
    </w:p>
    <w:p>
      <w:pPr>
        <w:spacing w:after="0" w:line="160" w:lineRule="exact"/>
        <w:rPr>
          <w:rFonts w:ascii="Times New Roman" w:cs="Times New Roman" w:eastAsia="Times New Roman" w:hAnsi="Times New Roman"/>
          <w:sz w:val="20"/>
          <w:szCs w:val="20"/>
          <w:color w:val="auto"/>
        </w:rPr>
      </w:pPr>
    </w:p>
    <w:p>
      <w:pPr>
        <w:ind w:firstLine="1952"/>
        <w:spacing w:after="0" w:line="233" w:lineRule="auto"/>
        <w:tabs>
          <w:tab w:leader="none" w:pos="2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Liens for the fees and expenses of trustees and escrow agents pursuant to any indenture, escrow agreement or similar agreement establishing a trust or escrow arrangement;</w:t>
      </w:r>
    </w:p>
    <w:p>
      <w:pPr>
        <w:spacing w:after="0" w:line="160" w:lineRule="exact"/>
        <w:rPr>
          <w:rFonts w:ascii="Times New Roman" w:cs="Times New Roman" w:eastAsia="Times New Roman" w:hAnsi="Times New Roman"/>
          <w:sz w:val="20"/>
          <w:szCs w:val="20"/>
          <w:color w:val="auto"/>
        </w:rPr>
      </w:pPr>
    </w:p>
    <w:p>
      <w:pPr>
        <w:jc w:val="both"/>
        <w:ind w:firstLine="1952"/>
        <w:spacing w:after="0" w:line="222" w:lineRule="auto"/>
        <w:tabs>
          <w:tab w:leader="none" w:pos="258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for and obligations (other than repayment of borrowed money) relating to the joint or common ownership, operation, and use of property, including Liens under joint venture or similar agreements securing obligations incurred in the conduct of operations or consisting of a purchase option, call or right of first refusal with respect to the Equity Interests in such jointly owned Person; and</w:t>
      </w:r>
    </w:p>
    <w:p>
      <w:pPr>
        <w:spacing w:after="0" w:line="161" w:lineRule="exact"/>
        <w:rPr>
          <w:rFonts w:ascii="Times New Roman" w:cs="Times New Roman" w:eastAsia="Times New Roman" w:hAnsi="Times New Roman"/>
          <w:sz w:val="20"/>
          <w:szCs w:val="20"/>
          <w:color w:val="auto"/>
        </w:rPr>
      </w:pPr>
    </w:p>
    <w:p>
      <w:pPr>
        <w:jc w:val="both"/>
        <w:ind w:firstLine="1952"/>
        <w:spacing w:after="0" w:line="226" w:lineRule="auto"/>
        <w:tabs>
          <w:tab w:leader="none" w:pos="258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on cash or invested funds constituting proceeds of any sale or disposition of property deposited into escrow accounts to secure indemnification, adjustment of purchase price or similar obligations incurred in connection with such sale or disposition, in an amount not to exceed the amount of gross proceeds received from such sale or disposition.</w:t>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Hedge Agreement</w:t>
      </w:r>
      <w:r>
        <w:rPr>
          <w:rFonts w:ascii="Times New Roman" w:cs="Times New Roman" w:eastAsia="Times New Roman" w:hAnsi="Times New Roman"/>
          <w:sz w:val="20"/>
          <w:szCs w:val="20"/>
          <w:color w:val="auto"/>
        </w:rPr>
        <w:t>” means any Hedge Agreement engaged in by a Person as part of its normal business operations with the 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20</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0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Holders</w:t>
      </w:r>
      <w:r>
        <w:rPr>
          <w:rFonts w:ascii="Times New Roman" w:cs="Times New Roman" w:eastAsia="Times New Roman" w:hAnsi="Times New Roman"/>
          <w:sz w:val="20"/>
          <w:szCs w:val="20"/>
          <w:color w:val="auto"/>
        </w:rPr>
        <w:t>” means the Sponsor and so long as the Borrower retains its Investment Grade Rating, any person or entity that (a)(x) is a past or present direct or indirect owner or operator of one or more utility companies or federal or state regulated infrastructure businesses or (y) has (or has contracted with a third-party operator that has) substantial experience operating regulated and unregulated electric utility companies or federal or state regulated infrastructure businesses, (b) has, or is a direct or indirect Subsidiary of a Person, or comprises a fund or account or other investment vehicle managed, advised or controlled by a Person, that has, or has its obligations in respect of its direct or indirect ownership interests in the Borrower guaranteed by a Person that has, in each case, (x) an Investment Grade Rating or (y) a tangible net worth or assets under management (in the aggregate) of at least the lesser of (i) $10 billion or</w:t>
      </w:r>
    </w:p>
    <w:p>
      <w:pPr>
        <w:spacing w:after="0" w:line="6" w:lineRule="exact"/>
        <w:rPr>
          <w:sz w:val="20"/>
          <w:szCs w:val="20"/>
          <w:color w:val="auto"/>
        </w:rPr>
      </w:pPr>
    </w:p>
    <w:p>
      <w:pPr>
        <w:jc w:val="both"/>
        <w:ind w:firstLine="8"/>
        <w:spacing w:after="0" w:line="253" w:lineRule="auto"/>
        <w:tabs>
          <w:tab w:leader="none" w:pos="29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times the value of the Equity Interests in the Borrower owned or to be owned by such Person and (c) prior to such Person becoming an owner of outstanding interests in the Borrower, has complied with all applicable “know your customer” and anti-money laundering requirements of the Lenders.</w:t>
      </w:r>
    </w:p>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pension benefit plan (other than a Multiemployer Plan) subject to the provisions of Title IV of ERISA or Section 412 of the Code or Section 302 of ERISA, and in respect of which the Borrower, any Subsidiary or any ERISA Affiliate is (or, if such plan were terminated, would under Section 4069 of ERISA be deemed to be) an “employer” as defined in Section 3(5) of ERISA.</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xml:space="preserve">” means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207"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xml:space="preserve">” means the rate of interest last quoted by The Wall Street Journal as the “Prime Rate” in the U.S. or, if The Wall Street Journal ceases to quote such rate, the highest </w:t>
      </w:r>
      <w:r>
        <w:rPr>
          <w:rFonts w:ascii="Times New Roman" w:cs="Times New Roman" w:eastAsia="Times New Roman" w:hAnsi="Times New Roman"/>
          <w:sz w:val="19"/>
          <w:szCs w:val="19"/>
          <w:u w:val="single" w:color="auto"/>
          <w:color w:val="auto"/>
        </w:rPr>
        <w:t>per annum</w:t>
      </w:r>
      <w:r>
        <w:rPr>
          <w:rFonts w:ascii="Times New Roman" w:cs="Times New Roman" w:eastAsia="Times New Roman" w:hAnsi="Times New Roman"/>
          <w:sz w:val="19"/>
          <w:szCs w:val="19"/>
          <w:color w:val="auto"/>
        </w:rPr>
        <w:t xml:space="preserve">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7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73"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Agencies</w:t>
      </w:r>
      <w:r>
        <w:rPr>
          <w:rFonts w:ascii="Times New Roman" w:cs="Times New Roman" w:eastAsia="Times New Roman" w:hAnsi="Times New Roman"/>
          <w:sz w:val="20"/>
          <w:szCs w:val="20"/>
          <w:color w:val="auto"/>
        </w:rPr>
        <w:t>” means Fitch, Moody’s and S&amp;P (or, if any of the foregoing ceases to provide Senior Debt Ratings as contemplated hereby, such other nationally recognized rating agency as shall be agreed by the Borrower and the Administrative Agent).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 the Administrative Agent, (b) any Lender and (c) any Issuing Bank, as applicable.</w:t>
      </w:r>
    </w:p>
    <w:p>
      <w:pPr>
        <w:spacing w:after="0" w:line="229"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(a) if such Benchmark is the Term SOFR Rate, 5:00 a.m. (Chicago time) on the day that is two Business Days preceding the date of such setting, (b) if the Benchmark is Adjusted Daily Simple SOFR, then four (4) Business Days prior to such setting or (c) if such Benchmark is neither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Rate nor Adjusted Daily Simple SOFR, the time determined by the Administrative Agent in its reasonable discretion.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Board as from time to time in effect and all official rulings and interpretations thereunder or thereof.</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means Regulation T of the Board as from time to time in effect and all official rulings and interpretations thereunder or thereof.</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Board as from time to time in effect and all official rulings and interpretations thereunder or thereof.</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means Regulation X of the Board as from time to time in effect and all official rulings and interpretations thereunder or thereof.</w:t>
      </w:r>
    </w:p>
    <w:p>
      <w:pPr>
        <w:spacing w:after="0" w:line="160"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and advisors of such Person and such Person’s Affiliates.</w:t>
      </w:r>
    </w:p>
    <w:p>
      <w:pPr>
        <w:spacing w:after="0" w:line="1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Board and/or the NYFRB, the CME Term SOFR Administrator, as applicable, or a committee officially endorsed or convened by the Board and/or the NYFRB, or, in each case, any successor thereto.</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Deposit Amount</w:t>
      </w:r>
      <w:r>
        <w:rPr>
          <w:rFonts w:ascii="Times New Roman" w:cs="Times New Roman" w:eastAsia="Times New Roman" w:hAnsi="Times New Roman"/>
          <w:sz w:val="20"/>
          <w:szCs w:val="20"/>
          <w:color w:val="auto"/>
        </w:rPr>
        <w:t xml:space="preserve">” means in the event that as a result of the deposit of cash collateral with the Administrative Agent pursuant to </w:t>
      </w:r>
      <w:r>
        <w:rPr>
          <w:rFonts w:ascii="Times New Roman" w:cs="Times New Roman" w:eastAsia="Times New Roman" w:hAnsi="Times New Roman"/>
          <w:sz w:val="20"/>
          <w:szCs w:val="20"/>
          <w:u w:val="single" w:color="auto"/>
          <w:color w:val="auto"/>
        </w:rPr>
        <w:t>Section 2.9(j)</w:t>
      </w:r>
      <w:r>
        <w:rPr>
          <w:rFonts w:ascii="Times New Roman" w:cs="Times New Roman" w:eastAsia="Times New Roman" w:hAnsi="Times New Roman"/>
          <w:sz w:val="20"/>
          <w:szCs w:val="20"/>
          <w:color w:val="auto"/>
        </w:rPr>
        <w:t xml:space="preserve"> the Borrower (a) is not required to grant a security interest in such cash collateral to any other Person, an amount equal to the LC Exposure on the date on which cash collateral is required to be deposited, or (b) is required to grant a security interest in such cash collateral to any other Person, an amount equal to the LC Exposure on the date on which cash collateral is required to be deposited multiplied by a fraction, the numerator of which is the sum of the LC Exposure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principal amount of all other obligations to be secured by such cash collateral and the denominator of which is the amount of such LC Exposure.</w:t>
      </w:r>
    </w:p>
    <w:p>
      <w:pPr>
        <w:spacing w:after="0" w:line="17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Lenders having unused Commitments, LC Exposure and outstanding Loans representing more than 50% of the sum of the unused Commitments, LC Exposure and outstanding Loans of all Lenders.</w:t>
      </w:r>
    </w:p>
    <w:p>
      <w:pPr>
        <w:spacing w:after="0" w:line="160"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Person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Services, a Standard &amp; Poor’s Financial Services LLC business, or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or any Governmental Authority succeeding to the functions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 means November 23, 2021.</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Debt Rating</w:t>
      </w:r>
      <w:r>
        <w:rPr>
          <w:rFonts w:ascii="Times New Roman" w:cs="Times New Roman" w:eastAsia="Times New Roman" w:hAnsi="Times New Roman"/>
          <w:sz w:val="20"/>
          <w:szCs w:val="20"/>
          <w:color w:val="auto"/>
        </w:rPr>
        <w:t>” means, at any date, the credit rating identified by a Rating Agency as the credit rating that (i) it has assigned to long term unsecured senior debt of the Borrower or (ii) would assign to long term unsecured senior debt of the Borrower were the Borrower to issue or have outstanding any long term unsecured senior debt on such date.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or any successor source for the secured overnight financing rate identified as such by the SOFR Administrator from time to time.</w:t>
      </w: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Sole Lead Arranger and Sole Bookrunner</w:t>
      </w:r>
      <w:r>
        <w:rPr>
          <w:rFonts w:ascii="Times New Roman" w:cs="Times New Roman" w:eastAsia="Times New Roman" w:hAnsi="Times New Roman"/>
          <w:sz w:val="20"/>
          <w:szCs w:val="20"/>
          <w:color w:val="auto"/>
        </w:rPr>
        <w:t>” means J.P. Morgan Chase, in its capacity as Sole Lead Arranger and Sole Bookrunner hereunder.</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Funds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10.4(b)(vii)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w:t>
      </w:r>
      <w:r>
        <w:rPr>
          <w:rFonts w:ascii="Times New Roman" w:cs="Times New Roman" w:eastAsia="Times New Roman" w:hAnsi="Times New Roman"/>
          <w:sz w:val="20"/>
          <w:szCs w:val="20"/>
          <w:color w:val="auto"/>
        </w:rPr>
        <w:t>” means, individually or collectively, Global Infrastructure Management, LLC and their respective Affiliates and any investment funds or vehicles that are advised or managed by Global Infrastructure Management, LLC or any of the foregoing (other than any portfolio operating companies of the foregoing) (“</w:t>
      </w:r>
      <w:r>
        <w:rPr>
          <w:rFonts w:ascii="Times New Roman" w:cs="Times New Roman" w:eastAsia="Times New Roman" w:hAnsi="Times New Roman"/>
          <w:sz w:val="20"/>
          <w:szCs w:val="20"/>
          <w:u w:val="single" w:color="auto"/>
          <w:color w:val="auto"/>
        </w:rPr>
        <w:t>GIP</w:t>
      </w:r>
      <w:r>
        <w:rPr>
          <w:rFonts w:ascii="Times New Roman" w:cs="Times New Roman" w:eastAsia="Times New Roman" w:hAnsi="Times New Roman"/>
          <w:sz w:val="20"/>
          <w:szCs w:val="20"/>
          <w:color w:val="auto"/>
        </w:rPr>
        <w:t>”) and CPP Investment Board Private Holdings (6) Inc. and its respective Affiliates and any investment funds or vehicles that are advised or managed by CPP Investment Board Private Holdings (6) Inc. or any of the foregoing (other than any portfolio operating companies of the foregoing) (“</w:t>
      </w:r>
      <w:r>
        <w:rPr>
          <w:rFonts w:ascii="Times New Roman" w:cs="Times New Roman" w:eastAsia="Times New Roman" w:hAnsi="Times New Roman"/>
          <w:sz w:val="20"/>
          <w:szCs w:val="20"/>
          <w:u w:val="single" w:color="auto"/>
          <w:color w:val="auto"/>
        </w:rPr>
        <w:t>CPPIB</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as to any Person, any corporation, association, partnership, limited liability company, joint venture or other business entity of which such Person or any Subsidiary of such Person, directly or indirectly, either (i) in respect of a corporation, owns or controls more than 50% of the outstanding Equity Interests having ordinary voting power to elect a majority of the board of directors or similar managing body, irrespective of whether a class or classes shall or might have voting power by reason of the happening of any contingency, or (ii) in respect of an association, partnership, joint venture or other business entity, is entitled to share in more than 50% of the profits and losses, however determined. Unless the context otherwise requires, any reference to a Subsidiary shall be deemed to refer to a Subsidiary of the Borrower.</w:t>
      </w:r>
    </w:p>
    <w:p>
      <w:pPr>
        <w:spacing w:after="0" w:line="19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SWLP Mortgage</w:t>
      </w:r>
      <w:r>
        <w:rPr>
          <w:rFonts w:ascii="Times New Roman" w:cs="Times New Roman" w:eastAsia="Times New Roman" w:hAnsi="Times New Roman"/>
          <w:sz w:val="20"/>
          <w:szCs w:val="20"/>
          <w:color w:val="auto"/>
        </w:rPr>
        <w:t>” means the Mortgage and Deed of Trust, dated as of March 1, 1943, between Superior Water, Light and Power Company and U.S. Bank National Association (successor to First Bank (N.A.) as successor to Chemical Bank and Trust Company as Corporate Trustee and Howard B. Smith as Co-Trustee) as Trustee.</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means any present or future tax, levy, assessment, impost, duty, charge, fee, deduction or withholding of any nature, and whatever called, by a Governmental Authority, on whomsoever and wherever imposed, levied, collected, withheld or assessed.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0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xml:space="preserve">”, when used in reference to any Loan or Borrowing, refers to whether such Loan, or the Loans comprising such Borrowing, are bearing interest at a rate determined by reference to the Adjusted Term SOFR Rate. For the avoidance of doubt, a Loan that bears interest at a rate determined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Alternate Base Rate shall, for all purposes of this Agreement, be deemed to be an ABR Loan and not a Term Benchmark Loan.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9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Capitalization</w:t>
      </w:r>
      <w:r>
        <w:rPr>
          <w:rFonts w:ascii="Times New Roman" w:cs="Times New Roman" w:eastAsia="Times New Roman" w:hAnsi="Times New Roman"/>
          <w:sz w:val="20"/>
          <w:szCs w:val="20"/>
          <w:color w:val="auto"/>
        </w:rPr>
        <w:t xml:space="preserve">” means, at any time, the difference between (a) the sum of each of the following at such time with respect to the Borrower and the Subsidiaries, determined on a consolidated basis in accordance with GAAP: (i) preferred Equity Interests,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common Equity Interests and any premium on Equity Interests thereon (as such term is used in the Borrower Financial Statements), excluding accumulated other comprehensive income or loss,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retained earnings,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(iv) Total Indebtedness, and (b) the sum of </w:t>
      </w:r>
      <w:r>
        <w:rPr>
          <w:rFonts w:ascii="Arial" w:cs="Arial" w:eastAsia="Arial" w:hAnsi="Arial"/>
          <w:sz w:val="21"/>
          <w:szCs w:val="21"/>
          <w:color w:val="auto"/>
        </w:rPr>
        <w:t>(i)</w:t>
      </w:r>
      <w:r>
        <w:rPr>
          <w:rFonts w:ascii="Times New Roman" w:cs="Times New Roman" w:eastAsia="Times New Roman" w:hAnsi="Times New Roman"/>
          <w:sz w:val="20"/>
          <w:szCs w:val="20"/>
          <w:color w:val="auto"/>
        </w:rPr>
        <w:t xml:space="preserve"> stock of the Borrower acquired by the Borrower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stock of any Subsidiary acquired by such Subsidiary, in each case at such time, as applicable, determined on a consolidated basis in accordance with GAAP.</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Indebtedness</w:t>
      </w:r>
      <w:r>
        <w:rPr>
          <w:rFonts w:ascii="Times New Roman" w:cs="Times New Roman" w:eastAsia="Times New Roman" w:hAnsi="Times New Roman"/>
          <w:sz w:val="20"/>
          <w:szCs w:val="20"/>
          <w:color w:val="auto"/>
        </w:rPr>
        <w:t xml:space="preserve">” means at any time, all Indebtedness (net of unamortized premium and discount (as such term is used in the Borrower Financial Statements)) at such time of the Borrower and the Subsidiaries,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Indebtedness under clause (d) of such definition, only acceptances or letters of credit that have been drawn and not reimbursed shall constitute Indebtedness for purposes of this definition.</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(a) the execution, delivery and performance by the Borrower of each Loan Document to which it is a party, (b) the borrowing of the Loans and the issuance of the Letters of Credit and (c) the use of the proceeds of the Loans and the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08"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(a) the Adjusted Term SOFR Rate or (b) the Alternate Base Rate.</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Institutions</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3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“United States person” within the meaning of Section 7701(a)(30) of the Code.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3.7(f)(ii)(B)(3)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Security</w:t>
      </w:r>
      <w:r>
        <w:rPr>
          <w:rFonts w:ascii="Times New Roman" w:cs="Times New Roman" w:eastAsia="Times New Roman" w:hAnsi="Times New Roman"/>
          <w:sz w:val="20"/>
          <w:szCs w:val="20"/>
          <w:color w:val="auto"/>
        </w:rPr>
        <w:t>” means an Equity Interest which ordinarily has voting power for the election of the board of directors (or other governing body), whether at all times or only so long as no senior class of Equity Interests has such voting power by reason of any contingency.</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WPS</w:t>
      </w:r>
      <w:r>
        <w:rPr>
          <w:rFonts w:ascii="Times New Roman" w:cs="Times New Roman" w:eastAsia="Times New Roman" w:hAnsi="Times New Roman"/>
          <w:sz w:val="20"/>
          <w:szCs w:val="20"/>
          <w:color w:val="auto"/>
        </w:rPr>
        <w:t>” means the Public Service Commission of Wisconsin or any Governmental Authority succeeding to the functions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thereof.</w:t>
      </w:r>
    </w:p>
    <w:p>
      <w:pPr>
        <w:spacing w:after="0" w:line="20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 of that liability or any of the powers under that Bail-In Legislation that are related to or ancillary to any of those powers.</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(a) Loans may be classified and referred to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 Benchmark Loan</w:t>
      </w:r>
      <w:r>
        <w:rPr>
          <w:rFonts w:ascii="Times New Roman" w:cs="Times New Roman" w:eastAsia="Times New Roman" w:hAnsi="Times New Roman"/>
          <w:sz w:val="20"/>
          <w:szCs w:val="20"/>
          <w:color w:val="auto"/>
        </w:rPr>
        <w:t>”) and (b) Borrowings may also be classified and referred to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w:t>
      </w:r>
    </w:p>
    <w:p>
      <w:pPr>
        <w:jc w:val="both"/>
        <w:spacing w:after="0" w:line="215" w:lineRule="auto"/>
        <w:rPr>
          <w:sz w:val="20"/>
          <w:szCs w:val="20"/>
          <w:color w:val="auto"/>
        </w:rPr>
      </w:pPr>
      <w:r>
        <w:rPr>
          <w:rFonts w:ascii="Times New Roman" w:cs="Times New Roman" w:eastAsia="Times New Roman" w:hAnsi="Times New Roman"/>
          <w:sz w:val="19"/>
          <w:szCs w:val="19"/>
          <w:color w:val="auto"/>
        </w:rPr>
        <w:t>defined. Whenever the context may require, any pronoun shall include the corresponding masculine, feminine and neuter forms. The words “include”, “includes” and “including” shall be deemed to be followed by the phrase “without limitation”. The word “will” shall be construed</w:t>
      </w:r>
    </w:p>
    <w:p>
      <w:pPr>
        <w:spacing w:after="0" w:line="211" w:lineRule="auto"/>
        <w:rPr>
          <w:sz w:val="20"/>
          <w:szCs w:val="20"/>
          <w:color w:val="auto"/>
        </w:rPr>
      </w:pPr>
      <w:r>
        <w:rPr>
          <w:rFonts w:ascii="Times New Roman" w:cs="Times New Roman" w:eastAsia="Times New Roman" w:hAnsi="Times New Roman"/>
          <w:sz w:val="20"/>
          <w:szCs w:val="20"/>
          <w:color w:val="auto"/>
        </w:rPr>
        <w:t>to have the same meaning and effect as the word “shall”. Unless the context requires otherwise, (a) any definition of or reference to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agreement, instrument or other document herein shall be construed as referring to such agreement, instrument or other document as from time to time amended, supplemented or otherwise modified, (b) any definition of or reference to any law shall be construed as referring to such</w:t>
      </w:r>
    </w:p>
    <w:p>
      <w:pPr>
        <w:spacing w:after="0" w:line="222" w:lineRule="auto"/>
        <w:rPr>
          <w:sz w:val="20"/>
          <w:szCs w:val="20"/>
          <w:color w:val="auto"/>
        </w:rPr>
      </w:pPr>
      <w:r>
        <w:rPr>
          <w:rFonts w:ascii="Times New Roman" w:cs="Times New Roman" w:eastAsia="Times New Roman" w:hAnsi="Times New Roman"/>
          <w:sz w:val="19"/>
          <w:szCs w:val="19"/>
          <w:color w:val="auto"/>
        </w:rPr>
        <w:t>law as from time to time amended and any successor thereto and the rules and regulations promulgated from time to time thereunder, (c) any</w:t>
      </w:r>
    </w:p>
    <w:p>
      <w:pPr>
        <w:jc w:val="both"/>
        <w:spacing w:after="0" w:line="204" w:lineRule="auto"/>
        <w:rPr>
          <w:sz w:val="20"/>
          <w:szCs w:val="20"/>
          <w:color w:val="auto"/>
        </w:rPr>
      </w:pPr>
      <w:r>
        <w:rPr>
          <w:rFonts w:ascii="Times New Roman" w:cs="Times New Roman" w:eastAsia="Times New Roman" w:hAnsi="Times New Roman"/>
          <w:sz w:val="20"/>
          <w:szCs w:val="20"/>
          <w:color w:val="auto"/>
        </w:rPr>
        <w:t>reference herein to any Person shall be construed to include such Person’s successors and assigns, (d) the words “herein”, “hereof” and “hereunder”, and words of similar import, shall be construed to refer to this Agreement in its entirety and not to any particular provision</w:t>
      </w:r>
    </w:p>
    <w:p>
      <w:pPr>
        <w:spacing w:after="0" w:line="211" w:lineRule="auto"/>
        <w:rPr>
          <w:sz w:val="20"/>
          <w:szCs w:val="20"/>
          <w:color w:val="auto"/>
        </w:rPr>
      </w:pPr>
      <w:r>
        <w:rPr>
          <w:rFonts w:ascii="Times New Roman" w:cs="Times New Roman" w:eastAsia="Times New Roman" w:hAnsi="Times New Roman"/>
          <w:sz w:val="20"/>
          <w:szCs w:val="20"/>
          <w:color w:val="auto"/>
        </w:rPr>
        <w:t>hereof, (e) all references herein to Articles, Sections, Exhibits and Schedules shall be construed to refer to Articles and Sections of, and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Exhibits and Schedules to, this Agreement, (f) the words “asset” and “property” shall be construed to have the same meaning and effect and to refer to all tangible and intangible assets and properties, including cash, securities, accounts and contract rights, and (g) any reference to a</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fiscal quarter or fiscal year means a fiscal quarter or fiscal year of the Borrower. Unless otherwise specified, each reference herein to a time of day shall mean such time in New York, New York.</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Accounting Terms; GAAP</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2"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herein, as used in the Loan Documents and in any certificate, opinion or other document made or delivered pursuant thereto, accounting terms not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and accounting terms partly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to the extent not defined, shall have the respective meanings given to them under GAAP. If at any time any change in GAAP (including any change to the International Financial Reporting Standards by the International Accounting Standards Board or other method of accounting) would affect the computation of any financial requirement set forth in this Agreement, the Administrative Agent, the Lenders and the Borrower shall negotiate in good faith to amend such requirement to reflect such change in GAAP (subject to the approval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so amended, (i) such requirement shall continue to be computed in accordance with GAAP prior to such change therein and (ii) the Borrower shall provide to the Credit Parties financial statements and other documents required under this Agreement or as reasonably requested hereunder setting forth a reconciliation between calculations of such requirement made before and after giving effect to such change in GAAP.</w:t>
      </w:r>
    </w:p>
    <w:p>
      <w:pPr>
        <w:spacing w:after="0" w:line="169"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Section 1.4(a)</w:t>
      </w:r>
      <w:r>
        <w:rPr>
          <w:rFonts w:ascii="Times New Roman" w:cs="Times New Roman" w:eastAsia="Times New Roman" w:hAnsi="Times New Roman"/>
          <w:sz w:val="20"/>
          <w:szCs w:val="20"/>
          <w:color w:val="auto"/>
        </w:rPr>
        <w:t xml:space="preserve"> or in the definition of “Capital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20"/>
          <w:szCs w:val="20"/>
          <w:u w:val="single" w:color="auto"/>
          <w:color w:val="auto"/>
        </w:rPr>
        <w:t>Interest Rates; Benchmark Notification</w:t>
      </w:r>
      <w:r>
        <w:rPr>
          <w:rFonts w:ascii="Times New Roman" w:cs="Times New Roman" w:eastAsia="Times New Roman" w:hAnsi="Times New Roman"/>
          <w:sz w:val="20"/>
          <w:szCs w:val="20"/>
          <w:color w:val="auto"/>
        </w:rPr>
        <w:t>. The interest rate on a Loan denominated in dollars may be derived from an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19"/>
          <w:szCs w:val="19"/>
          <w:u w:val="single" w:color="auto"/>
          <w:color w:val="auto"/>
        </w:rPr>
        <w:t>Section 3.4(b)</w:t>
      </w:r>
      <w:r>
        <w:rPr>
          <w:rFonts w:ascii="Times New Roman" w:cs="Times New Roman" w:eastAsia="Times New Roman" w:hAnsi="Times New Roman"/>
          <w:sz w:val="19"/>
          <w:szCs w:val="19"/>
          <w:color w:val="auto"/>
        </w:rPr>
        <w:t xml:space="preserve"> provides a mechanism for determining an alternative rate of interest. The Administrative Agent</w:t>
      </w:r>
    </w:p>
    <w:p>
      <w:pPr>
        <w:spacing w:after="0"/>
        <w:rPr>
          <w:sz w:val="20"/>
          <w:szCs w:val="20"/>
          <w:color w:val="auto"/>
        </w:rPr>
      </w:pPr>
      <w:r>
        <w:rPr>
          <w:rFonts w:ascii="Times New Roman" w:cs="Times New Roman" w:eastAsia="Times New Roman" w:hAnsi="Times New Roman"/>
          <w:sz w:val="20"/>
          <w:szCs w:val="20"/>
          <w:color w:val="auto"/>
        </w:rPr>
        <w:t>does not warrant or accept any responsibility for, and shall not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9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w:t>
      </w:r>
    </w:p>
    <w:p>
      <w:pPr>
        <w:spacing w:after="0" w:line="211" w:lineRule="auto"/>
        <w:rPr>
          <w:sz w:val="20"/>
          <w:szCs w:val="20"/>
          <w:color w:val="auto"/>
        </w:rPr>
      </w:pPr>
      <w:r>
        <w:rPr>
          <w:rFonts w:ascii="Times New Roman" w:cs="Times New Roman" w:eastAsia="Times New Roman" w:hAnsi="Times New Roman"/>
          <w:sz w:val="20"/>
          <w:szCs w:val="20"/>
          <w:color w:val="auto"/>
        </w:rPr>
        <w:t>or characteristics of any such alternative, successor or replacement reference rate will be similar to, or produce the same value or economic</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equivalence of, the existing interest rate being replaced or have the same volume or liquidity as did any existing interest rate prior to its discontinuance or unavailability. The Administrative Agent and its affiliates and/or other related entities may engage in transactions that</w:t>
      </w:r>
    </w:p>
    <w:p>
      <w:pPr>
        <w:spacing w:after="0" w:line="211" w:lineRule="auto"/>
        <w:rPr>
          <w:sz w:val="20"/>
          <w:szCs w:val="20"/>
          <w:color w:val="auto"/>
        </w:rPr>
      </w:pPr>
      <w:r>
        <w:rPr>
          <w:rFonts w:ascii="Times New Roman" w:cs="Times New Roman" w:eastAsia="Times New Roman" w:hAnsi="Times New Roman"/>
          <w:sz w:val="20"/>
          <w:szCs w:val="20"/>
          <w:color w:val="auto"/>
        </w:rPr>
        <w:t>affect the calculation of any interest rate used in this Agreement or any alternative, successor or alternative rate (including any Benchmark</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Replacement) and/or any relevant adjustments thereto, in each case, in a manner adverse to the Borrower. The Administrative Agent may select information sources or services in its reasonable discretion to ascertain any interest rate used in this Agreement, any component</w:t>
      </w:r>
    </w:p>
    <w:p>
      <w:pPr>
        <w:spacing w:after="0" w:line="211" w:lineRule="auto"/>
        <w:rPr>
          <w:sz w:val="20"/>
          <w:szCs w:val="20"/>
          <w:color w:val="auto"/>
        </w:rPr>
      </w:pPr>
      <w:r>
        <w:rPr>
          <w:rFonts w:ascii="Times New Roman" w:cs="Times New Roman" w:eastAsia="Times New Roman" w:hAnsi="Times New Roman"/>
          <w:sz w:val="20"/>
          <w:szCs w:val="20"/>
          <w:color w:val="auto"/>
        </w:rPr>
        <w:t>thereof, or rates referenced in the definition thereof, in each case pursuant to the terms of this Agreement, and shall have no liability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any Lender or any other person or entity for damages of any kind, including direct or indirect, special, punitive, incidental or consequential damages, costs, losses or expenses (whether in tort, contract or otherwise and whether at law or in equity), for any error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calculation of any such rate (or component thereof) provided by any such information source or service.</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1.6. </w:t>
      </w:r>
      <w:r>
        <w:rPr>
          <w:rFonts w:ascii="Times New Roman" w:cs="Times New Roman" w:eastAsia="Times New Roman" w:hAnsi="Times New Roman"/>
          <w:sz w:val="19"/>
          <w:szCs w:val="19"/>
          <w:u w:val="single" w:color="auto"/>
          <w:color w:val="auto"/>
        </w:rPr>
        <w:t>Rounding</w:t>
      </w:r>
      <w:r>
        <w:rPr>
          <w:rFonts w:ascii="Times New Roman" w:cs="Times New Roman" w:eastAsia="Times New Roman" w:hAnsi="Times New Roman"/>
          <w:sz w:val="19"/>
          <w:szCs w:val="19"/>
          <w:color w:val="auto"/>
        </w:rPr>
        <w:t>. Any financial ratios required to be maintained by the Borrower pursuant to this Agreement shall be calculated by dividing the appropriate component by the other component, carrying the result to one place more than the number of places by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which such ratio is expressed herein and rounding the result up or down to the nearest number (with a rounding-up if there is no nearest number).</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1.7.</w:t>
      </w:r>
      <w:r>
        <w:rPr>
          <w:sz w:val="20"/>
          <w:szCs w:val="20"/>
          <w:color w:val="auto"/>
        </w:rPr>
        <w:tab/>
      </w: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The Borrower and the Lenders acknowledge and agree that (a) effective at the time at</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which all conditions precedent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have been satisfied, this Agreement shall amend and restate in its entirety the Existing Credit Agreement and (b) there are no outstanding Loans under the Existing Credit Agreement.</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2.</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THE CREDITS</w:t>
      </w:r>
    </w:p>
    <w:p>
      <w:pPr>
        <w:spacing w:after="0" w:line="18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Subject to the terms and conditions hereof, each Lender severally agrees to make Loans to the</w:t>
      </w:r>
    </w:p>
    <w:p>
      <w:pPr>
        <w:spacing w:after="0" w:line="233" w:lineRule="auto"/>
        <w:rPr>
          <w:sz w:val="20"/>
          <w:szCs w:val="20"/>
          <w:color w:val="auto"/>
        </w:rPr>
      </w:pPr>
      <w:r>
        <w:rPr>
          <w:rFonts w:ascii="Times New Roman" w:cs="Times New Roman" w:eastAsia="Times New Roman" w:hAnsi="Times New Roman"/>
          <w:sz w:val="19"/>
          <w:szCs w:val="19"/>
          <w:color w:val="auto"/>
        </w:rPr>
        <w:t>Borrower in dollars from time to time during the Availability Period in an aggregate principal amount that will not result in such Lender’s Credit Exposure exceeding such Lender’s Commitment. Within the foregoing limits, the Borrower may borrow, prepay and reborrow Loans.</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Commitments of the Lenders are several, and no Lender shall be responsible for any other Lender’s failure to make any Loan as required.</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each Borrowing shall be comprised entirely of ABR Loans or Term Benchmark Loans, as applicable, in each case as the Borrower may request in accordance herewith. Each Lender at its option may make any Term Benchmark Loan (and any ABR Loan, the interest on which is determined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Alternate Base Rate) by causing any domestic or foreign branch or Affiliate of such Lender to make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Loan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95" w:lineRule="exact"/>
        <w:rPr>
          <w:sz w:val="20"/>
          <w:szCs w:val="20"/>
          <w:color w:val="auto"/>
        </w:rPr>
      </w:pPr>
    </w:p>
    <w:p>
      <w:pPr>
        <w:jc w:val="both"/>
        <w:ind w:firstLine="1304"/>
        <w:spacing w:after="0" w:line="227" w:lineRule="auto"/>
        <w:tabs>
          <w:tab w:leader="none" w:pos="193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the commencement of each Interest Period for any Term Benchmark Borrowing, such Borrowing shall be in an aggregate amount that is $5,000,000 or a higher integral multiple of $1,000,000. At the time that each ABR Borrowing is made, such Borrowing shall be in an aggregate amount that is $5,000,000 or a higher integral multiple of $1,000,000,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 ABR Borrowing may be in an aggregate amount that is equal to the entire unused balance of the total Commitments or in an aggregate amount that is required to finance the reimbursement of an LC Disbursement as contemplated by </w:t>
      </w:r>
      <w:r>
        <w:rPr>
          <w:rFonts w:ascii="Times New Roman" w:cs="Times New Roman" w:eastAsia="Times New Roman" w:hAnsi="Times New Roman"/>
          <w:sz w:val="19"/>
          <w:szCs w:val="19"/>
          <w:u w:val="single" w:color="auto"/>
          <w:color w:val="auto"/>
        </w:rPr>
        <w:t>Section 2.9(e)</w:t>
      </w:r>
      <w:r>
        <w:rPr>
          <w:rFonts w:ascii="Times New Roman" w:cs="Times New Roman" w:eastAsia="Times New Roman" w:hAnsi="Times New Roman"/>
          <w:sz w:val="19"/>
          <w:szCs w:val="19"/>
          <w:color w:val="auto"/>
        </w:rPr>
        <w:t xml:space="preserve">. Borrowings of more than one Type may be outstanding at the same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not at any time be more than a total of ten Term Benchmark Borrowings outstanding.</w:t>
      </w:r>
    </w:p>
    <w:p>
      <w:pPr>
        <w:spacing w:after="0" w:line="164" w:lineRule="exact"/>
        <w:rPr>
          <w:rFonts w:ascii="Times New Roman" w:cs="Times New Roman" w:eastAsia="Times New Roman" w:hAnsi="Times New Roman"/>
          <w:sz w:val="19"/>
          <w:szCs w:val="19"/>
          <w:color w:val="auto"/>
        </w:rPr>
      </w:pPr>
    </w:p>
    <w:p>
      <w:pPr>
        <w:ind w:firstLine="1304"/>
        <w:spacing w:after="0" w:line="233" w:lineRule="auto"/>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u w:val="single" w:color="auto"/>
          <w:color w:val="auto"/>
        </w:rPr>
        <w:t>Requests for Borrowings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8"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request a Borrowing, the Borrower shall deliver a Credit Request to the Administrative Agent (x) in the case of a Term Benchmark Borrowing, not later than 12:30 p.m. three Business Days before the date of the proposed Borrowing or (y) in the case of an ABR Borrowing, not later than 12:30 p.m. on the date of the proposed Borrowing. Each such Credit Request shall be irrevocable (except as otherwise provided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shall specify the following information in compliance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the requested Borrowing;</w:t>
      </w:r>
    </w:p>
    <w:p>
      <w:pPr>
        <w:spacing w:after="0" w:line="18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17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an ABR Borrowing or a Term Benchmark Borrowing;</w:t>
      </w:r>
    </w:p>
    <w:p>
      <w:pPr>
        <w:spacing w:after="0" w:line="188" w:lineRule="exact"/>
        <w:rPr>
          <w:rFonts w:ascii="Times New Roman" w:cs="Times New Roman" w:eastAsia="Times New Roman" w:hAnsi="Times New Roman"/>
          <w:sz w:val="20"/>
          <w:szCs w:val="20"/>
          <w:color w:val="auto"/>
        </w:rPr>
      </w:pPr>
    </w:p>
    <w:p>
      <w:pPr>
        <w:ind w:left="1300" w:firstLine="652"/>
        <w:spacing w:after="0"/>
        <w:tabs>
          <w:tab w:leader="none" w:pos="2585"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Benchmark Borrowing, the initial Interest Period to be applicable thereto, which shall be a period contemplated by the definition of the term “Interest Period”; and</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8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location and number of the Borrower’s account to which funds are to be disbursed, which shall comply with the requirements of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Credit Request in accordance with this Section, the Administrative Agent shall advise each Lender of the details thereof and of the amount of such Lender’s Loan to be made as part of the requested Borrowing.</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6" w:lineRule="auto"/>
        <w:tabs>
          <w:tab w:leader="none" w:pos="19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each Loan to be made by it hereunder on the proposed date thereof by wire transfer of immediately available funds by 2:00 p.m. to the account of the Administrative Agent most recently designated by it for such purpose by notice to the Lenders. Subject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the Administrative Agent will make such Loans available to the Borrower by promptly crediting or otherwise transferring the amounts so received, in like funds, to an account of the Borrower designated by the Borrower in the applicable Credit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Loans made to finance the reimbursement of an LC Disbursement as provided in </w:t>
      </w:r>
      <w:r>
        <w:rPr>
          <w:rFonts w:ascii="Times New Roman" w:cs="Times New Roman" w:eastAsia="Times New Roman" w:hAnsi="Times New Roman"/>
          <w:sz w:val="20"/>
          <w:szCs w:val="20"/>
          <w:u w:val="single" w:color="auto"/>
          <w:color w:val="auto"/>
        </w:rPr>
        <w:t>Section 2.9(e)</w:t>
      </w:r>
      <w:r>
        <w:rPr>
          <w:rFonts w:ascii="Times New Roman" w:cs="Times New Roman" w:eastAsia="Times New Roman" w:hAnsi="Times New Roman"/>
          <w:sz w:val="20"/>
          <w:szCs w:val="20"/>
          <w:color w:val="auto"/>
        </w:rPr>
        <w:t xml:space="preserve"> shall be remitted by the Administrative Agent to the applicable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95" w:lineRule="exact"/>
        <w:rPr>
          <w:sz w:val="20"/>
          <w:szCs w:val="20"/>
          <w:color w:val="auto"/>
        </w:rPr>
      </w:pPr>
    </w:p>
    <w:p>
      <w:pPr>
        <w:jc w:val="both"/>
        <w:ind w:firstLine="1304"/>
        <w:spacing w:after="0" w:line="210" w:lineRule="auto"/>
        <w:tabs>
          <w:tab w:leader="none" w:pos="193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received notice from a Lender prior to the proposed date of any Borrowing (or purchase of participations pursuant to </w:t>
      </w:r>
      <w:r>
        <w:rPr>
          <w:rFonts w:ascii="Times New Roman" w:cs="Times New Roman" w:eastAsia="Times New Roman" w:hAnsi="Times New Roman"/>
          <w:sz w:val="20"/>
          <w:szCs w:val="20"/>
          <w:u w:val="single" w:color="auto"/>
          <w:color w:val="auto"/>
        </w:rPr>
        <w:t>Section 2.9(e)</w:t>
      </w:r>
      <w:r>
        <w:rPr>
          <w:rFonts w:ascii="Times New Roman" w:cs="Times New Roman" w:eastAsia="Times New Roman" w:hAnsi="Times New Roman"/>
          <w:sz w:val="20"/>
          <w:szCs w:val="20"/>
          <w:color w:val="auto"/>
        </w:rPr>
        <w:t xml:space="preserve">) that such Lender will not make available to the Administrative Agent such Lender’s share of such Borrowing (or the amount of its participation),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2.9(e)</w:t>
      </w:r>
      <w:r>
        <w:rPr>
          <w:rFonts w:ascii="Times New Roman" w:cs="Times New Roman" w:eastAsia="Times New Roman" w:hAnsi="Times New Roman"/>
          <w:sz w:val="20"/>
          <w:szCs w:val="20"/>
          <w:color w:val="auto"/>
        </w:rPr>
        <w:t xml:space="preserve"> and may, in reliance upon such assumption, make available to the Borrower or the applicable Issuing Bank, as applicable, a corresponding amount. In such event, if a Lender has not in fact made its share of the applicable Borrowing available to the Administrative Agent, then the applicable Lender and the Borrower (and, if applicable, the applicable Issuing Bank) severally agree to pay to the Administrative Agent forthwith on demand such corresponding amount with interest thereon, for each day from and including the date such amount is made available to the Borrower or such Issuing Bank, as applicable, to but excluding the date of payment to the Administrative Agent, at (i) in the case of such Lender or an Issuing Bank, the greater of the Federal Funds Effective Rate and a rate determined by the Administrative Agent in accordance with banking industry rules on interbank compensation or (ii) in the case of the Borrower, the interest rate that would be otherwise applicable to such Borrowing (or such participating interest). Any payment by the Borrower or an Issuing Bank, however, shall be without prejudice to its rights against the applicable Lender. If such Lender pays such amount to the Administrative Agent, then such amount shall constitute such Lender’s Loan included in such Borrowing (or participation in the applicable LC Disbursement).</w:t>
      </w:r>
    </w:p>
    <w:p>
      <w:pPr>
        <w:spacing w:after="0" w:line="16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2.5.</w:t>
      </w:r>
      <w:r>
        <w:rPr>
          <w:sz w:val="20"/>
          <w:szCs w:val="20"/>
          <w:color w:val="auto"/>
        </w:rPr>
        <w:tab/>
      </w:r>
      <w:r>
        <w:rPr>
          <w:rFonts w:ascii="Times New Roman" w:cs="Times New Roman" w:eastAsia="Times New Roman" w:hAnsi="Times New Roman"/>
          <w:sz w:val="19"/>
          <w:szCs w:val="19"/>
          <w:u w:val="single" w:color="auto"/>
          <w:color w:val="auto"/>
        </w:rPr>
        <w:t>Termination, Reduction and Increase of Commitments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the Commitments shall terminate on the Maturity Date.</w:t>
      </w:r>
    </w:p>
    <w:p>
      <w:pPr>
        <w:spacing w:after="0" w:line="184"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terminate, or from time to time reduce,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Arial" w:cs="Arial" w:eastAsia="Arial" w:hAnsi="Arial"/>
          <w:sz w:val="21"/>
          <w:szCs w:val="21"/>
          <w:color w:val="auto"/>
        </w:rPr>
        <w:t>(i)</w:t>
      </w:r>
      <w:r>
        <w:rPr>
          <w:rFonts w:ascii="Times New Roman" w:cs="Times New Roman" w:eastAsia="Times New Roman" w:hAnsi="Times New Roman"/>
          <w:sz w:val="20"/>
          <w:szCs w:val="20"/>
          <w:color w:val="auto"/>
        </w:rPr>
        <w:t xml:space="preserve"> the Borrower shall not terminate or reduce the Commitments if, after giving effect to any concurrent prepayment or repayment of the Loans in accordance with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the sum of the Credit Exposures would exceed the total Commitments and </w:t>
      </w:r>
      <w:r>
        <w:rPr>
          <w:rFonts w:ascii="Arial" w:cs="Arial" w:eastAsia="Arial" w:hAnsi="Arial"/>
          <w:sz w:val="21"/>
          <w:szCs w:val="21"/>
          <w:color w:val="auto"/>
        </w:rPr>
        <w:t>(ii)</w:t>
      </w:r>
      <w:r>
        <w:rPr>
          <w:rFonts w:ascii="Times New Roman" w:cs="Times New Roman" w:eastAsia="Times New Roman" w:hAnsi="Times New Roman"/>
          <w:sz w:val="20"/>
          <w:szCs w:val="20"/>
          <w:color w:val="auto"/>
        </w:rPr>
        <w:t xml:space="preserve"> each such reduction of the Commitments shall be in the amount of $5,000,000 or a higher integral multiple of $1,000,000.</w:t>
      </w:r>
    </w:p>
    <w:p>
      <w:pPr>
        <w:spacing w:after="0" w:line="149"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Commitments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Each reduction, and any termination, of the Commitments shall be permanent and each reduction of the Commitments shall be made ratably among the Lenders in accordance with their respective Commitments.</w:t>
      </w:r>
    </w:p>
    <w:p>
      <w:pPr>
        <w:spacing w:after="0" w:line="160"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at any time and from time to time prior to the Maturity Date, at its sole cost, expense and effort, request any one or more of the Lenders to increase its Commitment (the decision to increase the Commitment of a Lender to be within the sole and absolute discretion of such Lender), or any other Person reasonably satisfactory to the Administrative Agent and the Issuing Banks to provide a new Commitment, by submitting to the Administrative Agent and the Issuing Banks an Increase Supplement duly executed by the Borrower and each such Lender or other Person, as the case may be, together with such other documentation and deliveries as the Administrative Agent shall reasonably require (which may include copies of resolutions authorizing such increase and/or opinion of counsel). If such Increase Supplement is in all respects reasonably satisfactory to the Administrative Agent and the Issuing Banks, the Administrative Agent shall execute such Increase Supplement and the Administrative Agent shall deliver a copy thereof to the Borrower and each such Lender or other Person, as the case may be. Upon execution and delivery of such Increase Supplement by the Administrative Agent and the Issuing Banks, (i) in the case of each such Lender (an “</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its Commitment shall be increased to the amount set forth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9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Increase Supplement, (ii) in the case of each such other Person (a “</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such New Lender shall become a party hereto and have the rights and obligations of a Lender under the Loan Documents and its Commitment shall be as set forth in such Increase Supplement;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7" w:lineRule="exact"/>
        <w:rPr>
          <w:sz w:val="20"/>
          <w:szCs w:val="20"/>
          <w:color w:val="auto"/>
        </w:rPr>
      </w:pPr>
    </w:p>
    <w:p>
      <w:pPr>
        <w:jc w:val="both"/>
        <w:ind w:left="1300" w:firstLine="652"/>
        <w:spacing w:after="0" w:line="222" w:lineRule="auto"/>
        <w:tabs>
          <w:tab w:leader="none" w:pos="258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thereto, the sum of all increases (other than any increase in any Lender’s Commitment in order to replace another Lender pursuant to </w:t>
      </w:r>
      <w:r>
        <w:rPr>
          <w:rFonts w:ascii="Times New Roman" w:cs="Times New Roman" w:eastAsia="Times New Roman" w:hAnsi="Times New Roman"/>
          <w:sz w:val="20"/>
          <w:szCs w:val="20"/>
          <w:u w:val="single" w:color="auto"/>
          <w:color w:val="auto"/>
        </w:rPr>
        <w:t>Section 3.8(b)</w:t>
      </w:r>
      <w:r>
        <w:rPr>
          <w:rFonts w:ascii="Times New Roman" w:cs="Times New Roman" w:eastAsia="Times New Roman" w:hAnsi="Times New Roman"/>
          <w:sz w:val="20"/>
          <w:szCs w:val="20"/>
          <w:color w:val="auto"/>
        </w:rPr>
        <w:t xml:space="preserve">) in the aggregate Commitments made pursuant to this </w:t>
      </w:r>
      <w:r>
        <w:rPr>
          <w:rFonts w:ascii="Times New Roman" w:cs="Times New Roman" w:eastAsia="Times New Roman" w:hAnsi="Times New Roman"/>
          <w:sz w:val="20"/>
          <w:szCs w:val="20"/>
          <w:u w:val="single" w:color="auto"/>
          <w:color w:val="auto"/>
        </w:rPr>
        <w:t>Section 2.5(d)</w:t>
      </w:r>
      <w:r>
        <w:rPr>
          <w:rFonts w:ascii="Times New Roman" w:cs="Times New Roman" w:eastAsia="Times New Roman" w:hAnsi="Times New Roman"/>
          <w:sz w:val="20"/>
          <w:szCs w:val="20"/>
          <w:color w:val="auto"/>
        </w:rPr>
        <w:t xml:space="preserve"> shall not exceed the sum of (x) $150,000,000 plus (y) the amount of the Commitment of each Lender that becomes a Defaulting Lender;</w:t>
      </w:r>
    </w:p>
    <w:p>
      <w:pPr>
        <w:spacing w:after="0" w:line="148" w:lineRule="exact"/>
        <w:rPr>
          <w:rFonts w:ascii="Times New Roman" w:cs="Times New Roman" w:eastAsia="Times New Roman" w:hAnsi="Times New Roman"/>
          <w:sz w:val="20"/>
          <w:szCs w:val="20"/>
          <w:color w:val="auto"/>
        </w:rPr>
      </w:pPr>
    </w:p>
    <w:p>
      <w:pPr>
        <w:ind w:left="1300" w:firstLine="652"/>
        <w:spacing w:after="0"/>
        <w:tabs>
          <w:tab w:leader="none" w:pos="259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increase of the aggregate Commitments shall be in an amount not less than $10,000,000 or a higher integral multiple of $5,000,000;</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3" w:lineRule="auto"/>
        <w:tabs>
          <w:tab w:leader="none" w:pos="259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Loans would be outstanding immediately after giving effect to any such increase, then simultaneously with such increase (1) each such Increasing Lender, each New Lender and each other Lender shall be deemed to have entered into an Assignment and Assumption, pursuant to which each such other Lender shall have assigned to each such Increasing Lender and each such New Lender a portion of its Commitment, Loans and LC Exposure necessary to reflect proportionately the Commitments as adjusted in accordance with this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and (2) in connection with such assignment, each such Increasing Lender and each such New Lender shall pay to the Administrative Agent, for the account of each such other Lender, such amount as shall be necessary to reflect the assignment to it of Loans, and in connection with such master assignment each such other Lender may treat the assignment of Term Benchmark Borrowings as a prepayment of such Term Benchmark Borrowings for purposes of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8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such other Person shall have delivered to the Administrative Agent and the Borrower all forms, if any, that are required to be delivered by such other Person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and</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sufficient copies for each Lender of a certificate of a Financial Officer demonstrating pro forma compliance with the terms of this Agreement through the Maturity Date and the Administrative Agent shall have received such certificates and other items as it shall reasonably request in connection with such increase.</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2.6.</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304"/>
        <w:spacing w:after="0"/>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unconditionally promises to pay to the Administrative Agent for the account of each Lender the then unpaid principal amount of each Loan on the Maturity Date.</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debt of the Borrower to such Lender resulting from each Loan made by such Lender, including the amounts of principal and interest payable and paid to such Lender from time to time hereunder.</w:t>
      </w:r>
    </w:p>
    <w:p>
      <w:pPr>
        <w:spacing w:after="0" w:line="145" w:lineRule="exact"/>
        <w:rPr>
          <w:rFonts w:ascii="Times New Roman" w:cs="Times New Roman" w:eastAsia="Times New Roman" w:hAnsi="Times New Roman"/>
          <w:sz w:val="20"/>
          <w:szCs w:val="20"/>
          <w:color w:val="auto"/>
        </w:rPr>
      </w:pPr>
    </w:p>
    <w:p>
      <w:pPr>
        <w:jc w:val="both"/>
        <w:ind w:firstLine="1304"/>
        <w:spacing w:after="0" w:line="228" w:lineRule="auto"/>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maintain accounts in which it shall record </w:t>
      </w:r>
      <w:r>
        <w:rPr>
          <w:rFonts w:ascii="Arial" w:cs="Arial" w:eastAsia="Arial" w:hAnsi="Arial"/>
          <w:sz w:val="21"/>
          <w:szCs w:val="21"/>
          <w:color w:val="auto"/>
        </w:rPr>
        <w:t>(i)</w:t>
      </w:r>
      <w:r>
        <w:rPr>
          <w:rFonts w:ascii="Times New Roman" w:cs="Times New Roman" w:eastAsia="Times New Roman" w:hAnsi="Times New Roman"/>
          <w:sz w:val="20"/>
          <w:szCs w:val="20"/>
          <w:color w:val="auto"/>
        </w:rPr>
        <w:t xml:space="preserve"> the amount of each Loan made hereunder, the Type thereof and the Interest Period, if any, applicable thereto, </w:t>
      </w:r>
      <w:r>
        <w:rPr>
          <w:rFonts w:ascii="Arial" w:cs="Arial" w:eastAsia="Arial" w:hAnsi="Arial"/>
          <w:sz w:val="21"/>
          <w:szCs w:val="21"/>
          <w:color w:val="auto"/>
        </w:rPr>
        <w:t>(ii)</w:t>
      </w:r>
      <w:r>
        <w:rPr>
          <w:rFonts w:ascii="Times New Roman" w:cs="Times New Roman" w:eastAsia="Times New Roman" w:hAnsi="Times New Roman"/>
          <w:sz w:val="20"/>
          <w:szCs w:val="20"/>
          <w:color w:val="auto"/>
        </w:rPr>
        <w:t xml:space="preserve"> the amount of any principal or interest due and payable or to become due and payable from the Borrower to each Lender hereunder and </w:t>
      </w:r>
      <w:r>
        <w:rPr>
          <w:rFonts w:ascii="Arial" w:cs="Arial" w:eastAsia="Arial" w:hAnsi="Arial"/>
          <w:sz w:val="21"/>
          <w:szCs w:val="21"/>
          <w:color w:val="auto"/>
        </w:rPr>
        <w:t>(iii)</w:t>
      </w:r>
      <w:r>
        <w:rPr>
          <w:rFonts w:ascii="Times New Roman" w:cs="Times New Roman" w:eastAsia="Times New Roman" w:hAnsi="Times New Roman"/>
          <w:sz w:val="20"/>
          <w:szCs w:val="20"/>
          <w:color w:val="auto"/>
        </w:rPr>
        <w:t xml:space="preserve"> the amount of any sum received by the Administrative Agent hereunder for the account of the Lenders and each Lender’s share thereof.</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Section shall be prima facie evidence of the existence and amounts of the obligations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30</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9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 xml:space="preserve">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61" w:lineRule="exact"/>
        <w:rPr>
          <w:sz w:val="20"/>
          <w:szCs w:val="20"/>
          <w:color w:val="auto"/>
        </w:rPr>
      </w:pPr>
    </w:p>
    <w:p>
      <w:pPr>
        <w:jc w:val="both"/>
        <w:ind w:firstLine="1304"/>
        <w:spacing w:after="0" w:line="220" w:lineRule="auto"/>
        <w:tabs>
          <w:tab w:leader="none" w:pos="19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request that its Loans be evidenced by a Note. In such event, the Borrower shall prepare, execute and deliver to such Lender a Note payable to the order of such Lender. Thereafter, the Loans evidenced by such Note and interest thereon shall at all times (including after any assignment pursuant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be represented by a Note payable to the order of the payee named therein or any Eligible Assignee pursuant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except to the extent that any such Lender or Eligible Assignee subsequently returns any such Note for cancellation and requests that such Loans once again be evidenced as described in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w:t>
      </w:r>
    </w:p>
    <w:p>
      <w:pPr>
        <w:spacing w:after="0" w:line="14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2.7.</w:t>
      </w:r>
      <w:r>
        <w:rPr>
          <w:sz w:val="20"/>
          <w:szCs w:val="20"/>
          <w:color w:val="auto"/>
        </w:rPr>
        <w:tab/>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304"/>
        <w:spacing w:after="0"/>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 The Borrower shall have the right at any time and from time to time to prepay any Borrowing in whole or in part, subject to the requirements of this Section.</w:t>
      </w:r>
    </w:p>
    <w:p>
      <w:pPr>
        <w:spacing w:after="0" w:line="147"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Prepayments Resulting from the Reduction of the Total Commitments</w:t>
      </w:r>
      <w:r>
        <w:rPr>
          <w:rFonts w:ascii="Times New Roman" w:cs="Times New Roman" w:eastAsia="Times New Roman" w:hAnsi="Times New Roman"/>
          <w:sz w:val="20"/>
          <w:szCs w:val="20"/>
          <w:color w:val="auto"/>
        </w:rPr>
        <w:t xml:space="preserve">. In the event of any partial reduction or termination of the Commitments, </w:t>
      </w:r>
      <w:r>
        <w:rPr>
          <w:rFonts w:ascii="Arial" w:cs="Arial" w:eastAsia="Arial" w:hAnsi="Arial"/>
          <w:sz w:val="21"/>
          <w:szCs w:val="21"/>
          <w:color w:val="auto"/>
        </w:rPr>
        <w:t>(i)</w:t>
      </w:r>
      <w:r>
        <w:rPr>
          <w:rFonts w:ascii="Times New Roman" w:cs="Times New Roman" w:eastAsia="Times New Roman" w:hAnsi="Times New Roman"/>
          <w:sz w:val="20"/>
          <w:szCs w:val="20"/>
          <w:color w:val="auto"/>
        </w:rPr>
        <w:t xml:space="preserve"> at or prior to the date of such reduction or termination, the Administrative Agent shall notify the Borrower and the Lenders of the sum of the Credit Exposures after giving effect thereto and </w:t>
      </w:r>
      <w:r>
        <w:rPr>
          <w:rFonts w:ascii="Arial" w:cs="Arial" w:eastAsia="Arial" w:hAnsi="Arial"/>
          <w:sz w:val="21"/>
          <w:szCs w:val="21"/>
          <w:color w:val="auto"/>
        </w:rPr>
        <w:t>(ii)</w:t>
      </w:r>
      <w:r>
        <w:rPr>
          <w:rFonts w:ascii="Times New Roman" w:cs="Times New Roman" w:eastAsia="Times New Roman" w:hAnsi="Times New Roman"/>
          <w:sz w:val="20"/>
          <w:szCs w:val="20"/>
          <w:color w:val="auto"/>
        </w:rPr>
        <w:t xml:space="preserve"> if the sum of the Credit Exposures would exceed the total Commitments after giving effect to such reduction or termination, then the Borrower shall, on the date of such reduction or termination, prepay Borrowings in an amount sufficient to eliminate such excess.</w:t>
      </w:r>
    </w:p>
    <w:p>
      <w:pPr>
        <w:spacing w:after="0" w:line="160"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Prepayment; Application of Prepayments</w:t>
      </w:r>
      <w:r>
        <w:rPr>
          <w:rFonts w:ascii="Times New Roman" w:cs="Times New Roman" w:eastAsia="Times New Roman" w:hAnsi="Times New Roman"/>
          <w:sz w:val="20"/>
          <w:szCs w:val="20"/>
          <w:color w:val="auto"/>
        </w:rPr>
        <w:t xml:space="preserve">. The Borrower shall notify the Administrative Agent by telephone (confirmed by facsimile) of any prepayment hereunder, (i) in the case of a prepayment of a Term Benchmark Borrowing, not later than 11:30 a.m. three Business Days before the date of prepayment or (ii) in the case of prepayment of an ABR Borrowing, not later than 11:30 a.m. on the date of the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Commitments as contemplated by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then such notice of prepayment may be revoked if such notice of termination is revoked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Promptly following receipt of any such notice relating to a Borrowing, the Administrative Agent shall advise the Lenders of the contents thereof. Each partial prepayment of any Borrowing shall be in an integral multiple of $1,000,000 and not less than $5,000,000 (or, if the outstanding principal balance of the applicable Borrowing is less than such minimum amount, then such lesser outstanding principal balance);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as a result of any ABR Borrowing to reimburse an LC Disbursement pursuant to </w:t>
      </w:r>
      <w:r>
        <w:rPr>
          <w:rFonts w:ascii="Times New Roman" w:cs="Times New Roman" w:eastAsia="Times New Roman" w:hAnsi="Times New Roman"/>
          <w:sz w:val="20"/>
          <w:szCs w:val="20"/>
          <w:u w:val="single" w:color="auto"/>
          <w:color w:val="auto"/>
        </w:rPr>
        <w:t>Section 2.9(e)</w:t>
      </w:r>
      <w:r>
        <w:rPr>
          <w:rFonts w:ascii="Times New Roman" w:cs="Times New Roman" w:eastAsia="Times New Roman" w:hAnsi="Times New Roman"/>
          <w:sz w:val="20"/>
          <w:szCs w:val="20"/>
          <w:color w:val="auto"/>
        </w:rPr>
        <w:t xml:space="preserve">, the aggregate principal amount of all ABR Borrowings is not an integral multiple of $1,000,000, then any prepayment of ABR Borrowings shall be in an amount that will cause the aggregate principal amount of all ABR Borrowings to be an integral multiple of $1,000,000.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if applicable, shall be subject to the provisions of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Notwithstanding any provision of this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to the contrary, if any Lender becomes a Defaulting Lender, then the provisions of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apply for so long as such Lender is a Defaulting Lender.</w:t>
      </w:r>
    </w:p>
    <w:p>
      <w:pPr>
        <w:spacing w:after="0" w:line="16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2.8.</w:t>
      </w:r>
      <w:r>
        <w:rPr>
          <w:sz w:val="20"/>
          <w:szCs w:val="20"/>
          <w:color w:val="auto"/>
        </w:rPr>
        <w:tab/>
      </w:r>
      <w:r>
        <w:rPr>
          <w:rFonts w:ascii="Times New Roman" w:cs="Times New Roman" w:eastAsia="Times New Roman" w:hAnsi="Times New Roman"/>
          <w:sz w:val="19"/>
          <w:szCs w:val="19"/>
          <w:u w:val="single" w:color="auto"/>
          <w:color w:val="auto"/>
        </w:rPr>
        <w:t>Extension of Maturity Date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After October 17, 2023, the Borrower may, on one occasion during the term of this Agreement, request an extension of the Maturity Date for an additional one-year period by submitting a request for extension (an “</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to the Administrative Agent (which shall promptly advise each Lender) not more than 75 days or less than 30 days prior to the effective date of the proposed extension (the “</w:t>
      </w:r>
      <w:r>
        <w:rPr>
          <w:rFonts w:ascii="Times New Roman" w:cs="Times New Roman" w:eastAsia="Times New Roman" w:hAnsi="Times New Roman"/>
          <w:sz w:val="20"/>
          <w:szCs w:val="20"/>
          <w:u w:val="single" w:color="auto"/>
          <w:color w:val="auto"/>
        </w:rPr>
        <w:t>Extension Effective Date</w:t>
      </w:r>
      <w:r>
        <w:rPr>
          <w:rFonts w:ascii="Times New Roman" w:cs="Times New Roman" w:eastAsia="Times New Roman" w:hAnsi="Times New Roman"/>
          <w:sz w:val="20"/>
          <w:szCs w:val="20"/>
          <w:color w:val="auto"/>
        </w:rPr>
        <w:t>”). In response to such request, each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not later than 20 days prior to the applicable Extension Effective Date, notify the Administrative Agent whether it is willing (in its sole and complete discretion) to extend the scheduled Maturity Date for an additional one-year period (and any Lender that fails to give such notice to the Administrative Agent shall be deemed to have elected not to extend the scheduled Maturity Date). The Administrative Agent will notify the Borrower of the Lenders’ decisions no later than 15 days prior to such Extension Effective Date. If Lenders holding more than 50% of the Commitments elect to extend the scheduled Maturity Date, then on such Extension Effective Date the Commitments of such Lenders shall be extended for an additional one-year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Default exists on such Extension Effective Date and (ii) all representations and warranties are true and correct on such Extension Effective Date, as though made as of such Extension Effective Date (or, if any such representation or warranty is expressly stated to have been made as of a specific date, as of such specific date). No Lender shall be required to consent to any Extension Request and any Lender that elects, or is deemed to have elected, not to extend the scheduled Maturity Date (a “</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will have its Commitment terminated on the then existing scheduled Maturity Date (without regard to any extension by other Lenders). The Borrower may, at its sole expense and effort, upon notice to any Declining Lender and the Administrative Agent, require any Declining Lender to assign and delegate its rights and obligations under this Agreement to an Eligible Assignee selected by the Borrower and willing to accept such assignment (in accordance with, and subject to, the restrictions and consents otherwise required for assignments generally).</w:t>
      </w:r>
    </w:p>
    <w:p>
      <w:pPr>
        <w:spacing w:after="0" w:line="21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2.9.</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3"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Subject to the terms and conditions set forth herein, the Borrower may request the issuance of Letters of Credit denominated in dollars as the applicant thereof for the support of its or its Subsidiaries’ obligations, in a form acceptable to the Administrative Agent and the applicable Issuing Bank, at any time and from time to time during the period from the Effective Date to the tenth Business Day preceding the last day of the Availability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amount of the Credit Exposure of all Lenders shall not exceed the total Commitments and (ii) the aggregate amount of all LC Exposure shall not at any time exceed $100,000,000.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 conditions of this Agreement shall control. Notwithstanding the foregoing or anything in any Loan Document to the contrary, no more than 15 Letters of Credit may be issued and outstanding under this Agreement at any time</w:t>
      </w:r>
    </w:p>
    <w:p>
      <w:pPr>
        <w:spacing w:after="0" w:line="147"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xml:space="preserve">. To request the issuance of a Letter of Credit (or the amendment, renewal or extension of an outstanding Letter of Credit), the Borrower shall hand deliver or facsimile (or transmit by electronic communication, pursuant to arrangements for doing so approved by the applicable Issuing Bank) to the applicable Issuing Bank and the Administrative Agent (not later than three Business Days before the requested date of issuance, amendment, renewal or extension) a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the amount of such Letter of Credit, the name and address of the beneficiary thereof and such other information as shall be necessary to prepare, amend, renew or extend such Letter of Credit. If requested by an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(x) the aggregate undrawn amount of all outstanding Letters of Credit issued by the Issuing Bank at such time plus (y)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9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aggregate amount of all LC Disbursements made by the Issuing Bank that have not yet been reimbursed by or on behalf of the Borrower at such time shall not exceed its Letter of Credit Commitment, (ii) the LC Exposure shall not exceed the total Letter of Credit Commitments,</w:t>
      </w:r>
    </w:p>
    <w:p>
      <w:pPr>
        <w:spacing w:after="0" w:line="1" w:lineRule="exact"/>
        <w:rPr>
          <w:sz w:val="20"/>
          <w:szCs w:val="20"/>
          <w:color w:val="auto"/>
        </w:rPr>
      </w:pPr>
    </w:p>
    <w:p>
      <w:pPr>
        <w:jc w:val="both"/>
        <w:ind w:right="20" w:firstLine="8"/>
        <w:spacing w:after="0" w:line="216" w:lineRule="auto"/>
        <w:tabs>
          <w:tab w:leader="none" w:pos="36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Credit Exposures shall not exceed the total Commitments. The Borrower may, at any time and from time to time, reduce the Letter of Credit Commitment of any Issuing Bank with the consent of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reduce the Letter of Credit Commitment of any Issuing Bank if, after giving effect of such reduction, the conditions set forth in clauses (i) and (ii) above shall not be satisfied.</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ten Business Days prior to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may provide for the automatic renewal thereof for any period (unless the applicable Issuing Bank elects not to extend) so long as such period ends (x) at least ten Business Days prior to the Maturity Date or (y) if the Borrower shall have deposited cash collateral with the Administrative Agent to the extent required by </w:t>
      </w:r>
      <w:r>
        <w:rPr>
          <w:rFonts w:ascii="Times New Roman" w:cs="Times New Roman" w:eastAsia="Times New Roman" w:hAnsi="Times New Roman"/>
          <w:sz w:val="20"/>
          <w:szCs w:val="20"/>
          <w:u w:val="single" w:color="auto"/>
          <w:color w:val="auto"/>
        </w:rPr>
        <w:t>Section 2.9(j)</w:t>
      </w:r>
      <w:r>
        <w:rPr>
          <w:rFonts w:ascii="Times New Roman" w:cs="Times New Roman" w:eastAsia="Times New Roman" w:hAnsi="Times New Roman"/>
          <w:sz w:val="20"/>
          <w:szCs w:val="20"/>
          <w:color w:val="auto"/>
        </w:rPr>
        <w:t xml:space="preserve"> for such Letter of Credit, not later than the first anniversary of the Maturity Date.</w:t>
      </w:r>
    </w:p>
    <w:p>
      <w:pPr>
        <w:spacing w:after="0" w:line="148"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such Lender hereby absolutely and unconditionally agrees to pay to the Administrative Agent, for the account of such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or of any reimbursement payment required to be refunded to the Borrower for any reason. Each such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68" w:lineRule="exact"/>
        <w:rPr>
          <w:rFonts w:ascii="Times New Roman" w:cs="Times New Roman" w:eastAsia="Times New Roman" w:hAnsi="Times New Roman"/>
          <w:sz w:val="20"/>
          <w:szCs w:val="20"/>
          <w:color w:val="auto"/>
        </w:rPr>
      </w:pPr>
    </w:p>
    <w:p>
      <w:pPr>
        <w:jc w:val="both"/>
        <w:ind w:firstLine="1304"/>
        <w:spacing w:after="0" w:line="219" w:lineRule="auto"/>
        <w:tabs>
          <w:tab w:leader="none" w:pos="1934"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If any Issuing Bank shall make an LC Disbursement in respect of a Letter of Credit, then such Issuing Bank shall promptly notify the Borrower of such LC Disbursement and the Borrower shall reimburse such LC Disbursement by paying to the Administrative Agent, for the account of such Issuing Bank, an amount equal to such LC Disbursement and any accrued interest thereon (collectively, the “</w:t>
      </w:r>
      <w:r>
        <w:rPr>
          <w:rFonts w:ascii="Times New Roman" w:cs="Times New Roman" w:eastAsia="Times New Roman" w:hAnsi="Times New Roman"/>
          <w:sz w:val="19"/>
          <w:szCs w:val="19"/>
          <w:u w:val="single" w:color="auto"/>
          <w:color w:val="auto"/>
        </w:rPr>
        <w:t>Unreimbursed Amount</w:t>
      </w:r>
      <w:r>
        <w:rPr>
          <w:rFonts w:ascii="Times New Roman" w:cs="Times New Roman" w:eastAsia="Times New Roman" w:hAnsi="Times New Roman"/>
          <w:sz w:val="19"/>
          <w:szCs w:val="19"/>
          <w:color w:val="auto"/>
        </w:rPr>
        <w:t xml:space="preserve">”) by not later than (i) if the Borrower shall have received notice of such LC Disbursement prior to 11:00 a.m. on such date, 2:00 p.m. on such date, or (ii) otherwise, 2:00 p.m. on the Business Day immediately following the day that the Borrower receives such notice. If the Borrower fails to reimburse an Issuing Bank in full for an LC Disbursement prior to the time required pursuant to the preceding sentence, then such Issuing Bank may (and the Borrower authorizes such Issuing Bank to) request, on behalf of the Borrower by notice to the Administrative Agent (which shall promptly advise each Lender), that the Lenders fund an ABR Borrowing in an amount equal to the Unreimbursed Amount, without regard to the minimum and integral multiple requirements in </w:t>
      </w:r>
      <w:r>
        <w:rPr>
          <w:rFonts w:ascii="Times New Roman" w:cs="Times New Roman" w:eastAsia="Times New Roman" w:hAnsi="Times New Roman"/>
          <w:sz w:val="19"/>
          <w:szCs w:val="19"/>
          <w:u w:val="single" w:color="auto"/>
          <w:color w:val="auto"/>
        </w:rPr>
        <w:t>Section 2.2(c)</w:t>
      </w:r>
      <w:r>
        <w:rPr>
          <w:rFonts w:ascii="Times New Roman" w:cs="Times New Roman" w:eastAsia="Times New Roman" w:hAnsi="Times New Roman"/>
          <w:sz w:val="19"/>
          <w:szCs w:val="19"/>
          <w:color w:val="auto"/>
        </w:rPr>
        <w:t>, and each Lender shall make its Loan as part of such ABR Borrowing (by wire transfer of immediately available funds to the account most recently designated by the Administrative Agent for such purpose by notice to the Lenders) not later than</w:t>
      </w:r>
    </w:p>
    <w:p>
      <w:pPr>
        <w:spacing w:after="0" w:line="2" w:lineRule="exact"/>
        <w:rPr>
          <w:rFonts w:ascii="Times New Roman" w:cs="Times New Roman" w:eastAsia="Times New Roman" w:hAnsi="Times New Roman"/>
          <w:sz w:val="19"/>
          <w:szCs w:val="19"/>
          <w:color w:val="auto"/>
        </w:rPr>
      </w:pPr>
    </w:p>
    <w:p>
      <w:pPr>
        <w:jc w:val="both"/>
        <w:ind w:firstLine="8"/>
        <w:spacing w:after="0" w:line="215" w:lineRule="auto"/>
        <w:tabs>
          <w:tab w:leader="none" w:pos="28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Lender shall have received notice of such Borrowing from the Administrative Agent prior to 12:00 noon on such date, 2:00 p.m. on such date or (y) otherwise, 2:00 p.m. on the Business Day immediately following the day that such Lender receives such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conditions precedent to a Borrowing specified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not satisfied, then the request by the Issuing Bank shall be deemed to be a request for the funding of the Lenders’ participations in such Unreimbursed Amount and the amounts made available by the Lenders to the Administrative Agent as provided above shall constitute the Lenders’ funding of their respective participations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Unreimbursed Amount. The Administrative Agent will make the proceeds of such Loans or participations, as applicable, available to the applicable Issuing Bank by promptly crediting or otherwise transferring the amounts so received, in like funds, to such Issuing Bank for the</w:t>
      </w:r>
    </w:p>
    <w:p>
      <w:pPr>
        <w:spacing w:after="0" w:line="212" w:lineRule="auto"/>
        <w:rPr>
          <w:sz w:val="20"/>
          <w:szCs w:val="20"/>
          <w:color w:val="auto"/>
        </w:rPr>
      </w:pPr>
      <w:r>
        <w:rPr>
          <w:rFonts w:ascii="Times New Roman" w:cs="Times New Roman" w:eastAsia="Times New Roman" w:hAnsi="Times New Roman"/>
          <w:sz w:val="20"/>
          <w:szCs w:val="20"/>
          <w:color w:val="auto"/>
        </w:rPr>
        <w:t>purpose of repaying in full the LC Disbursement and all accrued interest thereon. Any Lender that fails to make the proceeds of its Loan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its participation available to the Administrative Agent in accordance with the provisions of this </w:t>
      </w:r>
      <w:r>
        <w:rPr>
          <w:rFonts w:ascii="Times New Roman" w:cs="Times New Roman" w:eastAsia="Times New Roman" w:hAnsi="Times New Roman"/>
          <w:sz w:val="20"/>
          <w:szCs w:val="20"/>
          <w:u w:val="single" w:color="auto"/>
          <w:color w:val="auto"/>
        </w:rPr>
        <w:t>Section 2.9(e)</w:t>
      </w:r>
      <w:r>
        <w:rPr>
          <w:rFonts w:ascii="Times New Roman" w:cs="Times New Roman" w:eastAsia="Times New Roman" w:hAnsi="Times New Roman"/>
          <w:sz w:val="20"/>
          <w:szCs w:val="20"/>
          <w:color w:val="auto"/>
        </w:rPr>
        <w:t xml:space="preserve"> shall pay interest thereon, for the account of the applicable Issuing Bank, for each day from and including the date such amount is due to but excluding the date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amount is received by the Administrative Agent, at the greater of the Federal Funds Effective Rate and a rate determined by the Administrative Agent in accordance with banking industry rules on interbank compensation.</w:t>
      </w:r>
    </w:p>
    <w:p>
      <w:pPr>
        <w:spacing w:after="0" w:line="149" w:lineRule="exact"/>
        <w:rPr>
          <w:sz w:val="20"/>
          <w:szCs w:val="20"/>
          <w:color w:val="auto"/>
        </w:rPr>
      </w:pPr>
    </w:p>
    <w:p>
      <w:pPr>
        <w:jc w:val="both"/>
        <w:ind w:firstLine="1304"/>
        <w:spacing w:after="0" w:line="208" w:lineRule="auto"/>
        <w:tabs>
          <w:tab w:leader="none" w:pos="193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obligations to reimburse LC Disbursements as provided in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Loan Document, or any term or provision therein, (ii) any draft or other document presented under a Letter of Credit proving to be forged, fraudulent, insufficient or invalid in any respect or any statement therein being untrue or inaccurate in any respect, (iii) any payment by any Issuing Bank under a Letter of Credit against presentation of a draft or other document that does not comply with the terms of such Letter of Credit, (iv) any amendment or waiver of or any consent to departure from all or any of the provisions of any Letter of Credit or any Loan Document, (v) the existence of any claim, set-off, defense or other right that the Borrower, any other party guaranteeing, or otherwise obligated with, such Borrower, any Subsidiary or other Affiliate thereof or any other Person may at any time have against the beneficiary under any Letter of Credit, any Credit Party or any other Person, whether in connection with this Agreement, any other Loan Document or any other related or unrelated agreement or transaction, or (vi) any other act or omission to act or delay of any kind of any Credit Party or any other Person or any other event or circumstance whatsoever, whether or not similar to any of the foregoing, that might, but for the provisions of this Section, constitute a legal or equitable discharge of, or provide a right of set-off against, the Borrower’s obligations hereunder. Neither any Credit Party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an Issuing Bank from liability to the Borrower to the extent of any direct damages (as opposed to consequential damages, claims in respect of which are hereby waived by the Borrower to the extent permitted by applicable law) suffered by the Borrower that are caused by any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any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3"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Each Issuing Bank shall, promptly following its receipt thereof, examine all documents purporting to represent a demand for payment under a Letter of Credit. Each Issuing Bank shall promptly notify the Administrative Agent and the Borrower by telephone (confirmed by telecopy or electronic mail) of such demand for payment and whether the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9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or delay in giving such notice shall not relieve the Borrower of its obligation to reimburse the applicable Issuing Bank and the Lenders with respect to any such LC Disbursement.</w:t>
      </w:r>
    </w:p>
    <w:p>
      <w:pPr>
        <w:spacing w:after="0" w:line="161" w:lineRule="exact"/>
        <w:rPr>
          <w:sz w:val="20"/>
          <w:szCs w:val="20"/>
          <w:color w:val="auto"/>
        </w:rPr>
      </w:pPr>
    </w:p>
    <w:p>
      <w:pPr>
        <w:jc w:val="both"/>
        <w:ind w:firstLine="1304"/>
        <w:spacing w:after="0" w:line="215" w:lineRule="auto"/>
        <w:tabs>
          <w:tab w:leader="none" w:pos="19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then applicable to ABR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then </w:t>
      </w:r>
      <w:r>
        <w:rPr>
          <w:rFonts w:ascii="Times New Roman" w:cs="Times New Roman" w:eastAsia="Times New Roman" w:hAnsi="Times New Roman"/>
          <w:sz w:val="20"/>
          <w:szCs w:val="20"/>
          <w:u w:val="single" w:color="auto"/>
          <w:color w:val="auto"/>
        </w:rPr>
        <w:t>Section 3.1(b)</w:t>
      </w:r>
      <w:r>
        <w:rPr>
          <w:rFonts w:ascii="Times New Roman" w:cs="Times New Roman" w:eastAsia="Times New Roman" w:hAnsi="Times New Roman"/>
          <w:sz w:val="20"/>
          <w:szCs w:val="20"/>
          <w:color w:val="auto"/>
        </w:rPr>
        <w:t xml:space="preserve"> shall apply. Interest accrued pursuant to this paragraph shall be for the account of the applicable Issuing Bank, except that interest accrued on and after the date of payment by any Lender pursuant to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to reimburse the applicable Issuing Bank shall be for the account of such Lender to the extent of such payment.</w:t>
      </w:r>
    </w:p>
    <w:p>
      <w:pPr>
        <w:spacing w:after="0" w:line="164"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4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and Resignation of an Issuing Bank</w:t>
      </w:r>
      <w:r>
        <w:rPr>
          <w:rFonts w:ascii="Times New Roman" w:cs="Times New Roman" w:eastAsia="Times New Roman" w:hAnsi="Times New Roman"/>
          <w:sz w:val="20"/>
          <w:szCs w:val="20"/>
          <w:color w:val="auto"/>
        </w:rPr>
        <w:t xml:space="preserve">. (i)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20"/>
          <w:szCs w:val="20"/>
          <w:u w:val="single" w:color="auto"/>
          <w:color w:val="auto"/>
        </w:rPr>
        <w:t>Section 3.3(b)</w:t>
      </w:r>
      <w:r>
        <w:rPr>
          <w:rFonts w:ascii="Times New Roman" w:cs="Times New Roman" w:eastAsia="Times New Roman" w:hAnsi="Times New Roman"/>
          <w:sz w:val="20"/>
          <w:szCs w:val="20"/>
          <w:color w:val="auto"/>
        </w:rPr>
        <w:t>. From and after the effective date of any such replacement, (x) the successor Issuing Bank shall have all the rights and obligations of Issuing Banks under this Agreement with respect to Letters of Credit to be issued thereafter and (y) references herein to the term “Issuing Bank” shall be deemed to refer to such successor or to any previous Issuing Banks,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 Subject to the appointment and acceptance of a successor Issuing Bank, any Issuing Bank may resign as an Issuing Bank at any time upon 30 days’ prior written notice to the Administrative Agent, the Borrower and the Lenders, in which case, such resigning Issuing Bank shall be replaced in accordance with </w:t>
      </w:r>
      <w:r>
        <w:rPr>
          <w:rFonts w:ascii="Times New Roman" w:cs="Times New Roman" w:eastAsia="Times New Roman" w:hAnsi="Times New Roman"/>
          <w:sz w:val="20"/>
          <w:szCs w:val="20"/>
          <w:u w:val="single" w:color="auto"/>
          <w:color w:val="auto"/>
        </w:rPr>
        <w:t>Section 2.9(i)</w:t>
      </w:r>
      <w:r>
        <w:rPr>
          <w:rFonts w:ascii="Times New Roman" w:cs="Times New Roman" w:eastAsia="Times New Roman" w:hAnsi="Times New Roman"/>
          <w:sz w:val="20"/>
          <w:szCs w:val="20"/>
          <w:color w:val="auto"/>
        </w:rPr>
        <w:t xml:space="preserve"> above.</w:t>
      </w:r>
    </w:p>
    <w:p>
      <w:pPr>
        <w:spacing w:after="0" w:line="167"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 xml:space="preserve">. In the event that (i) an Event of Default shall occur and be continuing or (ii) any Letter of Credit has an expiry date on or after the tenth Business Day prior to the Maturity Date (or any LC Disbursements remain unreimbursed on or after such date), the Borrower shall deposit with the Administrative Agent in immediately available funds on the Business Day on which it receives notice from the Administrative Agent or Required Lenders demanding the deposit of cash collateral in the case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no later than the tenth Business Day prior to the Maturity Date in the case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an amount equal to the Required Deposit Amount, which amount shall be held by the Administrative Agent for the benefit of the Lenders as cash collateral pursuant to a cash collateral agreement in form and substance satisfactory to the Administrative Agent and the applicable Issuing Banks to secure the Borrower’s reimbursement obligations with respect to LC Disbursements;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described in </w:t>
      </w:r>
      <w:r>
        <w:rPr>
          <w:rFonts w:ascii="Times New Roman" w:cs="Times New Roman" w:eastAsia="Times New Roman" w:hAnsi="Times New Roman"/>
          <w:sz w:val="19"/>
          <w:szCs w:val="19"/>
          <w:u w:val="single" w:color="auto"/>
          <w:color w:val="auto"/>
        </w:rPr>
        <w:t>paragraph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Such deposit shall not bear interest, nor shall the Administrative Agent be under any obligation whatsoever to invest the same,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request of the Borrower, such deposit shall be invested by the Administrative Agent in direct short term obligations of, or short term obligations the principal of and interest on which are unconditionally guaranteed by, the United States of America, in each case maturing no later than the expiry date of the Letter of Credit giving rise to the relevant LC Exposure. Interest or profits, if any, on such investments shall accumulate in such account. Moneys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account shall be applied by the Administrative Agent to reimburse the applicable Issuing Bank for LC Disbursements for which it has not been reimbursed and, to the extent not so applied, shall be held for the satisfaction of the reimbursement obligations of the Borrower for the</w:t>
      </w:r>
    </w:p>
    <w:p>
      <w:pPr>
        <w:spacing w:after="0" w:line="224" w:lineRule="auto"/>
        <w:rPr>
          <w:sz w:val="20"/>
          <w:szCs w:val="20"/>
          <w:color w:val="auto"/>
        </w:rPr>
      </w:pPr>
      <w:r>
        <w:rPr>
          <w:rFonts w:ascii="Times New Roman" w:cs="Times New Roman" w:eastAsia="Times New Roman" w:hAnsi="Times New Roman"/>
          <w:sz w:val="19"/>
          <w:szCs w:val="19"/>
          <w:color w:val="auto"/>
        </w:rPr>
        <w:t>LC Exposure at such time or, if the maturity of the Loans has been accelerated (but subject to the consent of Required Lenders), be applied to</w:t>
      </w:r>
    </w:p>
    <w:p>
      <w:pPr>
        <w:spacing w:after="0" w:line="215" w:lineRule="auto"/>
        <w:rPr>
          <w:sz w:val="20"/>
          <w:szCs w:val="20"/>
          <w:color w:val="auto"/>
        </w:rPr>
      </w:pPr>
      <w:r>
        <w:rPr>
          <w:rFonts w:ascii="Times New Roman" w:cs="Times New Roman" w:eastAsia="Times New Roman" w:hAnsi="Times New Roman"/>
          <w:sz w:val="19"/>
          <w:szCs w:val="19"/>
          <w:color w:val="auto"/>
        </w:rPr>
        <w:t>satisfy other obligations of the Borrower under this Agreement. If the Borrower is required to provide an amount of cash collateral hereunder as a result of the occurrence of an Event of Default, such amount (to the extent not applied as aforesaid) shall be returned to the Borrower</w:t>
      </w:r>
    </w:p>
    <w:p>
      <w:pPr>
        <w:spacing w:after="0" w:line="211" w:lineRule="auto"/>
        <w:rPr>
          <w:sz w:val="20"/>
          <w:szCs w:val="20"/>
          <w:color w:val="auto"/>
        </w:rPr>
      </w:pPr>
      <w:r>
        <w:rPr>
          <w:rFonts w:ascii="Times New Roman" w:cs="Times New Roman" w:eastAsia="Times New Roman" w:hAnsi="Times New Roman"/>
          <w:sz w:val="20"/>
          <w:szCs w:val="20"/>
          <w:color w:val="auto"/>
        </w:rPr>
        <w:t>within three Business Days after all Events of Default have been cured or waived. If the Borrower is required to provide cash collateral</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hereunder as a result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of the first sentence of this paragraph, the amount thereof (to the extent not applied as aforesaid) shall be returned to the Borrower when the LC Exposure is zero and all applicable Letters of Credit shall have been returned to the applicable Issuing</w:t>
      </w:r>
    </w:p>
    <w:p>
      <w:pPr>
        <w:spacing w:after="0"/>
        <w:rPr>
          <w:sz w:val="20"/>
          <w:szCs w:val="20"/>
          <w:color w:val="auto"/>
        </w:rPr>
      </w:pPr>
      <w:r>
        <w:rPr>
          <w:rFonts w:ascii="Times New Roman" w:cs="Times New Roman" w:eastAsia="Times New Roman" w:hAnsi="Times New Roman"/>
          <w:sz w:val="20"/>
          <w:szCs w:val="20"/>
          <w:color w:val="auto"/>
        </w:rPr>
        <w:t>Banks and shall have been cancelled.</w:t>
      </w:r>
    </w:p>
    <w:p>
      <w:pPr>
        <w:spacing w:after="0" w:line="167" w:lineRule="exact"/>
        <w:rPr>
          <w:sz w:val="20"/>
          <w:szCs w:val="20"/>
          <w:color w:val="auto"/>
        </w:rPr>
      </w:pPr>
    </w:p>
    <w:p>
      <w:pPr>
        <w:ind w:firstLine="1304"/>
        <w:spacing w:after="0" w:line="233" w:lineRule="auto"/>
        <w:tabs>
          <w:tab w:leader="none" w:pos="194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provision of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to the contrary, if any Lender becomes a Defaulting Lender, then the provisions of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apply for so long as such Lender is a Defaulting Lender.</w:t>
      </w:r>
    </w:p>
    <w:p>
      <w:pPr>
        <w:spacing w:after="0" w:line="16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Payments Generally; Pro Rata Treatment; Sharing of Set-offs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2" w:lineRule="auto"/>
        <w:tabs>
          <w:tab w:leader="none" w:pos="19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make each payment required to be made by it hereunder or under any other Loan Document (whether of principal of Loans, LC Disbursements, interest or fees, or of amounts payable under </w:t>
      </w:r>
      <w:r>
        <w:rPr>
          <w:rFonts w:ascii="Times New Roman" w:cs="Times New Roman" w:eastAsia="Times New Roman" w:hAnsi="Times New Roman"/>
          <w:sz w:val="20"/>
          <w:szCs w:val="20"/>
          <w:u w:val="single" w:color="auto"/>
          <w:color w:val="auto"/>
        </w:rPr>
        <w:t>Sections 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or otherwise) prior to 1:00 p.m.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 at 10 S. Dearborn, Chicago, Illinois, or such other office as to which the Administrative Agent may notify the other parties hereto, except that payments pursuant to </w:t>
      </w:r>
      <w:r>
        <w:rPr>
          <w:rFonts w:ascii="Times New Roman" w:cs="Times New Roman" w:eastAsia="Times New Roman" w:hAnsi="Times New Roman"/>
          <w:sz w:val="20"/>
          <w:szCs w:val="20"/>
          <w:u w:val="single" w:color="auto"/>
          <w:color w:val="auto"/>
        </w:rPr>
        <w:t>Sections 3.3(b)</w:t>
      </w:r>
      <w:r>
        <w:rPr>
          <w:rFonts w:ascii="Times New Roman" w:cs="Times New Roman" w:eastAsia="Times New Roman" w:hAnsi="Times New Roman"/>
          <w:sz w:val="20"/>
          <w:szCs w:val="20"/>
          <w:color w:val="auto"/>
        </w:rPr>
        <w:t xml:space="preserve"> (with respect to the fronting fee and other amounts payable to the Issuing Banks), </w:t>
      </w:r>
      <w:r>
        <w:rPr>
          <w:rFonts w:ascii="Times New Roman" w:cs="Times New Roman" w:eastAsia="Times New Roman" w:hAnsi="Times New Roman"/>
          <w:sz w:val="20"/>
          <w:szCs w:val="20"/>
          <w:u w:val="single" w:color="auto"/>
          <w:color w:val="auto"/>
        </w:rPr>
        <w:t>3.3(c)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68"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each payment or prepayment of principal of any Borrowing, each payment of interest on the Loans, each payment of fees, each reduction of the Commitments and each conversion of any Borrowing to or continuation of any Borrowing as a Borrowing of any Type shall be allocated pro rata among the Lenders in accordance with their respective applicable Commitments (or, if such Commitments shall have expired or been terminated, in accordance with the respective principal amounts of their outstanding Loans). Each Lender agrees that in computing such Lender’s portion of any Borrowing to be made hereunder, the Administrative Agent may, in its discretion, round each Lender’s percentage of such Borrowing to the next higher or lower whole dollar amount. If at any time insufficient funds are received by and available to the Administrative Agent to pay fully all amounts of principal of Loans, unreimbursed LC Disbursements, interest, fees and commissions then due hereunder, such funds shall be applied (i) first, towards payment of interest, fees and commissions then due hereunder, ratably among the parties entitled thereto in accordance with the amounts of interest, fees and commissions then due to such parties and (ii) second, towards payment of principal of Loans and unreimbursed LC Disbursements then due hereunder, ratably among the parties entitled thereto in accordance with the amounts of principal of Loans and unreimbursed LC Disbursements then due to such parties.</w:t>
      </w:r>
    </w:p>
    <w:p>
      <w:pPr>
        <w:spacing w:after="0" w:line="165"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9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thereon than the proportion received by any other Lender, then the Lender receiving such greater proportion shall purchase (for cash at face value) participations in the Loans and participations in LC Disbursements of other Lenders to the extent necessary so that the benefit of all</w:t>
      </w:r>
    </w:p>
    <w:p>
      <w:pPr>
        <w:spacing w:after="0" w:line="206" w:lineRule="auto"/>
        <w:rPr>
          <w:sz w:val="20"/>
          <w:szCs w:val="20"/>
          <w:color w:val="auto"/>
        </w:rPr>
      </w:pPr>
      <w:r>
        <w:rPr>
          <w:rFonts w:ascii="Times New Roman" w:cs="Times New Roman" w:eastAsia="Times New Roman" w:hAnsi="Times New Roman"/>
          <w:sz w:val="20"/>
          <w:szCs w:val="20"/>
          <w:color w:val="auto"/>
        </w:rPr>
        <w:t>such payments shall be shared by the Lenders ratably in accordance with the aggregate amount of principal of, and accrued interest on, their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9"/>
          <w:szCs w:val="19"/>
          <w:color w:val="auto"/>
        </w:rPr>
        <w:t xml:space="preserve">respective Loans and participations in LC Disbursements,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t>
      </w:r>
      <w:r>
        <w:rPr>
          <w:rFonts w:ascii="Arial" w:cs="Arial" w:eastAsia="Arial" w:hAnsi="Arial"/>
          <w:sz w:val="20"/>
          <w:szCs w:val="20"/>
          <w:color w:val="auto"/>
        </w:rPr>
        <w:t>(i)</w:t>
      </w:r>
      <w:r>
        <w:rPr>
          <w:rFonts w:ascii="Times New Roman" w:cs="Times New Roman" w:eastAsia="Times New Roman" w:hAnsi="Times New Roman"/>
          <w:sz w:val="19"/>
          <w:szCs w:val="19"/>
          <w:color w:val="auto"/>
        </w:rPr>
        <w:t xml:space="preserve"> if any such participations are purchased and all or any portion of the payment giving rise thereto is recovered, such participations shall be rescinded and the purchase price restored to the extent of such recovery, without interest, and </w:t>
      </w:r>
      <w:r>
        <w:rPr>
          <w:rFonts w:ascii="Arial" w:cs="Arial" w:eastAsia="Arial" w:hAnsi="Arial"/>
          <w:sz w:val="20"/>
          <w:szCs w:val="20"/>
          <w:color w:val="auto"/>
        </w:rPr>
        <w:t>(ii)</w:t>
      </w:r>
      <w:r>
        <w:rPr>
          <w:rFonts w:ascii="Times New Roman" w:cs="Times New Roman" w:eastAsia="Times New Roman" w:hAnsi="Times New Roman"/>
          <w:sz w:val="19"/>
          <w:szCs w:val="19"/>
          <w:color w:val="auto"/>
        </w:rPr>
        <w:t xml:space="preserve">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w:t>
      </w:r>
    </w:p>
    <w:p>
      <w:pPr>
        <w:spacing w:after="0" w:line="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Borrower or any Subsidiary or Affiliate thereof (as to which the provisions of this paragraph shall apply). The Borrower consents to the foregoing and agrees, to the extent it may effectively do so under applicable law, that any Lender acquiring a participation pursuant to the</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foregoing arrangements may exercise against the Borrower rights of set-off and counterclaim with respect to such participation as fully as if such Lender were a direct creditor of the Borrower in the amount of such participation.</w:t>
      </w:r>
    </w:p>
    <w:p>
      <w:pPr>
        <w:spacing w:after="0" w:line="149" w:lineRule="exact"/>
        <w:rPr>
          <w:sz w:val="20"/>
          <w:szCs w:val="20"/>
          <w:color w:val="auto"/>
        </w:rPr>
      </w:pPr>
    </w:p>
    <w:p>
      <w:pPr>
        <w:jc w:val="both"/>
        <w:ind w:firstLine="1304"/>
        <w:spacing w:after="0" w:line="215" w:lineRule="auto"/>
        <w:tabs>
          <w:tab w:leader="none" w:pos="193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applicable Credit Parties hereunder that the Borrower will not make such payment, the Administrative Agent may assume that the Borrower has made such payment on such date in accordance herewith and may, in reliance upon such assumption, distribute to such Credit Parties the amount due. In such event, if the Borrower has not in fact made such payment, then each such Credit Party severally agrees to repay to the Administrative Agent forthwith on demand the amount so distributed to such Credit Party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Credit Party shall fail to make any payment required to be made by it pursuant to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2.10(d)</w:t>
      </w:r>
      <w:r>
        <w:rPr>
          <w:rFonts w:ascii="Times New Roman" w:cs="Times New Roman" w:eastAsia="Times New Roman" w:hAnsi="Times New Roman"/>
          <w:sz w:val="20"/>
          <w:szCs w:val="20"/>
          <w:color w:val="auto"/>
        </w:rPr>
        <w:t xml:space="preserve">, then the Administrative Agent may, in its discretion (notwithstanding any contrary provision hereof), (i) apply any amounts thereafter received by the Administrative Agent for the account of such Credit Party to satisfy such Credit Party’s obligations under such Sections until all such unsatisfied obligations are fully paid and (ii) hold any such amounts in a segregated account as cash collateral for, and application to, any future funding obligations of such Lender under such Sections; in the case of each of (i) and (ii) above, in any order as determined by the Administrative Agent in its discretion. Notwithstanding any provision of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to the contrary, if any Lender becomes a Defaulting Lender, then the provisions of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apply for so long as such Lender is a Defaulting Lender.</w:t>
      </w:r>
    </w:p>
    <w:p>
      <w:pPr>
        <w:spacing w:after="0" w:line="15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w:t>
      </w:r>
    </w:p>
    <w:p>
      <w:pPr>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Lender is a Defaulting Lender:</w:t>
      </w:r>
    </w:p>
    <w:p>
      <w:pPr>
        <w:spacing w:after="0" w:line="153" w:lineRule="exact"/>
        <w:rPr>
          <w:sz w:val="20"/>
          <w:szCs w:val="20"/>
          <w:color w:val="auto"/>
        </w:rPr>
      </w:pPr>
    </w:p>
    <w:p>
      <w:pPr>
        <w:ind w:left="1940" w:hanging="636"/>
        <w:spacing w:after="0"/>
        <w:tabs>
          <w:tab w:leader="none" w:pos="19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Fees pursuant to </w:t>
      </w:r>
      <w:r>
        <w:rPr>
          <w:rFonts w:ascii="Times New Roman" w:cs="Times New Roman" w:eastAsia="Times New Roman" w:hAnsi="Times New Roman"/>
          <w:sz w:val="19"/>
          <w:szCs w:val="19"/>
          <w:u w:val="single" w:color="auto"/>
          <w:color w:val="auto"/>
        </w:rPr>
        <w:t>Section 3.3(a)</w:t>
      </w:r>
      <w:r>
        <w:rPr>
          <w:rFonts w:ascii="Times New Roman" w:cs="Times New Roman" w:eastAsia="Times New Roman" w:hAnsi="Times New Roman"/>
          <w:sz w:val="19"/>
          <w:szCs w:val="19"/>
          <w:color w:val="auto"/>
        </w:rPr>
        <w:t xml:space="preserve"> shall cease to accrue on the unfunded portion of the Commitment of such Defaulting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67" w:lineRule="exact"/>
        <w:rPr>
          <w:sz w:val="20"/>
          <w:szCs w:val="20"/>
          <w:color w:val="auto"/>
        </w:rPr>
      </w:pPr>
    </w:p>
    <w:p>
      <w:pPr>
        <w:ind w:left="1940" w:hanging="636"/>
        <w:spacing w:after="0"/>
        <w:tabs>
          <w:tab w:leader="none" w:pos="19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LC Exposure exists at the time a Lender becomes a Defaulting Lender then:</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9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any part of such LC Exposure shall be reallocated among the non-Defaulting Lenders in accordance with their respective Applicable Percentages but only to the extent (x) the sum of all non-Defaulting Lenders’ Credit Exposures plus such Defaulting Lender’s LC Exposure does not exceed the total of all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Defaulting Lenders’ Commitments and (y) the conditions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 at such time;</w:t>
      </w:r>
    </w:p>
    <w:p>
      <w:pPr>
        <w:spacing w:after="0" w:line="175" w:lineRule="exact"/>
        <w:rPr>
          <w:sz w:val="20"/>
          <w:szCs w:val="20"/>
          <w:color w:val="auto"/>
        </w:rPr>
      </w:pPr>
    </w:p>
    <w:p>
      <w:pPr>
        <w:jc w:val="both"/>
        <w:ind w:left="1300" w:firstLine="652"/>
        <w:spacing w:after="0" w:line="222" w:lineRule="auto"/>
        <w:tabs>
          <w:tab w:leader="none" w:pos="259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reallocation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cannot, or can only partially, be effected, the Borrower shall within two Business Days following notice by the Administrative Agent cash collateralize such Defaulting Lender’s LC Exposure (after giving effect to any partial reallocation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in accordance with the procedures set forth in </w:t>
      </w:r>
      <w:r>
        <w:rPr>
          <w:rFonts w:ascii="Times New Roman" w:cs="Times New Roman" w:eastAsia="Times New Roman" w:hAnsi="Times New Roman"/>
          <w:sz w:val="20"/>
          <w:szCs w:val="20"/>
          <w:u w:val="single" w:color="auto"/>
          <w:color w:val="auto"/>
        </w:rPr>
        <w:t>Section 2.9(j)</w:t>
      </w:r>
      <w:r>
        <w:rPr>
          <w:rFonts w:ascii="Times New Roman" w:cs="Times New Roman" w:eastAsia="Times New Roman" w:hAnsi="Times New Roman"/>
          <w:sz w:val="20"/>
          <w:szCs w:val="20"/>
          <w:color w:val="auto"/>
        </w:rPr>
        <w:t xml:space="preserve"> for so long as such LC Exposure is outstanding;</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6"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cash collateralizes any portion of such Defaulting Lender’s LC Exposure pursuant to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the Borrower shall not be required to pay any fees to such Defaulting Lender pursuant to </w:t>
      </w:r>
      <w:r>
        <w:rPr>
          <w:rFonts w:ascii="Times New Roman" w:cs="Times New Roman" w:eastAsia="Times New Roman" w:hAnsi="Times New Roman"/>
          <w:sz w:val="20"/>
          <w:szCs w:val="20"/>
          <w:u w:val="single" w:color="auto"/>
          <w:color w:val="auto"/>
        </w:rPr>
        <w:t>Section 3.3(b)</w:t>
      </w:r>
      <w:r>
        <w:rPr>
          <w:rFonts w:ascii="Times New Roman" w:cs="Times New Roman" w:eastAsia="Times New Roman" w:hAnsi="Times New Roman"/>
          <w:sz w:val="20"/>
          <w:szCs w:val="20"/>
          <w:color w:val="auto"/>
        </w:rPr>
        <w:t xml:space="preserve"> with respect to such Defaulting Lender’s LC Exposure during the period such Defaulting Lender’s LC Exposure is cash collateralized;</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8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LC Exposure of the non-Defaulting Lenders is reallocated pursuant to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then the fees payable to the Lenders pursuant to </w:t>
      </w:r>
      <w:r>
        <w:rPr>
          <w:rFonts w:ascii="Times New Roman" w:cs="Times New Roman" w:eastAsia="Times New Roman" w:hAnsi="Times New Roman"/>
          <w:sz w:val="20"/>
          <w:szCs w:val="20"/>
          <w:u w:val="single" w:color="auto"/>
          <w:color w:val="auto"/>
        </w:rPr>
        <w:t>Sections 3.3(a)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3.3(b)</w:t>
      </w:r>
      <w:r>
        <w:rPr>
          <w:rFonts w:ascii="Times New Roman" w:cs="Times New Roman" w:eastAsia="Times New Roman" w:hAnsi="Times New Roman"/>
          <w:sz w:val="20"/>
          <w:szCs w:val="20"/>
          <w:color w:val="auto"/>
        </w:rPr>
        <w:t xml:space="preserve"> shall be adjusted in accordance with such non-Defaulting Lenders’ Applicable Percentages;</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8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Defaulting Lender’s LC Exposure is neither cash collateralized nor reallocated pursuant to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then, without prejudice to any rights or remedies of the Issuing Banks or any Lender hereunder, all letter of credit fees payable under </w:t>
      </w:r>
      <w:r>
        <w:rPr>
          <w:rFonts w:ascii="Times New Roman" w:cs="Times New Roman" w:eastAsia="Times New Roman" w:hAnsi="Times New Roman"/>
          <w:sz w:val="20"/>
          <w:szCs w:val="20"/>
          <w:u w:val="single" w:color="auto"/>
          <w:color w:val="auto"/>
        </w:rPr>
        <w:t>Section 3.3(b)</w:t>
      </w:r>
      <w:r>
        <w:rPr>
          <w:rFonts w:ascii="Times New Roman" w:cs="Times New Roman" w:eastAsia="Times New Roman" w:hAnsi="Times New Roman"/>
          <w:sz w:val="20"/>
          <w:szCs w:val="20"/>
          <w:color w:val="auto"/>
        </w:rPr>
        <w:t xml:space="preserve"> with respect to such Defaulting Lender’s LC Exposure shall be payable to the applicable Issuing Banks until such LC Exposure is cash collateralized and/or reallocated; and</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8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and so long as any Lender is a Defaulting Lender, no Issuing Bank shall be required to issue, amend or increase any Letter of Credit, unless it is satisfied that the related exposure will be 100% covered by the Commitments of the non-Defaulting Lenders or cash collateral will be provided by the Borrower in accordance with this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and participating interests in any such newly issued or increased Letter of Credit shall be allocated among non-Defaulting Lenders in a manner consistent with </w:t>
      </w:r>
      <w:r>
        <w:rPr>
          <w:rFonts w:ascii="Times New Roman" w:cs="Times New Roman" w:eastAsia="Times New Roman" w:hAnsi="Times New Roman"/>
          <w:sz w:val="20"/>
          <w:szCs w:val="20"/>
          <w:u w:val="single" w:color="auto"/>
          <w:color w:val="auto"/>
        </w:rPr>
        <w:t>Section 2.11(b)(i)</w:t>
      </w:r>
      <w:r>
        <w:rPr>
          <w:rFonts w:ascii="Times New Roman" w:cs="Times New Roman" w:eastAsia="Times New Roman" w:hAnsi="Times New Roman"/>
          <w:sz w:val="20"/>
          <w:szCs w:val="20"/>
          <w:color w:val="auto"/>
        </w:rPr>
        <w:t xml:space="preserve"> (and Defaulting Lenders shall not participate therein).</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Commitments and Credit Exposure of such Defaulting Lender shall not be included in determining whether all Lenders or the Required Lenders have voted or taken or may take any action hereunder (including any consent to any amendment, modification or waiver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waiver, amendment or modification requiring the consent of all Lenders or each affected Lender which affects such Defaulting Lender differently than other affected Lenders shall require the consent of such Defaulting Lender and (ii) any amendment or modification that increases, or extends the maturity of, such Defaulting Lender’s Commitment or reduces the principal amount of, or rate of interest on, any Loan made by such Defaulting Lender, shall require the consent of such Defaulting Lender.</w:t>
      </w:r>
    </w:p>
    <w:p>
      <w:pPr>
        <w:spacing w:after="0" w:line="164"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the Borrower and each Issuing Bank agree that a Defaulting Lender has adequately remedied all matters that caused such Lender to be a Defaulting Lender, then the LC Exposure of the Lenders shall be readjusted to reflect the inclusion of such Lender’s Commitments and on such date such Lender shall purchase at par such of the Loans of the other Lenders as the Administrative Agent shall determine may be necessary in order for such Lender to hold such Loans in accordance with its Applicable Percentage, and all cash collateral and accrued interest thereon held by the Administrative Agent or the applicable Issuing Banks shall be returned to the Borrower forthwith.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9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3.</w:t>
      </w:r>
    </w:p>
    <w:p>
      <w:pPr>
        <w:spacing w:after="0" w:line="16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INTEREST, FEES, YIELD PROTECTION, ETC.</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3.1.</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30" w:lineRule="auto"/>
        <w:tabs>
          <w:tab w:leader="none" w:pos="193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ABR Borrowing shall bear interest at the Alternate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The Loans comprising each Term Benchmark Borrowing shall bear interest at the Adjusted Term SOFR Rate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48"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if any principal of or interest on any Loan, any reimbursement obligation in respect of any LC Disbursement or any fee or other amount payable by the Borrower hereunder is not paid when due, whether at stated maturity, upon acceleration or otherwise, such overdue amount shall bear interest, after as well as before judgment,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(i) in the case of overdue principal of any Loan, 2%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otherwise applicable to such Loan as provided in the preceding paragraph of this Section or (ii) in the case of any other amount, 2%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ABR Borrowings as provided in the preceding paragraph of this Section.</w:t>
      </w:r>
    </w:p>
    <w:p>
      <w:pPr>
        <w:spacing w:after="0" w:line="16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Loan shall be payable in arrears on each Interest Payment Date for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shall be payable on demand, (ii) in the event of any repayment or prepayment of any Loan,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Daily Simple SOFR or Adjusted Term SOFR Rate shall be determined by the Administrative Agent, and such determination shall be conclusive absent clearly demonstrable error. The Administrative Agent shall, as soon as practicable, notify the Borrower and the Lenders of the effective date and the amount of each change in the Prime Rate or ABR, but any failure to so notify shall not in any manner affect the obligation of the Borrower to pay interest on the Loans in the amounts and on the dates required.</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3.2.</w:t>
      </w:r>
      <w:r>
        <w:rPr>
          <w:sz w:val="20"/>
          <w:szCs w:val="20"/>
          <w:color w:val="auto"/>
        </w:rPr>
        <w:tab/>
      </w:r>
      <w:r>
        <w:rPr>
          <w:rFonts w:ascii="Times New Roman" w:cs="Times New Roman" w:eastAsia="Times New Roman" w:hAnsi="Times New Roman"/>
          <w:sz w:val="19"/>
          <w:szCs w:val="19"/>
          <w:u w:val="single" w:color="auto"/>
          <w:color w:val="auto"/>
        </w:rPr>
        <w:t>Interest Elections Relating to Borrowings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initially shall be of the Type specified in the applicable Credit Request and, in the case of a Term Benchmark Borrowing, shall have an initial Interest Period as specified in such Credit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50"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3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make an election pursuant to this Section, the Borrower shall deliver to the Administrative Agent a signed Interest Election Request in a form approved by the Administrative Agent by the time that a Credit Request would be required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2.3</w:t>
      </w:r>
      <w:r>
        <w:rPr>
          <w:rFonts w:ascii="Times New Roman" w:cs="Times New Roman" w:eastAsia="Times New Roman" w:hAnsi="Times New Roman"/>
          <w:sz w:val="19"/>
          <w:szCs w:val="19"/>
          <w:color w:val="auto"/>
        </w:rPr>
        <w:t xml:space="preserve"> if the Borrower were requesting a Borrowing of the Type resulting from such election to be made on the effective date of such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95" w:lineRule="exact"/>
        <w:rPr>
          <w:sz w:val="20"/>
          <w:szCs w:val="20"/>
          <w:color w:val="auto"/>
        </w:rPr>
      </w:pPr>
    </w:p>
    <w:p>
      <w:pPr>
        <w:ind w:firstLine="1304"/>
        <w:spacing w:after="0" w:line="233" w:lineRule="auto"/>
        <w:tabs>
          <w:tab w:leader="none" w:pos="193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such Interest Election Request shall be irrevocable (except as otherwise provided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and shall specify the following information:</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this paragraph shall be specified for each resulting Borrowing);</w:t>
      </w:r>
    </w:p>
    <w:p>
      <w:pPr>
        <w:spacing w:after="0" w:line="14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election made pursuant to such Interest Election Request, which shall be a Business</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w:t>
      </w:r>
    </w:p>
    <w:p>
      <w:pPr>
        <w:spacing w:after="0" w:line="16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resulting Borrowing is to be an ABR Borrowing or a Term Benchmark Borrowing; and</w:t>
      </w:r>
    </w:p>
    <w:p>
      <w:pPr>
        <w:spacing w:after="0" w:line="188" w:lineRule="exact"/>
        <w:rPr>
          <w:rFonts w:ascii="Times New Roman" w:cs="Times New Roman" w:eastAsia="Times New Roman" w:hAnsi="Times New Roman"/>
          <w:sz w:val="20"/>
          <w:szCs w:val="20"/>
          <w:color w:val="auto"/>
        </w:rPr>
      </w:pPr>
    </w:p>
    <w:p>
      <w:pPr>
        <w:ind w:left="1300" w:firstLine="652"/>
        <w:spacing w:after="0" w:line="233" w:lineRule="auto"/>
        <w:tabs>
          <w:tab w:leader="none" w:pos="2585"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17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Borrower shall be deemed to have selected an Interest Period of one month’s duration.</w:t>
      </w:r>
    </w:p>
    <w:p>
      <w:pPr>
        <w:spacing w:after="0" w:line="159" w:lineRule="exact"/>
        <w:rPr>
          <w:sz w:val="20"/>
          <w:szCs w:val="20"/>
          <w:color w:val="auto"/>
        </w:rPr>
      </w:pPr>
    </w:p>
    <w:p>
      <w:pPr>
        <w:ind w:right="20" w:firstLine="1304"/>
        <w:spacing w:after="0"/>
        <w:tabs>
          <w:tab w:leader="none" w:pos="193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47"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fails to deliver a timely Interest Election Request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Borrowing shall be converted to an ABR Borrowing at the end of the Interest Period applicable thereto.</w:t>
      </w:r>
    </w:p>
    <w:p>
      <w:pPr>
        <w:spacing w:after="0" w:line="15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3.3.</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agrees to pay to the Administrative Agent for the account of each Lender, a facility fee, which shall accrue at a rate </w:t>
      </w:r>
      <w:r>
        <w:rPr>
          <w:rFonts w:ascii="Times New Roman" w:cs="Times New Roman" w:eastAsia="Times New Roman" w:hAnsi="Times New Roman"/>
          <w:sz w:val="19"/>
          <w:szCs w:val="19"/>
          <w:u w:val="single" w:color="auto"/>
          <w:color w:val="auto"/>
        </w:rPr>
        <w:t>per annum</w:t>
      </w:r>
      <w:r>
        <w:rPr>
          <w:rFonts w:ascii="Times New Roman" w:cs="Times New Roman" w:eastAsia="Times New Roman" w:hAnsi="Times New Roman"/>
          <w:sz w:val="19"/>
          <w:szCs w:val="19"/>
          <w:color w:val="auto"/>
        </w:rPr>
        <w:t xml:space="preserve"> equal to the Applicable Margin on the daily amount of the Commitment of such Lender (regardless of usage) during the period from and including the date on which this Agreement becomes effective pursuant to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to but excluding the date on which such Commitment terminates;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Lender continues to have any Credit Exposure after its Commitment terminates, then such facility fee shall continue to accrue on the daily amount of such Lender’s Credit Exposure from and including the date on which such Lender’s Commitment terminates to but excluding the date on which such Lender ceases to have any Credit Exposure. Accrued facility fees shall be payable in arrears on the last day of March, June, September and December of each year, each date on which the Commitments are permanently reduced and on the date on which the Commitments terminate, commencing on the first such date to occur after the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unpaid facility fees shall be payable on the date on which the Commitments terminate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facility fees which accrue after the Commitments terminate shall be payable on demand. All facility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40</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95" w:lineRule="exact"/>
        <w:rPr>
          <w:sz w:val="20"/>
          <w:szCs w:val="20"/>
          <w:color w:val="auto"/>
        </w:rPr>
      </w:pPr>
    </w:p>
    <w:p>
      <w:pPr>
        <w:jc w:val="both"/>
        <w:ind w:firstLine="1304"/>
        <w:spacing w:after="0" w:line="210" w:lineRule="auto"/>
        <w:tabs>
          <w:tab w:leader="none" w:pos="193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(i) to the Administrative Agent for the account of each Lender a participation fee with respect to its participations in Letters of Credit, which shall accrue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Applicable Margin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each Issuing Bank for its own account a fronting fee, which shall accrue at the rate or rates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separately agreed upon between the Borrower and each Issuing Bank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Accrued participation fees and fronting fees shall be payable in arrears on the last day of March, June, September and December of each year, commencing on the first such date to occur after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days after demand. All participation fees and fronting fees shall be computed on the basis of a year of 360 days and shall be payable for the actual number of days elapsed (including the first day but excluding the last day).</w:t>
      </w:r>
    </w:p>
    <w:p>
      <w:pPr>
        <w:spacing w:after="0" w:line="154"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each Credit Party, for its own account, fees and other amounts payable in the amounts and at the times separately agreed upon in writing between the Borrower and such Credit Party.</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other amounts payable hereunder shall be paid on the dates due, in immediately available funds. Fees and other amounts paid shall not be refundable under any circumstances other than clearly demonstrable error.</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3.4.</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940" w:hanging="636"/>
        <w:spacing w:after="0"/>
        <w:tabs>
          <w:tab w:leader="none" w:pos="19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clauses (b), (c), (d), (e) and (f) of this Section 3.4, if:</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absent manifest error) prior to the commencement of any Interest Period for a Term Benchmark Borrowing, that adequate and reasonable means do not exist for ascertaining the Adjusted Term SOFR Rate or the Term SOFR Rate, as applicable (including, because the Term SOFR Reference Rate is not available or published on a current basis) for such Interest Period; or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5"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is advised by the Required Lenders that prior to the commencement of any Interest Period for a Term Benchmark Borrowing, the Adjusted Term SOFR Rate for such Interest Period will not adequately and fairly reflect the cost to such Lenders (or Lender) of making or maintaining their Loans (or Loan) included in such Borrowing for such Interest Period;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then the Administrative Agent shall give notice thereof to the Borrower and the Lenders by telephone, telecopy, electronic mail or other electronic system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3.2 or a new Credit Request in accordance with the terms of Section 2.3, (1) any Interest Election Request that requests the conversion of any Borrowing to, or continuation of any Borrowing as, a Term Benchmark Borrowing and any Credit Request that requests a Term Benchmark Borrowing shall instead be deemed to be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Interest Election Request or a Credit Request, as applicable, for an ABR Borrowing. Furthermore, if any Term Benchmark Loan is outstanding on the date of the Borrower’s receipt of the notice from the Administrative Agent referred to in this Section 3.4(a) with respect to such Term Benchmark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or a new Credit Request in accordance with the terms of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(1) any Term Benchmark Loan shall on the last day of the Interest Period applicable to such Loan (or the next succeeding Business Day if such day is not a Business Day), be converted by the Administrative Agent to, and shall constitute, an ABR Loan.</w:t>
      </w:r>
    </w:p>
    <w:p>
      <w:pPr>
        <w:spacing w:after="0" w:line="179" w:lineRule="exact"/>
        <w:rPr>
          <w:sz w:val="20"/>
          <w:szCs w:val="20"/>
          <w:color w:val="auto"/>
        </w:rPr>
      </w:pPr>
    </w:p>
    <w:p>
      <w:pPr>
        <w:jc w:val="both"/>
        <w:ind w:firstLine="1304"/>
        <w:spacing w:after="0" w:line="211" w:lineRule="auto"/>
        <w:tabs>
          <w:tab w:leader="none" w:pos="193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48" w:lineRule="exact"/>
        <w:rPr>
          <w:rFonts w:ascii="Times New Roman" w:cs="Times New Roman" w:eastAsia="Times New Roman" w:hAnsi="Times New Roman"/>
          <w:sz w:val="20"/>
          <w:szCs w:val="20"/>
          <w:color w:val="auto"/>
        </w:rPr>
      </w:pPr>
    </w:p>
    <w:p>
      <w:pPr>
        <w:jc w:val="both"/>
        <w:ind w:firstLine="1304"/>
        <w:spacing w:after="0" w:line="214" w:lineRule="auto"/>
        <w:tabs>
          <w:tab w:leader="none" w:pos="193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Borrower and the Lenders of any occurrence of a Benchmark Transition Event, the implementation of any Benchmark Replacement, the effectiveness of any Benchmark Replacement Conforming Changes, the removal or reinstatement of any tenor of a Benchmark pursuant to clause (e) below and the commencement or conclusion of any Benchmark Unavailability Period. Any determination, decision or election that may be made by the Administrative Agent or, if applicable, any Lender (or group of Lenders) pursuant to this Section 3.4,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3.4.</w:t>
      </w:r>
    </w:p>
    <w:p>
      <w:pPr>
        <w:spacing w:after="0" w:line="152"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and either any tenor for such Benchmark is not displayed on a screen or other information service that publishes such rate from time to time as selected by the Administrative Agent in its reasonable discretion or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tenor and (ii) if a tenor that was removed pursuant to clause (i) above either is subsequently displayed on a screen or information service for a Benchmark (including a Benchmark Replacement) or is not, or is no longer, subject to an announcement that it is or will no longer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representative for a Benchmark (including a Benchmark Replacement), then the Administrative Agent may modify the definition of “Interest Period” for all Benchmark settings at or after such time to reinstate such previously removed tenor.</w:t>
      </w:r>
    </w:p>
    <w:p>
      <w:pPr>
        <w:spacing w:after="0" w:line="149" w:lineRule="exact"/>
        <w:rPr>
          <w:sz w:val="20"/>
          <w:szCs w:val="20"/>
          <w:color w:val="auto"/>
        </w:rPr>
      </w:pPr>
    </w:p>
    <w:p>
      <w:pPr>
        <w:jc w:val="both"/>
        <w:ind w:firstLine="1304"/>
        <w:spacing w:after="0" w:line="212" w:lineRule="auto"/>
        <w:tabs>
          <w:tab w:leader="none" w:pos="193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Section 3.4, (1) any Term Benchmark Loan shall on the last day of the Interest Period applicable to such Loan (or the next succeeding Business Day if such day is not a Business Day), be converted by the Administrative Agent to, and shall constitute, an ABR Loan.</w:t>
      </w:r>
    </w:p>
    <w:p>
      <w:pPr>
        <w:spacing w:after="0" w:line="16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3.5.</w:t>
      </w:r>
      <w:r>
        <w:rPr>
          <w:sz w:val="20"/>
          <w:szCs w:val="20"/>
          <w:color w:val="auto"/>
        </w:rPr>
        <w:tab/>
      </w:r>
      <w:r>
        <w:rPr>
          <w:rFonts w:ascii="Times New Roman" w:cs="Times New Roman" w:eastAsia="Times New Roman" w:hAnsi="Times New Roman"/>
          <w:sz w:val="19"/>
          <w:szCs w:val="19"/>
          <w:u w:val="single" w:color="auto"/>
          <w:color w:val="auto"/>
        </w:rPr>
        <w:t>Increased Costs; Illegality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940" w:hanging="636"/>
        <w:spacing w:after="0"/>
        <w:tabs>
          <w:tab w:leader="none" w:pos="19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 shall:</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liquidity or similar requirement against assets of, deposits with or for the account of, or credit extended by, any Credit Party (except any such reserve requirement reflected in the Adjusted Term SOFR Rate);</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5"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with respect to this Agreement or on its Loans, loan principal, Letters of Credit, Commitments, or other obligations, or its deposits, reserves, other liabilities or capital attributable thereto in respect thereof (other than (A) Indemnified Taxes and (B) Excluded Taxes); or</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6"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Credit Party or the applicable offshore interbank market any other condition affecting this Agreement, any Term Benchmark Loans made by such Credit Party or any participation therein or any Letter of Credit or participation therein;</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Credit Party of making, continuing, converting or maintaining any Term Benchmark Loan or the cost to such Credit Party of issuing, participating in or maintaining any Letter of Credit hereunder or to increase the cost to such Credit Party or to reduce the amount of any sum received or receivable by such Credit Party hereunder (whether of principal, interest or otherwise), then the Borrower will pay to such Credit Party such additional amount or amounts as will compensate such Credit Party for such additional costs incurred or reduction suffered.</w:t>
      </w:r>
    </w:p>
    <w:p>
      <w:pPr>
        <w:spacing w:after="0" w:line="178" w:lineRule="exact"/>
        <w:rPr>
          <w:sz w:val="20"/>
          <w:szCs w:val="20"/>
          <w:color w:val="auto"/>
        </w:rPr>
      </w:pPr>
    </w:p>
    <w:p>
      <w:pPr>
        <w:jc w:val="both"/>
        <w:ind w:firstLine="1304"/>
        <w:spacing w:after="0" w:line="220" w:lineRule="auto"/>
        <w:tabs>
          <w:tab w:leader="none" w:pos="193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Credit Party determines that any Change in Law regarding capital or liquidity requirements has or would have the effect of reducing the rate of return on such Credit Party’s capital or on the capital of such Credit Party’s holding company, if any, as a consequence of this Agreement or the Loans made, the Letters of Credit issued or the participations therein held, by such Credit Party to a level below that which such Credit Party or such Credit Party’s holding company could have achieved but for such Change in Law (taking into consideration such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Party’s policies and the policies of such Credit Party’s holding company with respect to capital adequacy), then from time to time the Borrower will pay to such Credit Party such additional amount or amounts as will compensate such Credit Party or such Credit Party’s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holding company for any such reduction suffered.</w:t>
      </w:r>
    </w:p>
    <w:p>
      <w:pPr>
        <w:spacing w:after="0" w:line="167" w:lineRule="exact"/>
        <w:rPr>
          <w:sz w:val="20"/>
          <w:szCs w:val="20"/>
          <w:color w:val="auto"/>
        </w:rPr>
      </w:pPr>
    </w:p>
    <w:p>
      <w:pPr>
        <w:jc w:val="both"/>
        <w:ind w:firstLine="1304"/>
        <w:spacing w:after="0" w:line="222" w:lineRule="auto"/>
        <w:tabs>
          <w:tab w:leader="none" w:pos="193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Credit Party setting forth the amount or amounts necessary to compensate such Credit Party or its holding company, as applicable,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shall be delivered to the Borrower and shall be conclusive and binding upon all parties hereto absent manifest error. The Borrower shall pay such Credit Party the amount shown as due on any such certificate within 10 Business Days after receipt thereof.</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Credit Party to demand compensation pursuant to this Section shall not constitute a waiver of such Credit Party’s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Credit Party pursuant to this Section for any increased costs or reductions incurred more than 180 days prior to the date that such Credit Party notifies the Borrower of the Change in Law giving rise to such increased costs or reductions and of such Credit Party’s intention to claim compensation therefor;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180 day period referred to above shall be extended to include the period of retroactive effect thereof but not to exceed a period of 365 days.</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if any Change in Law shall make it unlawful for any Lender to make or maintain any Term Benchmark Loan or to give effect to its obligations as contemplated hereby with respect to any Term Benchmark Loan, then, by written notice to the Borrower and to the Administrative Agent:</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may declare that Term Benchmark Loans will not thereafter (for the duration of such unlawfulness) be made by such Lender hereunder (or be continued for additional Interest Periods) and ABR Loans will not thereafter (for such duration) be converted into Term Benchmark Loans, whereupon any request for a Term Benchmark Borrowing or to convert an ABR Borrowing to a Term Benchmark Borrowing or to continue a Term Benchmark Borrowing, as applicable, for an additional Interest Period shall, as to such Lender only, be deemed a request for an ABR Loan (or a request to continue an ABR Loan as such for an additional Interest Period or to convert a Term Benchmark Loan into an ABR Loan, as applicable), unless such declaration shall be subsequently withdrawn; and</w:t>
      </w:r>
    </w:p>
    <w:p>
      <w:pPr>
        <w:spacing w:after="0" w:line="150" w:lineRule="exact"/>
        <w:rPr>
          <w:rFonts w:ascii="Times New Roman" w:cs="Times New Roman" w:eastAsia="Times New Roman" w:hAnsi="Times New Roman"/>
          <w:sz w:val="20"/>
          <w:szCs w:val="20"/>
          <w:color w:val="auto"/>
        </w:rPr>
      </w:pPr>
    </w:p>
    <w:p>
      <w:pPr>
        <w:jc w:val="both"/>
        <w:ind w:left="1300" w:firstLine="652"/>
        <w:spacing w:after="0" w:line="230" w:lineRule="auto"/>
        <w:tabs>
          <w:tab w:leader="none" w:pos="2595"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may require that all outstanding Term Benchmark Loans made by it be converted to ABR Loans, in which event all such Term Benchmark Loans shall be automatically converted to ABR Loans, as of the effective date of such notice as provided in the last sentence of this paragraph.</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 the event any Lender shall exercise its rights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paragraph, all payments and prepayments of principal that would otherwise have been applied to repay the Term Benchmark Loans that would have been made by such Lender or the converted Term Benchmark Loans of such Lender shall instead be applied to repay the ABR Loans made by such Lender in lieu of, or resulting from the conversion of, such Term Benchmark Loans, as applicable. For purposes of this paragraph, a notice to the Borrower by any Lender shall be effective as to each Term Benchmark Loan made by such Lender, if lawful, on the last day of the Interest Period currently applicable to such Term Benchmark Loan; in all other cases such notice shall be effective on the date of receipt by the Borrower.</w:t>
      </w:r>
    </w:p>
    <w:p>
      <w:pPr>
        <w:spacing w:after="0" w:line="17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3.6.</w:t>
      </w:r>
      <w:r>
        <w:rPr>
          <w:sz w:val="20"/>
          <w:szCs w:val="20"/>
          <w:color w:val="auto"/>
        </w:rPr>
        <w:tab/>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 In the event of (a) the payment or prepayment (voluntary or otherwise) of any principal of</w:t>
      </w:r>
    </w:p>
    <w:p>
      <w:pPr>
        <w:spacing w:after="0" w:line="197" w:lineRule="auto"/>
        <w:rPr>
          <w:sz w:val="20"/>
          <w:szCs w:val="20"/>
          <w:color w:val="auto"/>
        </w:rPr>
      </w:pPr>
      <w:r>
        <w:rPr>
          <w:rFonts w:ascii="Times New Roman" w:cs="Times New Roman" w:eastAsia="Times New Roman" w:hAnsi="Times New Roman"/>
          <w:sz w:val="20"/>
          <w:szCs w:val="20"/>
          <w:color w:val="auto"/>
        </w:rPr>
        <w:t>any Term Benchmark Loan other than on the last day of an Interest Period applicable thereto (including as a result of an Event of Default),</w:t>
      </w:r>
    </w:p>
    <w:p>
      <w:pPr>
        <w:spacing w:after="0"/>
        <w:rPr>
          <w:sz w:val="20"/>
          <w:szCs w:val="20"/>
          <w:color w:val="auto"/>
        </w:rPr>
      </w:pPr>
      <w:r>
        <w:rPr>
          <w:rFonts w:ascii="Times New Roman" w:cs="Times New Roman" w:eastAsia="Times New Roman" w:hAnsi="Times New Roman"/>
          <w:sz w:val="20"/>
          <w:szCs w:val="20"/>
          <w:color w:val="auto"/>
        </w:rPr>
        <w:t>(b)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9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of any Term Benchmark Loan other than on the last day of the Interest Period applicable thereto, (c) the failure to borrow, convert, continue or prepay any Term Benchmark Loan on the date specified in any notice delivered pursuant hereto (regardless of whether such notice may be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revoked under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and is revoked in accordance therewith), or (d) the assignment of any Term Benchmark Loan other than on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last day of the Interest Period or maturity date applicable thereto as a result of a request by the Borrower pursuant to </w:t>
      </w:r>
      <w:r>
        <w:rPr>
          <w:rFonts w:ascii="Times New Roman" w:cs="Times New Roman" w:eastAsia="Times New Roman" w:hAnsi="Times New Roman"/>
          <w:sz w:val="19"/>
          <w:szCs w:val="19"/>
          <w:u w:val="single" w:color="auto"/>
          <w:color w:val="auto"/>
        </w:rPr>
        <w:t>Section 3.8</w:t>
      </w:r>
      <w:r>
        <w:rPr>
          <w:rFonts w:ascii="Times New Roman" w:cs="Times New Roman" w:eastAsia="Times New Roman" w:hAnsi="Times New Roman"/>
          <w:sz w:val="19"/>
          <w:szCs w:val="19"/>
          <w:color w:val="auto"/>
        </w:rPr>
        <w:t>, then, in any such event, the Borrower shall compensate each Lender for the loss, cost and expense attributable to such event. A certificate of any Lender</w:t>
      </w:r>
    </w:p>
    <w:p>
      <w:pPr>
        <w:spacing w:after="0" w:line="211" w:lineRule="auto"/>
        <w:rPr>
          <w:sz w:val="20"/>
          <w:szCs w:val="20"/>
          <w:color w:val="auto"/>
        </w:rPr>
      </w:pPr>
      <w:r>
        <w:rPr>
          <w:rFonts w:ascii="Times New Roman" w:cs="Times New Roman" w:eastAsia="Times New Roman" w:hAnsi="Times New Roman"/>
          <w:sz w:val="20"/>
          <w:szCs w:val="20"/>
          <w:color w:val="auto"/>
        </w:rPr>
        <w:t>setting forth any amount or amounts that such Lender is entitled to receive pursuant to this Section shall be delivered to the Borrower and</w:t>
      </w:r>
    </w:p>
    <w:p>
      <w:pPr>
        <w:ind w:right="20"/>
        <w:spacing w:after="0" w:line="221" w:lineRule="auto"/>
        <w:rPr>
          <w:sz w:val="20"/>
          <w:szCs w:val="20"/>
          <w:color w:val="auto"/>
        </w:rPr>
      </w:pPr>
      <w:r>
        <w:rPr>
          <w:rFonts w:ascii="Times New Roman" w:cs="Times New Roman" w:eastAsia="Times New Roman" w:hAnsi="Times New Roman"/>
          <w:sz w:val="20"/>
          <w:szCs w:val="20"/>
          <w:color w:val="auto"/>
        </w:rPr>
        <w:t>shall be conclusive absent manifest error. The Borrower shall pay such Lender the amount shown as due on any such certificate within 10 Business Days after receipt thereof.</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3.7.</w:t>
      </w:r>
      <w:r>
        <w:rPr>
          <w:sz w:val="20"/>
          <w:szCs w:val="20"/>
          <w:color w:val="auto"/>
        </w:rPr>
        <w:tab/>
      </w:r>
      <w:r>
        <w:rPr>
          <w:rFonts w:ascii="Times New Roman" w:cs="Times New Roman" w:eastAsia="Times New Roman" w:hAnsi="Times New Roman"/>
          <w:sz w:val="19"/>
          <w:szCs w:val="19"/>
          <w:u w:val="single" w:color="auto"/>
          <w:color w:val="auto"/>
        </w:rPr>
        <w:t>Withholding of Taxes; Gross-Up.</w:t>
      </w:r>
    </w:p>
    <w:p>
      <w:pPr>
        <w:spacing w:after="0" w:line="189" w:lineRule="exact"/>
        <w:rPr>
          <w:sz w:val="20"/>
          <w:szCs w:val="20"/>
          <w:color w:val="auto"/>
        </w:rPr>
      </w:pPr>
    </w:p>
    <w:p>
      <w:pPr>
        <w:jc w:val="both"/>
        <w:ind w:firstLine="1304"/>
        <w:spacing w:after="0" w:line="213" w:lineRule="auto"/>
        <w:tabs>
          <w:tab w:leader="none" w:pos="193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to be Free and Clear</w:t>
      </w:r>
      <w:r>
        <w:rPr>
          <w:rFonts w:ascii="Times New Roman" w:cs="Times New Roman" w:eastAsia="Times New Roman" w:hAnsi="Times New Roman"/>
          <w:sz w:val="20"/>
          <w:szCs w:val="20"/>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62"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w:t>
      </w:r>
      <w:r>
        <w:rPr>
          <w:rFonts w:ascii="Times New Roman" w:cs="Times New Roman" w:eastAsia="Times New Roman" w:hAnsi="Times New Roman"/>
          <w:sz w:val="20"/>
          <w:szCs w:val="20"/>
          <w:color w:val="auto"/>
        </w:rPr>
        <w:t>. The Borrower shall timely pay to the relevant Governmental Authority in accordance with applicable law, or at the option of the Administrative Agent timely reimburse it for, Other Taxes.</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each Recipient, within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5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Administrative Agent to setoff and apply any and all amounts at any time owing to such Lender under any Loan Document or otherwise payable by the Administrative Agent to the Lender from any other source against any amount due to the Administrative Agent under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11" w:lineRule="auto"/>
        <w:tabs>
          <w:tab w:leader="none" w:pos="259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3.7(f)(ii)(A)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189" w:lineRule="exact"/>
        <w:rPr>
          <w:sz w:val="20"/>
          <w:szCs w:val="20"/>
          <w:color w:val="auto"/>
        </w:rPr>
      </w:pPr>
    </w:p>
    <w:p>
      <w:pPr>
        <w:jc w:val="both"/>
        <w:ind w:left="1300" w:firstLine="652"/>
        <w:spacing w:after="0" w:line="222" w:lineRule="auto"/>
        <w:tabs>
          <w:tab w:leader="none" w:pos="258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16" w:lineRule="auto"/>
        <w:tabs>
          <w:tab w:leader="none" w:pos="3256"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162" w:lineRule="exact"/>
        <w:rPr>
          <w:rFonts w:ascii="Times New Roman" w:cs="Times New Roman" w:eastAsia="Times New Roman" w:hAnsi="Times New Roman"/>
          <w:sz w:val="20"/>
          <w:szCs w:val="20"/>
          <w:color w:val="auto"/>
        </w:rPr>
      </w:pPr>
    </w:p>
    <w:p>
      <w:pPr>
        <w:ind w:left="1960" w:firstLine="640"/>
        <w:spacing w:after="0"/>
        <w:tabs>
          <w:tab w:leader="none" w:pos="3256"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that its extension of credit will generate U.S. effectively connected income, an executed copy of IRS Form W-8ECI;</w:t>
      </w:r>
    </w:p>
    <w:p>
      <w:pPr>
        <w:spacing w:after="0" w:line="147" w:lineRule="exact"/>
        <w:rPr>
          <w:rFonts w:ascii="Times New Roman" w:cs="Times New Roman" w:eastAsia="Times New Roman" w:hAnsi="Times New Roman"/>
          <w:sz w:val="20"/>
          <w:szCs w:val="20"/>
          <w:color w:val="auto"/>
        </w:rPr>
      </w:pPr>
    </w:p>
    <w:p>
      <w:pPr>
        <w:ind w:left="1960" w:firstLine="640"/>
        <w:spacing w:after="0"/>
        <w:tabs>
          <w:tab w:leader="none" w:pos="3256"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95" w:lineRule="exact"/>
        <w:rPr>
          <w:sz w:val="20"/>
          <w:szCs w:val="20"/>
          <w:color w:val="auto"/>
        </w:rPr>
      </w:pPr>
    </w:p>
    <w:p>
      <w:pPr>
        <w:ind w:left="1960"/>
        <w:spacing w:after="0" w:line="215" w:lineRule="auto"/>
        <w:rPr>
          <w:sz w:val="20"/>
          <w:szCs w:val="20"/>
          <w:color w:val="auto"/>
        </w:rPr>
      </w:pPr>
      <w:r>
        <w:rPr>
          <w:rFonts w:ascii="Times New Roman" w:cs="Times New Roman" w:eastAsia="Times New Roman" w:hAnsi="Times New Roman"/>
          <w:sz w:val="20"/>
          <w:szCs w:val="20"/>
          <w:color w:val="auto"/>
        </w:rPr>
        <w:t xml:space="preserve">certificate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Borrower within the meaning of</w:t>
      </w:r>
    </w:p>
    <w:p>
      <w:pPr>
        <w:ind w:left="1960"/>
        <w:spacing w:after="0" w:line="212" w:lineRule="auto"/>
        <w:rPr>
          <w:sz w:val="20"/>
          <w:szCs w:val="20"/>
          <w:color w:val="auto"/>
        </w:rPr>
      </w:pPr>
      <w:r>
        <w:rPr>
          <w:rFonts w:ascii="Times New Roman" w:cs="Times New Roman" w:eastAsia="Times New Roman" w:hAnsi="Times New Roman"/>
          <w:sz w:val="20"/>
          <w:szCs w:val="20"/>
          <w:color w:val="auto"/>
        </w:rPr>
        <w:t>Section 881(h)(3)(B) of the Code, or a “controlled foreign corporation” described in Section 881(c)(3)(C) of the</w:t>
      </w:r>
    </w:p>
    <w:p>
      <w:pPr>
        <w:spacing w:after="0" w:line="1" w:lineRule="exact"/>
        <w:rPr>
          <w:sz w:val="20"/>
          <w:szCs w:val="20"/>
          <w:color w:val="auto"/>
        </w:rPr>
      </w:pPr>
    </w:p>
    <w:p>
      <w:pPr>
        <w:ind w:left="1960" w:right="20"/>
        <w:spacing w:after="0" w:line="221" w:lineRule="auto"/>
        <w:rPr>
          <w:sz w:val="20"/>
          <w:szCs w:val="20"/>
          <w:color w:val="auto"/>
        </w:rPr>
      </w:pPr>
      <w:r>
        <w:rPr>
          <w:rFonts w:ascii="Times New Roman" w:cs="Times New Roman" w:eastAsia="Times New Roman" w:hAnsi="Times New Roman"/>
          <w:sz w:val="20"/>
          <w:szCs w:val="20"/>
          <w:color w:val="auto"/>
        </w:rPr>
        <w:t>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an executed copy of IRS Form W-8BEN-E or IRS Form W-8BEN; or</w:t>
      </w:r>
    </w:p>
    <w:p>
      <w:pPr>
        <w:spacing w:after="0" w:line="162" w:lineRule="exact"/>
        <w:rPr>
          <w:sz w:val="20"/>
          <w:szCs w:val="20"/>
          <w:color w:val="auto"/>
        </w:rPr>
      </w:pPr>
    </w:p>
    <w:p>
      <w:pPr>
        <w:jc w:val="both"/>
        <w:ind w:left="1960" w:firstLine="640"/>
        <w:spacing w:after="0" w:line="215" w:lineRule="auto"/>
        <w:tabs>
          <w:tab w:leader="none" w:pos="3256" w:val="left"/>
        </w:tabs>
        <w:numPr>
          <w:ilvl w:val="3"/>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an executed copy of IRS Form W-8IMY, accompanied by IRS Form W-8ECI, IRS Form W-8BEN-E, IRS Form W-8BEN, a U.S. Tax Compliance Certificate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F-4</w:t>
      </w:r>
      <w:r>
        <w:rPr>
          <w:rFonts w:ascii="Times New Roman" w:cs="Times New Roman" w:eastAsia="Times New Roman" w:hAnsi="Times New Roman"/>
          <w:sz w:val="20"/>
          <w:szCs w:val="20"/>
          <w:color w:val="auto"/>
        </w:rPr>
        <w:t xml:space="preserve"> on behalf of each such direct and indirect partner;</w:t>
      </w:r>
    </w:p>
    <w:p>
      <w:pPr>
        <w:spacing w:after="0" w:line="150"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87"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 (C)(i)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2" w:lineRule="exact"/>
        <w:rPr>
          <w:rFonts w:ascii="Times New Roman" w:cs="Times New Roman" w:eastAsia="Times New Roman" w:hAnsi="Times New Roman"/>
          <w:sz w:val="20"/>
          <w:szCs w:val="20"/>
          <w:color w:val="auto"/>
        </w:rPr>
      </w:pPr>
    </w:p>
    <w:p>
      <w:pPr>
        <w:jc w:val="both"/>
        <w:ind w:firstLine="8"/>
        <w:spacing w:after="0" w:line="261" w:lineRule="auto"/>
        <w:tabs>
          <w:tab w:leader="none" w:pos="72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4"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 xml:space="preserve">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w:t>
      </w:r>
    </w:p>
    <w:p>
      <w:pPr>
        <w:spacing w:after="0" w:line="212" w:lineRule="auto"/>
        <w:rPr>
          <w:sz w:val="20"/>
          <w:szCs w:val="20"/>
          <w:color w:val="auto"/>
        </w:rPr>
      </w:pPr>
      <w:r>
        <w:rPr>
          <w:rFonts w:ascii="Times New Roman" w:cs="Times New Roman" w:eastAsia="Times New Roman" w:hAnsi="Times New Roman"/>
          <w:sz w:val="20"/>
          <w:szCs w:val="20"/>
          <w:color w:val="auto"/>
        </w:rPr>
        <w:t>indemnified party is required to repay such refund to such Governmental Authority. Notwithstanding anything to the contrary in this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xml:space="preserve">, in no event will the indemnified party be required to pay any amount to an indemnifying party pursuant to this </w:t>
      </w: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xml:space="preserve"> the payment of which would place the indemnified party in a less favorable net after-tax position than the indemnified party would have been</w:t>
      </w:r>
    </w:p>
    <w:p>
      <w:pPr>
        <w:spacing w:after="0" w:line="211" w:lineRule="auto"/>
        <w:rPr>
          <w:sz w:val="20"/>
          <w:szCs w:val="20"/>
          <w:color w:val="auto"/>
        </w:rPr>
      </w:pPr>
      <w:r>
        <w:rPr>
          <w:rFonts w:ascii="Times New Roman" w:cs="Times New Roman" w:eastAsia="Times New Roman" w:hAnsi="Times New Roman"/>
          <w:sz w:val="20"/>
          <w:szCs w:val="20"/>
          <w:color w:val="auto"/>
        </w:rPr>
        <w:t>in if the Tax subject to indemnification and giving rise to such refund had not been deducted, withheld or otherwise imposed and the</w:t>
      </w:r>
    </w:p>
    <w:p>
      <w:pPr>
        <w:spacing w:after="0" w:line="215" w:lineRule="auto"/>
        <w:rPr>
          <w:sz w:val="20"/>
          <w:szCs w:val="20"/>
          <w:color w:val="auto"/>
        </w:rPr>
      </w:pPr>
      <w:r>
        <w:rPr>
          <w:rFonts w:ascii="Times New Roman" w:cs="Times New Roman" w:eastAsia="Times New Roman" w:hAnsi="Times New Roman"/>
          <w:sz w:val="19"/>
          <w:szCs w:val="19"/>
          <w:color w:val="auto"/>
        </w:rPr>
        <w:t>indemnification payments or additional amounts with respect to such Tax had never been paid. This paragraph shall not be construed to require any indemnified party to make available its tax returns (or any other information relating to its taxes that it deems confidential) to the</w:t>
      </w:r>
    </w:p>
    <w:p>
      <w:pPr>
        <w:spacing w:after="0"/>
        <w:rPr>
          <w:sz w:val="20"/>
          <w:szCs w:val="20"/>
          <w:color w:val="auto"/>
        </w:rPr>
      </w:pPr>
      <w:r>
        <w:rPr>
          <w:rFonts w:ascii="Times New Roman" w:cs="Times New Roman" w:eastAsia="Times New Roman" w:hAnsi="Times New Roman"/>
          <w:sz w:val="20"/>
          <w:szCs w:val="20"/>
          <w:color w:val="auto"/>
        </w:rPr>
        <w:t>indemnifying party or any other Person.</w:t>
      </w:r>
    </w:p>
    <w:p>
      <w:pPr>
        <w:spacing w:after="0" w:line="167" w:lineRule="exact"/>
        <w:rPr>
          <w:sz w:val="20"/>
          <w:szCs w:val="20"/>
          <w:color w:val="auto"/>
        </w:rPr>
      </w:pPr>
    </w:p>
    <w:p>
      <w:pPr>
        <w:jc w:val="both"/>
        <w:ind w:firstLine="1304"/>
        <w:spacing w:after="0" w:line="226" w:lineRule="auto"/>
        <w:tabs>
          <w:tab w:leader="none" w:pos="193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4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the term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includes any Issuing Bank and the term “</w:t>
      </w:r>
      <w:r>
        <w:rPr>
          <w:rFonts w:ascii="Times New Roman" w:cs="Times New Roman" w:eastAsia="Times New Roman" w:hAnsi="Times New Roman"/>
          <w:sz w:val="20"/>
          <w:szCs w:val="20"/>
          <w:u w:val="single" w:color="auto"/>
          <w:color w:val="auto"/>
        </w:rPr>
        <w:t>applicable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includes FATCA.</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3.8.</w:t>
      </w:r>
      <w:r>
        <w:rPr>
          <w:sz w:val="20"/>
          <w:szCs w:val="20"/>
          <w:color w:val="auto"/>
        </w:rPr>
        <w:tab/>
      </w:r>
      <w:r>
        <w:rPr>
          <w:rFonts w:ascii="Times New Roman" w:cs="Times New Roman" w:eastAsia="Times New Roman" w:hAnsi="Times New Roman"/>
          <w:sz w:val="19"/>
          <w:szCs w:val="19"/>
          <w:u w:val="single" w:color="auto"/>
          <w:color w:val="auto"/>
        </w:rPr>
        <w:t>Mitigation Obligations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5" w:lineRule="auto"/>
        <w:tabs>
          <w:tab w:leader="none" w:pos="193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In the event that the Borrower becomes obligated to pay additional amounts to any Lender (or to any Governmental Authority for the account of any Lender)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0" w:lineRule="exact"/>
        <w:rPr>
          <w:rFonts w:ascii="Times New Roman" w:cs="Times New Roman" w:eastAsia="Times New Roman" w:hAnsi="Times New Roman"/>
          <w:sz w:val="20"/>
          <w:szCs w:val="20"/>
          <w:color w:val="auto"/>
        </w:rPr>
      </w:pPr>
    </w:p>
    <w:p>
      <w:pPr>
        <w:jc w:val="both"/>
        <w:ind w:firstLine="1304"/>
        <w:spacing w:after="0" w:line="209" w:lineRule="auto"/>
        <w:tabs>
          <w:tab w:leader="none" w:pos="193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In the event that (i) the Borrower becomes obligated to pay additional amounts to any Lender (or to any Governmental Authority for the account of any Lender)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(ii) any Lender becomes a Defaulting Lender, or (iii) any Lender has failed to consent to a proposed amendment, waiver, discharge or termination that under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requires the consent of all the Lenders and with respect to which the Required Lenders shall have granted their consent, then the Borrower may, at its sole cost and expense, within 60 days of the demand by such Lender for such additional amounts or the relevant default or action or inaction by such Lender, as the case may be, and subject to and in accordance with the provisions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(with the Borrower obligated to pay any applicable processing and recordation fee), designate an Eligible Assignee (acceptable to the Administrative Agent and the Issuing Banks) to purchase and assume all of such Lender’s interests, rights and obligations under the Loan Documents, without recourse to or warranty by or expense to, such Lender, for a purchase price equal to the outstanding principal amount of such Lender’s Loans plus any accrued but unpaid interest thereon and accrued but unpaid facility fees and letter of credit fees in respect of such Lender’s Commitment and any other amounts payable to such Lender hereunder, and to assume all the obligations of such Lender hereunder, and, upon such purchase, such Lender shall no longer be a party hereto or have any rights hereunder (except those that survive full repayment hereunder) and shall be relieved from all obligations to the Borrower hereunder, and the Eligible Assignee shall succeed to the rights and obligations of such Lender hereunder. No replacement of a Defaulting Lender pursuant to this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shall be deemed to be a waiver of any right that the Borrower, the Administrative Agent, the Issuing Banks or any other Lender may have against such Defaulting Lender. Upon request, the Borrower shall execute and deliver to such Eligible Assignee a Note. Notwithstanding anything herein to the contrary, in the event that a Lender is replaced pursuant to this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 xml:space="preserve">result of the Borrower becoming obligated to pay additional amounts to such Lender (or to any Governmental Authority for the account of any Lender)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such Lender shall be entitled to receive such additional amounts as if it had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not been so replaced, except as otherwise provided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if such Lender becomes a Defaulting Lender.</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3.9.</w:t>
      </w:r>
      <w:r>
        <w:rPr>
          <w:sz w:val="20"/>
          <w:szCs w:val="20"/>
          <w:color w:val="auto"/>
        </w:rPr>
        <w:tab/>
      </w:r>
      <w:r>
        <w:rPr>
          <w:rFonts w:ascii="Times New Roman" w:cs="Times New Roman" w:eastAsia="Times New Roman" w:hAnsi="Times New Roman"/>
          <w:sz w:val="19"/>
          <w:szCs w:val="19"/>
          <w:u w:val="single" w:color="auto"/>
          <w:color w:val="auto"/>
        </w:rPr>
        <w:t>EEA Financial Institutions</w:t>
      </w:r>
      <w:r>
        <w:rPr>
          <w:rFonts w:ascii="Times New Roman" w:cs="Times New Roman" w:eastAsia="Times New Roman" w:hAnsi="Times New Roman"/>
          <w:sz w:val="19"/>
          <w:szCs w:val="19"/>
          <w:color w:val="auto"/>
        </w:rPr>
        <w:t>. The Borrower is not an EEA Financial Institution.</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Plan Assets; Prohibited Transactions</w:t>
      </w:r>
      <w:r>
        <w:rPr>
          <w:rFonts w:ascii="Times New Roman" w:cs="Times New Roman" w:eastAsia="Times New Roman" w:hAnsi="Times New Roman"/>
          <w:sz w:val="20"/>
          <w:szCs w:val="20"/>
          <w:color w:val="auto"/>
        </w:rPr>
        <w:t>. None of the Borrower or any of its Subsidiaries is an entity deemed to hold “plan assets” (within the meaning of the Plan Asset Regulations), and neither the execution, delivery nor performance of the transactions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contemplated under this Agreement, including the making of any Loan and the issuance of any Letter of Credit hereunder, will give rise to a non-exempt prohibited transaction under Section 406 of ERISA or Section 4975 of the Code.</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4.</w:t>
      </w:r>
    </w:p>
    <w:p>
      <w:pPr>
        <w:spacing w:after="0" w:line="1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represents and warrants to the Credit Parties that:</w:t>
      </w:r>
    </w:p>
    <w:p>
      <w:pPr>
        <w:spacing w:after="0" w:line="202"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4.1. </w:t>
      </w:r>
      <w:r>
        <w:rPr>
          <w:rFonts w:ascii="Times New Roman" w:cs="Times New Roman" w:eastAsia="Times New Roman" w:hAnsi="Times New Roman"/>
          <w:sz w:val="19"/>
          <w:szCs w:val="19"/>
          <w:u w:val="single" w:color="auto"/>
          <w:color w:val="auto"/>
        </w:rPr>
        <w:t>Organization; Powers</w:t>
      </w:r>
      <w:r>
        <w:rPr>
          <w:rFonts w:ascii="Times New Roman" w:cs="Times New Roman" w:eastAsia="Times New Roman" w:hAnsi="Times New Roman"/>
          <w:sz w:val="19"/>
          <w:szCs w:val="19"/>
          <w:color w:val="auto"/>
        </w:rPr>
        <w:t>. Each of the Borrower and each Subsidiary is duly organized or formed, validly existing and in good standing under the laws of the jurisdiction of its organization or formation, has all requisite corporate power and authority to carry on its</w:t>
      </w:r>
    </w:p>
    <w:p>
      <w:pPr>
        <w:spacing w:after="0" w:line="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9"/>
          <w:szCs w:val="19"/>
          <w:color w:val="auto"/>
        </w:rPr>
        <w:t>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4.2.</w:t>
      </w:r>
      <w:r>
        <w:rPr>
          <w:sz w:val="20"/>
          <w:szCs w:val="20"/>
          <w:color w:val="auto"/>
        </w:rPr>
        <w:tab/>
      </w:r>
      <w:r>
        <w:rPr>
          <w:rFonts w:ascii="Times New Roman" w:cs="Times New Roman" w:eastAsia="Times New Roman" w:hAnsi="Times New Roman"/>
          <w:sz w:val="19"/>
          <w:szCs w:val="19"/>
          <w:u w:val="single" w:color="auto"/>
          <w:color w:val="auto"/>
        </w:rPr>
        <w:t>Authorization; Enforceability</w:t>
      </w:r>
      <w:r>
        <w:rPr>
          <w:rFonts w:ascii="Times New Roman" w:cs="Times New Roman" w:eastAsia="Times New Roman" w:hAnsi="Times New Roman"/>
          <w:sz w:val="19"/>
          <w:szCs w:val="19"/>
          <w:color w:val="auto"/>
        </w:rPr>
        <w:t>. The Transactions are within the corporate powers of the Borrower and have been duly</w:t>
      </w:r>
    </w:p>
    <w:p>
      <w:pPr>
        <w:spacing w:after="0" w:line="204" w:lineRule="auto"/>
        <w:rPr>
          <w:sz w:val="20"/>
          <w:szCs w:val="20"/>
          <w:color w:val="auto"/>
        </w:rPr>
      </w:pPr>
      <w:r>
        <w:rPr>
          <w:rFonts w:ascii="Times New Roman" w:cs="Times New Roman" w:eastAsia="Times New Roman" w:hAnsi="Times New Roman"/>
          <w:sz w:val="20"/>
          <w:szCs w:val="20"/>
          <w:color w:val="auto"/>
        </w:rPr>
        <w:t>authorized by all necessary corporate and, if required, equity holder action. Each Loan Document has been duly executed and delivered by the Borrower and constitutes a legal, valid and binding obligation thereof, enforceable in accordance with its terms, subject to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bankruptcy, insolvency, reorganization, moratorium or other similar laws affecting creditors’ rights generally and general principles of equity.</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4.3.</w:t>
      </w:r>
      <w:r>
        <w:rPr>
          <w:sz w:val="20"/>
          <w:szCs w:val="20"/>
          <w:color w:val="auto"/>
        </w:rPr>
        <w:tab/>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20" w:lineRule="auto"/>
        <w:tabs>
          <w:tab w:leader="none" w:pos="193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the Borrower of the Loan Documents and the borrowing of the Loans and the issuance of the Letters of Credit do 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will not (i) violate the charter, by-laws or other organizational documents of the Borrower, (ii) violate any applicable law or regulation or any order of any Governmental Authority, (iii) violate or result in a default under any material indenture, agreement or other instrument binding upon the Borrower or its assets, or give rise to a right thereunder to require any payment to be made by the Borrower, and (iv) result in or require the creation or imposition of any Lien on any asset of the Borrower.</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4.4.</w:t>
      </w:r>
      <w:r>
        <w:rPr>
          <w:sz w:val="20"/>
          <w:szCs w:val="20"/>
          <w:color w:val="auto"/>
        </w:rPr>
        <w:tab/>
      </w:r>
      <w:r>
        <w:rPr>
          <w:rFonts w:ascii="Times New Roman" w:cs="Times New Roman" w:eastAsia="Times New Roman" w:hAnsi="Times New Roman"/>
          <w:sz w:val="19"/>
          <w:szCs w:val="19"/>
          <w:u w:val="single" w:color="auto"/>
          <w:color w:val="auto"/>
        </w:rPr>
        <w:t>Financial Condition; No Material Adverse Change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previously delivered to the Credit Parties copies of (i) its Form 10-K for the fiscal year ended December 31, 2017, containing the audited consolidated balance sheet of the Borrower and its Subsidiaries and the related audited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95"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operations, comprehensive income, changes in stockholders’ equity and cash flows for the fiscal year ending December 31, 2017 (including with the applicable related notes and schedules, the “</w:t>
      </w:r>
      <w:r>
        <w:rPr>
          <w:rFonts w:ascii="Times New Roman" w:cs="Times New Roman" w:eastAsia="Times New Roman" w:hAnsi="Times New Roman"/>
          <w:sz w:val="20"/>
          <w:szCs w:val="20"/>
          <w:u w:val="single" w:color="auto"/>
          <w:color w:val="auto"/>
        </w:rPr>
        <w:t>Borrower Financial Statements</w:t>
      </w:r>
      <w:r>
        <w:rPr>
          <w:rFonts w:ascii="Times New Roman" w:cs="Times New Roman" w:eastAsia="Times New Roman" w:hAnsi="Times New Roman"/>
          <w:sz w:val="20"/>
          <w:szCs w:val="20"/>
          <w:color w:val="auto"/>
        </w:rPr>
        <w:t>”), and (ii) the unaudited consolidated balance sheet of</w:t>
      </w:r>
    </w:p>
    <w:p>
      <w:pPr>
        <w:spacing w:after="0" w:line="212" w:lineRule="auto"/>
        <w:rPr>
          <w:sz w:val="20"/>
          <w:szCs w:val="20"/>
          <w:color w:val="auto"/>
        </w:rPr>
      </w:pPr>
      <w:r>
        <w:rPr>
          <w:rFonts w:ascii="Times New Roman" w:cs="Times New Roman" w:eastAsia="Times New Roman" w:hAnsi="Times New Roman"/>
          <w:sz w:val="20"/>
          <w:szCs w:val="20"/>
          <w:color w:val="auto"/>
        </w:rPr>
        <w:t>the Borrower and its Subsidiaries and the related unaudited consolidated statements of income, equity and cash flows for the fiscal quarter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ended September 30, 2018. All such financial statements have been prepared in accordance with GAAP and fairly present in all material respects the consolidated financial condition and results of the operations of the Borrower and its Subsidiaries as of the dates and for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periods indicated therein (subject, in the case of unaudited financial statements, to the absence of footnotes and to normal, year end audit adjustments).</w:t>
      </w:r>
    </w:p>
    <w:p>
      <w:pPr>
        <w:spacing w:after="0" w:line="149" w:lineRule="exact"/>
        <w:rPr>
          <w:sz w:val="20"/>
          <w:szCs w:val="20"/>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2017, there has been no Material Adverse Change.</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4.5.</w:t>
      </w:r>
      <w:r>
        <w:rPr>
          <w:sz w:val="20"/>
          <w:szCs w:val="20"/>
          <w:color w:val="auto"/>
        </w:rPr>
        <w:tab/>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There are no actions, suits or proceedings by or before any arbitrator or Governmental Authority pending</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against or, to the knowledge of the Borrower, threatened in writing against or affecting the Borrower or any Subsidiary that (a) if adversely determined (and provided that there exists a reasonable possibility of such adverse determination), would reasonably be expected,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individually or in the aggregate, to result in a Material Adverse Effect, except for any Disclosed Matters, and except that the commencement by the Borrower, any Subsidiary or any Governmental Authority of a rate proceeding, fuel adjustment clause audit or earnings review before</w:t>
      </w:r>
    </w:p>
    <w:p>
      <w:pPr>
        <w:spacing w:after="0" w:line="222" w:lineRule="auto"/>
        <w:rPr>
          <w:sz w:val="20"/>
          <w:szCs w:val="20"/>
          <w:color w:val="auto"/>
        </w:rPr>
      </w:pPr>
      <w:r>
        <w:rPr>
          <w:rFonts w:ascii="Times New Roman" w:cs="Times New Roman" w:eastAsia="Times New Roman" w:hAnsi="Times New Roman"/>
          <w:sz w:val="19"/>
          <w:szCs w:val="19"/>
          <w:color w:val="auto"/>
        </w:rPr>
        <w:t>such Governmental Authority shall not constitute such a pending or threatened action, suit or proceeding unless and until such Governmental</w:t>
      </w:r>
    </w:p>
    <w:p>
      <w:pPr>
        <w:spacing w:after="0" w:line="221" w:lineRule="auto"/>
        <w:rPr>
          <w:sz w:val="20"/>
          <w:szCs w:val="20"/>
          <w:color w:val="auto"/>
        </w:rPr>
      </w:pPr>
      <w:r>
        <w:rPr>
          <w:rFonts w:ascii="Times New Roman" w:cs="Times New Roman" w:eastAsia="Times New Roman" w:hAnsi="Times New Roman"/>
          <w:sz w:val="20"/>
          <w:szCs w:val="20"/>
          <w:color w:val="auto"/>
        </w:rPr>
        <w:t>Authority has made a final determination thereunder that would reasonably be expected to have a Material Adverse Effect, or (b) involve any Loan Document or the Transactions.</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4.6.</w:t>
      </w:r>
      <w:r>
        <w:rPr>
          <w:sz w:val="20"/>
          <w:szCs w:val="20"/>
          <w:color w:val="auto"/>
        </w:rPr>
        <w:tab/>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Except for the Disclosed Matters, the Borrower and its Subsidiaries (a) are in compliance</w:t>
      </w:r>
    </w:p>
    <w:p>
      <w:pPr>
        <w:spacing w:after="0" w:line="215" w:lineRule="auto"/>
        <w:rPr>
          <w:sz w:val="20"/>
          <w:szCs w:val="20"/>
          <w:color w:val="auto"/>
        </w:rPr>
      </w:pPr>
      <w:r>
        <w:rPr>
          <w:rFonts w:ascii="Times New Roman" w:cs="Times New Roman" w:eastAsia="Times New Roman" w:hAnsi="Times New Roman"/>
          <w:sz w:val="19"/>
          <w:szCs w:val="19"/>
          <w:color w:val="auto"/>
        </w:rPr>
        <w:t>with Environmental Law, (b) have received all permits, licenses or other approvals required of them under applicable Environmental Law to conduct their respective businesses and (c) are in compliance with all terms and conditions of any such permit, license, or approval, except, in</w:t>
      </w:r>
    </w:p>
    <w:p>
      <w:pPr>
        <w:spacing w:after="0"/>
        <w:rPr>
          <w:sz w:val="20"/>
          <w:szCs w:val="20"/>
          <w:color w:val="auto"/>
        </w:rPr>
      </w:pPr>
      <w:r>
        <w:rPr>
          <w:rFonts w:ascii="Times New Roman" w:cs="Times New Roman" w:eastAsia="Times New Roman" w:hAnsi="Times New Roman"/>
          <w:sz w:val="20"/>
          <w:szCs w:val="20"/>
          <w:color w:val="auto"/>
        </w:rPr>
        <w:t>each case, such as could not reasonably be expected to result in a Material Adverse Effect.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4.7.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Neither the Borrower nor any Subsidiary is an “investment company” or a company “controlled” by an “investment company” as defined in, or is otherwise subject to regulation under, the Investment Company Act of 1940.</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4.8.</w:t>
      </w:r>
      <w:r>
        <w:rPr>
          <w:sz w:val="20"/>
          <w:szCs w:val="20"/>
          <w:color w:val="auto"/>
        </w:rPr>
        <w:tab/>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Each of the Borrower and each of its ERISA Affiliates is in compliance in all material respects with the</w:t>
      </w:r>
    </w:p>
    <w:p>
      <w:pPr>
        <w:spacing w:after="0" w:line="215" w:lineRule="auto"/>
        <w:rPr>
          <w:sz w:val="20"/>
          <w:szCs w:val="20"/>
          <w:color w:val="auto"/>
        </w:rPr>
      </w:pPr>
      <w:r>
        <w:rPr>
          <w:rFonts w:ascii="Times New Roman" w:cs="Times New Roman" w:eastAsia="Times New Roman" w:hAnsi="Times New Roman"/>
          <w:sz w:val="19"/>
          <w:szCs w:val="19"/>
          <w:color w:val="auto"/>
        </w:rPr>
        <w:t>applicable provisions of ERISA and the Code and the regulations and published interpretations thereunder except for any such failure that, individually or in the aggregate, could not reasonably be expected to result in a Material Adverse Effect. No ERISA Event has occurred or is</w:t>
      </w:r>
    </w:p>
    <w:p>
      <w:pPr>
        <w:spacing w:after="0" w:line="228" w:lineRule="auto"/>
        <w:rPr>
          <w:sz w:val="20"/>
          <w:szCs w:val="20"/>
          <w:color w:val="auto"/>
        </w:rPr>
      </w:pPr>
      <w:r>
        <w:rPr>
          <w:rFonts w:ascii="Times New Roman" w:cs="Times New Roman" w:eastAsia="Times New Roman" w:hAnsi="Times New Roman"/>
          <w:sz w:val="20"/>
          <w:szCs w:val="20"/>
          <w:color w:val="auto"/>
        </w:rPr>
        <w:t>reasonably expected to occur that, when taken together with all other such ERISA Events for which liability is reasonably expected to occur, would reasonably be expected to result in a Material Adverse Effect.</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4.9.</w:t>
      </w:r>
      <w:r>
        <w:rPr>
          <w:sz w:val="20"/>
          <w:szCs w:val="20"/>
          <w:color w:val="auto"/>
        </w:rPr>
        <w:tab/>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5" w:lineRule="auto"/>
        <w:tabs>
          <w:tab w:leader="none" w:pos="193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reports, financial statements, certificates or other information furnished by or on behalf of the Borrower or any Subsidiary to any Credit Party in connection with the negotiation of, or delivered under any Loan Document when taken as a whole (as modified or supplemented by other information so furnished) contains any material misstatement of fact or omits to state any material fact necessary to make the statements therein, in the light of the circumstances under which they were made, not materially misleading, provided that, to the extent any such reports, financial statements, certificates or other information was based upon or constitutes a forecast or a projection (including statements concerning future financial performance, ongoing business strategies or prospects or possible future actions, and other forward-looking statements), the Borrower represents only that such information was prepared in good faith based upon assumptions believed to be reasonable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50</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95" w:lineRule="exact"/>
        <w:rPr>
          <w:sz w:val="20"/>
          <w:szCs w:val="20"/>
          <w:color w:val="auto"/>
        </w:rPr>
      </w:pPr>
    </w:p>
    <w:p>
      <w:pPr>
        <w:jc w:val="both"/>
        <w:ind w:right="20" w:firstLine="1304"/>
        <w:spacing w:after="0" w:line="226" w:lineRule="auto"/>
        <w:tabs>
          <w:tab w:leader="none" w:pos="193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6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4.10.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As of the Second Amendment Effective Date, the Borrower has only the Subsidiaries set forth on </w:t>
      </w:r>
      <w:r>
        <w:rPr>
          <w:rFonts w:ascii="Times New Roman" w:cs="Times New Roman" w:eastAsia="Times New Roman" w:hAnsi="Times New Roman"/>
          <w:sz w:val="20"/>
          <w:szCs w:val="20"/>
          <w:u w:val="single" w:color="auto"/>
          <w:color w:val="auto"/>
        </w:rPr>
        <w:t>Schedule 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4.10</w:t>
      </w:r>
      <w:r>
        <w:rPr>
          <w:rFonts w:ascii="Times New Roman" w:cs="Times New Roman" w:eastAsia="Times New Roman" w:hAnsi="Times New Roman"/>
          <w:sz w:val="20"/>
          <w:szCs w:val="20"/>
          <w:color w:val="auto"/>
        </w:rPr>
        <w:t xml:space="preserve"> sets forth with respect to each Subsidiary, the identity of each Person that owns Equity Interests in such</w:t>
      </w:r>
    </w:p>
    <w:p>
      <w:pPr>
        <w:spacing w:after="0" w:line="212" w:lineRule="auto"/>
        <w:rPr>
          <w:sz w:val="20"/>
          <w:szCs w:val="20"/>
          <w:color w:val="auto"/>
        </w:rPr>
      </w:pPr>
      <w:r>
        <w:rPr>
          <w:rFonts w:ascii="Times New Roman" w:cs="Times New Roman" w:eastAsia="Times New Roman" w:hAnsi="Times New Roman"/>
          <w:sz w:val="20"/>
          <w:szCs w:val="20"/>
          <w:color w:val="auto"/>
        </w:rPr>
        <w:t>Subsidiary and the percentage of the issued and outstanding Equity Interests owned by each such Person. The shares of each Subsidiary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(excluding any Immaterial Subsidiary) are duly authorized, validly issued, fully paid and non assessable and are owned free and clear of any Liens, other than Liens permitted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4.11.</w:t>
      </w:r>
      <w:r>
        <w:rPr>
          <w:sz w:val="20"/>
          <w:szCs w:val="20"/>
          <w:color w:val="auto"/>
        </w:rPr>
        <w:tab/>
      </w:r>
      <w:r>
        <w:rPr>
          <w:rFonts w:ascii="Times New Roman" w:cs="Times New Roman" w:eastAsia="Times New Roman" w:hAnsi="Times New Roman"/>
          <w:sz w:val="19"/>
          <w:szCs w:val="19"/>
          <w:u w:val="single" w:color="auto"/>
          <w:color w:val="auto"/>
        </w:rPr>
        <w:t>Use of Proceeds; Federal Reserve Regulations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1304"/>
        <w:spacing w:after="0" w:line="233" w:lineRule="auto"/>
        <w:tabs>
          <w:tab w:leader="none" w:pos="193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Loans and the Letters of Credit will be used for general corporate purposes not inconsistent with the terms hereof, including liquidity support for the Borrower’s commercial paper program.</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Subsidiary is engaged principally, or as one of their important activities, in the business of extending credit for the purpose of buying or carrying Margin Stock. Immediately before and after giving effect to the making of each Loan and the issuance of each Letter of Credit, Margin Stock will constitute less than 25% of the Borrower’s assets as determined in accordance with Regulation U.</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any Loan or any Letter of Credit will be used, whether directly or indirectly, and whether immediately, incidentally or ultimately, (i) to purchase, acquire or carry any Margin Stock (other than any purchase of Equity Interests in the Borrower so long as such Equity Interests are retired immediately upon the purchase thereof) or for any purpose that entails a violation of, or that is inconsistent with, the provisions of the regulations of the Board, including Regulation T, U or X or (ii) to fund a personal loan to or for the benefit of a director or executive officer of the Borrower or any Subsidiary.</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4.12. </w:t>
      </w:r>
      <w:r>
        <w:rPr>
          <w:rFonts w:ascii="Times New Roman" w:cs="Times New Roman" w:eastAsia="Times New Roman" w:hAnsi="Times New Roman"/>
          <w:sz w:val="20"/>
          <w:szCs w:val="20"/>
          <w:u w:val="single" w:color="auto"/>
          <w:color w:val="auto"/>
        </w:rPr>
        <w:t>Anti-Money Laundering and Anti-Terrorism Finance Laws</w:t>
      </w:r>
      <w:r>
        <w:rPr>
          <w:rFonts w:ascii="Times New Roman" w:cs="Times New Roman" w:eastAsia="Times New Roman" w:hAnsi="Times New Roman"/>
          <w:sz w:val="20"/>
          <w:szCs w:val="20"/>
          <w:color w:val="auto"/>
        </w:rPr>
        <w:t>. The Borrower has implemented and maintains in effect policies and procedures designed to ensure compliance by the Borrower, its Subsidiaries and their respective directors, officers, employees</w:t>
      </w:r>
    </w:p>
    <w:p>
      <w:pPr>
        <w:spacing w:after="0" w:line="212" w:lineRule="auto"/>
        <w:rPr>
          <w:sz w:val="20"/>
          <w:szCs w:val="20"/>
          <w:color w:val="auto"/>
        </w:rPr>
      </w:pPr>
      <w:r>
        <w:rPr>
          <w:rFonts w:ascii="Times New Roman" w:cs="Times New Roman" w:eastAsia="Times New Roman" w:hAnsi="Times New Roman"/>
          <w:sz w:val="20"/>
          <w:szCs w:val="20"/>
          <w:color w:val="auto"/>
        </w:rPr>
        <w:t>and agents with Anti-Corruption Laws. To the extent applicable, Borrower is in compliance, in all material respects, with Anti-Corruption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Laws, anti-money laundering laws and anti-terrorism finance laws including the Bank Secrecy Act and the PATRIOT Act (the “</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4.13.</w:t>
      </w:r>
      <w:r>
        <w:rPr>
          <w:sz w:val="20"/>
          <w:szCs w:val="20"/>
          <w:color w:val="auto"/>
        </w:rPr>
        <w:tab/>
      </w:r>
      <w:r>
        <w:rPr>
          <w:rFonts w:ascii="Times New Roman" w:cs="Times New Roman" w:eastAsia="Times New Roman" w:hAnsi="Times New Roman"/>
          <w:sz w:val="20"/>
          <w:szCs w:val="20"/>
          <w:u w:val="single" w:color="auto"/>
          <w:color w:val="auto"/>
        </w:rPr>
        <w:t>Foreign Corrupt Practices Act</w:t>
      </w:r>
      <w:r>
        <w:rPr>
          <w:rFonts w:ascii="Times New Roman" w:cs="Times New Roman" w:eastAsia="Times New Roman" w:hAnsi="Times New Roman"/>
          <w:sz w:val="20"/>
          <w:szCs w:val="20"/>
          <w:color w:val="auto"/>
        </w:rPr>
        <w:t>. No part of the proceeds of the Loans or Letters of Credit shall be used, directly or</w:t>
      </w:r>
    </w:p>
    <w:p>
      <w:pPr>
        <w:spacing w:after="0" w:line="215" w:lineRule="auto"/>
        <w:rPr>
          <w:sz w:val="20"/>
          <w:szCs w:val="20"/>
          <w:color w:val="auto"/>
        </w:rPr>
      </w:pPr>
      <w:r>
        <w:rPr>
          <w:rFonts w:ascii="Times New Roman" w:cs="Times New Roman" w:eastAsia="Times New Roman" w:hAnsi="Times New Roman"/>
          <w:sz w:val="19"/>
          <w:szCs w:val="19"/>
          <w:color w:val="auto"/>
        </w:rPr>
        <w:t>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w:t>
      </w:r>
    </w:p>
    <w:p>
      <w:pPr>
        <w:spacing w:after="0"/>
        <w:rPr>
          <w:sz w:val="20"/>
          <w:szCs w:val="20"/>
          <w:color w:val="auto"/>
        </w:rPr>
      </w:pPr>
      <w:r>
        <w:rPr>
          <w:rFonts w:ascii="Times New Roman" w:cs="Times New Roman" w:eastAsia="Times New Roman" w:hAnsi="Times New Roman"/>
          <w:sz w:val="20"/>
          <w:szCs w:val="20"/>
          <w:color w:val="auto"/>
        </w:rPr>
        <w:t>of the United States Foreign Corrupt Practices Act of 1977.</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4.14. </w:t>
      </w:r>
      <w:r>
        <w:rPr>
          <w:rFonts w:ascii="Times New Roman" w:cs="Times New Roman" w:eastAsia="Times New Roman" w:hAnsi="Times New Roman"/>
          <w:sz w:val="20"/>
          <w:szCs w:val="20"/>
          <w:u w:val="single" w:color="auto"/>
          <w:color w:val="auto"/>
        </w:rPr>
        <w:t>Sanctions Laws</w:t>
      </w:r>
      <w:r>
        <w:rPr>
          <w:rFonts w:ascii="Times New Roman" w:cs="Times New Roman" w:eastAsia="Times New Roman" w:hAnsi="Times New Roman"/>
          <w:sz w:val="20"/>
          <w:szCs w:val="20"/>
          <w:color w:val="auto"/>
        </w:rPr>
        <w:t>. Neither the Borrower nor, to the knowledge of the Borrower, any Affiliate or broker or other agent of the Borrower acting or benefiting in any capacity in connection with the Loans or Letters of Credit, is any of the following (a “</w:t>
      </w:r>
      <w:r>
        <w:rPr>
          <w:rFonts w:ascii="Times New Roman" w:cs="Times New Roman" w:eastAsia="Times New Roman" w:hAnsi="Times New Roman"/>
          <w:sz w:val="20"/>
          <w:szCs w:val="20"/>
          <w:u w:val="single" w:color="auto"/>
          <w:color w:val="auto"/>
        </w:rPr>
        <w:t>Restricted</w:t>
      </w:r>
    </w:p>
    <w:p>
      <w:pPr>
        <w:spacing w:after="0" w:line="212" w:lineRule="auto"/>
        <w:rPr>
          <w:sz w:val="20"/>
          <w:szCs w:val="20"/>
          <w:color w:val="auto"/>
        </w:rPr>
      </w:pP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(i) a Person that is listed in the annex to, or is otherwise subject to the provisions of, Executive Order No. 13224 on Terrorist</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Financing, effective September 24, 2001; (ii) 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at its official website or any replacement</w:t>
      </w:r>
    </w:p>
    <w:p>
      <w:pPr>
        <w:spacing w:after="0" w:line="211" w:lineRule="auto"/>
        <w:rPr>
          <w:sz w:val="20"/>
          <w:szCs w:val="20"/>
          <w:color w:val="auto"/>
        </w:rPr>
      </w:pPr>
      <w:r>
        <w:rPr>
          <w:rFonts w:ascii="Times New Roman" w:cs="Times New Roman" w:eastAsia="Times New Roman" w:hAnsi="Times New Roman"/>
          <w:sz w:val="20"/>
          <w:szCs w:val="20"/>
          <w:color w:val="auto"/>
        </w:rPr>
        <w:t>website or other replacement official publication of such list or similarly named by any similar foreign governmental authority; (iii) an</w:t>
      </w:r>
    </w:p>
    <w:p>
      <w:pPr>
        <w:spacing w:after="0" w:line="221" w:lineRule="auto"/>
        <w:rPr>
          <w:sz w:val="20"/>
          <w:szCs w:val="20"/>
          <w:color w:val="auto"/>
        </w:rPr>
      </w:pPr>
      <w:r>
        <w:rPr>
          <w:rFonts w:ascii="Times New Roman" w:cs="Times New Roman" w:eastAsia="Times New Roman" w:hAnsi="Times New Roman"/>
          <w:sz w:val="20"/>
          <w:szCs w:val="20"/>
          <w:color w:val="auto"/>
        </w:rPr>
        <w:t>agency of the government of a country, an organization controlled by a country, or a Person resident in a country that is subject to a sanctions program identified on the lists maintained by OFAC; or (iv) a Person that derives more than 10% of its assets or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95"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20"/>
          <w:szCs w:val="20"/>
          <w:color w:val="auto"/>
        </w:rPr>
        <w:t>from investments in or transactions with any such country, agency, organization or person. Further, none of the proceeds from the Loans or Letters of Credit shall be used to finance any operations, investments or activities in, or make any payments to, any such country, agency,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organization or Person subject to OFAC sanctions.</w:t>
      </w:r>
    </w:p>
    <w:p>
      <w:pPr>
        <w:spacing w:after="0" w:line="1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5.</w:t>
      </w:r>
    </w:p>
    <w:p>
      <w:pPr>
        <w:spacing w:after="0" w:line="16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CONDITIONS</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xml:space="preserve">. The obligations of the Lenders to make Loans and of the Issuing Banks to issue Letters of Credit hereunder are subject to the satisfaction (or waiver in accordance with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of the following conditions precedent:</w:t>
      </w:r>
    </w:p>
    <w:p>
      <w:pPr>
        <w:spacing w:after="0" w:line="161" w:lineRule="exact"/>
        <w:rPr>
          <w:sz w:val="20"/>
          <w:szCs w:val="20"/>
          <w:color w:val="auto"/>
        </w:rPr>
      </w:pPr>
    </w:p>
    <w:p>
      <w:pPr>
        <w:jc w:val="both"/>
        <w:ind w:firstLine="1304"/>
        <w:spacing w:after="0" w:line="226" w:lineRule="auto"/>
        <w:tabs>
          <w:tab w:leader="none" w:pos="193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The Administrative Agent (or its counsel) shall have received from each party hereto either (i) a counterpart of this Agreement signed on behalf of such party or (ii) written evidence satisfactory to the Administrative Agent (which may include facsimile transmission of a signed signature page of this Agreement) that such party has signed a counterpart of this Agreement.</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The Administrative Agent shall have received any Note requested by a Lender pursuant to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xml:space="preserve"> payable to the order of such requesting Lender.</w:t>
      </w:r>
    </w:p>
    <w:p>
      <w:pPr>
        <w:spacing w:after="0" w:line="160"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favorable written opinions (addressed to the Credit Parties and dated on or prior to the Effective Date) from Bethany M. Owen, Senior Vice President, Chief Legal and Administrative Officer and Secretary of the Borrower, and Cohen Tauber Spievack &amp; Wagner P.C., special counsel to the Borrower, covering such matters relating to the Borrower, the Loan Documents and the Transactions as the Required Lenders may reasonably request. The Borrower hereby requests such counsel to deliver such opinion.</w:t>
      </w:r>
    </w:p>
    <w:p>
      <w:pPr>
        <w:spacing w:after="0" w:line="147"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Organizational Documents, etc</w:t>
      </w:r>
      <w:r>
        <w:rPr>
          <w:rFonts w:ascii="Times New Roman" w:cs="Times New Roman" w:eastAsia="Times New Roman" w:hAnsi="Times New Roman"/>
          <w:sz w:val="19"/>
          <w:szCs w:val="19"/>
          <w:color w:val="auto"/>
        </w:rPr>
        <w:t>. The Administrative Agent shall have received such documents and certificates as the Administrative Agent or its counsel may reasonably request relating to (i) the organization, existence and good standing of the Borrower (including (x) a certificate of incorporation of the Borrower, certified as of a recent date by the Secretary of State of the jurisdiction of its incorporation, and (y) certificates of good standing (or comparable certificates) for the Borrower, certified as of a recent date prior to the Effective Date, by the Secretaries of State (or comparable official) of the jurisdiction of its incorporation and each other jurisdiction in which it is qualified to do business, (ii) the authorization of the Transactions, (iii) the incumbency of its officer or officers who may sign the Loan Documents, including therein a signature specimen of such officer or officers, and (iv) any other legal matters relating to the Borrower, the Loan Documents or the Transactions, all in form and substance reasonably satisfactory to the Administrative Agent and its counsel.</w:t>
      </w:r>
    </w:p>
    <w:p>
      <w:pPr>
        <w:spacing w:after="0" w:line="163" w:lineRule="exact"/>
        <w:rPr>
          <w:rFonts w:ascii="Times New Roman" w:cs="Times New Roman" w:eastAsia="Times New Roman" w:hAnsi="Times New Roman"/>
          <w:sz w:val="19"/>
          <w:szCs w:val="19"/>
          <w:color w:val="auto"/>
        </w:rPr>
      </w:pPr>
    </w:p>
    <w:p>
      <w:pPr>
        <w:jc w:val="both"/>
        <w:ind w:firstLine="1304"/>
        <w:spacing w:after="0" w:line="226" w:lineRule="auto"/>
        <w:tabs>
          <w:tab w:leader="none" w:pos="193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etc.</w:t>
      </w:r>
      <w:r>
        <w:rPr>
          <w:rFonts w:ascii="Times New Roman" w:cs="Times New Roman" w:eastAsia="Times New Roman" w:hAnsi="Times New Roman"/>
          <w:sz w:val="20"/>
          <w:szCs w:val="20"/>
          <w:color w:val="auto"/>
        </w:rPr>
        <w:t xml:space="preserve"> The Administrative Agent shall have received all fees and other amounts due and payable on or prior to the Effective Date, including, to the extent invoiced, reimbursement or payment of all reasonable out-of-pocket expenses required to be reimbursed or paid by the Borrower hereunder.</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The Administrative Agent shall have received a certificate, in form and substance satisfactory to the Administrative Agent, dated on or prior to the Effective Date and signed by the chief executive officer or the chief financial officer of the Borrower (or other Financial Officer acceptable to the Administrative Agent), confirming that (i) the representations and warranties of the Borrower set forth in this Agreement are true and correct and (ii) no Default exists.</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The Administrative Agent shall have received a certificate of a Financial Officer, in form and substance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9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dated the Effective Date, to the effect that since December 31, 2017, no Material Adverse Change has occurred, except as has been previously disclosed by the Borrower in documents filed with the SEC prior to the Effective Date.</w:t>
      </w:r>
    </w:p>
    <w:p>
      <w:pPr>
        <w:spacing w:after="0" w:line="161" w:lineRule="exact"/>
        <w:rPr>
          <w:sz w:val="20"/>
          <w:szCs w:val="20"/>
          <w:color w:val="auto"/>
        </w:rPr>
      </w:pPr>
    </w:p>
    <w:p>
      <w:pPr>
        <w:jc w:val="both"/>
        <w:ind w:firstLine="1304"/>
        <w:spacing w:after="0" w:line="215" w:lineRule="auto"/>
        <w:tabs>
          <w:tab w:leader="none" w:pos="193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KYC</w:t>
      </w:r>
      <w:r>
        <w:rPr>
          <w:rFonts w:ascii="Times New Roman" w:cs="Times New Roman" w:eastAsia="Times New Roman" w:hAnsi="Times New Roman"/>
          <w:sz w:val="20"/>
          <w:szCs w:val="20"/>
          <w:color w:val="auto"/>
        </w:rPr>
        <w:t>. (i)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47"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4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Approvals.</w:t>
      </w:r>
      <w:r>
        <w:rPr>
          <w:rFonts w:ascii="Times New Roman" w:cs="Times New Roman" w:eastAsia="Times New Roman" w:hAnsi="Times New Roman"/>
          <w:sz w:val="20"/>
          <w:szCs w:val="20"/>
          <w:color w:val="auto"/>
        </w:rPr>
        <w:t xml:space="preserve"> All governmental and third party approvals necessary or, in the discretion of the Administrative Agent, advisable in connection with the financing and the continuing operations of the Borrower and its subsidiaries shall have been obtained and be in full force.</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Such other documents as any Lender or its counsel may have reasonably requested.</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Administrative Agent shall notify the Borrower and the Credit Parties when the conditions set forth above have been satisfied or waived, and such notice shall be conclusive and binding.</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5.2.</w:t>
      </w:r>
      <w:r>
        <w:rPr>
          <w:sz w:val="20"/>
          <w:szCs w:val="20"/>
          <w:color w:val="auto"/>
        </w:rPr>
        <w:tab/>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The obligation of each Lender to make a Loan on the occasion of any Borrowing, and of the</w:t>
      </w:r>
    </w:p>
    <w:p>
      <w:pPr>
        <w:spacing w:after="0"/>
        <w:rPr>
          <w:sz w:val="20"/>
          <w:szCs w:val="20"/>
          <w:color w:val="auto"/>
        </w:rPr>
      </w:pPr>
      <w:r>
        <w:rPr>
          <w:rFonts w:ascii="Times New Roman" w:cs="Times New Roman" w:eastAsia="Times New Roman" w:hAnsi="Times New Roman"/>
          <w:sz w:val="20"/>
          <w:szCs w:val="20"/>
          <w:color w:val="auto"/>
        </w:rPr>
        <w:t>Issuing Banks to issue, increase, amend, renew or extend a Letter of Credit, is subject to the satisfaction of the following conditions:</w:t>
      </w:r>
    </w:p>
    <w:p>
      <w:pPr>
        <w:spacing w:after="0" w:line="153" w:lineRule="exact"/>
        <w:rPr>
          <w:sz w:val="20"/>
          <w:szCs w:val="20"/>
          <w:color w:val="auto"/>
        </w:rPr>
      </w:pPr>
    </w:p>
    <w:p>
      <w:pPr>
        <w:jc w:val="both"/>
        <w:ind w:firstLine="1304"/>
        <w:spacing w:after="0" w:line="220" w:lineRule="auto"/>
        <w:tabs>
          <w:tab w:leader="none" w:pos="193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 set forth in the Loan Documents (other than the representations and warranties in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of this Agreement) shall be true and correct on and as of the date of such Borrowing or the date of such issuance, increase, amendment, renewal or extension, as applicable, except to the extent such representations and warranties specifically relate to an earlier date, in which case such representations and warranties shall have been true and correct on and as of such earlier date.</w:t>
      </w:r>
    </w:p>
    <w:p>
      <w:pPr>
        <w:spacing w:after="0" w:line="160" w:lineRule="exact"/>
        <w:rPr>
          <w:rFonts w:ascii="Times New Roman" w:cs="Times New Roman" w:eastAsia="Times New Roman" w:hAnsi="Times New Roman"/>
          <w:sz w:val="20"/>
          <w:szCs w:val="20"/>
          <w:color w:val="auto"/>
        </w:rPr>
      </w:pPr>
    </w:p>
    <w:p>
      <w:pPr>
        <w:ind w:right="20" w:firstLine="1304"/>
        <w:spacing w:after="0" w:line="233" w:lineRule="auto"/>
        <w:tabs>
          <w:tab w:leader="none" w:pos="193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Borrowing or such issuance, increase, amendment, renewal or extension, as applicable, no Default shall have occurred and be continuing.</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Credit Request and such other documentation and assurances as shall be reasonably required by it in connection herewith.</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Loan or Letter of Credit shall not be prohibited by any applicable law, rule or regulation.</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Each Borrowing and each issuance, increase, amendment, renewal or extension of a Letter of Credit shall be deemed to constitute a representation and warranty by the Borrower on the date thereof as to the matters specified in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9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6.</w:t>
      </w:r>
    </w:p>
    <w:p>
      <w:pPr>
        <w:spacing w:after="0" w:line="16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0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and other amounts payable under the Loan Documents shall have been paid in full and all Letters of Credit have expired or terminated and all LC Disbursements have been reimbursed, the Borrower covenants and agrees with the Credit Parties that:</w:t>
      </w:r>
    </w:p>
    <w:p>
      <w:pPr>
        <w:spacing w:after="0" w:line="14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6.1.</w:t>
      </w:r>
      <w:r>
        <w:rPr>
          <w:sz w:val="20"/>
          <w:szCs w:val="20"/>
          <w:color w:val="auto"/>
        </w:rPr>
        <w:tab/>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Borrower will furnish to the Administrative Agent and each</w:t>
      </w: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67" w:lineRule="exact"/>
        <w:rPr>
          <w:sz w:val="20"/>
          <w:szCs w:val="20"/>
          <w:color w:val="auto"/>
        </w:rPr>
      </w:pPr>
    </w:p>
    <w:p>
      <w:pPr>
        <w:jc w:val="both"/>
        <w:ind w:firstLine="1304"/>
        <w:spacing w:after="0" w:line="227" w:lineRule="auto"/>
        <w:tabs>
          <w:tab w:leader="none" w:pos="1934"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120 days after the end of each fiscal year, a copy of the Borrower’s audited consolidated balance sheet and related consolidated statements of income, stockholder’s equity and cash flows as of the end of and for such fiscal year, setting forth in each case in comparative form the figures for the previous fiscal year, all reported on by the Accountants (without a “going concern” or like qualification or exception and without any qualification or exception as to the scope of such audit) to the effect that such consolidated financial statements present fairly in all material respects the financial conditions and results of operations of the Borrower and the Subsidiaries on a consolidated basis in accordance with GAAP consistently applied during such fiscal year;</w:t>
      </w:r>
    </w:p>
    <w:p>
      <w:pPr>
        <w:spacing w:after="0" w:line="164"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60 days after the end of each of the first three fiscal quarters of each fiscal year, a copy of the Borrower’s unaudited consolidated balance sheet and related consolidated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duly authorized Financial Officer as presenting fairly in all material respects the financial conditions and results of operations of the Borrower and the Subsidiaries on a consolidated basis in accordance with GAAP consistently applied, subject to normal year end audit adjustments and the absence of footnotes;</w:t>
      </w:r>
    </w:p>
    <w:p>
      <w:pPr>
        <w:spacing w:after="0" w:line="15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60 days after the end of each of the first three fiscal quarters and within 120 days after the end of the last fiscal quarter, a Compliance Certificate, signed by a Financial Officer (or such other officer as shall be acceptable to the Administrative Agent) as to the Borrower’s compliance, as of such fiscal quarter ending date, with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and as to the absence of any Default as of such fiscal quarter ending date and the date of such certificate (or if a Default existed or exists, the nature thereof); and</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 such other information regarding the operations, business affairs and financial condition of the Borrower or any Subsidiary, or compliance with the terms of the Loan Documents, as any Credit Party may reasonably request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6.2.</w:t>
      </w:r>
      <w:r>
        <w:rPr>
          <w:sz w:val="20"/>
          <w:szCs w:val="20"/>
          <w:color w:val="auto"/>
        </w:rPr>
        <w:tab/>
      </w:r>
      <w:r>
        <w:rPr>
          <w:rFonts w:ascii="Times New Roman" w:cs="Times New Roman" w:eastAsia="Times New Roman" w:hAnsi="Times New Roman"/>
          <w:sz w:val="19"/>
          <w:szCs w:val="19"/>
          <w:u w:val="single" w:color="auto"/>
          <w:color w:val="auto"/>
        </w:rPr>
        <w:t>Notices of Material Events</w:t>
      </w:r>
      <w:r>
        <w:rPr>
          <w:rFonts w:ascii="Times New Roman" w:cs="Times New Roman" w:eastAsia="Times New Roman" w:hAnsi="Times New Roman"/>
          <w:sz w:val="19"/>
          <w:szCs w:val="19"/>
          <w:color w:val="auto"/>
        </w:rPr>
        <w:t>. The Borrower will furnish the following to the Administrative Agent and each Lender:</w:t>
      </w:r>
    </w:p>
    <w:p>
      <w:pPr>
        <w:spacing w:after="0" w:line="189" w:lineRule="exact"/>
        <w:rPr>
          <w:sz w:val="20"/>
          <w:szCs w:val="20"/>
          <w:color w:val="auto"/>
        </w:rPr>
      </w:pPr>
    </w:p>
    <w:p>
      <w:pPr>
        <w:ind w:firstLine="1304"/>
        <w:spacing w:after="0" w:line="233" w:lineRule="auto"/>
        <w:tabs>
          <w:tab w:leader="none" w:pos="193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written notice of the occurrence of any Default, specifying the nature thereof and any action taken or proposed to be taken with respect thereto;</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written request of the Administrative Agent, reports that the Borrower or any of its Subsidiaries sends to or files with the Federal Energy Regulatory Commission, the WPS, the MPUC or any Governmental Authority succeeding to the functions thereof, or any similar state or local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95" w:lineRule="exact"/>
        <w:rPr>
          <w:sz w:val="20"/>
          <w:szCs w:val="20"/>
          <w:color w:val="auto"/>
        </w:rPr>
      </w:pPr>
    </w:p>
    <w:p>
      <w:pPr>
        <w:jc w:val="both"/>
        <w:ind w:firstLine="1304"/>
        <w:spacing w:after="0" w:line="216" w:lineRule="auto"/>
        <w:tabs>
          <w:tab w:leader="none" w:pos="193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 written notice of (i) any material citation, summons, subpoena, order, notice, claim or proceeding received by, or brought against, the Borrower or any of its Subsidiaries, with respect to (x) any proceeding before any Governmental Authority (other than proceedings in the ordinary course of business before the WPS or the MPUC), or (y) any real property under any Environmental Law, and (ii) any lapse or other termination of, or refusal to renew or extend, any material franchise or other authorization issued to the Borrower or any of its Subsidiaries by any Governmental Authority (other than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of the foregoing set forth in this paragraph would, individually or in the aggregate, reasonably be expected to have a Material Adverse Effect;</w:t>
      </w:r>
    </w:p>
    <w:p>
      <w:pPr>
        <w:spacing w:after="0" w:line="16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written notice of any change by any Rating Agency in a Senior Debt Rating; and</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Each notice delivered under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(b)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soft copies) of such documents.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7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6.3.</w:t>
      </w:r>
      <w:r>
        <w:rPr>
          <w:sz w:val="20"/>
          <w:szCs w:val="20"/>
          <w:color w:val="auto"/>
        </w:rPr>
        <w:tab/>
      </w:r>
      <w:r>
        <w:rPr>
          <w:rFonts w:ascii="Times New Roman" w:cs="Times New Roman" w:eastAsia="Times New Roman" w:hAnsi="Times New Roman"/>
          <w:sz w:val="20"/>
          <w:szCs w:val="20"/>
          <w:u w:val="single" w:color="auto"/>
          <w:color w:val="auto"/>
        </w:rPr>
        <w:t>Legal Existence</w:t>
      </w:r>
      <w:r>
        <w:rPr>
          <w:rFonts w:ascii="Times New Roman" w:cs="Times New Roman" w:eastAsia="Times New Roman" w:hAnsi="Times New Roman"/>
          <w:sz w:val="20"/>
          <w:szCs w:val="20"/>
          <w:color w:val="auto"/>
        </w:rPr>
        <w:t>. Except as permitted under</w:t>
      </w:r>
      <w:r>
        <w:rPr>
          <w:rFonts w:ascii="Times New Roman" w:cs="Times New Roman" w:eastAsia="Times New Roman" w:hAnsi="Times New Roman"/>
          <w:sz w:val="20"/>
          <w:szCs w:val="20"/>
          <w:u w:val="single" w:color="auto"/>
          <w:color w:val="auto"/>
        </w:rPr>
        <w:t xml:space="preserve"> Section 7.2</w:t>
      </w:r>
      <w:r>
        <w:rPr>
          <w:rFonts w:ascii="Times New Roman" w:cs="Times New Roman" w:eastAsia="Times New Roman" w:hAnsi="Times New Roman"/>
          <w:sz w:val="20"/>
          <w:szCs w:val="20"/>
          <w:color w:val="auto"/>
        </w:rPr>
        <w:t>, the Borrower shall maintain its legal existence in good</w:t>
      </w:r>
    </w:p>
    <w:p>
      <w:pPr>
        <w:jc w:val="both"/>
        <w:spacing w:after="0" w:line="215" w:lineRule="auto"/>
        <w:rPr>
          <w:sz w:val="20"/>
          <w:szCs w:val="20"/>
          <w:color w:val="auto"/>
        </w:rPr>
      </w:pPr>
      <w:r>
        <w:rPr>
          <w:rFonts w:ascii="Times New Roman" w:cs="Times New Roman" w:eastAsia="Times New Roman" w:hAnsi="Times New Roman"/>
          <w:sz w:val="19"/>
          <w:szCs w:val="19"/>
          <w:color w:val="auto"/>
        </w:rPr>
        <w:t>standing in the jurisdiction of its organization or formation and in each other jurisdiction in which the failure so to do would reasonably be expected to have a Material Adverse Effect, and cause each of the Subsidiaries to maintain its qualification to do business and good standing</w:t>
      </w:r>
    </w:p>
    <w:p>
      <w:pPr>
        <w:spacing w:after="0" w:line="222" w:lineRule="auto"/>
        <w:rPr>
          <w:sz w:val="20"/>
          <w:szCs w:val="20"/>
          <w:color w:val="auto"/>
        </w:rPr>
      </w:pPr>
      <w:r>
        <w:rPr>
          <w:rFonts w:ascii="Times New Roman" w:cs="Times New Roman" w:eastAsia="Times New Roman" w:hAnsi="Times New Roman"/>
          <w:sz w:val="19"/>
          <w:szCs w:val="19"/>
          <w:color w:val="auto"/>
        </w:rPr>
        <w:t>in each jurisdiction in which the failure so to do would reasonably be expected to have a Material Adverse Effect (it being understood that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foregoing shall not prohibit the Borrower from dissolving or terminating the existence of any Subsidiary that is inactive or whose preservation otherwise is no longer desirable in the conduct of the business of the Borrower and its Subsidiaries considered as a whole).</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6.4.</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Borrower shall pay and discharge when due, and cause each of the Subsidiaries so to do, all Taxes</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imposed upon it or upon its property, which if unpaid would, individually or collectively, reasonably be expected to have a Material Adverse Effect or become a Lien on the property of the Borrower or such Subsidiary (other than a Lien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9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the definition of Permitted Encumbrances), as the case may be, unless and to the extent only that such Taxes shall be contested in good faith and by appropriate proceedings diligently conducted by the Borrower or such Subsidiary, as the case may be.</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6.5.</w:t>
      </w:r>
      <w:r>
        <w:rPr>
          <w:sz w:val="20"/>
          <w:szCs w:val="20"/>
          <w:color w:val="auto"/>
        </w:rPr>
        <w:tab/>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Borrower shall maintain, and cause each of its Subsidiaries to maintain, with financially sound and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reputable insurance companies insurance on all its property in at least such amounts and against at least such risks as are usually insured against in the same general area by companies engaged in the same or a similar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and its Subsidiaries may</w:t>
      </w:r>
    </w:p>
    <w:p>
      <w:pPr>
        <w:spacing w:after="0" w:line="211" w:lineRule="auto"/>
        <w:rPr>
          <w:sz w:val="20"/>
          <w:szCs w:val="20"/>
          <w:color w:val="auto"/>
        </w:rPr>
      </w:pPr>
      <w:r>
        <w:rPr>
          <w:rFonts w:ascii="Times New Roman" w:cs="Times New Roman" w:eastAsia="Times New Roman" w:hAnsi="Times New Roman"/>
          <w:sz w:val="20"/>
          <w:szCs w:val="20"/>
          <w:color w:val="auto"/>
        </w:rPr>
        <w:t>self-insure to the same extent as other companies engaged in similar businesses and owning similar properties in the same general areas in</w:t>
      </w:r>
    </w:p>
    <w:p>
      <w:pPr>
        <w:spacing w:after="0" w:line="221" w:lineRule="auto"/>
        <w:rPr>
          <w:sz w:val="20"/>
          <w:szCs w:val="20"/>
          <w:color w:val="auto"/>
        </w:rPr>
      </w:pPr>
      <w:r>
        <w:rPr>
          <w:rFonts w:ascii="Times New Roman" w:cs="Times New Roman" w:eastAsia="Times New Roman" w:hAnsi="Times New Roman"/>
          <w:sz w:val="20"/>
          <w:szCs w:val="20"/>
          <w:color w:val="auto"/>
        </w:rPr>
        <w:t>which the Borrower or such Subsidiary operates and to the extent consistent with prudent business practice. The Borrower shall furnish to the Administrative Agent, upon written request of the Administrative Agent or any Lender, full information as to the insurance carried.</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6.6.</w:t>
      </w:r>
      <w:r>
        <w:rPr>
          <w:sz w:val="20"/>
          <w:szCs w:val="20"/>
          <w:color w:val="auto"/>
        </w:rPr>
        <w:tab/>
      </w:r>
      <w:r>
        <w:rPr>
          <w:rFonts w:ascii="Times New Roman" w:cs="Times New Roman" w:eastAsia="Times New Roman" w:hAnsi="Times New Roman"/>
          <w:sz w:val="20"/>
          <w:szCs w:val="20"/>
          <w:u w:val="single" w:color="auto"/>
          <w:color w:val="auto"/>
        </w:rPr>
        <w:t>Condition of Property</w:t>
      </w:r>
      <w:r>
        <w:rPr>
          <w:rFonts w:ascii="Times New Roman" w:cs="Times New Roman" w:eastAsia="Times New Roman" w:hAnsi="Times New Roman"/>
          <w:sz w:val="20"/>
          <w:szCs w:val="20"/>
          <w:color w:val="auto"/>
        </w:rPr>
        <w:t>. The Borrower shall at all times maintain, protect and keep in good repair, working order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condition in all material respects (ordinary wear and tear excepted), and cause each of its Subsidiaries so to do, all material property necessary to the operation of the Borrower’s or such Subsidiary’s, as the case may be, material businesses,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prevent the Borrower or its Subsidiaries, as appropriate, from discontinuing the maintenance or operation of any property if such discontinuance is, in the judgment of the Borrower or such Subsidiary, desirable in the conduct of the business of the Borrower or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Subsidiary. It is understood that this covenant relates only to working order and condition of such property in accordance with prudent industry practices and shall not be construed as a covenant not to dispose of property.</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6.7. </w:t>
      </w:r>
      <w:r>
        <w:rPr>
          <w:rFonts w:ascii="Times New Roman" w:cs="Times New Roman" w:eastAsia="Times New Roman" w:hAnsi="Times New Roman"/>
          <w:sz w:val="20"/>
          <w:szCs w:val="20"/>
          <w:u w:val="single" w:color="auto"/>
          <w:color w:val="auto"/>
        </w:rPr>
        <w:t>Observance of Legal Requirements</w:t>
      </w:r>
      <w:r>
        <w:rPr>
          <w:rFonts w:ascii="Times New Roman" w:cs="Times New Roman" w:eastAsia="Times New Roman" w:hAnsi="Times New Roman"/>
          <w:sz w:val="20"/>
          <w:szCs w:val="20"/>
          <w:color w:val="auto"/>
        </w:rPr>
        <w:t>. The Borrower shall observe and comply in all material respects, and cause each of its Subsidiaries so to do, with all laws, regulations and orders of any Governmental Authority which now or at any time hereafter may be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applicable to it, including ERISA and all Environmental Laws, a violation of which would individually or collectively reasonably be expected to have a Material Adverse Effect, except such thereof as shall be contested in good faith and, if applicable, by appropriate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proceedings diligently conducted by it.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6.8. </w:t>
      </w:r>
      <w:r>
        <w:rPr>
          <w:rFonts w:ascii="Times New Roman" w:cs="Times New Roman" w:eastAsia="Times New Roman" w:hAnsi="Times New Roman"/>
          <w:sz w:val="20"/>
          <w:szCs w:val="20"/>
          <w:u w:val="single" w:color="auto"/>
          <w:color w:val="auto"/>
        </w:rPr>
        <w:t>Inspection of Property; Books and Records; Discussions</w:t>
      </w:r>
      <w:r>
        <w:rPr>
          <w:rFonts w:ascii="Times New Roman" w:cs="Times New Roman" w:eastAsia="Times New Roman" w:hAnsi="Times New Roman"/>
          <w:sz w:val="20"/>
          <w:szCs w:val="20"/>
          <w:color w:val="auto"/>
        </w:rPr>
        <w:t>. The Borrower shall keep proper books of record and account in conformity with GAAP and all requirements of law. The Borrower shall permit representatives of the Administrative Agent and</w:t>
      </w:r>
    </w:p>
    <w:p>
      <w:pPr>
        <w:spacing w:after="0" w:line="224" w:lineRule="auto"/>
        <w:rPr>
          <w:sz w:val="20"/>
          <w:szCs w:val="20"/>
          <w:color w:val="auto"/>
        </w:rPr>
      </w:pPr>
      <w:r>
        <w:rPr>
          <w:rFonts w:ascii="Times New Roman" w:cs="Times New Roman" w:eastAsia="Times New Roman" w:hAnsi="Times New Roman"/>
          <w:sz w:val="19"/>
          <w:szCs w:val="19"/>
          <w:color w:val="auto"/>
        </w:rPr>
        <w:t>any Lender to visit its offices, to inspect any of its property (subject to reasonable procedures relating to safety and security) and examine and</w:t>
      </w:r>
    </w:p>
    <w:p>
      <w:pPr>
        <w:spacing w:after="0" w:line="204" w:lineRule="auto"/>
        <w:rPr>
          <w:sz w:val="20"/>
          <w:szCs w:val="20"/>
          <w:color w:val="auto"/>
        </w:rPr>
      </w:pPr>
      <w:r>
        <w:rPr>
          <w:rFonts w:ascii="Times New Roman" w:cs="Times New Roman" w:eastAsia="Times New Roman" w:hAnsi="Times New Roman"/>
          <w:sz w:val="20"/>
          <w:szCs w:val="20"/>
          <w:color w:val="auto"/>
        </w:rPr>
        <w:t>make copies or abstracts from any of its books and records at any reasonable time and as often as may reasonably be desired, and to discuss the business, operations, prospects, property and financial condition of the Borrower and its Subsidiaries with the officers thereof and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Accountants;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none of the Administrative Agent, its agents, its representatives or the Lenders shall be entitled to examine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make copies or abstracts of, or otherwise obtain information with respect to, the Borrower’s records relating to pending or threatened litigation if any such disclosure by the Borrower would reasonably be expected (i) to give rise to a waiver of any attorney/client privilege of</w:t>
      </w:r>
    </w:p>
    <w:p>
      <w:pPr>
        <w:spacing w:after="0" w:line="223" w:lineRule="auto"/>
        <w:rPr>
          <w:sz w:val="20"/>
          <w:szCs w:val="20"/>
          <w:color w:val="auto"/>
        </w:rPr>
      </w:pPr>
      <w:r>
        <w:rPr>
          <w:rFonts w:ascii="Times New Roman" w:cs="Times New Roman" w:eastAsia="Times New Roman" w:hAnsi="Times New Roman"/>
          <w:sz w:val="19"/>
          <w:szCs w:val="19"/>
          <w:color w:val="auto"/>
        </w:rPr>
        <w:t>the Borrower or any of its Subsidiaries relating to such information or (ii) to be otherwise materially disadvantageous to the Borrower or any</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of its Subsidiaries in the defense of such litigation;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in the case of any discussion with the Accountants, the Borrower shall have been given the opportunity to participate in such discussion and, unless a Default exists, the Lender or Lenders requesting such</w:t>
      </w:r>
    </w:p>
    <w:p>
      <w:pPr>
        <w:spacing w:after="0"/>
        <w:rPr>
          <w:sz w:val="20"/>
          <w:szCs w:val="20"/>
          <w:color w:val="auto"/>
        </w:rPr>
      </w:pPr>
      <w:r>
        <w:rPr>
          <w:rFonts w:ascii="Times New Roman" w:cs="Times New Roman" w:eastAsia="Times New Roman" w:hAnsi="Times New Roman"/>
          <w:sz w:val="20"/>
          <w:szCs w:val="20"/>
          <w:color w:val="auto"/>
        </w:rPr>
        <w:t>discussion shall pay any fees and expenses of the Accountant in connection therewith.</w:t>
      </w:r>
    </w:p>
    <w:p>
      <w:pPr>
        <w:spacing w:after="0" w:line="1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20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and other amounts payable under the Loan Documents shall have been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full and all Letters of Credit have expired and all LC Disbursements have been reimbursed, the Borrower covenants and agrees with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Parties that: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The Borrower shall not, and shall not permit any Subsidiary to, create, incur, assume or suffer to exist any</w:t>
      </w:r>
    </w:p>
    <w:p>
      <w:pPr>
        <w:spacing w:after="0"/>
        <w:rPr>
          <w:sz w:val="20"/>
          <w:szCs w:val="20"/>
          <w:color w:val="auto"/>
        </w:rPr>
      </w:pPr>
      <w:r>
        <w:rPr>
          <w:rFonts w:ascii="Times New Roman" w:cs="Times New Roman" w:eastAsia="Times New Roman" w:hAnsi="Times New Roman"/>
          <w:sz w:val="20"/>
          <w:szCs w:val="20"/>
          <w:color w:val="auto"/>
        </w:rPr>
        <w:t>Lien upon any of its property, whether now owned or hereafter acquired by it, except:</w:t>
      </w:r>
    </w:p>
    <w:p>
      <w:pPr>
        <w:spacing w:after="0" w:line="16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Liens now existing or hereafter arising in favor of the Administrative Agent or the Lenders under the Loan</w:t>
      </w: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153" w:lineRule="exact"/>
        <w:rPr>
          <w:sz w:val="20"/>
          <w:szCs w:val="20"/>
          <w:color w:val="auto"/>
        </w:rPr>
      </w:pPr>
    </w:p>
    <w:p>
      <w:pPr>
        <w:ind w:left="1940" w:hanging="636"/>
        <w:spacing w:after="0"/>
        <w:tabs>
          <w:tab w:leader="none" w:pos="19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18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any property prior to the acquisition thereof by the Borrower or any Subsidiary, or existing on any property of any Person that becomes a Subsidiary after the Effective Date prior to the time such Person becomes a Subsidiary or that is merged with or into or consolidated with the Borrower or any Subsidiary prior to such merger or consolidation,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Subsidiary or such merger or consolidation, as the case may be, (ii) such Lien shall not apply to any other property of the Borrower or any Subsidiary and (iii) such Lien shall secure only those obligations and liabilities that it secures on the date of such acquisition or the date such Person becomes a Subsidiary of the Borrower or such merger or consolidation, as the case may be;</w:t>
      </w:r>
    </w:p>
    <w:p>
      <w:pPr>
        <w:spacing w:after="0" w:line="164"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(including precautionary Liens in connection with Capital Lease Obligations) on fixed or capital assets and other property (including any natural gas, oil or other mineral assets, pollution control facilities, electrical generating plants, equipment and machinery, and related accounts, financial assets, contracts and general intangibles) acquired, constructed, explored, drilled, developed, improved, repaired or serviced (including in connection with the financing of working capital and ongoing maintenance) by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security interests and the obligations and liabilities secured thereby are incurred prior to or within 270 days after the acquisition of the relevant asset or the completion of the relevant construction, exploration, drilling, development, improvement, repair or servicing (including the relevant financing of working capital and ongoing maintenance), as the case may be, (ii) the obligations and liabilities secured thereby do not exceed the cost of acquiring, constructing, exploring, drilling, developing, improving, repairing or servicing (including the financing of working capital and ongoing maintenance in respect of) the relevant assets, and (iii) such security interests shall not apply to any other property beyond the relevant property set forth in this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(and in the case of construction or improvement, any theretofore unimproved real property on which the property so constructed or the improvement is located) and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 as applicable, of the Borrower or any Subsidiary;</w:t>
      </w:r>
    </w:p>
    <w:p>
      <w:pPr>
        <w:spacing w:after="0" w:line="16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under or in connection with the Mortgage and the SWLP Mortgage;</w:t>
      </w:r>
    </w:p>
    <w:p>
      <w:pPr>
        <w:spacing w:after="0" w:line="175"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any Equity Interest owned or otherwise held by or on behalf of the Borrower or any Subsidiary in any Person created as a special purpose, bankruptcy-remote Person for the sole and exclusive purpose of engaging in activities in connection with the owning and operating of property in connection with any project financing permitted to be secured under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to secure Indebtedness of any Subsidiary to the Borrower or to any other Subsidiary;</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rights reserved to or vested in others to take or receive any part of any coal, ore, gas, oil and other minerals, any timber and/or any electric capacity or energy, gas, water, steam and any other product developed, produced, manufactured, generated, purchased or otherwise acquired by the Borrower or by others on property of the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Lien described in this paragraph shall secure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95" w:lineRule="exact"/>
        <w:rPr>
          <w:sz w:val="20"/>
          <w:szCs w:val="20"/>
          <w:color w:val="auto"/>
        </w:rPr>
      </w:pPr>
    </w:p>
    <w:p>
      <w:pPr>
        <w:jc w:val="both"/>
        <w:ind w:firstLine="1304"/>
        <w:spacing w:after="0" w:line="217" w:lineRule="auto"/>
        <w:tabs>
          <w:tab w:leader="none" w:pos="194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created for the sole purpose of extending, renewing or replacing in whole or in part Indebtedness secured by any lien, mortgage or security interest referred to in the foregoing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principal amount of Indebtedness secured thereby shall not exceed the principal amount of Indebtedness so secured at the time of such extension, renewal or replacement and that such extension, renewal or replacement, as the case may be, shall be limited to all or a part of the property or indebtedness that secured the lien or mortgage so extended, renewed or replaced (and any improvements on such property);</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4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or invested funds used to make a defeasance, covenant defeasance or in substance defeasance of any Indebtedness pursuant to an express contractual provision in the agreement governing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before and immediately after giving effect to the making of such defeasance, no Default shall exist;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all CoBank Equities now owned or hereafter acquired by the Borrower; and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4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in addition to those described in the foregoing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securing obligations that, together with all other obligations secured pursuant to this </w:t>
      </w:r>
      <w:r>
        <w:rPr>
          <w:rFonts w:ascii="Times New Roman" w:cs="Times New Roman" w:eastAsia="Times New Roman" w:hAnsi="Times New Roman"/>
          <w:sz w:val="20"/>
          <w:szCs w:val="20"/>
          <w:u w:val="single" w:color="auto"/>
          <w:color w:val="auto"/>
        </w:rPr>
        <w:t>paragraph (l)</w:t>
      </w:r>
      <w:r>
        <w:rPr>
          <w:rFonts w:ascii="Times New Roman" w:cs="Times New Roman" w:eastAsia="Times New Roman" w:hAnsi="Times New Roman"/>
          <w:sz w:val="20"/>
          <w:szCs w:val="20"/>
          <w:color w:val="auto"/>
        </w:rPr>
        <w:t>, do not exceed 10% of Consolidated Assets at the time of the incurrence thereof.</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Merger; Consolidation</w:t>
      </w:r>
      <w:r>
        <w:rPr>
          <w:rFonts w:ascii="Times New Roman" w:cs="Times New Roman" w:eastAsia="Times New Roman" w:hAnsi="Times New Roman"/>
          <w:sz w:val="20"/>
          <w:szCs w:val="20"/>
          <w:color w:val="auto"/>
        </w:rPr>
        <w:t>. The Borrower shall not, and shall not permit any Subsidiary (excluding any Immaterial Subsidiary) to undergo a Division (as defined in Section 18-217 of the Delaware Limited Liability Company Act) or consolidate with or merge into any other Person (other than a merger of a Subsidiary into, or a consolidation of a Subsidiary with, the Borrower or another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unless:</w:t>
      </w:r>
    </w:p>
    <w:p>
      <w:pPr>
        <w:spacing w:after="0" w:line="180" w:lineRule="exact"/>
        <w:rPr>
          <w:sz w:val="20"/>
          <w:szCs w:val="20"/>
          <w:color w:val="auto"/>
        </w:rPr>
      </w:pPr>
    </w:p>
    <w:p>
      <w:pPr>
        <w:ind w:left="2600" w:hanging="648"/>
        <w:spacing w:after="0"/>
        <w:tabs>
          <w:tab w:leader="none" w:pos="26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immediately before and after giving effect thereto no Default shall exist;</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9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immediately before and after giving effect thereto, all of the representations and warranties contained in the Loan Documents shall be true and correct except as the context thereof otherwise requires and except for those representations and warranties which by their terms or by necessary implication are expressly limited to a state of facts existing at a time prior to such merger, consolidation or acquisition, as the case may be, or such other matters relating thereto as are identified in a writing to the Administrative Agent and the Lenders and are satisfactory to the Administrative Agent and the Lenders; and</w:t>
      </w:r>
    </w:p>
    <w:p>
      <w:pPr>
        <w:spacing w:after="0" w:line="178" w:lineRule="exact"/>
        <w:rPr>
          <w:rFonts w:ascii="Times New Roman" w:cs="Times New Roman" w:eastAsia="Times New Roman" w:hAnsi="Times New Roman"/>
          <w:sz w:val="20"/>
          <w:szCs w:val="20"/>
          <w:color w:val="auto"/>
        </w:rPr>
      </w:pPr>
    </w:p>
    <w:p>
      <w:pPr>
        <w:jc w:val="both"/>
        <w:ind w:left="1300" w:firstLine="652"/>
        <w:spacing w:after="0" w:line="266" w:lineRule="auto"/>
        <w:tabs>
          <w:tab w:leader="none" w:pos="2596"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 in the case of a transaction involving the Borrower, either (i) the Borrower shall be the surviving entity thereof, or in the event the Borrower shall not be the surviving entity thereof, each of the following conditions shall be satisfied: (A) such surviving entity shall have been incorporated or otherwise formed in a State of the United States with substantially all of its assets and business located and conducted in the United States, (B) such surviving entity shall, immediately after giving effect to such transaction, have an Investment Grade Rating and (C) such surviving entity shall have expressly assumed the obligations of the Borrower under the Loan Documents pursuant to a writing in form and substance satisfactory to the Administrative Agent; and (ii) the Administrative Agent and the Lenders shall have received a certificate signed by a duly authorized officer of the Borrower identifying the Person to be merged with or into, or consolidated with, or acquired by, the Borrower, and certifying as to each of the matters set forth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means a Senior Debt Rating from at least two Rating Agencies equal to (1) for any transaction where the surviving entity has a Senior Debt Rating, a rating for such surviving entity of BBB- or higher from S&amp;P or Fitch or Baa3 or higher from Moody’s and (2)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spacing w:after="0" w:line="17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7.3.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The Borrower shall not, and shall not permit any of its Subsidiaries to, sell, transfer, lease or otherwise dispose of (including pursuant to a merger) any property or assets to, or purchase, lease or otherwise acquire (including</w:t>
      </w:r>
    </w:p>
    <w:p>
      <w:pPr>
        <w:spacing w:after="0" w:line="212" w:lineRule="auto"/>
        <w:rPr>
          <w:sz w:val="20"/>
          <w:szCs w:val="20"/>
          <w:color w:val="auto"/>
        </w:rPr>
      </w:pPr>
      <w:r>
        <w:rPr>
          <w:rFonts w:ascii="Times New Roman" w:cs="Times New Roman" w:eastAsia="Times New Roman" w:hAnsi="Times New Roman"/>
          <w:sz w:val="20"/>
          <w:szCs w:val="20"/>
          <w:color w:val="auto"/>
        </w:rPr>
        <w:t>pursuant to a merger) any property or assets from, or otherwise engage in any other transactions with, any of its Affiliates, except at prices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and on terms and conditions not less materially favorable to the Borrower or such Subsidiary, as the case may be, than could be obtained on an arms length basis from unrelated third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Section shall not apply to (i) any transaction that is in compliance with</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applicable laws and regulations of the Federal Energy Regulatory Commission, the WPS or the MPUC pertaining to affiliate transactions or is authorized by a tariff or rate schedule which has been approved by a Governmental Authority or performed in accordance with its orders,</w:t>
      </w:r>
    </w:p>
    <w:p>
      <w:pPr>
        <w:spacing w:after="0" w:line="1" w:lineRule="exact"/>
        <w:rPr>
          <w:sz w:val="20"/>
          <w:szCs w:val="20"/>
          <w:color w:val="auto"/>
        </w:rPr>
      </w:pPr>
    </w:p>
    <w:p>
      <w:pPr>
        <w:jc w:val="both"/>
        <w:ind w:firstLine="8"/>
        <w:spacing w:after="0" w:line="215" w:lineRule="auto"/>
        <w:tabs>
          <w:tab w:leader="none" w:pos="29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that is otherwise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(iii) transactions pursuant to any contract in effect on the date hereof, as the same may be amended, extended or replaced from time to time so long as such contract as so amended, extended or replaced is, taken as a whole, not materially less favorable to the Borrower and its Subsidiaries than under those contracts in effect on the date hereof, (iv) any transaction consisting of payments of dividends and distributions on, and repurchases of, the Equity Interests of the Borrower and its Subsidiaries and (v) transactions solely among the Borrower and its Subsidiaries.</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Permitted Hedge Agreements</w:t>
      </w:r>
      <w:r>
        <w:rPr>
          <w:rFonts w:ascii="Times New Roman" w:cs="Times New Roman" w:eastAsia="Times New Roman" w:hAnsi="Times New Roman"/>
          <w:sz w:val="20"/>
          <w:szCs w:val="20"/>
          <w:color w:val="auto"/>
        </w:rPr>
        <w:t xml:space="preserve">. The Borrower shall not enter into any Hedge Agreements other than (a) Permitted Hedge Agreements and (b) transactions in futures, floors, collars and similar Hedge Agreements involving the stock price of a Person involved in a merger transaction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Section 7.5. </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The Borrower will not permit Total Indebtedness to be greater than 65% of Total Capitalization as of the end of any fiscal quarter.</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7.6. </w:t>
      </w:r>
      <w:r>
        <w:rPr>
          <w:rFonts w:ascii="Times New Roman" w:cs="Times New Roman" w:eastAsia="Times New Roman" w:hAnsi="Times New Roman"/>
          <w:sz w:val="20"/>
          <w:szCs w:val="20"/>
          <w:u w:val="single" w:color="auto"/>
          <w:color w:val="auto"/>
        </w:rPr>
        <w:t>Anti-Money Laundering and Anti-Terrorism Finance Laws; Foreign Corrupt Practices Act; Sanctions Laws;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Restricted Person</w:t>
      </w:r>
      <w:r>
        <w:rPr>
          <w:rFonts w:ascii="Times New Roman" w:cs="Times New Roman" w:eastAsia="Times New Roman" w:hAnsi="Times New Roman"/>
          <w:sz w:val="20"/>
          <w:szCs w:val="20"/>
          <w:color w:val="auto"/>
        </w:rPr>
        <w:t>. The Borrower shall not, and shall not permit any Subsidiary to, (i) engage in or conspire to engage in any transaction that</w:t>
      </w:r>
    </w:p>
    <w:p>
      <w:pPr>
        <w:spacing w:after="0" w:line="212" w:lineRule="auto"/>
        <w:rPr>
          <w:sz w:val="20"/>
          <w:szCs w:val="20"/>
          <w:color w:val="auto"/>
        </w:rPr>
      </w:pPr>
      <w:r>
        <w:rPr>
          <w:rFonts w:ascii="Times New Roman" w:cs="Times New Roman" w:eastAsia="Times New Roman" w:hAnsi="Times New Roman"/>
          <w:sz w:val="20"/>
          <w:szCs w:val="20"/>
          <w:color w:val="auto"/>
        </w:rPr>
        <w:t>evades or avoids, or has the purpose of evading or avoiding, or attempts to violate, any prohibition set forth in any Anti-Terrorism Law, (ii)</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cause or permit any of the funds that are used to repay any obligation under the Loan Documents to be derived from any unlawful activity with the result that the making of the Loans or the issuance of the Letters of Credit would be in violation of any applicable law, (iii) use any</w:t>
      </w:r>
    </w:p>
    <w:p>
      <w:pPr>
        <w:spacing w:after="0" w:line="223" w:lineRule="auto"/>
        <w:rPr>
          <w:sz w:val="20"/>
          <w:szCs w:val="20"/>
          <w:color w:val="auto"/>
        </w:rPr>
      </w:pPr>
      <w:r>
        <w:rPr>
          <w:rFonts w:ascii="Times New Roman" w:cs="Times New Roman" w:eastAsia="Times New Roman" w:hAnsi="Times New Roman"/>
          <w:sz w:val="19"/>
          <w:szCs w:val="19"/>
          <w:color w:val="auto"/>
        </w:rPr>
        <w:t>part of the proceeds of the Loans or the Letters of Credit, in furtherance of an offer, payment, promise to pay, or authorization of the payment</w:t>
      </w:r>
    </w:p>
    <w:p>
      <w:pPr>
        <w:jc w:val="both"/>
        <w:spacing w:after="0" w:line="204" w:lineRule="auto"/>
        <w:rPr>
          <w:sz w:val="20"/>
          <w:szCs w:val="20"/>
          <w:color w:val="auto"/>
        </w:rPr>
      </w:pPr>
      <w:r>
        <w:rPr>
          <w:rFonts w:ascii="Times New Roman" w:cs="Times New Roman" w:eastAsia="Times New Roman" w:hAnsi="Times New Roman"/>
          <w:sz w:val="20"/>
          <w:szCs w:val="20"/>
          <w:color w:val="auto"/>
        </w:rPr>
        <w:t>or giving of money, or anything else of value, to any Person in violation of any Anti-Corruption Laws; (iv) use any of the proceeds from the Loans or the Letters of Credit to finance any operations, investments or activities in, or make any payments to, any Restricted Person or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manner that would result in the violation of any applicable sanctions.</w:t>
      </w:r>
    </w:p>
    <w:p>
      <w:pPr>
        <w:spacing w:after="0" w:line="1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8.</w:t>
      </w:r>
    </w:p>
    <w:p>
      <w:pPr>
        <w:spacing w:after="0" w:line="16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of the following events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shall occur:</w:t>
      </w:r>
    </w:p>
    <w:p>
      <w:pPr>
        <w:spacing w:after="0" w:line="202" w:lineRule="exact"/>
        <w:rPr>
          <w:sz w:val="20"/>
          <w:szCs w:val="20"/>
          <w:color w:val="auto"/>
        </w:rPr>
      </w:pPr>
    </w:p>
    <w:p>
      <w:pPr>
        <w:jc w:val="both"/>
        <w:ind w:firstLine="1304"/>
        <w:spacing w:after="0" w:line="230" w:lineRule="auto"/>
        <w:tabs>
          <w:tab w:leader="none" w:pos="193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95" w:lineRule="exact"/>
        <w:rPr>
          <w:sz w:val="20"/>
          <w:szCs w:val="20"/>
          <w:color w:val="auto"/>
        </w:rPr>
      </w:pPr>
    </w:p>
    <w:p>
      <w:pPr>
        <w:jc w:val="both"/>
        <w:ind w:firstLine="1304"/>
        <w:spacing w:after="0" w:line="222" w:lineRule="auto"/>
        <w:tabs>
          <w:tab w:leader="none" w:pos="1932"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pay any interest on any Loan or on any reimbursement obligation in respect of any LC Disbursement or any fee, commission or any other amount (other than an amount referred to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Article) payable under any Loan Document, when and as the same shall become due and payable, and such failure shall continue unremedied for a period of five Business Days;</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the Borrower or any Subsidiary in or in connection with any Loan Document or any amendment or modification hereof or waiver thereunder, or in any report, certificate, financial statement or other document furnished pursuant to or in connection with any Loan Document or any amendment or modification hereof or waiver thereunder, shall prove to have been incorrect in any material respect when made or deemed made;</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observe or perform any covenant, condition or agreement contained in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(with respect to the Borrower’s existence), </w:t>
      </w: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7.5</w:t>
      </w:r>
      <w:r>
        <w:rPr>
          <w:rFonts w:ascii="Times New Roman" w:cs="Times New Roman" w:eastAsia="Times New Roman" w:hAnsi="Times New Roman"/>
          <w:sz w:val="20"/>
          <w:szCs w:val="20"/>
          <w:color w:val="auto"/>
        </w:rPr>
        <w:t xml:space="preserve"> (subject to the cure rights contained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breach of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shall not constitute an Event of Default until, if the Borrower has the right to receive the Specified Equity Contribution, the date occurs that is ten (10) Business Days after the day the Compliance Certificate is required to be delivered in respect of the applicable fiscal quarter pursuant to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93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observe or perform any covenant, condition or agreement contained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and such failure shall continue unremedied for a period of ten days after the Borrower shall have obtained knowledge thereof.</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9"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observe or perform any covenant, condition or agreement contained in any Loan Document to which it is a party (other than those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Article), and such failure shall continue unremedied for a period of 30 days after the Borrower shall have obtained knowledge thereof;</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shall fail to make any payment (whether of principal or interest and regardless of amount) in respect to any Material Obligations, when and as the same shall become due and payable and after the expiration of any applicable grace period;</w:t>
      </w:r>
    </w:p>
    <w:p>
      <w:pPr>
        <w:spacing w:after="0" w:line="148"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2"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event or condition occurs that results in any Material Obligations becoming due prior to their scheduled maturity or payment date, or that enables or permits (with or without the giving of notice, the lapse of time or both) the holder or holders of any Material Obligations or any trustee or agent on its or their behalf to cause any Material Obligations to become due prior to their scheduled maturity or payment date or to require the prepayment, repurchase, redemption or defeasance thereof prior to their scheduled maturity or payment date (in each case after giving effect to any applicable cure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shall not apply to (i) Indebtedness that becomes due as a result of a notice of voluntary prepayment or redemption delivered by the Borrower or a Subsidiary, (ii) secured Indebtedness that becomes due solely as a result of the voluntary sale or transfer of the property or assets securing such Indebtedness,</w:t>
      </w:r>
    </w:p>
    <w:p>
      <w:pPr>
        <w:spacing w:after="0" w:line="4" w:lineRule="exact"/>
        <w:rPr>
          <w:rFonts w:ascii="Times New Roman" w:cs="Times New Roman" w:eastAsia="Times New Roman" w:hAnsi="Times New Roman"/>
          <w:sz w:val="19"/>
          <w:szCs w:val="19"/>
          <w:color w:val="auto"/>
        </w:rPr>
      </w:pPr>
    </w:p>
    <w:p>
      <w:pPr>
        <w:ind w:firstLine="8"/>
        <w:spacing w:after="0" w:line="228" w:lineRule="auto"/>
        <w:tabs>
          <w:tab w:leader="none" w:pos="35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indebtedness or (iv) the exercise of any contractual right to cause the prepayment of any Material Obligations (other than the exercise of a remedy for an event of default under the applicable contract or agreement);</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42"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Immaterial Transactions and transactions expressly permitted by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with respect to Subsidiaries, the Borrower or any Subsidiary shall (i) suspend or discontinue its business, (ii) make an assignment for the benefit of creditors, (iii) generally not pay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45 days, (x) file any answer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60</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9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admitting or not contesting the material allegations of any such petition filed against it or any order, judgment or decree approving such petition in any such proceeding, (xi) seek, approve, consent to, or acquiesce in any such proceeding, or in the appointment of any trustee,</w:t>
      </w:r>
    </w:p>
    <w:p>
      <w:pPr>
        <w:spacing w:after="0" w:line="212" w:lineRule="auto"/>
        <w:rPr>
          <w:sz w:val="20"/>
          <w:szCs w:val="20"/>
          <w:color w:val="auto"/>
        </w:rPr>
      </w:pPr>
      <w:r>
        <w:rPr>
          <w:rFonts w:ascii="Times New Roman" w:cs="Times New Roman" w:eastAsia="Times New Roman" w:hAnsi="Times New Roman"/>
          <w:sz w:val="20"/>
          <w:szCs w:val="20"/>
          <w:color w:val="auto"/>
        </w:rPr>
        <w:t>receiver, sequestrator, custodian, liquidator, or fiscal agent for it, or any substantial part of its property, or an order is entered appointing any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such trustee, receiver, custodian, liquidator or fiscal agent and such order remains in effect for 45 days, or (xii) take any formal action for the purpose of effecting any of the foregoing or looking to the liquidation or dissolution of the Borrower or any Subsidiary;</w:t>
      </w:r>
    </w:p>
    <w:p>
      <w:pPr>
        <w:spacing w:after="0" w:line="162" w:lineRule="exact"/>
        <w:rPr>
          <w:sz w:val="20"/>
          <w:szCs w:val="20"/>
          <w:color w:val="auto"/>
        </w:rPr>
      </w:pPr>
    </w:p>
    <w:p>
      <w:pPr>
        <w:jc w:val="both"/>
        <w:ind w:firstLine="1304"/>
        <w:spacing w:after="0" w:line="213" w:lineRule="auto"/>
        <w:tabs>
          <w:tab w:leader="none" w:pos="194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arising solely out of an Immaterial Transaction, an order for relief is entered under the United States bankruptcy laws or any other decree or order is entered by a court having jurisdiction (i) adjudging the Borrower or any Subsidiary bankrupt or insolvent, (ii) approving as properly filed a petition seeking reorganization, liquidation, arrangement, adjustment or composition of or in respect of Borrower or any Subsidiary under the United States bankruptcy laws or any other applicable Federal or state law, (iii) appointing a receiver, liquidator, assignee, trustee, custodian, sequestrator (or other similar official) of the Borrower or any Subsidiary of any substantial part of the property thereof, or (iv) ordering the winding up or liquidation (other than, in the case of a Subsidiary, voluntary liquidation, not under any bankruptcy, insolvency or similar law) of the affairs of the Borrower or any Subsidiary, and any such decree or order continues unstayed and in effect for a period of 45 days;</w:t>
      </w:r>
    </w:p>
    <w:p>
      <w:pPr>
        <w:spacing w:after="0" w:line="162"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or decrees against the Borrower or any of its Subsidiaries or any combination thereof aggregating in excess of $35,000,000, which judgment or decree (i) shall not be fully covered by insurance after taking into account any applicable deductibles and (ii) shall remain unpaid, unstayed on appeal, undischarged, unbonded or undismissed for a period of at least 30 consecutive days;</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4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Document shall cease, for any reason, to be in full force and effect or the Borrower shall so assert in writing or shall disavow any of its obligations thereunder;</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have occurred that, in the opinion of the Required Lenders, when taken together with all other ERISA Events that have occurred, could reasonably be expected to result in a Material Adverse Effect;</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93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authorization or approval or other action by any Governmental Authority required for the execution, delivery or performance of any Loan Document shall be terminated, revoked or rescinded or shall otherwise no longer be in full force and effect;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 or</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shall fail to own, directly or indirectly, substantially all of the assets of Minnesota Power, a division of the Borrower;</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then, and in every such event (other than an event described in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under the Loan Documents, shall become due and payable immediately, without presentment, demand, protest or other notice of any kind, all of which are hereby waived by the Borrower; and in case of any event described in </w:t>
      </w:r>
      <w:r>
        <w:rPr>
          <w:rFonts w:ascii="Times New Roman" w:cs="Times New Roman" w:eastAsia="Times New Roman" w:hAnsi="Times New Roman"/>
          <w:sz w:val="20"/>
          <w:szCs w:val="20"/>
          <w:u w:val="single" w:color="auto"/>
          <w:color w:val="auto"/>
        </w:rPr>
        <w:t>paragraph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this Article, the Commitments shall automatically terminate and the principal of the Loans then outstanding, together with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0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interest thereon and all fees and other obligations of the Borrower accrued under the Loan Documents, shall automatically become due and payable, without presentment, demand, protest or other notice of any kind, all of which are hereby waived by the Borrower.</w:t>
      </w:r>
    </w:p>
    <w:p>
      <w:pPr>
        <w:spacing w:after="0" w:line="15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8.1. </w:t>
      </w:r>
      <w:r>
        <w:rPr>
          <w:rFonts w:ascii="Times New Roman" w:cs="Times New Roman" w:eastAsia="Times New Roman" w:hAnsi="Times New Roman"/>
          <w:sz w:val="20"/>
          <w:szCs w:val="20"/>
          <w:u w:val="single" w:color="auto"/>
          <w:color w:val="auto"/>
        </w:rPr>
        <w:t>Equity Cure</w:t>
      </w:r>
      <w:r>
        <w:rPr>
          <w:rFonts w:ascii="Times New Roman" w:cs="Times New Roman" w:eastAsia="Times New Roman" w:hAnsi="Times New Roman"/>
          <w:sz w:val="20"/>
          <w:szCs w:val="20"/>
          <w:color w:val="auto"/>
        </w:rPr>
        <w:t xml:space="preserve">. Notwithstanding anything to the contrary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any cash equity contribution (which equity shall be common Equity Interests or other Equity Interests on terms and conditions reasonably acceptable to the Administrative Agent) made</w:t>
      </w:r>
    </w:p>
    <w:p>
      <w:pPr>
        <w:spacing w:after="0" w:line="212" w:lineRule="auto"/>
        <w:rPr>
          <w:sz w:val="20"/>
          <w:szCs w:val="20"/>
          <w:color w:val="auto"/>
        </w:rPr>
      </w:pPr>
      <w:r>
        <w:rPr>
          <w:rFonts w:ascii="Times New Roman" w:cs="Times New Roman" w:eastAsia="Times New Roman" w:hAnsi="Times New Roman"/>
          <w:sz w:val="20"/>
          <w:szCs w:val="20"/>
          <w:color w:val="auto"/>
        </w:rPr>
        <w:t>to, and actually received by, the Borrower after the first day of a fiscal quarter and on or prior to the day that is ten (10) Business Days after</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the day on which financial statements are required to be delivered for such fiscal quarter used to repay Total Indebtedness will, at the request of the Borrower, be included in the calculation of Total Indebtedness, for purposes of determining compliance with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at the end of</w:t>
      </w:r>
    </w:p>
    <w:p>
      <w:pPr>
        <w:spacing w:after="0" w:line="222" w:lineRule="auto"/>
        <w:rPr>
          <w:sz w:val="20"/>
          <w:szCs w:val="20"/>
          <w:color w:val="auto"/>
        </w:rPr>
      </w:pPr>
      <w:r>
        <w:rPr>
          <w:rFonts w:ascii="Times New Roman" w:cs="Times New Roman" w:eastAsia="Times New Roman" w:hAnsi="Times New Roman"/>
          <w:sz w:val="19"/>
          <w:szCs w:val="19"/>
          <w:color w:val="auto"/>
        </w:rPr>
        <w:t>such fiscal quarter and applicable subsequent periods (any such equity contribution so included in the calculation of the financial covenant set</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forth in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 The net cash proceeds of any Specified Equity Contribution shall be no more than the amount required to cause the Borrower to be in pro forma compliance with Section 7.5 for the applicable fiscal quarter. If, after giving</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effect to the foregoing recalculations, the Borrower shall then be in compliance with the requirements of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the Borrower shall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deemed to have satisfied the requirements of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as of the relevant date of determination with the same effect as though there had been no failure to comply therewith at such date, and the applicable breach or default of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that had occurred (and any other Default</w:t>
      </w:r>
    </w:p>
    <w:p>
      <w:pPr>
        <w:spacing w:after="0" w:line="211" w:lineRule="auto"/>
        <w:rPr>
          <w:sz w:val="20"/>
          <w:szCs w:val="20"/>
          <w:color w:val="auto"/>
        </w:rPr>
      </w:pPr>
      <w:r>
        <w:rPr>
          <w:rFonts w:ascii="Times New Roman" w:cs="Times New Roman" w:eastAsia="Times New Roman" w:hAnsi="Times New Roman"/>
          <w:sz w:val="20"/>
          <w:szCs w:val="20"/>
          <w:color w:val="auto"/>
        </w:rPr>
        <w:t>arising solely as a result thereof) shall be deemed cured for the purposes of this Agreement; provided that (a) no more than two Specified</w:t>
      </w:r>
    </w:p>
    <w:p>
      <w:pPr>
        <w:spacing w:after="0" w:line="222" w:lineRule="auto"/>
        <w:rPr>
          <w:sz w:val="20"/>
          <w:szCs w:val="20"/>
          <w:color w:val="auto"/>
        </w:rPr>
      </w:pPr>
      <w:r>
        <w:rPr>
          <w:rFonts w:ascii="Times New Roman" w:cs="Times New Roman" w:eastAsia="Times New Roman" w:hAnsi="Times New Roman"/>
          <w:sz w:val="19"/>
          <w:szCs w:val="19"/>
          <w:color w:val="auto"/>
        </w:rPr>
        <w:t>Equity Contributions may be made consecutively during the term of this Agreement, (b) no more than two Specified Equity Contributions may be made in any period of four consecutive fiscal quarters, (c) no more than five Specified Equity Contributions may be made during the</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term of this Agreement and (d) the foregoing may not be relied on for purposes of calculating any other financial ratios. There shall be no pro forma reduction in Indebtedness (including by way of “netting”) with the proceeds of any Specified Equity Contribution for determining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compliance with Section 7.5 for the fiscal quarter in respect of which the cure right is being exercised. Following delivery to the Administrative Agent of any written notice from the Borrower indicating an intent to make a Specified Equity Contribution with respect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any fiscal quarter, until the Specified Equity Contribution is made for such fiscal quarter, no Loans shall be required to be made under this Agreement and no Letters of Credit shall be required to be issued, amended or extended.</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9.</w:t>
      </w:r>
    </w:p>
    <w:p>
      <w:pPr>
        <w:spacing w:after="0" w:line="17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9.1.</w:t>
      </w:r>
      <w:r>
        <w:rPr>
          <w:sz w:val="20"/>
          <w:szCs w:val="20"/>
          <w:color w:val="auto"/>
        </w:rPr>
        <w:tab/>
      </w:r>
      <w:r>
        <w:rPr>
          <w:rFonts w:ascii="Times New Roman" w:cs="Times New Roman" w:eastAsia="Times New Roman" w:hAnsi="Times New Roman"/>
          <w:sz w:val="19"/>
          <w:szCs w:val="19"/>
          <w:u w:val="single" w:color="auto"/>
          <w:color w:val="auto"/>
        </w:rPr>
        <w:t>Authorization and Action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 xml:space="preserve">be binding upon each Lender and each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the Administrative Agent shall not be required to take any action that (i) the Administrative Agent in good faith believes exposes it to liability unless the Administrative Agent receives an</w:t>
      </w:r>
    </w:p>
    <w:p>
      <w:pPr>
        <w:spacing w:after="0" w:line="212" w:lineRule="auto"/>
        <w:rPr>
          <w:sz w:val="20"/>
          <w:szCs w:val="20"/>
          <w:color w:val="auto"/>
        </w:rPr>
      </w:pPr>
      <w:r>
        <w:rPr>
          <w:rFonts w:ascii="Times New Roman" w:cs="Times New Roman" w:eastAsia="Times New Roman" w:hAnsi="Times New Roman"/>
          <w:sz w:val="20"/>
          <w:szCs w:val="20"/>
          <w:color w:val="auto"/>
        </w:rPr>
        <w:t>indemnification and is exculpated in a manner satisfactory to it from the Lenders and the Issuing Banks with respect to such action or (ii) is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contrary to this Agreement or any other Loan Document or applicable law, including any action that may be in violation of the automatic stay under any requirement of law relating to bankruptcy, insolvency or reorganization or relief of debtors or that may effect a forfeiture,</w:t>
      </w:r>
    </w:p>
    <w:p>
      <w:pPr>
        <w:spacing w:after="0" w:line="211" w:lineRule="auto"/>
        <w:rPr>
          <w:sz w:val="20"/>
          <w:szCs w:val="20"/>
          <w:color w:val="auto"/>
        </w:rPr>
      </w:pPr>
      <w:r>
        <w:rPr>
          <w:rFonts w:ascii="Times New Roman" w:cs="Times New Roman" w:eastAsia="Times New Roman" w:hAnsi="Times New Roman"/>
          <w:sz w:val="20"/>
          <w:szCs w:val="20"/>
          <w:color w:val="auto"/>
        </w:rPr>
        <w:t>modification or termination of property of a Defaulting Lender in violation of any requirement of law relating to bankruptcy, insolvency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reorganization or relief of debtors;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Administrative Agent may seek clarification or direction from the Required Lenders prior to the exercise of any such instructed action and may refrain from acting until such clarification or direction has been provided.</w:t>
      </w:r>
    </w:p>
    <w:p>
      <w:pPr>
        <w:spacing w:after="0" w:line="222" w:lineRule="auto"/>
        <w:rPr>
          <w:sz w:val="20"/>
          <w:szCs w:val="20"/>
          <w:color w:val="auto"/>
        </w:rPr>
      </w:pPr>
      <w:r>
        <w:rPr>
          <w:rFonts w:ascii="Times New Roman" w:cs="Times New Roman" w:eastAsia="Times New Roman" w:hAnsi="Times New Roman"/>
          <w:sz w:val="19"/>
          <w:szCs w:val="19"/>
          <w:color w:val="auto"/>
        </w:rPr>
        <w:t>Except as expressly set forth in the Loan Documents, the Administrative Agent shall not have any duty to disclose, and shall not be liable for</w:t>
      </w:r>
    </w:p>
    <w:p>
      <w:pPr>
        <w:spacing w:after="0" w:line="215" w:lineRule="auto"/>
        <w:rPr>
          <w:sz w:val="20"/>
          <w:szCs w:val="20"/>
          <w:color w:val="auto"/>
        </w:rPr>
      </w:pPr>
      <w:r>
        <w:rPr>
          <w:rFonts w:ascii="Times New Roman" w:cs="Times New Roman" w:eastAsia="Times New Roman" w:hAnsi="Times New Roman"/>
          <w:sz w:val="19"/>
          <w:szCs w:val="19"/>
          <w:color w:val="auto"/>
        </w:rPr>
        <w:t>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w:t>
      </w:r>
    </w:p>
    <w:p>
      <w:pPr>
        <w:spacing w:after="0" w:line="204" w:lineRule="auto"/>
        <w:rPr>
          <w:sz w:val="20"/>
          <w:szCs w:val="20"/>
          <w:color w:val="auto"/>
        </w:rPr>
      </w:pPr>
      <w:r>
        <w:rPr>
          <w:rFonts w:ascii="Times New Roman" w:cs="Times New Roman" w:eastAsia="Times New Roman" w:hAnsi="Times New Roman"/>
          <w:sz w:val="20"/>
          <w:szCs w:val="20"/>
          <w:color w:val="auto"/>
        </w:rPr>
        <w:t>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adequate indemnity against such risk or liability is not reasonably assured to it.</w:t>
      </w:r>
    </w:p>
    <w:p>
      <w:pPr>
        <w:spacing w:after="0" w:line="167" w:lineRule="exact"/>
        <w:rPr>
          <w:sz w:val="20"/>
          <w:szCs w:val="20"/>
          <w:color w:val="auto"/>
        </w:rPr>
      </w:pPr>
    </w:p>
    <w:p>
      <w:pPr>
        <w:jc w:val="both"/>
        <w:ind w:firstLine="1304"/>
        <w:spacing w:after="0" w:line="222" w:lineRule="auto"/>
        <w:tabs>
          <w:tab w:leader="none" w:pos="193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48" w:lineRule="exact"/>
        <w:rPr>
          <w:rFonts w:ascii="Times New Roman" w:cs="Times New Roman" w:eastAsia="Times New Roman" w:hAnsi="Times New Roman"/>
          <w:sz w:val="20"/>
          <w:szCs w:val="20"/>
          <w:color w:val="auto"/>
        </w:rPr>
      </w:pPr>
    </w:p>
    <w:p>
      <w:pPr>
        <w:jc w:val="both"/>
        <w:ind w:left="1300" w:firstLine="652"/>
        <w:spacing w:after="0" w:line="225" w:lineRule="auto"/>
        <w:tabs>
          <w:tab w:leader="none" w:pos="2594"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does not assume and shall not be deemed to have assumed any obligation or duty or any other relationship as the agent, fiduciary or trustee of or for any Lender or Issuing Bank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54" w:lineRule="exact"/>
        <w:rPr>
          <w:rFonts w:ascii="Times New Roman" w:cs="Times New Roman" w:eastAsia="Times New Roman" w:hAnsi="Times New Roman"/>
          <w:sz w:val="19"/>
          <w:szCs w:val="19"/>
          <w:color w:val="auto"/>
        </w:rPr>
      </w:pPr>
    </w:p>
    <w:p>
      <w:pPr>
        <w:ind w:left="1300" w:firstLine="652"/>
        <w:spacing w:after="0"/>
        <w:tabs>
          <w:tab w:leader="none" w:pos="2595"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95" w:lineRule="exact"/>
        <w:rPr>
          <w:sz w:val="20"/>
          <w:szCs w:val="20"/>
          <w:color w:val="auto"/>
        </w:rPr>
      </w:pPr>
    </w:p>
    <w:p>
      <w:pPr>
        <w:jc w:val="both"/>
        <w:ind w:firstLine="1304"/>
        <w:spacing w:after="0" w:line="226" w:lineRule="auto"/>
        <w:tabs>
          <w:tab w:leader="none" w:pos="1939"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Sole Lead Arranger and Sole Bookrunner shall have no obligations or duties whatsoever in such capacity under this Agreement or any other Loan Document and shall incur no liability hereunder or thereunder in such capacity, but shall have the benefit of the indemnities provided for hereunder.</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17" w:lineRule="auto"/>
        <w:tabs>
          <w:tab w:leader="none" w:pos="2594"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Disbursements and all other obligations under the Loan Documents that are owing and unpaid and to file such other documents as may be necessary or advisable in order to have the claims of the Lenders, the Issuing Banks and the Administrative Agent (including any claim under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allowed in such judicial proceeding; and</w:t>
      </w:r>
    </w:p>
    <w:p>
      <w:pPr>
        <w:spacing w:after="0" w:line="161" w:lineRule="exact"/>
        <w:rPr>
          <w:rFonts w:ascii="Times New Roman" w:cs="Times New Roman" w:eastAsia="Times New Roman" w:hAnsi="Times New Roman"/>
          <w:sz w:val="20"/>
          <w:szCs w:val="20"/>
          <w:color w:val="auto"/>
        </w:rPr>
      </w:pPr>
    </w:p>
    <w:p>
      <w:pPr>
        <w:ind w:left="1300" w:firstLine="652"/>
        <w:spacing w:after="0"/>
        <w:tabs>
          <w:tab w:leader="none" w:pos="2595"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61" w:lineRule="exact"/>
        <w:rPr>
          <w:rFonts w:ascii="Times New Roman" w:cs="Times New Roman" w:eastAsia="Times New Roman" w:hAnsi="Times New Roman"/>
          <w:sz w:val="20"/>
          <w:szCs w:val="20"/>
          <w:color w:val="auto"/>
        </w:rPr>
      </w:pPr>
    </w:p>
    <w:p>
      <w:pPr>
        <w:jc w:val="both"/>
        <w:ind w:firstLine="8"/>
        <w:spacing w:after="0" w:line="253" w:lineRule="auto"/>
        <w:tabs>
          <w:tab w:leader="none" w:pos="64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to it, in its capacity as the Administrative Agent, under the Loan Documents (including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6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9.2.</w:t>
      </w:r>
      <w:r>
        <w:rPr>
          <w:sz w:val="20"/>
          <w:szCs w:val="20"/>
          <w:color w:val="auto"/>
        </w:rPr>
        <w:tab/>
      </w:r>
      <w:r>
        <w:rPr>
          <w:rFonts w:ascii="Times New Roman" w:cs="Times New Roman" w:eastAsia="Times New Roman" w:hAnsi="Times New Roman"/>
          <w:sz w:val="19"/>
          <w:szCs w:val="19"/>
          <w:u w:val="single" w:color="auto"/>
          <w:color w:val="auto"/>
        </w:rPr>
        <w:t>Administrative Agent’s Reliance, Indemnification, Etc.</w:t>
      </w:r>
    </w:p>
    <w:p>
      <w:pPr>
        <w:spacing w:after="0" w:line="175" w:lineRule="exact"/>
        <w:rPr>
          <w:sz w:val="20"/>
          <w:szCs w:val="20"/>
          <w:color w:val="auto"/>
        </w:rPr>
      </w:pPr>
    </w:p>
    <w:p>
      <w:pPr>
        <w:jc w:val="both"/>
        <w:ind w:firstLine="1304"/>
        <w:spacing w:after="0" w:line="214" w:lineRule="auto"/>
        <w:tabs>
          <w:tab w:leader="none" w:pos="193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of its Related Parties shall be (i) liable for any action taken or omitted to be taken by such party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9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enforceability or sufficiency of this Agreement or any other Loan Document or for any failure of the Borrower to perform its obligations hereunder or thereunder.</w:t>
      </w:r>
    </w:p>
    <w:p>
      <w:pPr>
        <w:spacing w:after="0" w:line="161" w:lineRule="exact"/>
        <w:rPr>
          <w:sz w:val="20"/>
          <w:szCs w:val="20"/>
          <w:color w:val="auto"/>
        </w:rPr>
      </w:pPr>
    </w:p>
    <w:p>
      <w:pPr>
        <w:jc w:val="both"/>
        <w:ind w:firstLine="1304"/>
        <w:spacing w:after="0" w:line="212" w:lineRule="auto"/>
        <w:tabs>
          <w:tab w:leader="none" w:pos="1932"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deemed not to have knowledge of any Default unless and until written notice thereof (stating that it is a “notice of default”) is given to the Administrative Agent by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Article 5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55" w:lineRule="exact"/>
        <w:rPr>
          <w:rFonts w:ascii="Times New Roman" w:cs="Times New Roman" w:eastAsia="Times New Roman" w:hAnsi="Times New Roman"/>
          <w:sz w:val="20"/>
          <w:szCs w:val="20"/>
          <w:color w:val="auto"/>
        </w:rPr>
      </w:pPr>
    </w:p>
    <w:p>
      <w:pPr>
        <w:jc w:val="both"/>
        <w:ind w:right="20" w:firstLine="1304"/>
        <w:spacing w:after="0" w:line="224" w:lineRule="auto"/>
        <w:tabs>
          <w:tab w:leader="none" w:pos="1934"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foregoing, the Administrative Agent (i) may treat the payee of any Note as its holder until such Note has been assigned in accordance with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(ii) may rely on the Register to the extent set forth in </w:t>
      </w:r>
      <w:r>
        <w:rPr>
          <w:rFonts w:ascii="Times New Roman" w:cs="Times New Roman" w:eastAsia="Times New Roman" w:hAnsi="Times New Roman"/>
          <w:sz w:val="19"/>
          <w:szCs w:val="19"/>
          <w:u w:val="single" w:color="auto"/>
          <w:color w:val="auto"/>
        </w:rPr>
        <w:t>Section 10.4(c)</w:t>
      </w:r>
      <w:r>
        <w:rPr>
          <w:rFonts w:ascii="Times New Roman" w:cs="Times New Roman" w:eastAsia="Times New Roman" w:hAnsi="Times New Roman"/>
          <w:sz w:val="19"/>
          <w:szCs w:val="19"/>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w:t>
      </w:r>
    </w:p>
    <w:p>
      <w:pPr>
        <w:spacing w:after="0" w:line="2" w:lineRule="exact"/>
        <w:rPr>
          <w:rFonts w:ascii="Times New Roman" w:cs="Times New Roman" w:eastAsia="Times New Roman" w:hAnsi="Times New Roman"/>
          <w:sz w:val="19"/>
          <w:szCs w:val="19"/>
          <w:color w:val="auto"/>
        </w:rPr>
      </w:pPr>
    </w:p>
    <w:p>
      <w:pPr>
        <w:jc w:val="both"/>
        <w:ind w:firstLine="8"/>
        <w:spacing w:after="0" w:line="210" w:lineRule="auto"/>
        <w:tabs>
          <w:tab w:leader="none" w:pos="34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no warranty or representation to any Lender or Issuing Bank and shall not be responsible to any Lender or Issuing Bank for any statements, warranties or representations made by or on behalf of the Borrower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6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9.3.</w:t>
      </w:r>
      <w:r>
        <w:rPr>
          <w:sz w:val="20"/>
          <w:szCs w:val="20"/>
          <w:color w:val="auto"/>
        </w:rPr>
        <w:tab/>
      </w:r>
      <w:r>
        <w:rPr>
          <w:rFonts w:ascii="Times New Roman" w:cs="Times New Roman" w:eastAsia="Times New Roman" w:hAnsi="Times New Roman"/>
          <w:sz w:val="19"/>
          <w:szCs w:val="19"/>
          <w:u w:val="single" w:color="auto"/>
          <w:color w:val="auto"/>
        </w:rPr>
        <w:t>Posting of Communications; Limitation of Liability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44" w:lineRule="auto"/>
        <w:tabs>
          <w:tab w:leader="none" w:pos="1934"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19"/>
          <w:szCs w:val="19"/>
          <w:u w:val="single" w:color="auto"/>
          <w:color w:val="auto"/>
        </w:rPr>
        <w:t>Approved Electronic Platform</w:t>
      </w:r>
      <w:r>
        <w:rPr>
          <w:rFonts w:ascii="Times New Roman" w:cs="Times New Roman" w:eastAsia="Times New Roman" w:hAnsi="Times New Roman"/>
          <w:sz w:val="19"/>
          <w:szCs w:val="19"/>
          <w:color w:val="auto"/>
        </w:rPr>
        <w:t>”).</w:t>
      </w:r>
    </w:p>
    <w:p>
      <w:pPr>
        <w:spacing w:after="0" w:line="143"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9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Borrower hereby approves distribution of the Communications through the Approved Electronic Platform and understands and assumes the risks of such distribution.</w:t>
      </w:r>
    </w:p>
    <w:p>
      <w:pPr>
        <w:spacing w:after="0" w:line="161" w:lineRule="exact"/>
        <w:rPr>
          <w:sz w:val="20"/>
          <w:szCs w:val="20"/>
          <w:color w:val="auto"/>
        </w:rPr>
      </w:pPr>
    </w:p>
    <w:p>
      <w:pPr>
        <w:jc w:val="both"/>
        <w:ind w:firstLine="1304"/>
        <w:spacing w:after="0" w:line="215" w:lineRule="auto"/>
        <w:tabs>
          <w:tab w:leader="none" w:pos="193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APPROVED ELECTRONIC PLATFORM AND THE COMMUNICATIONS ARE PROVIDED “AS IS” AND “AS AVAILABLE”. THE APPLICABLE PARTIES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w:t>
      </w:r>
    </w:p>
    <w:p>
      <w:pPr>
        <w:spacing w:after="0" w:line="160" w:lineRule="exact"/>
        <w:rPr>
          <w:rFonts w:ascii="Times New Roman" w:cs="Times New Roman" w:eastAsia="Times New Roman" w:hAnsi="Times New Roman"/>
          <w:sz w:val="20"/>
          <w:szCs w:val="20"/>
          <w:color w:val="auto"/>
        </w:rPr>
      </w:pPr>
    </w:p>
    <w:p>
      <w:pPr>
        <w:jc w:val="both"/>
        <w:ind w:firstLine="8"/>
        <w:spacing w:after="0" w:line="253" w:lineRule="auto"/>
        <w:tabs>
          <w:tab w:leader="none" w:pos="63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ADMINISTRATIVE AGENT, THE SOLE LEAD ARRANGER AND SOLE BOOKRUNNER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ANY LENDER, ANY ISSUING BANK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192" w:lineRule="exact"/>
        <w:rPr>
          <w:rFonts w:ascii="Times New Roman" w:cs="Times New Roman" w:eastAsia="Times New Roman" w:hAnsi="Times New Roman"/>
          <w:sz w:val="20"/>
          <w:szCs w:val="20"/>
          <w:color w:val="auto"/>
        </w:rPr>
      </w:pPr>
    </w:p>
    <w:p>
      <w:pPr>
        <w:jc w:val="both"/>
        <w:ind w:firstLine="8"/>
        <w:spacing w:after="0" w:line="253" w:lineRule="auto"/>
        <w:tabs>
          <w:tab w:leader="none" w:pos="63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NOR ANY OF THEIR RESPECTIVE RELATED PARTIES SHALL BE LIABLE TO THE BORROWER FOR ANY USE BY OTHERS OF INFORMATION OR OTHER MATERIALS (INCLUDING, WITHOUT LIMITATION, ANY PERSONAL DATA) OBTAINED THROUGH TELECOMMUNICATIONS, ELECTRONIC OR OTHER INFORMATION TRANSMISSION SYSTEMS (INCLUDING THE ELECTRONIC PLATFORM) EXCEPT TO THE EXTENT SUCH LIABILITIES ARE FOUND IN A FINAL JUDGMENT BY A COURT OF COMPETENT JURISDICTION TO HAVE ARISEN FROM SUCH PARTY’S GROSS NEGLIGENCE OR WILLFUL MISCONDUCT.</w:t>
      </w:r>
    </w:p>
    <w:p>
      <w:pPr>
        <w:spacing w:after="0" w:line="178" w:lineRule="exact"/>
        <w:rPr>
          <w:rFonts w:ascii="Times New Roman" w:cs="Times New Roman" w:eastAsia="Times New Roman" w:hAnsi="Times New Roman"/>
          <w:sz w:val="20"/>
          <w:szCs w:val="20"/>
          <w:color w:val="auto"/>
        </w:rPr>
      </w:pPr>
    </w:p>
    <w:p>
      <w:pPr>
        <w:jc w:val="both"/>
        <w:ind w:firstLine="8"/>
        <w:spacing w:after="0" w:line="258" w:lineRule="auto"/>
        <w:tabs>
          <w:tab w:leader="none" w:pos="70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the Borrower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72"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95" w:lineRule="exact"/>
        <w:rPr>
          <w:sz w:val="20"/>
          <w:szCs w:val="20"/>
          <w:color w:val="auto"/>
        </w:rPr>
      </w:pPr>
    </w:p>
    <w:p>
      <w:pPr>
        <w:ind w:firstLine="1304"/>
        <w:spacing w:after="0" w:line="233" w:lineRule="auto"/>
        <w:tabs>
          <w:tab w:leader="none" w:pos="194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9.4.</w:t>
      </w:r>
      <w:r>
        <w:rPr>
          <w:sz w:val="20"/>
          <w:szCs w:val="20"/>
          <w:color w:val="auto"/>
        </w:rPr>
        <w:tab/>
      </w:r>
      <w:r>
        <w:rPr>
          <w:rFonts w:ascii="Times New Roman" w:cs="Times New Roman" w:eastAsia="Times New Roman" w:hAnsi="Times New Roman"/>
          <w:sz w:val="20"/>
          <w:szCs w:val="20"/>
          <w:u w:val="single" w:color="auto"/>
          <w:color w:val="auto"/>
        </w:rPr>
        <w:t>The Administrative Agent Individually</w:t>
      </w:r>
      <w:r>
        <w:rPr>
          <w:rFonts w:ascii="Times New Roman" w:cs="Times New Roman" w:eastAsia="Times New Roman" w:hAnsi="Times New Roman"/>
          <w:sz w:val="20"/>
          <w:szCs w:val="20"/>
          <w:color w:val="auto"/>
        </w:rPr>
        <w:t>. With respect to its Commitment, Loans, Letter of Credit Commitments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Letters of Credit, the Person serving as the Administrative Agent shall have and may exercise the same rights and powers hereunder and is subject to the same obligations and liabilities as and to the extent set forth herein for any other Lender or Issuing Bank, as the case may be.</w:t>
      </w:r>
    </w:p>
    <w:p>
      <w:pPr>
        <w:spacing w:after="0" w:line="211" w:lineRule="auto"/>
        <w:rPr>
          <w:sz w:val="20"/>
          <w:szCs w:val="20"/>
          <w:color w:val="auto"/>
        </w:rPr>
      </w:pPr>
      <w:r>
        <w:rPr>
          <w:rFonts w:ascii="Times New Roman" w:cs="Times New Roman" w:eastAsia="Times New Roman" w:hAnsi="Times New Roman"/>
          <w:sz w:val="20"/>
          <w:szCs w:val="20"/>
          <w:color w:val="auto"/>
        </w:rPr>
        <w:t>The terms “Issuing Banks”, “Lenders”, “Required Lenders” and any similar terms shall, unless the context clearly otherwise indicates,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include the Administrative Agent in its individual capacity as a Lender, Issuing Bank or as one of the Required Lenders, as applicable. The Person serving as the Administrative Agent and its Affiliates may accept deposits from, lend money to, own securities of, act as the financial</w:t>
      </w:r>
    </w:p>
    <w:p>
      <w:pPr>
        <w:spacing w:after="0" w:line="211" w:lineRule="auto"/>
        <w:rPr>
          <w:sz w:val="20"/>
          <w:szCs w:val="20"/>
          <w:color w:val="auto"/>
        </w:rPr>
      </w:pPr>
      <w:r>
        <w:rPr>
          <w:rFonts w:ascii="Times New Roman" w:cs="Times New Roman" w:eastAsia="Times New Roman" w:hAnsi="Times New Roman"/>
          <w:sz w:val="20"/>
          <w:szCs w:val="20"/>
          <w:color w:val="auto"/>
        </w:rPr>
        <w:t>advisor or in any other advisory capacity for and generally engage in any kind of banking, trust or other business with, the Borrower, any</w:t>
      </w:r>
    </w:p>
    <w:p>
      <w:pPr>
        <w:spacing w:after="0" w:line="221" w:lineRule="auto"/>
        <w:rPr>
          <w:sz w:val="20"/>
          <w:szCs w:val="20"/>
          <w:color w:val="auto"/>
        </w:rPr>
      </w:pPr>
      <w:r>
        <w:rPr>
          <w:rFonts w:ascii="Times New Roman" w:cs="Times New Roman" w:eastAsia="Times New Roman" w:hAnsi="Times New Roman"/>
          <w:sz w:val="20"/>
          <w:szCs w:val="20"/>
          <w:color w:val="auto"/>
        </w:rPr>
        <w:t>Subsidiary or any Affiliate of any of the foregoing as if such Person was not acting as the Administrative Agent and without any duty to account therefor to the Lenders or the Issuing Banks.</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9.5.</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1" w:lineRule="auto"/>
        <w:tabs>
          <w:tab w:leader="none" w:pos="193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66"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9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9.6.</w:t>
      </w:r>
      <w:r>
        <w:rPr>
          <w:sz w:val="20"/>
          <w:szCs w:val="20"/>
          <w:color w:val="auto"/>
        </w:rPr>
        <w:tab/>
      </w:r>
      <w:r>
        <w:rPr>
          <w:rFonts w:ascii="Times New Roman" w:cs="Times New Roman" w:eastAsia="Times New Roman" w:hAnsi="Times New Roman"/>
          <w:sz w:val="19"/>
          <w:szCs w:val="19"/>
          <w:u w:val="single" w:color="auto"/>
          <w:color w:val="auto"/>
        </w:rPr>
        <w:t>Acknowledgements of Lenders and Issuing Banks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25" w:lineRule="auto"/>
        <w:tabs>
          <w:tab w:leader="none" w:pos="1934"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represents that it is engaged in making, acquiring or holding commercial loans in the ordinary course of its business and that it has, independently and without reliance upon the Administrative Agent, the Sole Lead Arranger and Sole Bookrunner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the Sole Lead Arranger and Sole Bookrunner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4" w:lineRule="exact"/>
        <w:rPr>
          <w:rFonts w:ascii="Times New Roman" w:cs="Times New Roman" w:eastAsia="Times New Roman" w:hAnsi="Times New Roman"/>
          <w:sz w:val="19"/>
          <w:szCs w:val="19"/>
          <w:color w:val="auto"/>
        </w:rPr>
      </w:pPr>
    </w:p>
    <w:p>
      <w:pPr>
        <w:jc w:val="both"/>
        <w:ind w:firstLine="656"/>
        <w:spacing w:after="0" w:line="224" w:lineRule="auto"/>
        <w:tabs>
          <w:tab w:leader="none" w:pos="128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9.7.</w:t>
      </w:r>
      <w:r>
        <w:rPr>
          <w:sz w:val="20"/>
          <w:szCs w:val="20"/>
          <w:color w:val="auto"/>
        </w:rPr>
        <w:tab/>
      </w:r>
      <w:r>
        <w:rPr>
          <w:rFonts w:ascii="Times New Roman" w:cs="Times New Roman" w:eastAsia="Times New Roman" w:hAnsi="Times New Roman"/>
          <w:sz w:val="20"/>
          <w:szCs w:val="20"/>
          <w:u w:val="single" w:color="auto"/>
          <w:color w:val="auto"/>
        </w:rPr>
        <w:t xml:space="preserve">Certain ERISA Matters. </w:t>
      </w:r>
      <w:r>
        <w:rPr>
          <w:rFonts w:ascii="Times New Roman" w:cs="Times New Roman" w:eastAsia="Times New Roman" w:hAnsi="Times New Roman"/>
          <w:sz w:val="20"/>
          <w:szCs w:val="20"/>
          <w:color w:val="auto"/>
        </w:rPr>
        <w:t>(a) Each Lender (x) represents and warrants, as of the date such Person became a Lender</w:t>
      </w:r>
    </w:p>
    <w:p>
      <w:pPr>
        <w:jc w:val="both"/>
        <w:spacing w:after="0" w:line="204" w:lineRule="auto"/>
        <w:rPr>
          <w:sz w:val="20"/>
          <w:szCs w:val="20"/>
          <w:color w:val="auto"/>
        </w:rPr>
      </w:pPr>
      <w:r>
        <w:rPr>
          <w:rFonts w:ascii="Times New Roman" w:cs="Times New Roman" w:eastAsia="Times New Roman" w:hAnsi="Times New Roman"/>
          <w:sz w:val="20"/>
          <w:szCs w:val="20"/>
          <w:color w:val="auto"/>
        </w:rPr>
        <w:t>party hereto, to, and (y) covenants, from the date such Person became a Lender party hereto to the date such Person ceases being a Lender party hereto, for the benefit of, the Administrative Agent and the Sole Lead Arranger and Sole Bookrunner and their respective Affiliates,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not, for the avoidance of doubt, to or for the benefit of the Borrower, that at least one of the following is and will be true:</w:t>
      </w:r>
    </w:p>
    <w:p>
      <w:pPr>
        <w:spacing w:after="0" w:line="167" w:lineRule="exact"/>
        <w:rPr>
          <w:sz w:val="20"/>
          <w:szCs w:val="20"/>
          <w:color w:val="auto"/>
        </w:rPr>
      </w:pPr>
    </w:p>
    <w:p>
      <w:pPr>
        <w:ind w:left="1300" w:firstLine="652"/>
        <w:spacing w:after="0" w:line="233" w:lineRule="auto"/>
        <w:tabs>
          <w:tab w:leader="none" w:pos="259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or the Commitments,</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21" w:lineRule="auto"/>
        <w:tabs>
          <w:tab w:leader="none" w:pos="2596"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1" w:lineRule="exact"/>
        <w:rPr>
          <w:rFonts w:ascii="Times New Roman" w:cs="Times New Roman" w:eastAsia="Times New Roman" w:hAnsi="Times New Roman"/>
          <w:sz w:val="19"/>
          <w:szCs w:val="19"/>
          <w:color w:val="auto"/>
        </w:rPr>
      </w:pPr>
    </w:p>
    <w:p>
      <w:pPr>
        <w:jc w:val="both"/>
        <w:ind w:left="1300" w:firstLine="4"/>
        <w:spacing w:after="0" w:line="218" w:lineRule="auto"/>
        <w:tabs>
          <w:tab w:leader="none" w:pos="162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95" w:lineRule="exact"/>
        <w:rPr>
          <w:sz w:val="20"/>
          <w:szCs w:val="20"/>
          <w:color w:val="auto"/>
        </w:rPr>
      </w:pPr>
    </w:p>
    <w:p>
      <w:pPr>
        <w:ind w:left="1300" w:firstLine="652"/>
        <w:spacing w:after="0" w:line="233" w:lineRule="auto"/>
        <w:tabs>
          <w:tab w:leader="none" w:pos="258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Sole Lead Arranger and Sole Bookrunner and their respective Affiliates, and not, for the avoidance of doubt, to or for the benefit of the Borrower, that none of the Administrative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47" w:lineRule="exact"/>
        <w:rPr>
          <w:rFonts w:ascii="Times New Roman" w:cs="Times New Roman" w:eastAsia="Times New Roman" w:hAnsi="Times New Roman"/>
          <w:sz w:val="20"/>
          <w:szCs w:val="20"/>
          <w:color w:val="auto"/>
        </w:rPr>
      </w:pPr>
    </w:p>
    <w:p>
      <w:pPr>
        <w:jc w:val="both"/>
        <w:ind w:firstLine="1304"/>
        <w:spacing w:after="0" w:line="224" w:lineRule="auto"/>
        <w:tabs>
          <w:tab w:leader="none" w:pos="1932"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the Sole Lead Arranger and Sole Bookrunner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1" w:lineRule="exact"/>
        <w:rPr>
          <w:rFonts w:ascii="Times New Roman" w:cs="Times New Roman" w:eastAsia="Times New Roman" w:hAnsi="Times New Roman"/>
          <w:sz w:val="19"/>
          <w:szCs w:val="19"/>
          <w:color w:val="auto"/>
        </w:rPr>
      </w:pPr>
    </w:p>
    <w:p>
      <w:pPr>
        <w:jc w:val="both"/>
        <w:ind w:firstLine="1304"/>
        <w:spacing w:after="0" w:line="211" w:lineRule="auto"/>
        <w:tabs>
          <w:tab w:leader="none" w:pos="193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9.7(d) shall be conclusive, absent manifest error.</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b w:val="1"/>
          <w:bCs w:val="1"/>
          <w:i w:val="1"/>
          <w:iCs w:val="1"/>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0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9" w:lineRule="exact"/>
        <w:rPr>
          <w:sz w:val="20"/>
          <w:szCs w:val="20"/>
          <w:color w:val="auto"/>
        </w:rPr>
      </w:pPr>
    </w:p>
    <w:p>
      <w:pPr>
        <w:jc w:val="both"/>
        <w:ind w:left="660" w:firstLine="644"/>
        <w:spacing w:after="0" w:line="258" w:lineRule="auto"/>
        <w:tabs>
          <w:tab w:leader="none" w:pos="194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 The Borrower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under any Loan Document.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 Each party’s obligations under this Section 9.7(d)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10.</w:t>
      </w:r>
    </w:p>
    <w:p>
      <w:pPr>
        <w:ind w:left="4800"/>
        <w:spacing w:after="0"/>
        <w:rPr>
          <w:sz w:val="20"/>
          <w:szCs w:val="20"/>
          <w:color w:val="auto"/>
        </w:rPr>
      </w:pPr>
      <w:r>
        <w:rPr>
          <w:rFonts w:ascii="Times New Roman" w:cs="Times New Roman" w:eastAsia="Times New Roman" w:hAnsi="Times New Roman"/>
          <w:sz w:val="20"/>
          <w:szCs w:val="20"/>
          <w:color w:val="auto"/>
        </w:rPr>
        <w:t>MISCELLANEOUS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22" w:lineRule="auto"/>
        <w:tabs>
          <w:tab w:leader="none" w:pos="193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(or e-mail in accordance with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below) as follows:</w:t>
      </w:r>
    </w:p>
    <w:p>
      <w:pPr>
        <w:spacing w:after="0" w:line="161" w:lineRule="exact"/>
        <w:rPr>
          <w:rFonts w:ascii="Times New Roman" w:cs="Times New Roman" w:eastAsia="Times New Roman" w:hAnsi="Times New Roman"/>
          <w:sz w:val="20"/>
          <w:szCs w:val="20"/>
          <w:color w:val="auto"/>
        </w:rPr>
      </w:pPr>
    </w:p>
    <w:p>
      <w:pPr>
        <w:ind w:left="1300" w:firstLine="652"/>
        <w:spacing w:after="0"/>
        <w:tabs>
          <w:tab w:leader="none" w:pos="2594"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 to it at 30 West Superior Street, Duluth, Minnesota, Attention of: Patrick L. Cutshall, Treasurer, Phone: 218-723-3978, Fax: 218-723-3912, Email: </w:t>
      </w:r>
      <w:r>
        <w:rPr>
          <w:rFonts w:ascii="Times New Roman" w:cs="Times New Roman" w:eastAsia="Times New Roman" w:hAnsi="Times New Roman"/>
          <w:sz w:val="20"/>
          <w:szCs w:val="20"/>
          <w:u w:val="single" w:color="auto"/>
          <w:color w:val="0000FF"/>
        </w:rPr>
        <w:t>pcutshall@allete.com</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300" w:firstLine="652"/>
        <w:spacing w:after="0"/>
        <w:tabs>
          <w:tab w:leader="none" w:pos="2595"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Administrative Agent, to JPMorgan Chase Bank, N.A. at the address separately provided to the Borrower and, in the case of a notification of the DQ List, to: </w:t>
      </w:r>
      <w:r>
        <w:rPr>
          <w:rFonts w:ascii="Times New Roman" w:cs="Times New Roman" w:eastAsia="Times New Roman" w:hAnsi="Times New Roman"/>
          <w:sz w:val="20"/>
          <w:szCs w:val="20"/>
          <w:u w:val="single" w:color="auto"/>
          <w:color w:val="0000FF"/>
        </w:rPr>
        <w:t>JPMDQ_Contact@jpmorgan.com</w:t>
      </w:r>
      <w:r>
        <w:rPr>
          <w:rFonts w:ascii="Times New Roman" w:cs="Times New Roman" w:eastAsia="Times New Roman" w:hAnsi="Times New Roman"/>
          <w:sz w:val="20"/>
          <w:szCs w:val="20"/>
          <w:color w:val="auto"/>
        </w:rPr>
        <w:t>; and</w:t>
      </w:r>
    </w:p>
    <w:p>
      <w:pPr>
        <w:spacing w:after="0" w:line="142" w:lineRule="exact"/>
        <w:rPr>
          <w:rFonts w:ascii="Times New Roman" w:cs="Times New Roman" w:eastAsia="Times New Roman" w:hAnsi="Times New Roman"/>
          <w:sz w:val="20"/>
          <w:szCs w:val="20"/>
          <w:color w:val="auto"/>
        </w:rPr>
      </w:pPr>
    </w:p>
    <w:p>
      <w:pPr>
        <w:ind w:left="2700" w:hanging="748"/>
        <w:spacing w:after="0"/>
        <w:tabs>
          <w:tab w:leader="none" w:pos="270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Credit Party, to it at its address (or facsimile number) set forth in its Administrative</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Questionnaire.</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or Approved Electronic Platforms to the extent provided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70</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95" w:lineRule="exact"/>
        <w:rPr>
          <w:sz w:val="20"/>
          <w:szCs w:val="20"/>
          <w:color w:val="auto"/>
        </w:rPr>
      </w:pPr>
    </w:p>
    <w:p>
      <w:pPr>
        <w:jc w:val="both"/>
        <w:ind w:firstLine="1304"/>
        <w:spacing w:after="0" w:line="216" w:lineRule="auto"/>
        <w:tabs>
          <w:tab w:leader="none" w:pos="193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Issuing Banks hereunder may be delivered or furnished by using Approved Electronic Platforms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the Borrower’s website is www.allete.com.</w:t>
      </w:r>
    </w:p>
    <w:p>
      <w:pPr>
        <w:spacing w:after="0" w:line="202" w:lineRule="exact"/>
        <w:rPr>
          <w:sz w:val="20"/>
          <w:szCs w:val="20"/>
          <w:color w:val="auto"/>
        </w:rPr>
      </w:pPr>
    </w:p>
    <w:p>
      <w:pPr>
        <w:ind w:firstLine="1304"/>
        <w:spacing w:after="0"/>
        <w:tabs>
          <w:tab w:leader="none" w:pos="193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xml:space="preserve"> Any party hereto may change its address or facsimile number or e-mail address for notices and other communications hereunder by notice to the other parties hereto.</w:t>
      </w:r>
    </w:p>
    <w:p>
      <w:pPr>
        <w:spacing w:after="0" w:line="16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4" w:lineRule="auto"/>
        <w:tabs>
          <w:tab w:leader="none" w:pos="193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then such waiver or consent shall be effective only in the specific instance and for the purpose for which given. Without limiting the generality of the foregoing, the making of a Loan and/or the issuance, amendment, extension or renewal of a Letter of Credit shall not be construed as a waiver of any Default, regardless of whether any Credit Party may have had notice or knowledge of such Default at the time.</w:t>
      </w:r>
    </w:p>
    <w:p>
      <w:pPr>
        <w:spacing w:after="0" w:line="152"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xml:space="preserve">, neither any Loan Document nor any provision thereof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w:t>
      </w:r>
      <w:r>
        <w:rPr>
          <w:rFonts w:ascii="Arial" w:cs="Arial" w:eastAsia="Arial" w:hAnsi="Arial"/>
          <w:sz w:val="21"/>
          <w:szCs w:val="21"/>
          <w:color w:val="auto"/>
        </w:rPr>
        <w:t>(i)</w:t>
      </w:r>
      <w:r>
        <w:rPr>
          <w:rFonts w:ascii="Times New Roman" w:cs="Times New Roman" w:eastAsia="Times New Roman" w:hAnsi="Times New Roman"/>
          <w:sz w:val="20"/>
          <w:szCs w:val="20"/>
          <w:color w:val="auto"/>
        </w:rPr>
        <w:t xml:space="preserve"> increase the Commitment of any Lender without the written consent of such Lender or increase the Letter of Credit Commitment of any Issuing Bank without the consent of such Issuing Bank, </w:t>
      </w:r>
      <w:r>
        <w:rPr>
          <w:rFonts w:ascii="Arial" w:cs="Arial" w:eastAsia="Arial" w:hAnsi="Arial"/>
          <w:sz w:val="21"/>
          <w:szCs w:val="21"/>
          <w:color w:val="auto"/>
        </w:rPr>
        <w:t>(ii)</w:t>
      </w:r>
      <w:r>
        <w:rPr>
          <w:rFonts w:ascii="Times New Roman" w:cs="Times New Roman" w:eastAsia="Times New Roman" w:hAnsi="Times New Roman"/>
          <w:sz w:val="20"/>
          <w:szCs w:val="20"/>
          <w:color w:val="auto"/>
        </w:rPr>
        <w:t xml:space="preserve"> reduce the principal amount of any Loan or any reimbursement obligation with respect to a LC Disbursement, or reduce the rate of any interest, or reduce any fees, payable under the Loan Documents, without the written consent of each Credit Party affected thereby, </w:t>
      </w:r>
      <w:r>
        <w:rPr>
          <w:rFonts w:ascii="Arial" w:cs="Arial" w:eastAsia="Arial" w:hAnsi="Arial"/>
          <w:sz w:val="21"/>
          <w:szCs w:val="21"/>
          <w:color w:val="auto"/>
        </w:rPr>
        <w:t>(iii)</w:t>
      </w:r>
      <w:r>
        <w:rPr>
          <w:rFonts w:ascii="Times New Roman" w:cs="Times New Roman" w:eastAsia="Times New Roman" w:hAnsi="Times New Roman"/>
          <w:sz w:val="20"/>
          <w:szCs w:val="20"/>
          <w:color w:val="auto"/>
        </w:rPr>
        <w:t xml:space="preserve"> postpone the date of payment at stated maturity of any Loan or the date of payment of any reimbursement obligation with respect to an LC Disbursement, or the date of any interest or any fees payable under the Loan Documents, or reduce the amount of, waive or excuse any such payment, or postpone the stated termination or expiration of the Commitments without the written consent of each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9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 xml:space="preserve">affected thereby, </w:t>
      </w:r>
      <w:r>
        <w:rPr>
          <w:rFonts w:ascii="Arial" w:cs="Arial" w:eastAsia="Arial" w:hAnsi="Arial"/>
          <w:sz w:val="20"/>
          <w:szCs w:val="20"/>
          <w:color w:val="auto"/>
        </w:rPr>
        <w:t>(iv)</w:t>
      </w:r>
      <w:r>
        <w:rPr>
          <w:rFonts w:ascii="Times New Roman" w:cs="Times New Roman" w:eastAsia="Times New Roman" w:hAnsi="Times New Roman"/>
          <w:sz w:val="19"/>
          <w:szCs w:val="19"/>
          <w:color w:val="auto"/>
        </w:rPr>
        <w:t xml:space="preserve"> change any provision hereof in a manner that would alter the pro rata sharing of payments required by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2.10(c)</w:t>
      </w:r>
      <w:r>
        <w:rPr>
          <w:rFonts w:ascii="Times New Roman" w:cs="Times New Roman" w:eastAsia="Times New Roman" w:hAnsi="Times New Roman"/>
          <w:sz w:val="19"/>
          <w:szCs w:val="19"/>
          <w:color w:val="auto"/>
        </w:rPr>
        <w:t xml:space="preserve"> or the pro rata reduction of Commitments required by </w:t>
      </w:r>
      <w:r>
        <w:rPr>
          <w:rFonts w:ascii="Times New Roman" w:cs="Times New Roman" w:eastAsia="Times New Roman" w:hAnsi="Times New Roman"/>
          <w:sz w:val="19"/>
          <w:szCs w:val="19"/>
          <w:u w:val="single" w:color="auto"/>
          <w:color w:val="auto"/>
        </w:rPr>
        <w:t>Section 2.5(c)</w:t>
      </w:r>
      <w:r>
        <w:rPr>
          <w:rFonts w:ascii="Times New Roman" w:cs="Times New Roman" w:eastAsia="Times New Roman" w:hAnsi="Times New Roman"/>
          <w:sz w:val="19"/>
          <w:szCs w:val="19"/>
          <w:color w:val="auto"/>
        </w:rPr>
        <w:t xml:space="preserve">, without the written consent of each Credit Party affected thereby, and </w:t>
      </w:r>
      <w:r>
        <w:rPr>
          <w:rFonts w:ascii="Arial" w:cs="Arial" w:eastAsia="Arial" w:hAnsi="Arial"/>
          <w:sz w:val="20"/>
          <w:szCs w:val="20"/>
          <w:color w:val="auto"/>
        </w:rPr>
        <w:t>(v)</w:t>
      </w:r>
      <w:r>
        <w:rPr>
          <w:rFonts w:ascii="Times New Roman" w:cs="Times New Roman" w:eastAsia="Times New Roman" w:hAnsi="Times New Roman"/>
          <w:sz w:val="19"/>
          <w:szCs w:val="19"/>
          <w:color w:val="auto"/>
        </w:rPr>
        <w:t xml:space="preserve"> 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or change the currency in which Loans are to be made, Letters of Credit are to be issued or payment under the Loan</w:t>
      </w:r>
    </w:p>
    <w:p>
      <w:pPr>
        <w:spacing w:after="0" w:line="4"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Documents is to be made, or add additional borrowers, without the written consent of each Lender,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such agreement shall amend, modify or otherwise affect the rights or duties of the Administrative Agent or the Issuing Banks hereunder without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prior written consent of the Administrative Agent or such Issuing Banks, as applicable.</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2" w:lineRule="auto"/>
        <w:tabs>
          <w:tab w:leader="none" w:pos="193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 and Expenses</w:t>
      </w:r>
      <w:r>
        <w:rPr>
          <w:rFonts w:ascii="Times New Roman" w:cs="Times New Roman" w:eastAsia="Times New Roman" w:hAnsi="Times New Roman"/>
          <w:sz w:val="20"/>
          <w:szCs w:val="20"/>
          <w:color w:val="auto"/>
        </w:rPr>
        <w:t>. The Borrower shall pay (i) all reasonable out-of-pocket costs and expenses incurred by the Administrative Agent and its Affiliates, including the reasonable fees, charges and disbursements of counsel for the Administrative Agent, in connection with the syndication of the credit facilities provided for herein, the preparation and administration of each Loan Document or any amendments, modifications or waivers of the provisions thereof (whether or not the transactions contemplated thereby shall be consummated), (ii) all reasonable out-of-pocket costs and expenses incurred by an Issuing Bank in connection with the issuance, amendment, renewal or extension of any Letter of Credit or any demand for payment thereunder and (iii) all reasonable out-of-pocket costs and expenses incurred by any Credit Party, including the reasonable fees, charges and disbursements of any counsel for any Credit Party and any consultant or expert witness fees and expenses, in connection with the enforcement or protection of its rights in connection with the Loan Documents, including its rights under this Section, or in connection with the Loans made or Letters of Credit issued hereunder, including all such reasonable out-of-pocket costs and expenses incurred during any workout, restructuring or negotiations in respect of such Loans or Letters of Credit.</w:t>
      </w:r>
    </w:p>
    <w:p>
      <w:pPr>
        <w:spacing w:after="0" w:line="154"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each Credit Party and each Related Party thereof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thereof including any refusal of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the Subsidiaries, or any liability under any Environmental Law related in any way to the Borrower or any of the Subsidiaries or (iv) any actual or prospective claim, litigation, investigation or proceeding relating to any of the foregoing, whether based on contract, tort or any other theory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a breach in bad faith by such Indemnitee or arising solely from claims between or among one or more Indemnitees.</w:t>
      </w:r>
    </w:p>
    <w:p>
      <w:pPr>
        <w:spacing w:after="0" w:line="153"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 fails to pay any amount required to be paid by it to the Administrative Agent or an Issuing Bank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(and without limiting the Borrower’s obligation to do so), each Lender severally agrees to pay to the Administrative Agent or such Issuing Bank, as applicable, an amount equal to the product of such unpaid amount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a fraction, the numerator of which is the sum of such Lender’s unused Commitment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outstanding principal balance of such Lender’s Loans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 xml:space="preserve">Lender’s LC Exposure and the denominator of which is the sum of the unused Commitments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outstanding principal balance of all Lenders Loans and the LC Exposure of all Lenders (in each case determined as of the time that the applicable unreimbursed expense or</w:t>
      </w:r>
    </w:p>
    <w:p>
      <w:pPr>
        <w:spacing w:after="0" w:line="224" w:lineRule="auto"/>
        <w:rPr>
          <w:sz w:val="20"/>
          <w:szCs w:val="20"/>
          <w:color w:val="auto"/>
        </w:rPr>
      </w:pPr>
      <w:r>
        <w:rPr>
          <w:rFonts w:ascii="Times New Roman" w:cs="Times New Roman" w:eastAsia="Times New Roman" w:hAnsi="Times New Roman"/>
          <w:sz w:val="19"/>
          <w:szCs w:val="19"/>
          <w:color w:val="auto"/>
        </w:rPr>
        <w:t>indemnity payment is sought or, in the event that no Lender shall have any unused Commitments, outstanding Loans or LC Exposure at such</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time, as of the last time at which any Lender had any unused Commitments, outstanding Loans or LC Exposure),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indemnified loss, claim, damage, liability or related expense, as applicable, was incurred by or asserted against the</w:t>
      </w:r>
    </w:p>
    <w:p>
      <w:pPr>
        <w:spacing w:after="0"/>
        <w:rPr>
          <w:sz w:val="20"/>
          <w:szCs w:val="20"/>
          <w:color w:val="auto"/>
        </w:rPr>
      </w:pPr>
      <w:r>
        <w:rPr>
          <w:rFonts w:ascii="Times New Roman" w:cs="Times New Roman" w:eastAsia="Times New Roman" w:hAnsi="Times New Roman"/>
          <w:sz w:val="20"/>
          <w:szCs w:val="20"/>
          <w:color w:val="auto"/>
        </w:rPr>
        <w:t>Administrative Agent or an Issuing Bank, as applicable, in its capacity as such.</w:t>
      </w:r>
    </w:p>
    <w:p>
      <w:pPr>
        <w:spacing w:after="0" w:line="167" w:lineRule="exact"/>
        <w:rPr>
          <w:sz w:val="20"/>
          <w:szCs w:val="20"/>
          <w:color w:val="auto"/>
        </w:rPr>
      </w:pPr>
    </w:p>
    <w:p>
      <w:pPr>
        <w:jc w:val="both"/>
        <w:ind w:firstLine="1304"/>
        <w:spacing w:after="0" w:line="213" w:lineRule="auto"/>
        <w:tabs>
          <w:tab w:leader="none" w:pos="193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extent permitted by applicable law, no party hereto shall assert, and each such party hereby waives, any claims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10.3(d)</w:t>
      </w:r>
      <w:r>
        <w:rPr>
          <w:rFonts w:ascii="Times New Roman" w:cs="Times New Roman" w:eastAsia="Times New Roman" w:hAnsi="Times New Roman"/>
          <w:sz w:val="20"/>
          <w:szCs w:val="20"/>
          <w:color w:val="auto"/>
        </w:rPr>
        <w:t xml:space="preserve"> shall relieve the Borrower of any obligation it may have to indemnify an Indemnitee, as provided in </w:t>
      </w:r>
      <w:r>
        <w:rPr>
          <w:rFonts w:ascii="Times New Roman" w:cs="Times New Roman" w:eastAsia="Times New Roman" w:hAnsi="Times New Roman"/>
          <w:sz w:val="20"/>
          <w:szCs w:val="20"/>
          <w:u w:val="single" w:color="auto"/>
          <w:color w:val="auto"/>
        </w:rPr>
        <w:t>Section 10.3(b)</w:t>
      </w:r>
      <w:r>
        <w:rPr>
          <w:rFonts w:ascii="Times New Roman" w:cs="Times New Roman" w:eastAsia="Times New Roman" w:hAnsi="Times New Roman"/>
          <w:sz w:val="20"/>
          <w:szCs w:val="20"/>
          <w:color w:val="auto"/>
        </w:rPr>
        <w:t>, against any special, indirect, consequential or punitive damages asserted against such Indemnitee by a third party.</w:t>
      </w:r>
    </w:p>
    <w:p>
      <w:pPr>
        <w:spacing w:after="0" w:line="164"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but in no event later than ten days after written demand therefor.</w:t>
      </w:r>
    </w:p>
    <w:p>
      <w:pPr>
        <w:spacing w:after="0" w:line="14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0" w:lineRule="auto"/>
        <w:tabs>
          <w:tab w:leader="none" w:pos="193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(ii) by way of participation in accordance with the provisions of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or</w:t>
      </w:r>
    </w:p>
    <w:p>
      <w:pPr>
        <w:spacing w:after="0" w:line="1" w:lineRule="exact"/>
        <w:rPr>
          <w:rFonts w:ascii="Times New Roman" w:cs="Times New Roman" w:eastAsia="Times New Roman" w:hAnsi="Times New Roman"/>
          <w:sz w:val="20"/>
          <w:szCs w:val="20"/>
          <w:color w:val="auto"/>
        </w:rPr>
      </w:pPr>
    </w:p>
    <w:p>
      <w:pPr>
        <w:ind w:left="360" w:hanging="352"/>
        <w:spacing w:after="0" w:line="211" w:lineRule="auto"/>
        <w:tabs>
          <w:tab w:leader="none" w:pos="3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way of pledge or assignment of a security interest subject to the restrictions of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 xml:space="preserve"> of this Section (and any other attempted</w:t>
      </w:r>
    </w:p>
    <w:p>
      <w:pPr>
        <w:spacing w:after="0" w:line="211" w:lineRule="auto"/>
        <w:rPr>
          <w:sz w:val="20"/>
          <w:szCs w:val="20"/>
          <w:color w:val="auto"/>
        </w:rPr>
      </w:pPr>
      <w:r>
        <w:rPr>
          <w:rFonts w:ascii="Times New Roman" w:cs="Times New Roman" w:eastAsia="Times New Roman" w:hAnsi="Times New Roman"/>
          <w:sz w:val="20"/>
          <w:szCs w:val="20"/>
          <w:color w:val="auto"/>
        </w:rPr>
        <w:t>assignment or transfer by any party hereto shall be null and void). Nothing in this Agreement, expressed or implied, shall be construed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confer upon any Person (other than the parties hereto, their respective successors and assigns permitted hereby, Participants to the extent provided in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and, to the extent expressly contemplated hereby, the Related Parties of each Credit Party) any legal</w:t>
      </w:r>
    </w:p>
    <w:p>
      <w:pPr>
        <w:spacing w:after="0"/>
        <w:rPr>
          <w:sz w:val="20"/>
          <w:szCs w:val="20"/>
          <w:color w:val="auto"/>
        </w:rPr>
      </w:pPr>
      <w:r>
        <w:rPr>
          <w:rFonts w:ascii="Times New Roman" w:cs="Times New Roman" w:eastAsia="Times New Roman" w:hAnsi="Times New Roman"/>
          <w:sz w:val="20"/>
          <w:szCs w:val="20"/>
          <w:color w:val="auto"/>
        </w:rPr>
        <w:t>or equitable right, remedy or claim under or by reason of this Agreement.</w:t>
      </w:r>
    </w:p>
    <w:p>
      <w:pPr>
        <w:spacing w:after="0" w:line="167" w:lineRule="exact"/>
        <w:rPr>
          <w:sz w:val="20"/>
          <w:szCs w:val="20"/>
          <w:color w:val="auto"/>
        </w:rPr>
      </w:pPr>
    </w:p>
    <w:p>
      <w:pPr>
        <w:jc w:val="both"/>
        <w:ind w:firstLine="1304"/>
        <w:spacing w:after="0" w:line="222" w:lineRule="auto"/>
        <w:tabs>
          <w:tab w:leader="none" w:pos="193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(and if demanded by Borrower pursuant to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shall to the extent required thereby) at any time assign to one or more Eligible Assignees all or a portion of its rights and obligations under this Agreement (including all or a portion of its Commitments and the Loans and obligations in respect of its LC Exposure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4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Amounts.</w:t>
      </w:r>
    </w:p>
    <w:p>
      <w:pPr>
        <w:spacing w:after="0" w:line="189" w:lineRule="exact"/>
        <w:rPr>
          <w:sz w:val="20"/>
          <w:szCs w:val="20"/>
          <w:color w:val="auto"/>
        </w:rPr>
      </w:pPr>
    </w:p>
    <w:p>
      <w:pPr>
        <w:jc w:val="both"/>
        <w:ind w:left="1300" w:firstLine="652"/>
        <w:spacing w:after="0" w:line="226" w:lineRule="auto"/>
        <w:tabs>
          <w:tab w:leader="none" w:pos="2587"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Commitments and the Loans and obligations in respect of its LC Exposure at the time owing to it or in the case of an assignment to a Lender, an Affiliate of a Lender or an Approved Fund, no minimum amount need be assigned; and</w:t>
      </w:r>
    </w:p>
    <w:p>
      <w:pPr>
        <w:spacing w:after="0" w:line="160" w:lineRule="exact"/>
        <w:rPr>
          <w:rFonts w:ascii="Times New Roman" w:cs="Times New Roman" w:eastAsia="Times New Roman" w:hAnsi="Times New Roman"/>
          <w:sz w:val="20"/>
          <w:szCs w:val="20"/>
          <w:color w:val="auto"/>
        </w:rPr>
      </w:pPr>
    </w:p>
    <w:p>
      <w:pPr>
        <w:ind w:left="1300" w:right="20" w:firstLine="652"/>
        <w:spacing w:after="0"/>
        <w:tabs>
          <w:tab w:leader="none" w:pos="259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paragraph (b)(i)(A)</w:t>
      </w:r>
      <w:r>
        <w:rPr>
          <w:rFonts w:ascii="Times New Roman" w:cs="Times New Roman" w:eastAsia="Times New Roman" w:hAnsi="Times New Roman"/>
          <w:sz w:val="20"/>
          <w:szCs w:val="20"/>
          <w:color w:val="auto"/>
        </w:rPr>
        <w:t xml:space="preserve"> of this Section, the aggregate amount of the Commitment (which for this purpose includes Loans outstanding thereunder) or, if the Commitment is not then in effect, the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95"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20"/>
          <w:szCs w:val="20"/>
          <w:color w:val="auto"/>
        </w:rPr>
        <w:t>outstanding balance of the Loans of the assigning Lender subject to each such assignment (determined as of the date the Assignment and Assumption with respect to such assignment is delivered to the Administrative Agent or, if “trade date” is</w:t>
      </w:r>
    </w:p>
    <w:p>
      <w:pPr>
        <w:ind w:left="1300"/>
        <w:spacing w:after="0" w:line="212" w:lineRule="auto"/>
        <w:rPr>
          <w:sz w:val="20"/>
          <w:szCs w:val="20"/>
          <w:color w:val="auto"/>
        </w:rPr>
      </w:pPr>
      <w:r>
        <w:rPr>
          <w:rFonts w:ascii="Times New Roman" w:cs="Times New Roman" w:eastAsia="Times New Roman" w:hAnsi="Times New Roman"/>
          <w:sz w:val="20"/>
          <w:szCs w:val="20"/>
          <w:color w:val="auto"/>
        </w:rPr>
        <w:t>specified in the Assignment and Assumption, as of the trade date) shall not be less than $5,000,000 unless each of the</w:t>
      </w:r>
    </w:p>
    <w:p>
      <w:pPr>
        <w:spacing w:after="0" w:line="1" w:lineRule="exact"/>
        <w:rPr>
          <w:sz w:val="20"/>
          <w:szCs w:val="20"/>
          <w:color w:val="auto"/>
        </w:rPr>
      </w:pPr>
    </w:p>
    <w:p>
      <w:pPr>
        <w:ind w:left="1300"/>
        <w:spacing w:after="0" w:line="221" w:lineRule="auto"/>
        <w:rPr>
          <w:sz w:val="20"/>
          <w:szCs w:val="20"/>
          <w:color w:val="auto"/>
        </w:rPr>
      </w:pPr>
      <w:r>
        <w:rPr>
          <w:rFonts w:ascii="Times New Roman" w:cs="Times New Roman" w:eastAsia="Times New Roman" w:hAnsi="Times New Roman"/>
          <w:sz w:val="20"/>
          <w:szCs w:val="20"/>
          <w:color w:val="auto"/>
        </w:rPr>
        <w:t>Administrative Agent and, so long as no Event of Default has occurred and is continuing, the Borrower otherwise consents (each such consent not to be unreasonably withheld or delayed).</w:t>
      </w:r>
    </w:p>
    <w:p>
      <w:pPr>
        <w:spacing w:after="0" w:line="162" w:lineRule="exact"/>
        <w:rPr>
          <w:sz w:val="20"/>
          <w:szCs w:val="20"/>
          <w:color w:val="auto"/>
        </w:rPr>
      </w:pPr>
    </w:p>
    <w:p>
      <w:pPr>
        <w:jc w:val="both"/>
        <w:ind w:left="1300" w:firstLine="652"/>
        <w:spacing w:after="0" w:line="266" w:lineRule="auto"/>
        <w:tabs>
          <w:tab w:leader="none" w:pos="2595"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Proportionate Amounts</w:t>
      </w:r>
      <w:r>
        <w:rPr>
          <w:rFonts w:ascii="Times New Roman" w:cs="Times New Roman" w:eastAsia="Times New Roman" w:hAnsi="Times New Roman"/>
          <w:sz w:val="19"/>
          <w:szCs w:val="19"/>
          <w:color w:val="auto"/>
        </w:rPr>
        <w:t>. Each partial assignment shall be made as an assignment of a proportionate part of all the assigning Lender’s rights and obligations under this Agreement with respect to the Loan or the Commitment assigned.</w:t>
      </w:r>
    </w:p>
    <w:p>
      <w:pPr>
        <w:spacing w:after="0" w:line="123" w:lineRule="exact"/>
        <w:rPr>
          <w:rFonts w:ascii="Times New Roman" w:cs="Times New Roman" w:eastAsia="Times New Roman" w:hAnsi="Times New Roman"/>
          <w:sz w:val="19"/>
          <w:szCs w:val="19"/>
          <w:color w:val="auto"/>
        </w:rPr>
      </w:pPr>
    </w:p>
    <w:p>
      <w:pPr>
        <w:ind w:left="2600" w:hanging="648"/>
        <w:spacing w:after="0"/>
        <w:tabs>
          <w:tab w:leader="none" w:pos="26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For each such assignment:</w:t>
      </w:r>
    </w:p>
    <w:p>
      <w:pPr>
        <w:spacing w:after="0" w:line="189" w:lineRule="exact"/>
        <w:rPr>
          <w:sz w:val="20"/>
          <w:szCs w:val="20"/>
          <w:color w:val="auto"/>
        </w:rPr>
      </w:pPr>
    </w:p>
    <w:p>
      <w:pPr>
        <w:jc w:val="both"/>
        <w:ind w:left="1300" w:firstLine="652"/>
        <w:spacing w:after="0" w:line="217" w:lineRule="auto"/>
        <w:tabs>
          <w:tab w:leader="none" w:pos="2587"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Business Days after having received notice thereof;</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 unfunded or revolving facility if such assignment is to an Eligible Assignee that is not a Lender with a Commitment in respect of such facility, an Affiliate of such Lender or an Approved Fund with respect to such Lender; and</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6" w:lineRule="auto"/>
        <w:tabs>
          <w:tab w:leader="none" w:pos="259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applicable Issuing Banks (such consent not to be unreasonably withheld or delayed) shall be required for any assignment that increases the obligation of the assignee to participate in exposure under one or more Letters of Credit (whether or not then outstanding).</w:t>
      </w:r>
    </w:p>
    <w:p>
      <w:pPr>
        <w:spacing w:after="0" w:line="160" w:lineRule="exact"/>
        <w:rPr>
          <w:sz w:val="20"/>
          <w:szCs w:val="20"/>
          <w:color w:val="auto"/>
        </w:rPr>
      </w:pPr>
    </w:p>
    <w:p>
      <w:pPr>
        <w:jc w:val="both"/>
        <w:ind w:left="1300" w:firstLine="652"/>
        <w:spacing w:after="0" w:line="226" w:lineRule="auto"/>
        <w:tabs>
          <w:tab w:leader="none" w:pos="258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The parties to each assignment shall execute and deliver to the Administrative Agent an Assignment and Assumption, together with a processing and recordation fee of $3,500, and the Eligible Assignee, if it is not a Lender, shall deliver to the Administrative Agent an Administrative Questionnaire.</w:t>
      </w:r>
    </w:p>
    <w:p>
      <w:pPr>
        <w:spacing w:after="0" w:line="160" w:lineRule="exact"/>
        <w:rPr>
          <w:rFonts w:ascii="Times New Roman" w:cs="Times New Roman" w:eastAsia="Times New Roman" w:hAnsi="Times New Roman"/>
          <w:sz w:val="20"/>
          <w:szCs w:val="20"/>
          <w:color w:val="auto"/>
        </w:rPr>
      </w:pPr>
    </w:p>
    <w:p>
      <w:pPr>
        <w:ind w:left="1300" w:firstLine="652"/>
        <w:spacing w:after="0" w:line="233" w:lineRule="auto"/>
        <w:tabs>
          <w:tab w:leader="none" w:pos="258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Borrower</w:t>
      </w:r>
      <w:r>
        <w:rPr>
          <w:rFonts w:ascii="Times New Roman" w:cs="Times New Roman" w:eastAsia="Times New Roman" w:hAnsi="Times New Roman"/>
          <w:sz w:val="20"/>
          <w:szCs w:val="20"/>
          <w:color w:val="auto"/>
        </w:rPr>
        <w:t>. No such assignment shall be made to the Borrower or any of the Borrower’s Affiliates or Subsidiaries.</w:t>
      </w:r>
    </w:p>
    <w:p>
      <w:pPr>
        <w:spacing w:after="0" w:line="160"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13" w:lineRule="auto"/>
        <w:tabs>
          <w:tab w:leader="none" w:pos="258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Disqualified Lenders</w:t>
      </w:r>
      <w:r>
        <w:rPr>
          <w:rFonts w:ascii="Times New Roman" w:cs="Times New Roman" w:eastAsia="Times New Roman" w:hAnsi="Times New Roman"/>
          <w:sz w:val="20"/>
          <w:szCs w:val="20"/>
          <w:color w:val="auto"/>
        </w:rPr>
        <w:t>. No such assignment shall be made to (x) (A) any financial institutions or other Persons specifically designated in writing by the Borrower to the Administrative Agent on or prior to the Fourth Amendment Effective Date or after the Fourth Amendment Effective Date with the consent of the Administrative Agent (not to be unreasonably withheld, delayed or conditioned) or (B) any financial institutions or other Persons that engage in distressed, vulture or take-over lending or debt investing (as determined in good faith by the Borrower) specifically designated in writing by the Borrower to the Administrative Agent on or prior to the Fourth Amendment Effective Date or after the Fourth Amendment Effective Date with the consent of the Administrative Agent (not to be unreasonably withheld, delayed or conditioned) (clause (B), “</w:t>
      </w:r>
      <w:r>
        <w:rPr>
          <w:rFonts w:ascii="Times New Roman" w:cs="Times New Roman" w:eastAsia="Times New Roman" w:hAnsi="Times New Roman"/>
          <w:sz w:val="20"/>
          <w:szCs w:val="20"/>
          <w:u w:val="single" w:color="auto"/>
          <w:color w:val="auto"/>
        </w:rPr>
        <w:t>Specified Funds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95" w:lineRule="exact"/>
        <w:rPr>
          <w:sz w:val="20"/>
          <w:szCs w:val="20"/>
          <w:color w:val="auto"/>
        </w:rPr>
      </w:pPr>
    </w:p>
    <w:p>
      <w:pPr>
        <w:jc w:val="both"/>
        <w:ind w:left="1300" w:firstLine="4"/>
        <w:spacing w:after="0" w:line="219" w:lineRule="auto"/>
        <w:tabs>
          <w:tab w:leader="none" w:pos="1583"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Borrower’s or its Subsidiaries’ competitors that are in the same or a similar line of business as the Borrower or its Subsidiaries in each case that is designated in writing by the Borrower from time to time, or (z) any Affiliate (other than, in the case of clause (z), bona fide debt funds (it being agreed and understood any Specified Fund shall not constitute a bona fide debt fund)) of any entity described in preceding clause (x) or (y) that is either (i) identified by the Borrower in writing as specified in such clause (x) or (y) or (ii) is clearly identifiable solely on the basis of the similarity of its name to an entity set forth on the DQ List (such Persons or entities in clause (x), (y) and (z), collectively, “</w:t>
      </w:r>
      <w:r>
        <w:rPr>
          <w:rFonts w:ascii="Times New Roman" w:cs="Times New Roman" w:eastAsia="Times New Roman" w:hAnsi="Times New Roman"/>
          <w:sz w:val="19"/>
          <w:szCs w:val="19"/>
          <w:u w:val="single" w:color="auto"/>
          <w:color w:val="auto"/>
        </w:rPr>
        <w:t>Disqualified Lenders</w:t>
      </w:r>
      <w:r>
        <w:rPr>
          <w:rFonts w:ascii="Times New Roman" w:cs="Times New Roman" w:eastAsia="Times New Roman" w:hAnsi="Times New Roman"/>
          <w:sz w:val="19"/>
          <w:szCs w:val="19"/>
          <w:color w:val="auto"/>
        </w:rPr>
        <w:t>”). It is understood and agreed that, in addition to the foregoing, (i) any supplement to the list of Persons that are Disqualified Lenders shall not</w:t>
      </w:r>
    </w:p>
    <w:p>
      <w:pPr>
        <w:spacing w:after="0" w:line="3" w:lineRule="exact"/>
        <w:rPr>
          <w:rFonts w:ascii="Times New Roman" w:cs="Times New Roman" w:eastAsia="Times New Roman" w:hAnsi="Times New Roman"/>
          <w:sz w:val="19"/>
          <w:szCs w:val="19"/>
          <w:color w:val="auto"/>
        </w:rPr>
      </w:pPr>
    </w:p>
    <w:p>
      <w:pPr>
        <w:jc w:val="both"/>
        <w:ind w:left="1300" w:firstLine="4"/>
        <w:spacing w:after="0" w:line="226" w:lineRule="auto"/>
        <w:tabs>
          <w:tab w:leader="none" w:pos="1631"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become effective until three (3) Business Days after delivery thereof to the Administrative Agent and (y) apply retroactively to disqualify any Persons that have entered into a trade to acquire or previously acquired an assignment or participation interest in the Commitments or Loans (but solely with respect to such Commitments and Loans), (ii) the Borrower’s failure to deliver such list (or supplement thereto) in accordance with this Section shall render such list (or supplement) not received and not effective and (iii) “Disqualified Lenders” shall exclude any Person that the Borrower has designated as no longer being a “Disqualified Lender” by written notice delivered to the Administrative Agent from time to time in accordance with this Section. If any Loans or Commitments are assigned or participated to a Disqualified Lender, then: (a) the Borrower may (i) terminate any Commitment of such Person and prepay any applicable outstanding Loans at a price equal to the lesser of par and the amount such Person paid to acquire such Loans, without premium, penalty, prepayment fee or breakage, and/or (ii) require such Person to assign its rights and obligations to one or more Eligible Assignee at the price indicated in the foregoing </w:t>
      </w:r>
      <w:r>
        <w:rPr>
          <w:rFonts w:ascii="Times New Roman" w:cs="Times New Roman" w:eastAsia="Times New Roman" w:hAnsi="Times New Roman"/>
          <w:sz w:val="19"/>
          <w:szCs w:val="19"/>
          <w:u w:val="single" w:color="auto"/>
          <w:color w:val="auto"/>
        </w:rPr>
        <w:t>subclause (i)</w:t>
      </w:r>
      <w:r>
        <w:rPr>
          <w:rFonts w:ascii="Times New Roman" w:cs="Times New Roman" w:eastAsia="Times New Roman" w:hAnsi="Times New Roman"/>
          <w:sz w:val="19"/>
          <w:szCs w:val="19"/>
          <w:color w:val="auto"/>
        </w:rPr>
        <w:t xml:space="preserve"> (which assignment shall not be subject to any processing and recordation fee), (b) no such Person shall receive any information or reporting provided by the Borrower, the Administrative Agent or any Lender, (c) for purposes of voting, any Loans and Commitments held by such Person shall be deemed not to be outstanding, and such Person shall have no voting or consent rights with respect to “Required Lender” or class votes or consents, (d) for purposes of any matter requiring the vote or consent of each Lender affected by any amendment or waiver, such Person shall be deemed to have voted or consented to approve such amendment or waiver if Lenders holding a majority of principal amount of Loans and Commitments of the affected class so approves, and (e) such Person shall not be entitled to any expense reimbursement or indemnification rights and shall be treated in all other respects as a Defaulting Lender; it being understood and agreed that the foregoing provisions shall only apply to a Disqualified Lender and not to any assignee of such Disqualified Lender that becomes a Lender so long as such assignee is not a Disqualified Lender or an Affiliate thereof. The Administrative Agent shall have the right, and the Borrower hereby expressly authorizes the Administrative Agent, to provide the list of Disqualified Lenders provided by the Borrower and any updates thereto from time to time (collectively, the “</w:t>
      </w:r>
      <w:r>
        <w:rPr>
          <w:rFonts w:ascii="Times New Roman" w:cs="Times New Roman" w:eastAsia="Times New Roman" w:hAnsi="Times New Roman"/>
          <w:sz w:val="19"/>
          <w:szCs w:val="19"/>
          <w:u w:val="single" w:color="auto"/>
          <w:color w:val="auto"/>
        </w:rPr>
        <w:t>DQ List</w:t>
      </w:r>
      <w:r>
        <w:rPr>
          <w:rFonts w:ascii="Times New Roman" w:cs="Times New Roman" w:eastAsia="Times New Roman" w:hAnsi="Times New Roman"/>
          <w:sz w:val="19"/>
          <w:szCs w:val="19"/>
          <w:color w:val="auto"/>
        </w:rPr>
        <w:t xml:space="preserve">”) to each Lender requesting the same, in each case, subject to the confidentiality provisions of </w:t>
      </w:r>
      <w:r>
        <w:rPr>
          <w:rFonts w:ascii="Times New Roman" w:cs="Times New Roman" w:eastAsia="Times New Roman" w:hAnsi="Times New Roman"/>
          <w:sz w:val="19"/>
          <w:szCs w:val="19"/>
          <w:u w:val="single" w:color="auto"/>
          <w:color w:val="auto"/>
        </w:rPr>
        <w:t>Section 10.15</w:t>
      </w:r>
      <w:r>
        <w:rPr>
          <w:rFonts w:ascii="Times New Roman" w:cs="Times New Roman" w:eastAsia="Times New Roman" w:hAnsi="Times New Roman"/>
          <w:sz w:val="19"/>
          <w:szCs w:val="19"/>
          <w:color w:val="auto"/>
        </w:rPr>
        <w:t>. The Administrative Agent and the Lenders shall not be responsible or have any liability for, or have any duty to ascertain, inquire into, monitor or enforce, compliance with the provisions hereof relating to Disqualified Lenders. Without limiting the generality of the foregoing, neither the Administrative Agent nor any Lender shall (x) be obligated to ascertain, monitor or inquire as to whether any other Lender or Participant or prospective Lender or Participant is a Disqualified Lender or (y) have any liability with respect to or arising out of any assignment or participation of Loans, or disclosure of confidential information, by any other Person to any Disqualified Lender.</w:t>
      </w:r>
    </w:p>
    <w:p>
      <w:pPr>
        <w:spacing w:after="0" w:line="18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from and after the effective date specified in each Assignment and Assumption, the Eligible Assignee thereunder shall be a party to this Agreement and, to the extent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w:t>
      </w:r>
    </w:p>
    <w:p>
      <w:pPr>
        <w:spacing w:after="0" w:line="179" w:lineRule="exact"/>
        <w:rPr>
          <w:sz w:val="20"/>
          <w:szCs w:val="20"/>
          <w:color w:val="auto"/>
        </w:rPr>
      </w:pPr>
    </w:p>
    <w:p>
      <w:pPr>
        <w:ind w:left="1940" w:hanging="636"/>
        <w:spacing w:after="0"/>
        <w:tabs>
          <w:tab w:leader="none" w:pos="19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15" w:lineRule="auto"/>
        <w:tabs>
          <w:tab w:leader="none" w:pos="2594"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solely for this purpose as an agent of the Borrower, shall maintain at one of its offices in New York, New York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11" w:lineRule="auto"/>
        <w:tabs>
          <w:tab w:leader="none" w:pos="2595"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2.9(d)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10.3(c)</w:t>
      </w:r>
      <w:r>
        <w:rPr>
          <w:rFonts w:ascii="Times New Roman" w:cs="Times New Roman" w:eastAsia="Times New Roman" w:hAnsi="Times New Roman"/>
          <w:sz w:val="20"/>
          <w:szCs w:val="20"/>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5"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but with notice to, the Borrower and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such notice shall not impair the effectiveness of such participation except as expressly provided in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sell participations to any Person (other than a natural person, the Borrower, any of the Borrower’s Affiliates or Subsidiaries or a Disqualified Lender)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(iii) such Lender shall remain the holder of any Note for all purposes of this Agreement and (iv) the Borrower, the Administrative Agent and each Credit Party shall continue to deal solely and directly with such Lender in connection with such Lender’s rights and obligations under this Agreement. Notwithstanding the foregoing, in no event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9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a participation be granted to any entity which is not a commercial bank, finance company, insurance company or other financial institution or fund (whether a corporation, partnership or other entity) engaged generally in making, purchasing or otherwise investing in commercial loans</w:t>
      </w:r>
    </w:p>
    <w:p>
      <w:pPr>
        <w:spacing w:after="0"/>
        <w:rPr>
          <w:sz w:val="20"/>
          <w:szCs w:val="20"/>
          <w:color w:val="auto"/>
        </w:rPr>
      </w:pPr>
      <w:r>
        <w:rPr>
          <w:rFonts w:ascii="Times New Roman" w:cs="Times New Roman" w:eastAsia="Times New Roman" w:hAnsi="Times New Roman"/>
          <w:sz w:val="20"/>
          <w:szCs w:val="20"/>
          <w:color w:val="auto"/>
        </w:rPr>
        <w:t>in the ordinary course of its business without the express prior written consent of the Borrower.</w:t>
      </w:r>
    </w:p>
    <w:p>
      <w:pPr>
        <w:spacing w:after="0" w:line="180"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with respect to the following matters described in </w:t>
      </w:r>
      <w:r>
        <w:rPr>
          <w:rFonts w:ascii="Times New Roman" w:cs="Times New Roman" w:eastAsia="Times New Roman" w:hAnsi="Times New Roman"/>
          <w:sz w:val="19"/>
          <w:szCs w:val="19"/>
          <w:u w:val="single" w:color="auto"/>
          <w:color w:val="auto"/>
        </w:rPr>
        <w:t>clauses (ii)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of the first proviso in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 xml:space="preserve"> that directly affects such Participant. Subject to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 xml:space="preserve"> of this Section, the Borrower agrees that each Participant shall be entitled to the benefits of </w:t>
      </w:r>
      <w:r>
        <w:rPr>
          <w:rFonts w:ascii="Times New Roman" w:cs="Times New Roman" w:eastAsia="Times New Roman" w:hAnsi="Times New Roman"/>
          <w:sz w:val="19"/>
          <w:szCs w:val="19"/>
          <w:u w:val="single" w:color="auto"/>
          <w:color w:val="auto"/>
        </w:rPr>
        <w:t>Sections 3.5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3.7</w:t>
      </w:r>
      <w:r>
        <w:rPr>
          <w:rFonts w:ascii="Times New Roman" w:cs="Times New Roman" w:eastAsia="Times New Roman" w:hAnsi="Times New Roman"/>
          <w:sz w:val="19"/>
          <w:szCs w:val="19"/>
          <w:color w:val="auto"/>
        </w:rPr>
        <w:t xml:space="preserve">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but (x) shall not be entitled to recover greater amounts under any such Section than the selling Lender would be entitled to recover and (y) shall be subject to replacement by the Borrower under </w:t>
      </w:r>
      <w:r>
        <w:rPr>
          <w:rFonts w:ascii="Times New Roman" w:cs="Times New Roman" w:eastAsia="Times New Roman" w:hAnsi="Times New Roman"/>
          <w:sz w:val="19"/>
          <w:szCs w:val="19"/>
          <w:u w:val="single" w:color="auto"/>
          <w:color w:val="auto"/>
        </w:rPr>
        <w:t>Section 3.8</w:t>
      </w:r>
      <w:r>
        <w:rPr>
          <w:rFonts w:ascii="Times New Roman" w:cs="Times New Roman" w:eastAsia="Times New Roman" w:hAnsi="Times New Roman"/>
          <w:sz w:val="19"/>
          <w:szCs w:val="19"/>
          <w:color w:val="auto"/>
        </w:rPr>
        <w:t xml:space="preserve"> to the same extent as if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replacement Participant shall be a commercial bank, finance company, insurance company or other financial institution or fund (whether a corporation, partnership or other entity) engaged generally in making, purchasing or otherwise investing in commercial loans in the ordinary course of its business.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as though it were a Lender, provided such Participant agrees to be subject to </w:t>
      </w:r>
      <w:r>
        <w:rPr>
          <w:rFonts w:ascii="Times New Roman" w:cs="Times New Roman" w:eastAsia="Times New Roman" w:hAnsi="Times New Roman"/>
          <w:sz w:val="19"/>
          <w:szCs w:val="19"/>
          <w:u w:val="single" w:color="auto"/>
          <w:color w:val="auto"/>
        </w:rPr>
        <w:t>Section 2.10(c)</w:t>
      </w:r>
      <w:r>
        <w:rPr>
          <w:rFonts w:ascii="Times New Roman" w:cs="Times New Roman" w:eastAsia="Times New Roman" w:hAnsi="Times New Roman"/>
          <w:sz w:val="19"/>
          <w:szCs w:val="19"/>
          <w:color w:val="auto"/>
        </w:rPr>
        <w:t xml:space="preserve"> as though it were a Lender.</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3" w:lineRule="exact"/>
        <w:rPr>
          <w:sz w:val="20"/>
          <w:szCs w:val="20"/>
          <w:color w:val="auto"/>
        </w:rPr>
      </w:pPr>
    </w:p>
    <w:p>
      <w:pPr>
        <w:jc w:val="both"/>
        <w:ind w:firstLine="1304"/>
        <w:spacing w:after="0" w:line="217" w:lineRule="auto"/>
        <w:tabs>
          <w:tab w:leader="none" w:pos="193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upon Participant Rights</w:t>
      </w:r>
      <w:r>
        <w:rPr>
          <w:rFonts w:ascii="Times New Roman" w:cs="Times New Roman" w:eastAsia="Times New Roman" w:hAnsi="Times New Roman"/>
          <w:sz w:val="20"/>
          <w:szCs w:val="20"/>
          <w:color w:val="auto"/>
        </w:rPr>
        <w:t xml:space="preserve">. A Participant shall not be entitled to receive any greater payment under </w:t>
      </w:r>
      <w:r>
        <w:rPr>
          <w:rFonts w:ascii="Times New Roman" w:cs="Times New Roman" w:eastAsia="Times New Roman" w:hAnsi="Times New Roman"/>
          <w:sz w:val="20"/>
          <w:szCs w:val="20"/>
          <w:u w:val="single" w:color="auto"/>
          <w:color w:val="auto"/>
        </w:rPr>
        <w:t>Sections 3.5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20"/>
          <w:szCs w:val="20"/>
          <w:u w:val="single" w:color="auto"/>
          <w:color w:val="auto"/>
        </w:rPr>
        <w:t>Section 3.7(f)</w:t>
      </w:r>
      <w:r>
        <w:rPr>
          <w:rFonts w:ascii="Times New Roman" w:cs="Times New Roman" w:eastAsia="Times New Roman" w:hAnsi="Times New Roman"/>
          <w:sz w:val="20"/>
          <w:szCs w:val="20"/>
          <w:color w:val="auto"/>
        </w:rPr>
        <w:t xml:space="preserve"> as though it were a Lender.</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9"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95" w:lineRule="exact"/>
        <w:rPr>
          <w:sz w:val="20"/>
          <w:szCs w:val="20"/>
          <w:color w:val="auto"/>
        </w:rPr>
      </w:pPr>
    </w:p>
    <w:p>
      <w:pPr>
        <w:ind w:firstLine="1304"/>
        <w:spacing w:after="0" w:line="233" w:lineRule="auto"/>
        <w:tabs>
          <w:tab w:leader="none" w:pos="193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provision in this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to the contrary, if any Lender becomes a Defaulting Lender, then the provisions of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apply for so long as such Lender is a Defaulting Lender.</w:t>
      </w:r>
    </w:p>
    <w:p>
      <w:pPr>
        <w:spacing w:after="0" w:line="15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covenants, agreements, representations and warranties made by the Borrower herein and in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certificates or other instruments prepared or delivered in connection with or pursuant to this Agreement or any other Loan Document shall be considered to have been relied upon by the other parties hereto and shall survive the execution and delivery of any Loan Document and the</w:t>
      </w:r>
    </w:p>
    <w:p>
      <w:pPr>
        <w:spacing w:after="0" w:line="211" w:lineRule="auto"/>
        <w:rPr>
          <w:sz w:val="20"/>
          <w:szCs w:val="20"/>
          <w:color w:val="auto"/>
        </w:rPr>
      </w:pPr>
      <w:r>
        <w:rPr>
          <w:rFonts w:ascii="Times New Roman" w:cs="Times New Roman" w:eastAsia="Times New Roman" w:hAnsi="Times New Roman"/>
          <w:sz w:val="20"/>
          <w:szCs w:val="20"/>
          <w:color w:val="auto"/>
        </w:rPr>
        <w:t>making of any Loans and the issuance of any Letter of Credit, regardless of any investigation made by any such other party or on its behalf</w:t>
      </w:r>
    </w:p>
    <w:p>
      <w:pPr>
        <w:spacing w:after="0" w:line="204" w:lineRule="auto"/>
        <w:rPr>
          <w:sz w:val="20"/>
          <w:szCs w:val="20"/>
          <w:color w:val="auto"/>
        </w:rPr>
      </w:pPr>
      <w:r>
        <w:rPr>
          <w:rFonts w:ascii="Times New Roman" w:cs="Times New Roman" w:eastAsia="Times New Roman" w:hAnsi="Times New Roman"/>
          <w:sz w:val="20"/>
          <w:szCs w:val="20"/>
          <w:color w:val="auto"/>
        </w:rPr>
        <w:t>and notwithstanding that any Credit Party may have had notice or knowledge of any Default or incorrect representation or warranty at the time any credit is extended hereunder, and shall continue in full force and effect as long as the principal of or any accrued interest on any</w:t>
      </w:r>
    </w:p>
    <w:p>
      <w:pPr>
        <w:spacing w:after="0" w:line="223" w:lineRule="auto"/>
        <w:rPr>
          <w:sz w:val="20"/>
          <w:szCs w:val="20"/>
          <w:color w:val="auto"/>
        </w:rPr>
      </w:pPr>
      <w:r>
        <w:rPr>
          <w:rFonts w:ascii="Times New Roman" w:cs="Times New Roman" w:eastAsia="Times New Roman" w:hAnsi="Times New Roman"/>
          <w:sz w:val="19"/>
          <w:szCs w:val="19"/>
          <w:color w:val="auto"/>
        </w:rPr>
        <w:t>Loan or any LC Disbursement or any fee or any other amount payable under the Loan Documents is outstanding and unpaid or any Letter of</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Credit is outstanding and so long as the Commitments have not expired or terminated. The provisions of </w:t>
      </w:r>
      <w:r>
        <w:rPr>
          <w:rFonts w:ascii="Times New Roman" w:cs="Times New Roman" w:eastAsia="Times New Roman" w:hAnsi="Times New Roman"/>
          <w:sz w:val="19"/>
          <w:szCs w:val="19"/>
          <w:u w:val="single" w:color="auto"/>
          <w:color w:val="auto"/>
        </w:rPr>
        <w:t>Sections 3.5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xml:space="preserve"> shall survive and remain in full force and effect regardless of the consummation of the transactions contemplated hereby,</w:t>
      </w:r>
    </w:p>
    <w:p>
      <w:pPr>
        <w:spacing w:after="0" w:line="221" w:lineRule="auto"/>
        <w:rPr>
          <w:sz w:val="20"/>
          <w:szCs w:val="20"/>
          <w:color w:val="auto"/>
        </w:rPr>
      </w:pPr>
      <w:r>
        <w:rPr>
          <w:rFonts w:ascii="Times New Roman" w:cs="Times New Roman" w:eastAsia="Times New Roman" w:hAnsi="Times New Roman"/>
          <w:sz w:val="20"/>
          <w:szCs w:val="20"/>
          <w:color w:val="auto"/>
        </w:rPr>
        <w:t>the repayment of the Loans and the LC Disbursements, the expiration or termination of the Letters of Credit and the termination of the Commitments or the termination of this Agreement or any provision hereof.</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u w:val="single" w:color="auto"/>
          <w:color w:val="auto"/>
        </w:rPr>
        <w:t>Counterparts; Integration; Effectiveness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3" w:lineRule="auto"/>
        <w:tabs>
          <w:tab w:leader="none" w:pos="193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any Credit Party or the syndication of the credit facility established hereunder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this Agreement shall become effective as of the date set forth in the preamble to this Agreement when it shall have been executed by the Administrative Agent and when the Administrative Agent shall have received counterparts hereof which, when taken together, bear the signatures of each of the other parties and thereafter shall be binding upon and inure to the benefit of the parties hereto and their respective successors and assigns.</w:t>
      </w:r>
    </w:p>
    <w:p>
      <w:pPr>
        <w:spacing w:after="0" w:line="15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an executed counterpart of a signature page of (x) this Agreement, (y) any other Loan Document and/or</w:t>
      </w:r>
    </w:p>
    <w:p>
      <w:pPr>
        <w:jc w:val="both"/>
        <w:ind w:firstLine="8"/>
        <w:spacing w:after="0" w:line="209" w:lineRule="auto"/>
        <w:tabs>
          <w:tab w:leader="none" w:pos="27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 amendment, approval, consent, information, notice (including, for the avoidance of doubt, any notice delivered pursuant to Section 9.1),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without limiting the foregoing, (i) to the extent the Administrative Agent has agreed to accept any Electronic Signature, each of the parties hereto shall be entitled to rely on such Electronic Signature purportedly given by or on behalf of any other party without further verification thereof and without any obligation to review the appearance or form of any such Electronic Signature and (ii) upon the request of any party, any Electronic Signature shall be promptly followed by a manually executed counterpart. Without limiting the generality of the foregoing, each of the parties hereby (A) agrees that,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including without limitation, in connection with any workout, restructuring, enforcement of remedies, bankruptcy proceedings or litigation among the parties, Electronic Signatures transmitted by telecopy, emailed pdf. or any other electronic means that reproduces an image of an</w:t>
      </w:r>
    </w:p>
    <w:p>
      <w:pPr>
        <w:spacing w:after="0" w:line="212" w:lineRule="auto"/>
        <w:rPr>
          <w:sz w:val="20"/>
          <w:szCs w:val="20"/>
          <w:color w:val="auto"/>
        </w:rPr>
      </w:pPr>
      <w:r>
        <w:rPr>
          <w:rFonts w:ascii="Times New Roman" w:cs="Times New Roman" w:eastAsia="Times New Roman" w:hAnsi="Times New Roman"/>
          <w:sz w:val="20"/>
          <w:szCs w:val="20"/>
          <w:color w:val="auto"/>
        </w:rPr>
        <w:t>actual executed signature page and/or any electronic images of this Agreement, any other Loan Document and/or any Ancillary Document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shall have the same legal effect, validity and enforceability as any paper original, (B) may, at its option, create one or more copies of this Agreement, any other Loan Document and/or any Ancillary Document in the form of an imaged electronic record in any format, which shall</w:t>
      </w:r>
    </w:p>
    <w:p>
      <w:pPr>
        <w:spacing w:after="0" w:line="222" w:lineRule="auto"/>
        <w:rPr>
          <w:sz w:val="20"/>
          <w:szCs w:val="20"/>
          <w:color w:val="auto"/>
        </w:rPr>
      </w:pPr>
      <w:r>
        <w:rPr>
          <w:rFonts w:ascii="Times New Roman" w:cs="Times New Roman" w:eastAsia="Times New Roman" w:hAnsi="Times New Roman"/>
          <w:sz w:val="19"/>
          <w:szCs w:val="19"/>
          <w:color w:val="auto"/>
        </w:rPr>
        <w:t>be deemed created in the ordinary course of such Person’s business, and destroy the original paper document (and all such electronic records</w:t>
      </w:r>
    </w:p>
    <w:p>
      <w:pPr>
        <w:spacing w:after="0" w:line="204" w:lineRule="auto"/>
        <w:rPr>
          <w:sz w:val="20"/>
          <w:szCs w:val="20"/>
          <w:color w:val="auto"/>
        </w:rPr>
      </w:pPr>
      <w:r>
        <w:rPr>
          <w:rFonts w:ascii="Times New Roman" w:cs="Times New Roman" w:eastAsia="Times New Roman" w:hAnsi="Times New Roman"/>
          <w:sz w:val="20"/>
          <w:szCs w:val="20"/>
          <w:color w:val="auto"/>
        </w:rPr>
        <w:t>shall be considered an original for all purposes and shall have the same legal effect, validity and enforceability as a paper record). The Borrower (I) waives any argument, defense or right to contest the legal effect, validity or enforceability of this Agreement, any other Loan</w:t>
      </w:r>
    </w:p>
    <w:p>
      <w:pPr>
        <w:spacing w:after="0" w:line="211" w:lineRule="auto"/>
        <w:rPr>
          <w:sz w:val="20"/>
          <w:szCs w:val="20"/>
          <w:color w:val="auto"/>
        </w:rPr>
      </w:pPr>
      <w:r>
        <w:rPr>
          <w:rFonts w:ascii="Times New Roman" w:cs="Times New Roman" w:eastAsia="Times New Roman" w:hAnsi="Times New Roman"/>
          <w:sz w:val="20"/>
          <w:szCs w:val="20"/>
          <w:color w:val="auto"/>
        </w:rPr>
        <w:t>Document and/or any Ancillary Document based solely on the lack of paper original copies of this Agreement, such other Loan Document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and/or such Ancillary Document, respectively, including with respect to any signature pages thereto and (II) waives any claim against any Applicable Parties for any Liabilities arising solely from the Administrative Agent’s and/or any Lender’s reliance on or use of Electronic</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Signatures and/or transmissions by telecopy, emailed pdf. or any other electronic means that reproduces an image of an actual executed signature page, including any Liabilities arising as a result of the failure of the Borrower to use any available security measures in connection</w:t>
      </w:r>
    </w:p>
    <w:p>
      <w:pPr>
        <w:spacing w:after="0"/>
        <w:rPr>
          <w:sz w:val="20"/>
          <w:szCs w:val="20"/>
          <w:color w:val="auto"/>
        </w:rPr>
      </w:pPr>
      <w:r>
        <w:rPr>
          <w:rFonts w:ascii="Times New Roman" w:cs="Times New Roman" w:eastAsia="Times New Roman" w:hAnsi="Times New Roman"/>
          <w:sz w:val="20"/>
          <w:szCs w:val="20"/>
          <w:color w:val="auto"/>
        </w:rPr>
        <w:t>with the execution, delivery or transmission of any Electronic Signature.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contained in this Agreement should be held invalid, illegal or unenforceable in any respect, the validity, legality and enforceability of the remaining provisions contained herein shall not in any</w:t>
      </w:r>
    </w:p>
    <w:p>
      <w:pPr>
        <w:spacing w:after="0" w:line="212" w:lineRule="auto"/>
        <w:rPr>
          <w:sz w:val="20"/>
          <w:szCs w:val="20"/>
          <w:color w:val="auto"/>
        </w:rPr>
      </w:pPr>
      <w:r>
        <w:rPr>
          <w:rFonts w:ascii="Times New Roman" w:cs="Times New Roman" w:eastAsia="Times New Roman" w:hAnsi="Times New Roman"/>
          <w:sz w:val="20"/>
          <w:szCs w:val="20"/>
          <w:color w:val="auto"/>
        </w:rPr>
        <w:t>way be affected or impaired thereby (it being understood that the invalidity of a particular provision in a particular jurisdiction shall not in</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invalid, illegal or unenforceable provisions.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If an Event of Default shall have occurred and be continuing, and the acceleration of the obligations owing in connection with the Loan Documents, or at any time upon the occurrence and during the continuance of an Event of Default under</w:t>
      </w:r>
    </w:p>
    <w:p>
      <w:pPr>
        <w:spacing w:after="0" w:line="224" w:lineRule="auto"/>
        <w:rPr>
          <w:sz w:val="20"/>
          <w:szCs w:val="20"/>
          <w:color w:val="auto"/>
        </w:rPr>
      </w:pP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each of the Lenders and their respective Affiliates is hereby authorized at any time and from time to time, to the</w:t>
      </w:r>
    </w:p>
    <w:p>
      <w:pPr>
        <w:spacing w:after="0" w:line="204" w:lineRule="auto"/>
        <w:rPr>
          <w:sz w:val="20"/>
          <w:szCs w:val="20"/>
          <w:color w:val="auto"/>
        </w:rPr>
      </w:pPr>
      <w:r>
        <w:rPr>
          <w:rFonts w:ascii="Times New Roman" w:cs="Times New Roman" w:eastAsia="Times New Roman" w:hAnsi="Times New Roman"/>
          <w:sz w:val="20"/>
          <w:szCs w:val="20"/>
          <w:color w:val="auto"/>
        </w:rPr>
        <w:t>fullest extent permitted by applicable law, to set-off and apply any and all deposits (general or special, time or demand, provisional or final) at any time held and other obligations at any time owing by it to or for the credit or the account of the Borrower against any of and all the</w:t>
      </w:r>
    </w:p>
    <w:p>
      <w:pPr>
        <w:spacing w:after="0" w:line="223" w:lineRule="auto"/>
        <w:rPr>
          <w:sz w:val="20"/>
          <w:szCs w:val="20"/>
          <w:color w:val="auto"/>
        </w:rPr>
      </w:pPr>
      <w:r>
        <w:rPr>
          <w:rFonts w:ascii="Times New Roman" w:cs="Times New Roman" w:eastAsia="Times New Roman" w:hAnsi="Times New Roman"/>
          <w:sz w:val="19"/>
          <w:szCs w:val="19"/>
          <w:color w:val="auto"/>
        </w:rPr>
        <w:t>obligations of the Borrower now or hereafter existing under this Agreement and the other Loan Documents held by it, irrespective of whether</w:t>
      </w:r>
    </w:p>
    <w:p>
      <w:pPr>
        <w:spacing w:after="0" w:line="204" w:lineRule="auto"/>
        <w:rPr>
          <w:sz w:val="20"/>
          <w:szCs w:val="20"/>
          <w:color w:val="auto"/>
        </w:rPr>
      </w:pPr>
      <w:r>
        <w:rPr>
          <w:rFonts w:ascii="Times New Roman" w:cs="Times New Roman" w:eastAsia="Times New Roman" w:hAnsi="Times New Roman"/>
          <w:sz w:val="20"/>
          <w:szCs w:val="20"/>
          <w:color w:val="auto"/>
        </w:rPr>
        <w:t>or not it shall have made any demand therefor and although such obligations may be unmatured. The rights of each of the Lenders and their respective Affiliates under this Section are in addition to other rights and remedies (including other rights of set-off) that it may have. Each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Lender agrees promptly to notify the Borrower and the Administrative Agent after any such set off and application made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 off and application.</w:t>
      </w:r>
    </w:p>
    <w:p>
      <w:pPr>
        <w:spacing w:after="0" w:line="14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10.9.</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940" w:hanging="636"/>
        <w:spacing w:after="0"/>
        <w:tabs>
          <w:tab w:leader="none" w:pos="19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of New York.</w:t>
      </w:r>
    </w:p>
    <w:p>
      <w:pPr>
        <w:spacing w:after="0" w:line="188"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hereby irrevocably and unconditionally submits, for itself and its property, to the nonexclusive jurisdiction of the Supreme Court of the State of New York sitting in New York County and of the United States District Court of the Southern District of New York City, and any appellate court from any thereof, in any action or proceeding arising out of or relating to this Agreement or the other Loan Documents, or for recognition or enforcement of any judgment, and each of the parties hereto hereby irrevocably and unconditionally agrees that, to the extent permitted by applicable law, all claims in respect of any such action or proceeding may be heard and determined in such New York State court or, to the extent permitted by applicable law,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95"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such Federal court. Each of the parties hereto agrees that a final judgment in any such action or proceeding shall be conclusive and may be enforced in other jurisdictions by suit on the judgment or in any other manner provided by law. Nothing in this Agreement shall affect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right that the Administrative Agent or any other Credit Party may otherwise have to bring any action or proceeding relating to this Agreement or the other Loan Documents against the Borrower, or any of its property, in the courts of any jurisdiction.</w:t>
      </w:r>
    </w:p>
    <w:p>
      <w:pPr>
        <w:spacing w:after="0" w:line="149" w:lineRule="exact"/>
        <w:rPr>
          <w:sz w:val="20"/>
          <w:szCs w:val="20"/>
          <w:color w:val="auto"/>
        </w:rPr>
      </w:pPr>
    </w:p>
    <w:p>
      <w:pPr>
        <w:jc w:val="both"/>
        <w:ind w:firstLine="1304"/>
        <w:spacing w:after="0" w:line="220" w:lineRule="auto"/>
        <w:tabs>
          <w:tab w:leader="none" w:pos="193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court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irrevocably consents to service of process in the manner provided for notices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Nothing in this Agreement will affect the right of any party to this Agreement to serve process in any other manner permitted by law.</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w:t>
      </w:r>
    </w:p>
    <w:p>
      <w:pPr>
        <w:spacing w:after="0" w:line="212" w:lineRule="auto"/>
        <w:rPr>
          <w:sz w:val="20"/>
          <w:szCs w:val="20"/>
          <w:color w:val="auto"/>
        </w:rPr>
      </w:pPr>
      <w:r>
        <w:rPr>
          <w:rFonts w:ascii="Times New Roman" w:cs="Times New Roman" w:eastAsia="Times New Roman" w:hAnsi="Times New Roman"/>
          <w:sz w:val="20"/>
          <w:szCs w:val="20"/>
          <w:color w:val="auto"/>
        </w:rPr>
        <w:t>INDIRECTLY  ARISING  OUT  OF,  UNDER  OR  RELATING  TO  THIS  CREDIT  AGREEMENT  OR  THE  TRANSACTIONS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CONTEMPLATED HEREBY (WHETHER BASED ON CONTRACT, TORT OR ANY OTHER THEORY). EACH PARTY HERETO (A) CERTIFIES THAT NO REPRESENTATIVE, AGENT OR ATTORNEY OF ANY OTHER PARTY HAS REPRESENTED, EXPRESSLY</w:t>
      </w:r>
    </w:p>
    <w:p>
      <w:pPr>
        <w:spacing w:after="0" w:line="211" w:lineRule="auto"/>
        <w:rPr>
          <w:sz w:val="20"/>
          <w:szCs w:val="20"/>
          <w:color w:val="auto"/>
        </w:rPr>
      </w:pPr>
      <w:r>
        <w:rPr>
          <w:rFonts w:ascii="Times New Roman" w:cs="Times New Roman" w:eastAsia="Times New Roman" w:hAnsi="Times New Roman"/>
          <w:sz w:val="20"/>
          <w:szCs w:val="20"/>
          <w:color w:val="auto"/>
        </w:rPr>
        <w:t>OR OTHERWISE, THAT SUCH OTHER PARTY WOULD NOT, IN THE EVENT OF LITIGATION, SEEK TO ENFORCE THE</w:t>
      </w:r>
    </w:p>
    <w:p>
      <w:pPr>
        <w:spacing w:after="0" w:line="204" w:lineRule="auto"/>
        <w:rPr>
          <w:sz w:val="20"/>
          <w:szCs w:val="20"/>
          <w:color w:val="auto"/>
        </w:rPr>
      </w:pPr>
      <w:r>
        <w:rPr>
          <w:rFonts w:ascii="Times New Roman" w:cs="Times New Roman" w:eastAsia="Times New Roman" w:hAnsi="Times New Roman"/>
          <w:sz w:val="20"/>
          <w:szCs w:val="20"/>
          <w:color w:val="auto"/>
        </w:rPr>
        <w:t>FOREGOING WAIVER AND (B) ACKNOWLEDGES THAT IT AND THE OTHER PARTIES HERETO HAVE BEEN INDUCED TO ENTER INTO THIS CREDIT AGREEMENT AND THE OTHER LOAN DOCUMENTS TO WHICH IT IS A PARTY BY, AMONG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THINGS, THE MUTUAL WAIVERS AND CERTIFICATIONS IN THIS SECTION.</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Section 10.12.  </w:t>
      </w:r>
      <w:r>
        <w:rPr>
          <w:rFonts w:ascii="Times New Roman" w:cs="Times New Roman" w:eastAsia="Times New Roman" w:hAnsi="Times New Roman"/>
          <w:sz w:val="19"/>
          <w:szCs w:val="19"/>
          <w:u w:val="single" w:color="auto"/>
          <w:color w:val="auto"/>
        </w:rPr>
        <w:t>Interest Rate Limitation</w:t>
      </w:r>
      <w:r>
        <w:rPr>
          <w:rFonts w:ascii="Times New Roman" w:cs="Times New Roman" w:eastAsia="Times New Roman" w:hAnsi="Times New Roman"/>
          <w:sz w:val="19"/>
          <w:szCs w:val="19"/>
          <w:color w:val="auto"/>
        </w:rPr>
        <w:t>. Notwithstanding anything herein to the contrary, if at any time the interest rate applicable to</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Loan or LC Disbursement, together with all fees, charges and other amounts that are treated as interest thereon under applicable law, shall exceed the maximum lawful rate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that may be contracted for, charged, taken, received or reserved by the Lender</w:t>
      </w:r>
    </w:p>
    <w:p>
      <w:pPr>
        <w:spacing w:after="0" w:line="211" w:lineRule="auto"/>
        <w:rPr>
          <w:sz w:val="20"/>
          <w:szCs w:val="20"/>
          <w:color w:val="auto"/>
        </w:rPr>
      </w:pPr>
      <w:r>
        <w:rPr>
          <w:rFonts w:ascii="Times New Roman" w:cs="Times New Roman" w:eastAsia="Times New Roman" w:hAnsi="Times New Roman"/>
          <w:sz w:val="20"/>
          <w:szCs w:val="20"/>
          <w:color w:val="auto"/>
        </w:rPr>
        <w:t>holding an interest in such Loan or LC Disbursement in accordance with applicable law, the rate of interest payable in respect of such Loan</w:t>
      </w:r>
    </w:p>
    <w:p>
      <w:pPr>
        <w:spacing w:after="0" w:line="215" w:lineRule="auto"/>
        <w:rPr>
          <w:sz w:val="20"/>
          <w:szCs w:val="20"/>
          <w:color w:val="auto"/>
        </w:rPr>
      </w:pPr>
      <w:r>
        <w:rPr>
          <w:rFonts w:ascii="Times New Roman" w:cs="Times New Roman" w:eastAsia="Times New Roman" w:hAnsi="Times New Roman"/>
          <w:sz w:val="19"/>
          <w:szCs w:val="19"/>
          <w:color w:val="auto"/>
        </w:rPr>
        <w:t>or LC Disbursement hereunder, together with all of the charges payable in respect thereof, shall be limited to the Maximum Rate and, to the extent lawful, the interest and the charges that would have been payable in respect of such Loan or LC Disbursement but were not payable as</w:t>
      </w:r>
    </w:p>
    <w:p>
      <w:pPr>
        <w:spacing w:after="0" w:line="211" w:lineRule="auto"/>
        <w:rPr>
          <w:sz w:val="20"/>
          <w:szCs w:val="20"/>
          <w:color w:val="auto"/>
        </w:rPr>
      </w:pPr>
      <w:r>
        <w:rPr>
          <w:rFonts w:ascii="Times New Roman" w:cs="Times New Roman" w:eastAsia="Times New Roman" w:hAnsi="Times New Roman"/>
          <w:sz w:val="20"/>
          <w:szCs w:val="20"/>
          <w:color w:val="auto"/>
        </w:rPr>
        <w:t>a result of the operation of this Section shall be cumulated, and the interest and the charges payable to such Lender in respect of other Loans</w:t>
      </w:r>
    </w:p>
    <w:p>
      <w:pPr>
        <w:spacing w:after="0" w:line="221" w:lineRule="auto"/>
        <w:rPr>
          <w:sz w:val="20"/>
          <w:szCs w:val="20"/>
          <w:color w:val="auto"/>
        </w:rPr>
      </w:pPr>
      <w:r>
        <w:rPr>
          <w:rFonts w:ascii="Times New Roman" w:cs="Times New Roman" w:eastAsia="Times New Roman" w:hAnsi="Times New Roman"/>
          <w:sz w:val="20"/>
          <w:szCs w:val="20"/>
          <w:color w:val="auto"/>
        </w:rPr>
        <w:t>or LC Disbursements or periods shall be increased (but not above the Maximum Rate therefor) until such cumulated amount, together with interest thereon at the Federal Funds Effective Rate to the date of repayment, shall have been received by such Lender.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u w:val="single" w:color="auto"/>
          <w:color w:val="auto"/>
        </w:rPr>
        <w:t>Advertisement</w:t>
      </w:r>
      <w:r>
        <w:rPr>
          <w:rFonts w:ascii="Times New Roman" w:cs="Times New Roman" w:eastAsia="Times New Roman" w:hAnsi="Times New Roman"/>
          <w:sz w:val="20"/>
          <w:szCs w:val="20"/>
          <w:color w:val="auto"/>
        </w:rPr>
        <w:t>. The Borrower hereby authorizes JPMorgan Chase or any Affiliate thereof to publish the name of the</w:t>
      </w:r>
    </w:p>
    <w:p>
      <w:pPr>
        <w:spacing w:after="0" w:line="204" w:lineRule="auto"/>
        <w:rPr>
          <w:sz w:val="20"/>
          <w:szCs w:val="20"/>
          <w:color w:val="auto"/>
        </w:rPr>
      </w:pPr>
      <w:r>
        <w:rPr>
          <w:rFonts w:ascii="Times New Roman" w:cs="Times New Roman" w:eastAsia="Times New Roman" w:hAnsi="Times New Roman"/>
          <w:sz w:val="20"/>
          <w:szCs w:val="20"/>
          <w:color w:val="auto"/>
        </w:rPr>
        <w:t>Borrower and the amount of the financing evidenced hereby in any “tombstone” or comparable advertisement that JPMorgan Chase or such Affiliate elects to publish at its own expense. In addition, the Borrower agrees that JPMorgan Chase or any Affiliates thereof may provide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lending industry trade organizations with information necessary and customary for inclusion in league table measurements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80</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9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10.14.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requirements of the PATRIOT Act hereby notifies the Borrower that such Lender is required to obtain, verify and record information that identifies the Borrower, which information includes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name and address of the Borrower and other information that will allow such Lender to identify the Borrower in accordance with the PATRIOT Act.</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10.15. </w:t>
      </w:r>
      <w:r>
        <w:rPr>
          <w:rFonts w:ascii="Times New Roman" w:cs="Times New Roman" w:eastAsia="Times New Roman" w:hAnsi="Times New Roman"/>
          <w:sz w:val="19"/>
          <w:szCs w:val="19"/>
          <w:u w:val="single" w:color="auto"/>
          <w:color w:val="auto"/>
        </w:rPr>
        <w:t>Treatment of Certain Information</w:t>
      </w:r>
      <w:r>
        <w:rPr>
          <w:rFonts w:ascii="Times New Roman" w:cs="Times New Roman" w:eastAsia="Times New Roman" w:hAnsi="Times New Roman"/>
          <w:sz w:val="19"/>
          <w:szCs w:val="19"/>
          <w:color w:val="auto"/>
        </w:rPr>
        <w:t>. Each Credit Party agrees to use reasonable precautions to keep confidential, in accordance with its customary procedures for handling confidential information of the same nature, all confidential, proprietary or non-public</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information supplied by the Borrower or any Affiliate pursuant to this Agreement relating to the Borrower, such Subsidiary or their respective businesses, including, without limitation, any financial statement, financial projections or forecasts, budget, Compliance</w:t>
      </w:r>
    </w:p>
    <w:p>
      <w:pPr>
        <w:spacing w:after="0" w:line="211" w:lineRule="auto"/>
        <w:rPr>
          <w:sz w:val="20"/>
          <w:szCs w:val="20"/>
          <w:color w:val="auto"/>
        </w:rPr>
      </w:pPr>
      <w:r>
        <w:rPr>
          <w:rFonts w:ascii="Times New Roman" w:cs="Times New Roman" w:eastAsia="Times New Roman" w:hAnsi="Times New Roman"/>
          <w:sz w:val="20"/>
          <w:szCs w:val="20"/>
          <w:color w:val="auto"/>
        </w:rPr>
        <w:t>Certificate, audit report, management letter or accountants’ certification delivered hereunder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provided that nothing herein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shall limit the disclosure of any Information (a) to any of its respective Related Parties that needs to know such Information, (b) to the extent required by applicable laws or regulations or by any subpoena or similar legal process, or requested by any bank regulatory authority, (c) on a</w:t>
      </w:r>
    </w:p>
    <w:p>
      <w:pPr>
        <w:spacing w:after="0" w:line="204" w:lineRule="auto"/>
        <w:rPr>
          <w:sz w:val="20"/>
          <w:szCs w:val="20"/>
          <w:color w:val="auto"/>
        </w:rPr>
      </w:pPr>
      <w:r>
        <w:rPr>
          <w:rFonts w:ascii="Times New Roman" w:cs="Times New Roman" w:eastAsia="Times New Roman" w:hAnsi="Times New Roman"/>
          <w:sz w:val="20"/>
          <w:szCs w:val="20"/>
          <w:color w:val="auto"/>
        </w:rPr>
        <w:t>confidential basis, to any bona fide or potential assignee or Participant in connection with the contemplated assignment or participation of any Loans or any participations therein or by any direct or indirect contractual counterparties (or the professional advisors thereto) to any</w:t>
      </w:r>
    </w:p>
    <w:p>
      <w:pPr>
        <w:spacing w:after="0" w:line="223" w:lineRule="auto"/>
        <w:rPr>
          <w:sz w:val="20"/>
          <w:szCs w:val="20"/>
          <w:color w:val="auto"/>
        </w:rPr>
      </w:pPr>
      <w:r>
        <w:rPr>
          <w:rFonts w:ascii="Times New Roman" w:cs="Times New Roman" w:eastAsia="Times New Roman" w:hAnsi="Times New Roman"/>
          <w:sz w:val="19"/>
          <w:szCs w:val="19"/>
          <w:color w:val="auto"/>
        </w:rPr>
        <w:t>swap or derivative transaction relating to the Borrower and its obligations (provided such assignees, Participants, counterparties and advisors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are advised of and agree to be bound by either the provisions of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xml:space="preserve"> or other provisions at least as restrictive as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(d) to auditors, accountants, consultants and advisors, and any analogous counterpart thereof, (e) to any other Credit Party, (f) in</w:t>
      </w:r>
    </w:p>
    <w:p>
      <w:pPr>
        <w:spacing w:after="0" w:line="211" w:lineRule="auto"/>
        <w:rPr>
          <w:sz w:val="20"/>
          <w:szCs w:val="20"/>
          <w:color w:val="auto"/>
        </w:rPr>
      </w:pPr>
      <w:r>
        <w:rPr>
          <w:rFonts w:ascii="Times New Roman" w:cs="Times New Roman" w:eastAsia="Times New Roman" w:hAnsi="Times New Roman"/>
          <w:sz w:val="20"/>
          <w:szCs w:val="20"/>
          <w:color w:val="auto"/>
        </w:rPr>
        <w:t>connection with any litigation to which any one or more of the Credit Parties is a party, (g) to the extent such Information (A) becomes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publicly available other than as a result of a breach of this Agreement, (B) becomes available to any of the Credit Parties on a non-confidential basis from a source other than the Borrower or any of its Affiliates or (C) was available to the Credit Parties on a non-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confidential basis prior to its disclosure to any of them by the Borrower or any of its Affiliates; and (h) to the extent the Borrower shall have consented to such disclosure in writing.</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10.16. </w:t>
      </w:r>
      <w:r>
        <w:rPr>
          <w:rFonts w:ascii="Times New Roman" w:cs="Times New Roman" w:eastAsia="Times New Roman" w:hAnsi="Times New Roman"/>
          <w:sz w:val="20"/>
          <w:szCs w:val="20"/>
          <w:u w:val="single" w:color="auto"/>
          <w:color w:val="auto"/>
        </w:rPr>
        <w:t>No Fiduciary Duty, etc.</w:t>
      </w:r>
      <w:r>
        <w:rPr>
          <w:rFonts w:ascii="Times New Roman" w:cs="Times New Roman" w:eastAsia="Times New Roman" w:hAnsi="Times New Roman"/>
          <w:sz w:val="20"/>
          <w:szCs w:val="20"/>
          <w:color w:val="auto"/>
        </w:rPr>
        <w:t xml:space="preserve"> (a) The Borrower acknowledges and agrees, and acknowledges its Subsidiaries’ understanding, that no Credit Party will have any obligations except those obligations expressly set forth herein and in the other Loan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Documents and each Credit Party is acting solely in the capacity of an arm’s length contractual counterparty to the Borrower with respect to the Loan Documents and the transactions contemplated herein and therein and not as a financial advisor or a fiduciary to, or an agent of, the</w:t>
      </w:r>
    </w:p>
    <w:p>
      <w:pPr>
        <w:spacing w:after="0" w:line="211" w:lineRule="auto"/>
        <w:rPr>
          <w:sz w:val="20"/>
          <w:szCs w:val="20"/>
          <w:color w:val="auto"/>
        </w:rPr>
      </w:pPr>
      <w:r>
        <w:rPr>
          <w:rFonts w:ascii="Times New Roman" w:cs="Times New Roman" w:eastAsia="Times New Roman" w:hAnsi="Times New Roman"/>
          <w:sz w:val="20"/>
          <w:szCs w:val="20"/>
          <w:color w:val="auto"/>
        </w:rPr>
        <w:t>Borrower or any other person. The Borrower agrees that it will not assert any claim against any Credit Party based on an alleged breach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fiduciary duty by such Credit Party in connection with this Agreement and the transactions contemplated hereby. Additionally, the Borrower acknowledges and agrees that no Credit Party is advising the Borrower as to any legal, tax, investment, accounting, regulatory or any other</w:t>
      </w:r>
    </w:p>
    <w:p>
      <w:pPr>
        <w:spacing w:after="0" w:line="222" w:lineRule="auto"/>
        <w:rPr>
          <w:sz w:val="20"/>
          <w:szCs w:val="20"/>
          <w:color w:val="auto"/>
        </w:rPr>
      </w:pPr>
      <w:r>
        <w:rPr>
          <w:rFonts w:ascii="Times New Roman" w:cs="Times New Roman" w:eastAsia="Times New Roman" w:hAnsi="Times New Roman"/>
          <w:sz w:val="19"/>
          <w:szCs w:val="19"/>
          <w:color w:val="auto"/>
        </w:rPr>
        <w:t>matters in any jurisdiction. The Borrower shall consult with its own advisors concerning such matters and shall be responsible for making its</w:t>
      </w:r>
    </w:p>
    <w:p>
      <w:pPr>
        <w:spacing w:after="0" w:line="221" w:lineRule="auto"/>
        <w:rPr>
          <w:sz w:val="20"/>
          <w:szCs w:val="20"/>
          <w:color w:val="auto"/>
        </w:rPr>
      </w:pPr>
      <w:r>
        <w:rPr>
          <w:rFonts w:ascii="Times New Roman" w:cs="Times New Roman" w:eastAsia="Times New Roman" w:hAnsi="Times New Roman"/>
          <w:sz w:val="20"/>
          <w:szCs w:val="20"/>
          <w:color w:val="auto"/>
        </w:rPr>
        <w:t>own independent investigation and appraisal of the transactions contemplated herein or in the other Loan Documents, and the Credit Parties shall have no responsibility or liability to the Borrower with respect thereto.</w:t>
      </w:r>
    </w:p>
    <w:p>
      <w:pPr>
        <w:spacing w:after="0" w:line="175" w:lineRule="exact"/>
        <w:rPr>
          <w:sz w:val="20"/>
          <w:szCs w:val="20"/>
          <w:color w:val="auto"/>
        </w:rPr>
      </w:pPr>
    </w:p>
    <w:p>
      <w:pPr>
        <w:ind w:firstLine="656"/>
        <w:spacing w:after="0" w:line="253" w:lineRule="auto"/>
        <w:tabs>
          <w:tab w:leader="none" w:pos="92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instruments, including any voting rights, will be exercised by the holder of the rights, in its sole discretion.</w:t>
      </w:r>
    </w:p>
    <w:p>
      <w:pPr>
        <w:spacing w:after="0" w:line="108" w:lineRule="exact"/>
        <w:rPr>
          <w:sz w:val="20"/>
          <w:szCs w:val="20"/>
          <w:color w:val="auto"/>
        </w:rPr>
      </w:pPr>
    </w:p>
    <w:p>
      <w:pPr>
        <w:ind w:right="20" w:firstLine="656"/>
        <w:spacing w:after="0" w:line="251" w:lineRule="auto"/>
        <w:tabs>
          <w:tab w:leader="none" w:pos="91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10.17.  </w:t>
      </w:r>
      <w:r>
        <w:rPr>
          <w:rFonts w:ascii="Times New Roman" w:cs="Times New Roman" w:eastAsia="Times New Roman" w:hAnsi="Times New Roman"/>
          <w:sz w:val="20"/>
          <w:szCs w:val="20"/>
          <w:u w:val="single" w:color="auto"/>
          <w:color w:val="auto"/>
        </w:rPr>
        <w:t>CoBank Equity and Security</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304"/>
        <w:spacing w:after="0" w:line="213" w:lineRule="auto"/>
        <w:tabs>
          <w:tab w:leader="none" w:pos="193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CoBank (or its Affiliate) is a Lender hereunder, the Borrower will (i) maintain its status as an entity eligible to borrow from CoBank and (ii) acquire equity in CoBank in such amounts and at such times as CoBank may require in accordance with CoBank’s Bylaws and Capital Plan, except that the maximum amount of equity that the Borrower may be required to purchase in CoBank in connection with the Loans made by CoBank (or its affiliate) may not exceed the maximum amount permitted by the Bylaws and the Capital Plan at the time this Agreement is entered into. The Borrower acknowledges receipt of a copy of (x) CoBank’s most recent annual report, and if more recent, CoBank’s latest quarterly report, (y) CoBank’s Notice to Prospective Stockholders and (iii) CoBank’s Bylaws and Capital Plan, which describe the nature of all of the Borrower’s cash patronage, stock and other equities in CoBank acquired in connection with its patronage loan from CoBank (or its Affiliate) (the “</w:t>
      </w:r>
      <w:r>
        <w:rPr>
          <w:rFonts w:ascii="Times New Roman" w:cs="Times New Roman" w:eastAsia="Times New Roman" w:hAnsi="Times New Roman"/>
          <w:sz w:val="20"/>
          <w:szCs w:val="20"/>
          <w:u w:val="single" w:color="auto"/>
          <w:color w:val="auto"/>
        </w:rPr>
        <w:t>CoBank Equities</w:t>
      </w:r>
      <w:r>
        <w:rPr>
          <w:rFonts w:ascii="Times New Roman" w:cs="Times New Roman" w:eastAsia="Times New Roman" w:hAnsi="Times New Roman"/>
          <w:sz w:val="20"/>
          <w:szCs w:val="20"/>
          <w:color w:val="auto"/>
        </w:rPr>
        <w:t>”) as well as capitalization requirements, and agrees to be bound by the terms thereof.</w:t>
      </w:r>
    </w:p>
    <w:p>
      <w:pPr>
        <w:spacing w:after="0" w:line="161" w:lineRule="exact"/>
        <w:rPr>
          <w:rFonts w:ascii="Times New Roman" w:cs="Times New Roman" w:eastAsia="Times New Roman" w:hAnsi="Times New Roman"/>
          <w:sz w:val="20"/>
          <w:szCs w:val="20"/>
          <w:color w:val="auto"/>
        </w:rPr>
      </w:pPr>
    </w:p>
    <w:p>
      <w:pPr>
        <w:jc w:val="both"/>
        <w:ind w:firstLine="1304"/>
        <w:spacing w:after="0" w:line="228" w:lineRule="auto"/>
        <w:tabs>
          <w:tab w:leader="none" w:pos="1932"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hereto acknowledges that CoBank’s Bylaws and Capital Plan shall govern (i) the rights and obligations of the parties with respect to the CoBank Equities and any patronage refunds or other distributions made on account thereof or on account of the Borrower’s patronage with CoBank, (ii) the Borrower’s eligibility for patronage distributions from CoBank (in the form of CoBank Equities and cash) and (iii) patronage distributions, if any, in the event of a sale of a participation interest. CoBank reserves the right to assign or sell participations in all or any part of its (or its Affiliate’s) Commitments or outstanding Loans hereunder on a non-patronage basis.</w:t>
      </w:r>
    </w:p>
    <w:p>
      <w:pPr>
        <w:spacing w:after="0" w:line="163" w:lineRule="exact"/>
        <w:rPr>
          <w:rFonts w:ascii="Times New Roman" w:cs="Times New Roman" w:eastAsia="Times New Roman" w:hAnsi="Times New Roman"/>
          <w:sz w:val="19"/>
          <w:szCs w:val="19"/>
          <w:color w:val="auto"/>
        </w:rPr>
      </w:pPr>
    </w:p>
    <w:p>
      <w:pPr>
        <w:jc w:val="both"/>
        <w:ind w:firstLine="1304"/>
        <w:spacing w:after="0" w:line="222" w:lineRule="auto"/>
        <w:tabs>
          <w:tab w:leader="none" w:pos="1934"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hereto acknowledges that CoBank has a statutory first lien pursuant to the Farm Credit Act of 1971 (as amended from time to time) on all CoBank Equities that the Borrower may now own or hereafter acquire, which statutory lien shall be for CoBank’s (or its Affiliate’s) sole and exclusive benefit. The CoBank Equities shall not constitute security for the obligations due to any other Lender. To the extent that any of the Loan Documents create a Lien on the CoBank Equities or on patronage accrued by CoBank for the account of the Borrower (including, in each case, proceeds thereof), such Lien shall be for CoBank’s (or its Affiliate’s) sole and exclusive benefit and shall not be subject to pro rata sharing hereunder. Neither the CoBank Equities nor any accrued patronage shall be offset against the obligations hereunder, except that, in the event of an Event of Default, CoBank may elect, solely at its discretion, to apply the cash portion of any patronage distribution or retirement of equity to amounts owed to CoBank or its Affiliate under this Agreement, whether or not such amounts are currently due and payable. The Borrower acknowledges that any corresponding tax liability associated with such application is the sole responsibility of the Borrower. CoBank shall have no obligation to retire the CoBank Equities upon any Default or any other default by the Borrower, or at any other time, either for application to the Loans or other obligations under this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9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10.18.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49" w:lineRule="exact"/>
        <w:rPr>
          <w:sz w:val="20"/>
          <w:szCs w:val="20"/>
          <w:color w:val="auto"/>
        </w:rPr>
      </w:pPr>
    </w:p>
    <w:p>
      <w:pPr>
        <w:ind w:firstLine="1304"/>
        <w:spacing w:after="0"/>
        <w:tabs>
          <w:tab w:leader="none" w:pos="193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EEA Financial Institution; and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7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88"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5"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Times New Roman" w:cs="Times New Roman" w:eastAsia="Times New Roman" w:hAnsi="Times New Roman"/>
          <w:sz w:val="20"/>
          <w:szCs w:val="20"/>
          <w:color w:val="auto"/>
        </w:rPr>
      </w:pPr>
    </w:p>
    <w:p>
      <w:pPr>
        <w:ind w:left="1300" w:firstLine="652"/>
        <w:spacing w:after="0"/>
        <w:tabs>
          <w:tab w:leader="none" w:pos="2596"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380" w:val="left"/>
          <w:tab w:leader="none" w:pos="176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41" w:name="page242"/>
    <w:bookmarkEnd w:id="241"/>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Credit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ALLETE, INC., as Borrower</w:t>
      </w:r>
    </w:p>
    <w:p>
      <w:pPr>
        <w:spacing w:after="0" w:line="3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-20320</wp:posOffset>
            </wp:positionV>
            <wp:extent cx="1257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4"/>
          <w:szCs w:val="14"/>
          <w:color w:val="auto"/>
        </w:rPr>
        <w:t>{00463749.DOCX; 2}766170599 11074672</w:t>
      </w:r>
      <w:r>
        <w:rPr>
          <w:sz w:val="20"/>
          <w:szCs w:val="20"/>
          <w:color w:val="auto"/>
        </w:rPr>
        <w:tab/>
      </w:r>
      <w:r>
        <w:rPr>
          <w:rFonts w:ascii="Times New Roman" w:cs="Times New Roman" w:eastAsia="Times New Roman" w:hAnsi="Times New Roman"/>
          <w:sz w:val="20"/>
          <w:szCs w:val="20"/>
          <w:color w:val="auto"/>
        </w:rPr>
        <w:t xml:space="preserve">S-1  </w:t>
      </w:r>
      <w:r>
        <w:rPr>
          <w:rFonts w:ascii="Times New Roman" w:cs="Times New Roman" w:eastAsia="Times New Roman" w:hAnsi="Times New Roman"/>
          <w:sz w:val="14"/>
          <w:szCs w:val="14"/>
          <w:color w:val="auto"/>
        </w:rPr>
        <w:t>ALLETE CREDIT AGREEMENT</w:t>
      </w:r>
    </w:p>
    <w:p>
      <w:pPr>
        <w:sectPr>
          <w:pgSz w:w="11900" w:h="16838" w:orient="portrait"/>
          <w:cols w:equalWidth="0" w:num="1">
            <w:col w:w="11240"/>
          </w:cols>
          <w:pgMar w:left="320" w:top="1413" w:right="339" w:bottom="1440" w:gutter="0" w:footer="0" w:header="0"/>
        </w:sectPr>
      </w:pPr>
    </w:p>
    <w:bookmarkStart w:id="242" w:name="page243"/>
    <w:bookmarkEnd w:id="242"/>
    <w:p>
      <w:pPr>
        <w:ind w:left="3900"/>
        <w:spacing w:after="0" w:line="283" w:lineRule="auto"/>
        <w:rPr>
          <w:sz w:val="20"/>
          <w:szCs w:val="20"/>
          <w:color w:val="auto"/>
        </w:rPr>
      </w:pPr>
      <w:r>
        <w:rPr>
          <w:rFonts w:ascii="Times New Roman" w:cs="Times New Roman" w:eastAsia="Times New Roman" w:hAnsi="Times New Roman"/>
          <w:sz w:val="20"/>
          <w:szCs w:val="20"/>
          <w:color w:val="auto"/>
        </w:rPr>
        <w:t>JPMORGAN CHASE BANK, N.A., as a Lender, as an Issuing Bank, and as Administrative Agent</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6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-20320</wp:posOffset>
            </wp:positionV>
            <wp:extent cx="1257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S-2  </w:t>
      </w:r>
      <w:r>
        <w:rPr>
          <w:rFonts w:ascii="Times New Roman" w:cs="Times New Roman" w:eastAsia="Times New Roman" w:hAnsi="Times New Roman"/>
          <w:sz w:val="14"/>
          <w:szCs w:val="14"/>
          <w:color w:val="auto"/>
        </w:rPr>
        <w:t>ALLETE CREDIT AGREEMENT</w:t>
      </w:r>
    </w:p>
    <w:p>
      <w:pPr>
        <w:sectPr>
          <w:pgSz w:w="11900" w:h="16838" w:orient="portrait"/>
          <w:cols w:equalWidth="0" w:num="1">
            <w:col w:w="11180"/>
          </w:cols>
          <w:pgMar w:left="320" w:top="1413" w:right="399" w:bottom="1440" w:gutter="0" w:footer="0" w:header="0"/>
        </w:sectPr>
      </w:pPr>
    </w:p>
    <w:bookmarkStart w:id="243" w:name="page244"/>
    <w:bookmarkEnd w:id="243"/>
    <w:p>
      <w:pPr>
        <w:spacing w:after="0" w:line="216"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20"/>
          <w:szCs w:val="20"/>
          <w:color w:val="auto"/>
        </w:rPr>
        <w:t>ROYAL BANK OF CANADA, as a Lender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-20320</wp:posOffset>
            </wp:positionV>
            <wp:extent cx="1257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7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S-3  </w:t>
      </w:r>
      <w:r>
        <w:rPr>
          <w:rFonts w:ascii="Times New Roman" w:cs="Times New Roman" w:eastAsia="Times New Roman" w:hAnsi="Times New Roman"/>
          <w:sz w:val="14"/>
          <w:szCs w:val="14"/>
          <w:color w:val="auto"/>
        </w:rPr>
        <w:t>ALLETE CREDIT AGREEMENT</w:t>
      </w:r>
    </w:p>
    <w:p>
      <w:pPr>
        <w:sectPr>
          <w:pgSz w:w="11900" w:h="16838" w:orient="portrait"/>
          <w:cols w:equalWidth="0" w:num="1">
            <w:col w:w="10139"/>
          </w:cols>
          <w:pgMar w:left="320" w:top="1440" w:right="1440" w:bottom="1440" w:gutter="0" w:footer="0" w:header="0"/>
        </w:sectPr>
      </w:pPr>
    </w:p>
    <w:bookmarkStart w:id="244" w:name="page245"/>
    <w:bookmarkEnd w:id="244"/>
    <w:p>
      <w:pPr>
        <w:jc w:val="right"/>
        <w:ind w:right="1879"/>
        <w:spacing w:after="0"/>
        <w:rPr>
          <w:sz w:val="20"/>
          <w:szCs w:val="20"/>
          <w:color w:val="auto"/>
        </w:rPr>
      </w:pPr>
      <w:r>
        <w:rPr>
          <w:rFonts w:ascii="Times New Roman" w:cs="Times New Roman" w:eastAsia="Times New Roman" w:hAnsi="Times New Roman"/>
          <w:sz w:val="20"/>
          <w:szCs w:val="20"/>
          <w:color w:val="auto"/>
        </w:rPr>
        <w:t>U.S. BANK NATIONAL ASSOCIATION, as a Lender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-20320</wp:posOffset>
            </wp:positionV>
            <wp:extent cx="1257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S-4  </w:t>
      </w:r>
      <w:r>
        <w:rPr>
          <w:rFonts w:ascii="Times New Roman" w:cs="Times New Roman" w:eastAsia="Times New Roman" w:hAnsi="Times New Roman"/>
          <w:sz w:val="14"/>
          <w:szCs w:val="14"/>
          <w:color w:val="auto"/>
        </w:rPr>
        <w:t>ALLETE CREDIT AGREEMENT</w:t>
      </w:r>
    </w:p>
    <w:p>
      <w:pPr>
        <w:sectPr>
          <w:pgSz w:w="11900" w:h="16838" w:orient="portrait"/>
          <w:cols w:equalWidth="0" w:num="1">
            <w:col w:w="10139"/>
          </w:cols>
          <w:pgMar w:left="320" w:top="1413" w:right="1440" w:bottom="1440" w:gutter="0" w:footer="0" w:header="0"/>
        </w:sectPr>
      </w:pPr>
    </w:p>
    <w:bookmarkStart w:id="245" w:name="page246"/>
    <w:bookmarkEnd w:id="245"/>
    <w:p>
      <w:pPr>
        <w:spacing w:after="0" w:line="216"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0"/>
          <w:szCs w:val="20"/>
          <w:color w:val="auto"/>
        </w:rPr>
        <w:t>WELLS FARGO BANK, NATIONAL ASSOCIATION, as a Lender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-20320</wp:posOffset>
            </wp:positionV>
            <wp:extent cx="1257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S-5  </w:t>
      </w:r>
      <w:r>
        <w:rPr>
          <w:rFonts w:ascii="Times New Roman" w:cs="Times New Roman" w:eastAsia="Times New Roman" w:hAnsi="Times New Roman"/>
          <w:sz w:val="14"/>
          <w:szCs w:val="14"/>
          <w:color w:val="auto"/>
        </w:rPr>
        <w:t>ALLETE CREDIT AGREEMENT</w:t>
      </w:r>
    </w:p>
    <w:p>
      <w:pPr>
        <w:sectPr>
          <w:pgSz w:w="11900" w:h="16838" w:orient="portrait"/>
          <w:cols w:equalWidth="0" w:num="1">
            <w:col w:w="10139"/>
          </w:cols>
          <w:pgMar w:left="320" w:top="1440" w:right="1440" w:bottom="1440" w:gutter="0" w:footer="0" w:header="0"/>
        </w:sectPr>
      </w:pPr>
    </w:p>
    <w:bookmarkStart w:id="246" w:name="page247"/>
    <w:bookmarkEnd w:id="246"/>
    <w:p>
      <w:pPr>
        <w:spacing w:after="0" w:line="216"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20"/>
          <w:szCs w:val="20"/>
          <w:color w:val="auto"/>
        </w:rPr>
        <w:t>BANK OF AMERICA, N.A., as a Lender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-20320</wp:posOffset>
            </wp:positionV>
            <wp:extent cx="1257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8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S-6  </w:t>
      </w:r>
      <w:r>
        <w:rPr>
          <w:rFonts w:ascii="Times New Roman" w:cs="Times New Roman" w:eastAsia="Times New Roman" w:hAnsi="Times New Roman"/>
          <w:sz w:val="14"/>
          <w:szCs w:val="14"/>
          <w:color w:val="auto"/>
        </w:rPr>
        <w:t>ALLETE CREDIT AGREEMENT</w:t>
      </w:r>
    </w:p>
    <w:p>
      <w:pPr>
        <w:sectPr>
          <w:pgSz w:w="11900" w:h="16838" w:orient="portrait"/>
          <w:cols w:equalWidth="0" w:num="1">
            <w:col w:w="10139"/>
          </w:cols>
          <w:pgMar w:left="320" w:top="1440" w:right="1440" w:bottom="1440" w:gutter="0" w:footer="0" w:header="0"/>
        </w:sectPr>
      </w:pPr>
    </w:p>
    <w:bookmarkStart w:id="247" w:name="page248"/>
    <w:bookmarkEnd w:id="247"/>
    <w:p>
      <w:pPr>
        <w:spacing w:after="0" w:line="216"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20"/>
          <w:szCs w:val="20"/>
          <w:color w:val="auto"/>
        </w:rPr>
        <w:t>KEYBANK NATIONAL ASSOCIATION, as a Lender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8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8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-20320</wp:posOffset>
            </wp:positionV>
            <wp:extent cx="1257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S-7  </w:t>
      </w:r>
      <w:r>
        <w:rPr>
          <w:rFonts w:ascii="Times New Roman" w:cs="Times New Roman" w:eastAsia="Times New Roman" w:hAnsi="Times New Roman"/>
          <w:sz w:val="14"/>
          <w:szCs w:val="14"/>
          <w:color w:val="auto"/>
        </w:rPr>
        <w:t>ALLETE CREDIT AGREEMENT</w:t>
      </w:r>
    </w:p>
    <w:p>
      <w:pPr>
        <w:sectPr>
          <w:pgSz w:w="11900" w:h="16838" w:orient="portrait"/>
          <w:cols w:equalWidth="0" w:num="1">
            <w:col w:w="10139"/>
          </w:cols>
          <w:pgMar w:left="320" w:top="1440" w:right="1440" w:bottom="1440" w:gutter="0" w:footer="0" w:header="0"/>
        </w:sectPr>
      </w:pPr>
    </w:p>
    <w:bookmarkStart w:id="248" w:name="page249"/>
    <w:bookmarkEnd w:id="248"/>
    <w:p>
      <w:pPr>
        <w:spacing w:after="0" w:line="216"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20"/>
          <w:szCs w:val="20"/>
          <w:color w:val="auto"/>
        </w:rPr>
        <w:t>COBANK, ACB, as a Lender and as an Issuing Bank</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57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-20320</wp:posOffset>
            </wp:positionV>
            <wp:extent cx="1257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8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766170599 11074672</w:t>
      </w:r>
      <w:r>
        <w:rPr>
          <w:sz w:val="20"/>
          <w:szCs w:val="20"/>
          <w:color w:val="auto"/>
        </w:rPr>
        <w:tab/>
      </w:r>
      <w:r>
        <w:rPr>
          <w:rFonts w:ascii="Times New Roman" w:cs="Times New Roman" w:eastAsia="Times New Roman" w:hAnsi="Times New Roman"/>
          <w:sz w:val="20"/>
          <w:szCs w:val="20"/>
          <w:color w:val="auto"/>
        </w:rPr>
        <w:t xml:space="preserve">S-8  </w:t>
      </w:r>
      <w:r>
        <w:rPr>
          <w:rFonts w:ascii="Times New Roman" w:cs="Times New Roman" w:eastAsia="Times New Roman" w:hAnsi="Times New Roman"/>
          <w:sz w:val="14"/>
          <w:szCs w:val="14"/>
          <w:color w:val="auto"/>
        </w:rPr>
        <w:t>ALLETE CREDIT AGREEMENT</w:t>
      </w:r>
    </w:p>
    <w:p>
      <w:pPr>
        <w:sectPr>
          <w:pgSz w:w="11900" w:h="16838" w:orient="portrait"/>
          <w:cols w:equalWidth="0" w:num="1">
            <w:col w:w="10139"/>
          </w:cols>
          <w:pgMar w:left="320" w:top="1440" w:right="1440"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4"/>
          <w:szCs w:val="14"/>
          <w:color w:val="auto"/>
        </w:rPr>
        <w:t>{00463749.DOCX; 2}766170599 11074672</w:t>
      </w:r>
      <w:r>
        <w:rPr>
          <w:sz w:val="20"/>
          <w:szCs w:val="20"/>
          <w:color w:val="auto"/>
        </w:rPr>
        <w:tab/>
      </w:r>
      <w:r>
        <w:rPr>
          <w:rFonts w:ascii="Times New Roman" w:cs="Times New Roman" w:eastAsia="Times New Roman" w:hAnsi="Times New Roman"/>
          <w:sz w:val="18"/>
          <w:szCs w:val="18"/>
          <w:color w:val="auto"/>
        </w:rPr>
        <w:t xml:space="preserve">SCHEDULE 4.10  </w:t>
      </w:r>
      <w:r>
        <w:rPr>
          <w:rFonts w:ascii="Times New Roman" w:cs="Times New Roman" w:eastAsia="Times New Roman" w:hAnsi="Times New Roman"/>
          <w:sz w:val="14"/>
          <w:szCs w:val="14"/>
          <w:color w:val="auto"/>
        </w:rPr>
        <w:t>ALLETE CREDIT AGREEMENT</w:t>
      </w:r>
    </w:p>
    <w:p>
      <w:pPr>
        <w:sectPr>
          <w:pgSz w:w="11900" w:h="16838" w:orient="portrait"/>
          <w:cols w:equalWidth="0" w:num="1">
            <w:col w:w="10139"/>
          </w:cols>
          <w:pgMar w:left="320" w:top="1440" w:right="1440" w:bottom="1440" w:gutter="0" w:footer="0" w:header="0"/>
        </w:sectPr>
      </w:pPr>
    </w:p>
    <w:bookmarkStart w:id="250" w:name="page251"/>
    <w:bookmarkEnd w:id="250"/>
    <w:p>
      <w:pPr>
        <w:ind w:left="1860"/>
        <w:spacing w:after="0"/>
        <w:rPr>
          <w:sz w:val="20"/>
          <w:szCs w:val="20"/>
          <w:color w:val="auto"/>
        </w:rPr>
      </w:pPr>
      <w:r>
        <w:rPr>
          <w:rFonts w:ascii="Times New Roman" w:cs="Times New Roman" w:eastAsia="Times New Roman" w:hAnsi="Times New Roman"/>
          <w:sz w:val="18"/>
          <w:szCs w:val="18"/>
          <w:b w:val="1"/>
          <w:bCs w:val="1"/>
          <w:color w:val="auto"/>
        </w:rPr>
        <w:t>Exhibit 10(e)9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ALLETE Executive Annual Incentive Plan</w:t>
      </w:r>
    </w:p>
    <w:p>
      <w:pPr>
        <w:jc w:val="center"/>
        <w:ind w:right="-759"/>
        <w:spacing w:after="0" w:line="204" w:lineRule="auto"/>
        <w:rPr>
          <w:sz w:val="20"/>
          <w:szCs w:val="20"/>
          <w:color w:val="auto"/>
        </w:rPr>
      </w:pPr>
      <w:r>
        <w:rPr>
          <w:rFonts w:ascii="Times New Roman" w:cs="Times New Roman" w:eastAsia="Times New Roman" w:hAnsi="Times New Roman"/>
          <w:sz w:val="22"/>
          <w:szCs w:val="22"/>
          <w:b w:val="1"/>
          <w:bCs w:val="1"/>
          <w:color w:val="auto"/>
        </w:rPr>
        <w:t>Form of Award</w:t>
      </w:r>
    </w:p>
    <w:p>
      <w:pPr>
        <w:spacing w:after="0" w:line="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Effective 2025</w:t>
      </w:r>
    </w:p>
    <w:p>
      <w:pPr>
        <w:spacing w:after="0" w:line="1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2"/>
          <w:szCs w:val="22"/>
          <w:b w:val="1"/>
          <w:bCs w:val="1"/>
          <w:color w:val="auto"/>
        </w:rPr>
        <w:t>[Eligible Executive Employees]</w:t>
      </w:r>
    </w:p>
    <w:p>
      <w:pPr>
        <w:spacing w:after="0" w:line="28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u w:val="single" w:color="auto"/>
          <w:color w:val="auto"/>
        </w:rPr>
        <w:t>Target Award Opportunity</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1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Base Salary</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180" w:type="dxa"/>
            <w:vAlign w:val="bottom"/>
            <w:gridSpan w:val="3"/>
          </w:tcPr>
          <w:p>
            <w:pPr>
              <w:ind w:left="560"/>
              <w:spacing w:after="0"/>
              <w:rPr>
                <w:sz w:val="20"/>
                <w:szCs w:val="20"/>
                <w:color w:val="auto"/>
              </w:rPr>
            </w:pPr>
            <w:r>
              <w:rPr>
                <w:rFonts w:ascii="Times New Roman" w:cs="Times New Roman" w:eastAsia="Times New Roman" w:hAnsi="Times New Roman"/>
                <w:sz w:val="22"/>
                <w:szCs w:val="22"/>
                <w:b w:val="1"/>
                <w:bCs w:val="1"/>
                <w:color w:val="auto"/>
              </w:rPr>
              <w:t>Times</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1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Award Opportunity (percent of base salary)</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4180" w:type="dxa"/>
            <w:vAlign w:val="bottom"/>
            <w:gridSpan w:val="3"/>
          </w:tcPr>
          <w:p>
            <w:pPr>
              <w:ind w:left="300"/>
              <w:spacing w:after="0"/>
              <w:rPr>
                <w:sz w:val="20"/>
                <w:szCs w:val="20"/>
                <w:color w:val="auto"/>
              </w:rPr>
            </w:pPr>
            <w:r>
              <w:rPr>
                <w:rFonts w:ascii="Times New Roman" w:cs="Times New Roman" w:eastAsia="Times New Roman" w:hAnsi="Times New Roman"/>
                <w:sz w:val="22"/>
                <w:szCs w:val="22"/>
                <w:b w:val="1"/>
                <w:bCs w:val="1"/>
                <w:color w:val="auto"/>
              </w:rPr>
              <w:t>Equals</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1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Target Award</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gridSpan w:val="11"/>
          </w:tcPr>
          <w:p>
            <w:pPr>
              <w:jc w:val="center"/>
              <w:ind w:right="2960"/>
              <w:spacing w:after="0"/>
              <w:rPr>
                <w:sz w:val="20"/>
                <w:szCs w:val="20"/>
                <w:color w:val="auto"/>
              </w:rPr>
            </w:pPr>
            <w:r>
              <w:rPr>
                <w:rFonts w:ascii="Times New Roman" w:cs="Times New Roman" w:eastAsia="Times New Roman" w:hAnsi="Times New Roman"/>
                <w:sz w:val="22"/>
                <w:szCs w:val="22"/>
                <w:b w:val="1"/>
                <w:bCs w:val="1"/>
                <w:color w:val="auto"/>
                <w:w w:val="97"/>
              </w:rPr>
              <w:t>Performance Levels and Award Amounts</w:t>
            </w:r>
          </w:p>
        </w:tc>
        <w:tc>
          <w:tcPr>
            <w:tcW w:w="0" w:type="dxa"/>
            <w:vAlign w:val="bottom"/>
          </w:tcPr>
          <w:p>
            <w:pPr>
              <w:spacing w:after="0"/>
              <w:rPr>
                <w:sz w:val="1"/>
                <w:szCs w:val="1"/>
                <w:color w:val="auto"/>
              </w:rPr>
            </w:pPr>
          </w:p>
        </w:tc>
      </w:tr>
      <w:tr>
        <w:trPr>
          <w:trHeight w:val="520"/>
        </w:trPr>
        <w:tc>
          <w:tcPr>
            <w:tcW w:w="3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right w:val="single" w:sz="8" w:color="auto"/>
            </w:tcBorders>
            <w:vMerge w:val="restart"/>
          </w:tcPr>
          <w:p>
            <w:pPr>
              <w:ind w:left="580"/>
              <w:spacing w:after="0"/>
              <w:rPr>
                <w:sz w:val="20"/>
                <w:szCs w:val="20"/>
                <w:color w:val="auto"/>
              </w:rPr>
            </w:pPr>
            <w:r>
              <w:rPr>
                <w:rFonts w:ascii="Times New Roman" w:cs="Times New Roman" w:eastAsia="Times New Roman" w:hAnsi="Times New Roman"/>
                <w:sz w:val="22"/>
                <w:szCs w:val="22"/>
                <w:b w:val="1"/>
                <w:bCs w:val="1"/>
                <w:color w:val="auto"/>
              </w:rPr>
              <w:t>Goal Performance Level</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80" w:type="dxa"/>
            <w:vAlign w:val="bottom"/>
            <w:tcBorders>
              <w:right w:val="single" w:sz="8" w:color="auto"/>
            </w:tcBorders>
            <w:gridSpan w:val="3"/>
          </w:tcPr>
          <w:p>
            <w:pPr>
              <w:jc w:val="center"/>
              <w:ind w:right="800"/>
              <w:spacing w:after="0" w:line="223" w:lineRule="exact"/>
              <w:rPr>
                <w:sz w:val="20"/>
                <w:szCs w:val="20"/>
                <w:color w:val="auto"/>
              </w:rPr>
            </w:pPr>
            <w:r>
              <w:rPr>
                <w:rFonts w:ascii="Times New Roman" w:cs="Times New Roman" w:eastAsia="Times New Roman" w:hAnsi="Times New Roman"/>
                <w:sz w:val="22"/>
                <w:szCs w:val="22"/>
                <w:b w:val="1"/>
                <w:bCs w:val="1"/>
                <w:color w:val="auto"/>
                <w:w w:val="97"/>
              </w:rPr>
              <w:t>Payout as Percent of</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Borders>
              <w:right w:val="single" w:sz="8" w:color="auto"/>
            </w:tcBorders>
            <w:gridSpan w:val="2"/>
            <w:vMerge w:val="restart"/>
          </w:tcPr>
          <w:p>
            <w:pPr>
              <w:jc w:val="center"/>
              <w:ind w:right="581"/>
              <w:spacing w:after="0"/>
              <w:rPr>
                <w:sz w:val="20"/>
                <w:szCs w:val="20"/>
                <w:color w:val="auto"/>
              </w:rPr>
            </w:pPr>
            <w:r>
              <w:rPr>
                <w:rFonts w:ascii="Times New Roman" w:cs="Times New Roman" w:eastAsia="Times New Roman" w:hAnsi="Times New Roman"/>
                <w:sz w:val="22"/>
                <w:szCs w:val="22"/>
                <w:b w:val="1"/>
                <w:bCs w:val="1"/>
                <w:color w:val="auto"/>
                <w:w w:val="97"/>
              </w:rPr>
              <w:t>Award Amount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680" w:type="dxa"/>
            <w:vAlign w:val="bottom"/>
            <w:tcBorders>
              <w:bottom w:val="single" w:sz="8" w:color="auto"/>
              <w:right w:val="single" w:sz="8" w:color="auto"/>
            </w:tcBorders>
            <w:gridSpan w:val="3"/>
          </w:tcPr>
          <w:p>
            <w:pPr>
              <w:jc w:val="center"/>
              <w:ind w:right="800"/>
              <w:spacing w:after="0"/>
              <w:rPr>
                <w:sz w:val="20"/>
                <w:szCs w:val="20"/>
                <w:color w:val="auto"/>
              </w:rPr>
            </w:pPr>
            <w:r>
              <w:rPr>
                <w:rFonts w:ascii="Times New Roman" w:cs="Times New Roman" w:eastAsia="Times New Roman" w:hAnsi="Times New Roman"/>
                <w:sz w:val="22"/>
                <w:szCs w:val="22"/>
                <w:b w:val="1"/>
                <w:bCs w:val="1"/>
                <w:color w:val="auto"/>
                <w:w w:val="95"/>
              </w:rPr>
              <w:t>Target Award</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Superior</w:t>
            </w:r>
          </w:p>
        </w:tc>
        <w:tc>
          <w:tcPr>
            <w:tcW w:w="780" w:type="dxa"/>
            <w:vAlign w:val="bottom"/>
            <w:tcBorders>
              <w:bottom w:val="single" w:sz="8" w:color="auto"/>
            </w:tcBorders>
            <w:gridSpan w:val="2"/>
          </w:tcPr>
          <w:p>
            <w:pPr>
              <w:spacing w:after="0"/>
              <w:rPr>
                <w:sz w:val="22"/>
                <w:szCs w:val="22"/>
                <w:color w:val="auto"/>
              </w:rPr>
            </w:pPr>
          </w:p>
        </w:tc>
        <w:tc>
          <w:tcPr>
            <w:tcW w:w="1700" w:type="dxa"/>
            <w:vAlign w:val="bottom"/>
            <w:tcBorders>
              <w:bottom w:val="single" w:sz="8" w:color="auto"/>
            </w:tcBorders>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7"/>
              </w:rPr>
              <w:t>200%</w:t>
            </w:r>
          </w:p>
        </w:tc>
        <w:tc>
          <w:tcPr>
            <w:tcW w:w="980" w:type="dxa"/>
            <w:vAlign w:val="bottom"/>
            <w:tcBorders>
              <w:bottom w:val="single" w:sz="8" w:color="auto"/>
              <w:right w:val="single" w:sz="8" w:color="auto"/>
            </w:tcBorders>
          </w:tcPr>
          <w:p>
            <w:pPr>
              <w:spacing w:after="0"/>
              <w:rPr>
                <w:sz w:val="22"/>
                <w:szCs w:val="22"/>
                <w:color w:val="auto"/>
              </w:rPr>
            </w:pPr>
          </w:p>
        </w:tc>
        <w:tc>
          <w:tcPr>
            <w:tcW w:w="2880" w:type="dxa"/>
            <w:vAlign w:val="bottom"/>
            <w:tcBorders>
              <w:bottom w:val="single" w:sz="8" w:color="auto"/>
            </w:tcBorders>
            <w:gridSpan w:val="4"/>
          </w:tcPr>
          <w:p>
            <w:pPr>
              <w:jc w:val="center"/>
              <w:ind w:left="375"/>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Target</w:t>
            </w:r>
          </w:p>
        </w:tc>
        <w:tc>
          <w:tcPr>
            <w:tcW w:w="780" w:type="dxa"/>
            <w:vAlign w:val="bottom"/>
            <w:tcBorders>
              <w:bottom w:val="single" w:sz="8" w:color="auto"/>
            </w:tcBorders>
            <w:gridSpan w:val="2"/>
          </w:tcPr>
          <w:p>
            <w:pPr>
              <w:spacing w:after="0"/>
              <w:rPr>
                <w:sz w:val="22"/>
                <w:szCs w:val="22"/>
                <w:color w:val="auto"/>
              </w:rPr>
            </w:pPr>
          </w:p>
        </w:tc>
        <w:tc>
          <w:tcPr>
            <w:tcW w:w="1700" w:type="dxa"/>
            <w:vAlign w:val="bottom"/>
            <w:tcBorders>
              <w:bottom w:val="single" w:sz="8" w:color="auto"/>
            </w:tcBorders>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7"/>
              </w:rPr>
              <w:t>100%</w:t>
            </w:r>
          </w:p>
        </w:tc>
        <w:tc>
          <w:tcPr>
            <w:tcW w:w="980" w:type="dxa"/>
            <w:vAlign w:val="bottom"/>
            <w:tcBorders>
              <w:bottom w:val="single" w:sz="8" w:color="auto"/>
              <w:right w:val="single" w:sz="8" w:color="auto"/>
            </w:tcBorders>
          </w:tcPr>
          <w:p>
            <w:pPr>
              <w:spacing w:after="0"/>
              <w:rPr>
                <w:sz w:val="22"/>
                <w:szCs w:val="22"/>
                <w:color w:val="auto"/>
              </w:rPr>
            </w:pPr>
          </w:p>
        </w:tc>
        <w:tc>
          <w:tcPr>
            <w:tcW w:w="2880" w:type="dxa"/>
            <w:vAlign w:val="bottom"/>
            <w:tcBorders>
              <w:bottom w:val="single" w:sz="8" w:color="auto"/>
            </w:tcBorders>
            <w:gridSpan w:val="4"/>
          </w:tcPr>
          <w:p>
            <w:pPr>
              <w:jc w:val="center"/>
              <w:ind w:left="375"/>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Threshold</w:t>
            </w:r>
          </w:p>
        </w:tc>
        <w:tc>
          <w:tcPr>
            <w:tcW w:w="780" w:type="dxa"/>
            <w:vAlign w:val="bottom"/>
            <w:tcBorders>
              <w:bottom w:val="single" w:sz="8" w:color="auto"/>
            </w:tcBorders>
            <w:gridSpan w:val="2"/>
          </w:tcPr>
          <w:p>
            <w:pPr>
              <w:spacing w:after="0"/>
              <w:rPr>
                <w:sz w:val="22"/>
                <w:szCs w:val="22"/>
                <w:color w:val="auto"/>
              </w:rPr>
            </w:pPr>
          </w:p>
        </w:tc>
        <w:tc>
          <w:tcPr>
            <w:tcW w:w="1180" w:type="dxa"/>
            <w:vAlign w:val="bottom"/>
            <w:tcBorders>
              <w:bottom w:val="single" w:sz="8" w:color="auto"/>
            </w:tcBorders>
          </w:tcPr>
          <w:p>
            <w:pPr>
              <w:jc w:val="center"/>
              <w:ind w:left="592"/>
              <w:spacing w:after="0"/>
              <w:rPr>
                <w:sz w:val="20"/>
                <w:szCs w:val="20"/>
                <w:color w:val="auto"/>
              </w:rPr>
            </w:pPr>
            <w:r>
              <w:rPr>
                <w:rFonts w:ascii="Times New Roman" w:cs="Times New Roman" w:eastAsia="Times New Roman" w:hAnsi="Times New Roman"/>
                <w:sz w:val="22"/>
                <w:szCs w:val="22"/>
                <w:color w:val="auto"/>
                <w:w w:val="99"/>
              </w:rPr>
              <w:t>44%</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2880" w:type="dxa"/>
            <w:vAlign w:val="bottom"/>
            <w:tcBorders>
              <w:bottom w:val="single" w:sz="8" w:color="auto"/>
            </w:tcBorders>
            <w:gridSpan w:val="4"/>
          </w:tcPr>
          <w:p>
            <w:pPr>
              <w:jc w:val="center"/>
              <w:ind w:left="375"/>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Below Threshold</w:t>
            </w:r>
          </w:p>
        </w:tc>
        <w:tc>
          <w:tcPr>
            <w:tcW w:w="780" w:type="dxa"/>
            <w:vAlign w:val="bottom"/>
            <w:tcBorders>
              <w:bottom w:val="single" w:sz="8" w:color="auto"/>
            </w:tcBorders>
            <w:gridSpan w:val="2"/>
          </w:tcPr>
          <w:p>
            <w:pPr>
              <w:spacing w:after="0"/>
              <w:rPr>
                <w:sz w:val="22"/>
                <w:szCs w:val="22"/>
                <w:color w:val="auto"/>
              </w:rPr>
            </w:pPr>
          </w:p>
        </w:tc>
        <w:tc>
          <w:tcPr>
            <w:tcW w:w="1180" w:type="dxa"/>
            <w:vAlign w:val="bottom"/>
            <w:tcBorders>
              <w:bottom w:val="single" w:sz="8" w:color="auto"/>
            </w:tcBorders>
          </w:tcPr>
          <w:p>
            <w:pPr>
              <w:jc w:val="center"/>
              <w:ind w:left="592"/>
              <w:spacing w:after="0"/>
              <w:rPr>
                <w:sz w:val="20"/>
                <w:szCs w:val="20"/>
                <w:color w:val="auto"/>
              </w:rPr>
            </w:pPr>
            <w:r>
              <w:rPr>
                <w:rFonts w:ascii="Times New Roman" w:cs="Times New Roman" w:eastAsia="Times New Roman" w:hAnsi="Times New Roman"/>
                <w:sz w:val="22"/>
                <w:szCs w:val="22"/>
                <w:color w:val="auto"/>
                <w:w w:val="95"/>
              </w:rPr>
              <w:t>0%</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2880" w:type="dxa"/>
            <w:vAlign w:val="bottom"/>
            <w:tcBorders>
              <w:bottom w:val="single" w:sz="8" w:color="auto"/>
            </w:tcBorders>
            <w:gridSpan w:val="4"/>
          </w:tcPr>
          <w:p>
            <w:pPr>
              <w:jc w:val="center"/>
              <w:ind w:left="375"/>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3"/>
        </w:trPr>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gridSpan w:val="2"/>
          </w:tcPr>
          <w:p>
            <w:pPr>
              <w:jc w:val="center"/>
              <w:ind w:right="980"/>
              <w:spacing w:after="0"/>
              <w:rPr>
                <w:sz w:val="20"/>
                <w:szCs w:val="20"/>
                <w:color w:val="auto"/>
              </w:rPr>
            </w:pPr>
            <w:r>
              <w:rPr>
                <w:rFonts w:ascii="Times New Roman" w:cs="Times New Roman" w:eastAsia="Times New Roman" w:hAnsi="Times New Roman"/>
                <w:sz w:val="22"/>
                <w:szCs w:val="22"/>
                <w:b w:val="1"/>
                <w:bCs w:val="1"/>
                <w:color w:val="auto"/>
                <w:w w:val="96"/>
              </w:rPr>
              <w:t>Goals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98"/>
              </w:rPr>
              <w:t>Goal</w:t>
            </w:r>
          </w:p>
        </w:tc>
        <w:tc>
          <w:tcPr>
            <w:tcW w:w="0" w:type="dxa"/>
            <w:vAlign w:val="bottom"/>
          </w:tcPr>
          <w:p>
            <w:pPr>
              <w:spacing w:after="0"/>
              <w:rPr>
                <w:sz w:val="1"/>
                <w:szCs w:val="1"/>
                <w:color w:val="auto"/>
              </w:rPr>
            </w:pPr>
          </w:p>
        </w:tc>
      </w:tr>
      <w:tr>
        <w:trPr>
          <w:trHeight w:val="273"/>
        </w:trPr>
        <w:tc>
          <w:tcPr>
            <w:tcW w:w="4180" w:type="dxa"/>
            <w:vAlign w:val="bottom"/>
            <w:gridSpan w:val="3"/>
            <w:vMerge w:val="restart"/>
          </w:tcPr>
          <w:p>
            <w:pPr>
              <w:ind w:left="280"/>
              <w:spacing w:after="0"/>
              <w:rPr>
                <w:sz w:val="20"/>
                <w:szCs w:val="20"/>
                <w:color w:val="auto"/>
              </w:rPr>
            </w:pPr>
            <w:r>
              <w:rPr>
                <w:rFonts w:ascii="Arial" w:cs="Arial" w:eastAsia="Arial" w:hAnsi="Arial"/>
                <w:sz w:val="20"/>
                <w:szCs w:val="20"/>
                <w:b w:val="1"/>
                <w:bCs w:val="1"/>
                <w:color w:val="auto"/>
              </w:rPr>
              <w:t>Financial Goals</w:t>
            </w: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gridSpan w:val="4"/>
          </w:tcPr>
          <w:p>
            <w:pPr>
              <w:jc w:val="center"/>
              <w:ind w:left="1917"/>
              <w:spacing w:after="0"/>
              <w:rPr>
                <w:sz w:val="20"/>
                <w:szCs w:val="20"/>
                <w:color w:val="auto"/>
              </w:rPr>
            </w:pPr>
            <w:r>
              <w:rPr>
                <w:rFonts w:ascii="Arial" w:cs="Arial" w:eastAsia="Arial" w:hAnsi="Arial"/>
                <w:sz w:val="20"/>
                <w:szCs w:val="20"/>
                <w:b w:val="1"/>
                <w:bCs w:val="1"/>
                <w:color w:val="auto"/>
                <w:w w:val="97"/>
              </w:rPr>
              <w:t>Weighting</w:t>
            </w:r>
          </w:p>
        </w:tc>
        <w:tc>
          <w:tcPr>
            <w:tcW w:w="0" w:type="dxa"/>
            <w:vAlign w:val="bottom"/>
          </w:tcPr>
          <w:p>
            <w:pPr>
              <w:spacing w:after="0"/>
              <w:rPr>
                <w:sz w:val="1"/>
                <w:szCs w:val="1"/>
                <w:color w:val="auto"/>
              </w:rPr>
            </w:pPr>
          </w:p>
        </w:tc>
      </w:tr>
      <w:tr>
        <w:trPr>
          <w:trHeight w:val="242"/>
        </w:trPr>
        <w:tc>
          <w:tcPr>
            <w:tcW w:w="4180" w:type="dxa"/>
            <w:vAlign w:val="bottom"/>
            <w:gridSpan w:val="3"/>
            <w:vMerge w:val="continue"/>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380" w:type="dxa"/>
            <w:vAlign w:val="bottom"/>
            <w:gridSpan w:val="5"/>
            <w:vMerge w:val="restart"/>
          </w:tcPr>
          <w:p>
            <w:pPr>
              <w:jc w:val="center"/>
              <w:ind w:left="2815"/>
              <w:spacing w:after="0"/>
              <w:rPr>
                <w:sz w:val="20"/>
                <w:szCs w:val="20"/>
                <w:color w:val="auto"/>
              </w:rPr>
            </w:pPr>
            <w:r>
              <w:rPr>
                <w:rFonts w:ascii="Arial" w:cs="Arial" w:eastAsia="Arial" w:hAnsi="Arial"/>
                <w:sz w:val="20"/>
                <w:szCs w:val="20"/>
                <w:b w:val="1"/>
                <w:bCs w:val="1"/>
                <w:color w:val="auto"/>
                <w:w w:val="94"/>
              </w:rPr>
              <w:t>50%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80" w:type="dxa"/>
            <w:vAlign w:val="bottom"/>
            <w:gridSpan w:val="3"/>
          </w:tcPr>
          <w:p>
            <w:pPr>
              <w:ind w:left="2100"/>
              <w:spacing w:after="0"/>
              <w:rPr>
                <w:sz w:val="20"/>
                <w:szCs w:val="20"/>
                <w:color w:val="auto"/>
              </w:rPr>
            </w:pPr>
            <w:r>
              <w:rPr>
                <w:rFonts w:ascii="Arial" w:cs="Arial" w:eastAsia="Arial" w:hAnsi="Arial"/>
                <w:sz w:val="20"/>
                <w:szCs w:val="20"/>
                <w:color w:val="auto"/>
              </w:rPr>
              <w:t>Net Income</w:t>
            </w: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380" w:type="dxa"/>
            <w:vAlign w:val="bottom"/>
            <w:gridSpan w:val="5"/>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860" w:type="dxa"/>
            <w:vAlign w:val="bottom"/>
            <w:gridSpan w:val="6"/>
          </w:tcPr>
          <w:p>
            <w:pPr>
              <w:ind w:left="2100"/>
              <w:spacing w:after="0"/>
              <w:rPr>
                <w:sz w:val="20"/>
                <w:szCs w:val="20"/>
                <w:color w:val="auto"/>
              </w:rPr>
            </w:pPr>
            <w:r>
              <w:rPr>
                <w:rFonts w:ascii="Arial" w:cs="Arial" w:eastAsia="Arial" w:hAnsi="Arial"/>
                <w:sz w:val="20"/>
                <w:szCs w:val="20"/>
                <w:color w:val="auto"/>
              </w:rPr>
              <w:t>Cash from Operating Activities</w:t>
            </w:r>
          </w:p>
        </w:tc>
        <w:tc>
          <w:tcPr>
            <w:tcW w:w="3380" w:type="dxa"/>
            <w:vAlign w:val="bottom"/>
            <w:gridSpan w:val="5"/>
          </w:tcPr>
          <w:p>
            <w:pPr>
              <w:jc w:val="center"/>
              <w:ind w:left="2815"/>
              <w:spacing w:after="0"/>
              <w:rPr>
                <w:sz w:val="20"/>
                <w:szCs w:val="20"/>
                <w:color w:val="auto"/>
              </w:rPr>
            </w:pPr>
            <w:r>
              <w:rPr>
                <w:rFonts w:ascii="Arial" w:cs="Arial" w:eastAsia="Arial" w:hAnsi="Arial"/>
                <w:sz w:val="20"/>
                <w:szCs w:val="20"/>
                <w:b w:val="1"/>
                <w:bCs w:val="1"/>
                <w:color w:val="auto"/>
                <w:w w:val="94"/>
              </w:rPr>
              <w:t>20%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4180" w:type="dxa"/>
            <w:vAlign w:val="bottom"/>
            <w:gridSpan w:val="3"/>
          </w:tcPr>
          <w:p>
            <w:pPr>
              <w:ind w:left="280"/>
              <w:spacing w:after="0"/>
              <w:rPr>
                <w:sz w:val="20"/>
                <w:szCs w:val="20"/>
                <w:color w:val="auto"/>
              </w:rPr>
            </w:pPr>
            <w:r>
              <w:rPr>
                <w:rFonts w:ascii="Arial" w:cs="Arial" w:eastAsia="Arial" w:hAnsi="Arial"/>
                <w:sz w:val="20"/>
                <w:szCs w:val="20"/>
                <w:b w:val="1"/>
                <w:bCs w:val="1"/>
                <w:color w:val="auto"/>
                <w:w w:val="98"/>
              </w:rPr>
              <w:t>Strategic and Operational &amp; Values Goals</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80" w:type="dxa"/>
            <w:vAlign w:val="bottom"/>
            <w:gridSpan w:val="4"/>
          </w:tcPr>
          <w:p>
            <w:pPr>
              <w:spacing w:after="0"/>
              <w:rPr>
                <w:sz w:val="24"/>
                <w:szCs w:val="24"/>
                <w:color w:val="auto"/>
              </w:rPr>
            </w:pPr>
          </w:p>
        </w:tc>
        <w:tc>
          <w:tcPr>
            <w:tcW w:w="500" w:type="dxa"/>
            <w:vAlign w:val="bottom"/>
            <w:tcBorders>
              <w:bottom w:val="single" w:sz="8" w:color="auto"/>
            </w:tcBorders>
          </w:tcPr>
          <w:p>
            <w:pPr>
              <w:jc w:val="center"/>
              <w:ind w:left="1"/>
              <w:spacing w:after="0"/>
              <w:rPr>
                <w:sz w:val="20"/>
                <w:szCs w:val="20"/>
                <w:color w:val="auto"/>
              </w:rPr>
            </w:pPr>
            <w:r>
              <w:rPr>
                <w:rFonts w:ascii="Arial" w:cs="Arial" w:eastAsia="Arial" w:hAnsi="Arial"/>
                <w:sz w:val="20"/>
                <w:szCs w:val="20"/>
                <w:b w:val="1"/>
                <w:bCs w:val="1"/>
                <w:color w:val="auto"/>
                <w:w w:val="99"/>
              </w:rPr>
              <w:t>30%</w:t>
            </w: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40" w:type="dxa"/>
            <w:vAlign w:val="bottom"/>
            <w:gridSpan w:val="6"/>
          </w:tcPr>
          <w:p>
            <w:pPr>
              <w:jc w:val="center"/>
              <w:ind w:left="2755"/>
              <w:spacing w:after="0"/>
              <w:rPr>
                <w:sz w:val="20"/>
                <w:szCs w:val="20"/>
                <w:color w:val="auto"/>
              </w:rPr>
            </w:pPr>
            <w:r>
              <w:rPr>
                <w:rFonts w:ascii="Arial" w:cs="Arial" w:eastAsia="Arial" w:hAnsi="Arial"/>
                <w:sz w:val="20"/>
                <w:szCs w:val="20"/>
                <w:b w:val="1"/>
                <w:bCs w:val="1"/>
                <w:color w:val="auto"/>
                <w:w w:val="97"/>
              </w:rPr>
              <w:t>100%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Subject to Compensation Recovery Policy</w:t>
      </w:r>
    </w:p>
    <w:p>
      <w:pPr>
        <w:spacing w:after="0"/>
        <w:rPr>
          <w:sz w:val="20"/>
          <w:szCs w:val="20"/>
          <w:color w:val="auto"/>
        </w:rPr>
      </w:pPr>
      <w:r>
        <w:rPr>
          <w:rFonts w:ascii="Times New Roman" w:cs="Times New Roman" w:eastAsia="Times New Roman" w:hAnsi="Times New Roman"/>
          <w:sz w:val="22"/>
          <w:szCs w:val="22"/>
          <w:color w:val="auto"/>
        </w:rPr>
        <w:t>Annual Incentive Plan Compensation is subject to recoupment as defined in the Compensation Recovery policy.</w:t>
      </w:r>
    </w:p>
    <w:p>
      <w:pPr>
        <w:sectPr>
          <w:pgSz w:w="11900" w:h="16838" w:orient="portrait"/>
          <w:cols w:equalWidth="0" w:num="1">
            <w:col w:w="10480"/>
          </w:cols>
          <w:pgMar w:left="320" w:top="117" w:right="109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10(e)10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Executive Annual Incentive Plan</w:t>
      </w:r>
    </w:p>
    <w:p>
      <w:pPr>
        <w:jc w:val="center"/>
        <w:spacing w:after="0" w:line="204" w:lineRule="auto"/>
        <w:rPr>
          <w:sz w:val="20"/>
          <w:szCs w:val="20"/>
          <w:color w:val="auto"/>
        </w:rPr>
      </w:pPr>
      <w:r>
        <w:rPr>
          <w:rFonts w:ascii="Arial" w:cs="Arial" w:eastAsia="Arial" w:hAnsi="Arial"/>
          <w:sz w:val="22"/>
          <w:szCs w:val="22"/>
          <w:b w:val="1"/>
          <w:bCs w:val="1"/>
          <w:color w:val="auto"/>
        </w:rPr>
        <w:t>Form of Award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2025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ALLETE Clean Energy Employees]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320" w:type="dxa"/>
            <w:vAlign w:val="bottom"/>
            <w:gridSpan w:val="3"/>
          </w:tcPr>
          <w:p>
            <w:pPr>
              <w:ind w:left="80"/>
              <w:spacing w:after="0"/>
              <w:rPr>
                <w:sz w:val="20"/>
                <w:szCs w:val="20"/>
                <w:color w:val="auto"/>
              </w:rPr>
            </w:pPr>
            <w:r>
              <w:rPr>
                <w:rFonts w:ascii="Arial" w:cs="Arial" w:eastAsia="Arial" w:hAnsi="Arial"/>
                <w:sz w:val="22"/>
                <w:szCs w:val="22"/>
                <w:color w:val="auto"/>
              </w:rPr>
              <w:t>Base Salary</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gridSpan w:val="2"/>
          </w:tcPr>
          <w:p>
            <w:pPr>
              <w:ind w:left="38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4320" w:type="dxa"/>
            <w:vAlign w:val="bottom"/>
            <w:gridSpan w:val="3"/>
          </w:tcPr>
          <w:p>
            <w:pPr>
              <w:ind w:left="560"/>
              <w:spacing w:after="0"/>
              <w:rPr>
                <w:sz w:val="20"/>
                <w:szCs w:val="20"/>
                <w:color w:val="auto"/>
              </w:rPr>
            </w:pPr>
            <w:r>
              <w:rPr>
                <w:rFonts w:ascii="Arial" w:cs="Arial" w:eastAsia="Arial" w:hAnsi="Arial"/>
                <w:sz w:val="22"/>
                <w:szCs w:val="22"/>
                <w:b w:val="1"/>
                <w:bCs w:val="1"/>
                <w:color w:val="auto"/>
              </w:rPr>
              <w:t>Times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320" w:type="dxa"/>
            <w:vAlign w:val="bottom"/>
            <w:gridSpan w:val="3"/>
          </w:tcPr>
          <w:p>
            <w:pPr>
              <w:ind w:left="80"/>
              <w:spacing w:after="0"/>
              <w:rPr>
                <w:sz w:val="20"/>
                <w:szCs w:val="20"/>
                <w:color w:val="auto"/>
              </w:rPr>
            </w:pPr>
            <w:r>
              <w:rPr>
                <w:rFonts w:ascii="Arial" w:cs="Arial" w:eastAsia="Arial" w:hAnsi="Arial"/>
                <w:sz w:val="22"/>
                <w:szCs w:val="22"/>
                <w:color w:val="auto"/>
              </w:rPr>
              <w:t>Award Opportunity (percent of base salary)</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gridSpan w:val="2"/>
          </w:tcPr>
          <w:p>
            <w:pPr>
              <w:ind w:left="380"/>
              <w:spacing w:after="0"/>
              <w:rPr>
                <w:sz w:val="20"/>
                <w:szCs w:val="20"/>
                <w:color w:val="auto"/>
              </w:rPr>
            </w:pPr>
            <w:r>
              <w:rPr>
                <w:rFonts w:ascii="Arial" w:cs="Arial" w:eastAsia="Arial" w:hAnsi="Arial"/>
                <w:sz w:val="22"/>
                <w:szCs w:val="22"/>
                <w:color w:val="auto"/>
                <w:w w:val="91"/>
              </w:rPr>
              <w:t>%</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3"/>
        </w:trPr>
        <w:tc>
          <w:tcPr>
            <w:tcW w:w="4320" w:type="dxa"/>
            <w:vAlign w:val="bottom"/>
            <w:gridSpan w:val="3"/>
          </w:tcPr>
          <w:p>
            <w:pPr>
              <w:ind w:left="320"/>
              <w:spacing w:after="0"/>
              <w:rPr>
                <w:sz w:val="20"/>
                <w:szCs w:val="20"/>
                <w:color w:val="auto"/>
              </w:rPr>
            </w:pPr>
            <w:r>
              <w:rPr>
                <w:rFonts w:ascii="Arial" w:cs="Arial" w:eastAsia="Arial" w:hAnsi="Arial"/>
                <w:sz w:val="22"/>
                <w:szCs w:val="22"/>
                <w:b w:val="1"/>
                <w:bCs w:val="1"/>
                <w:color w:val="auto"/>
              </w:rPr>
              <w:t>Equals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4320" w:type="dxa"/>
            <w:vAlign w:val="bottom"/>
            <w:gridSpan w:val="3"/>
          </w:tcPr>
          <w:p>
            <w:pPr>
              <w:ind w:left="80"/>
              <w:spacing w:after="0"/>
              <w:rPr>
                <w:sz w:val="20"/>
                <w:szCs w:val="20"/>
                <w:color w:val="auto"/>
              </w:rPr>
            </w:pPr>
            <w:r>
              <w:rPr>
                <w:rFonts w:ascii="Arial" w:cs="Arial" w:eastAsia="Arial" w:hAnsi="Arial"/>
                <w:sz w:val="22"/>
                <w:szCs w:val="22"/>
                <w:color w:val="auto"/>
              </w:rPr>
              <w:t>Target Award</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gridSpan w:val="2"/>
          </w:tcPr>
          <w:p>
            <w:pPr>
              <w:ind w:left="38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3400" w:type="dxa"/>
            <w:vAlign w:val="bottom"/>
          </w:tcPr>
          <w:p>
            <w:pPr>
              <w:spacing w:after="0"/>
              <w:rPr>
                <w:sz w:val="24"/>
                <w:szCs w:val="24"/>
                <w:color w:val="auto"/>
              </w:rPr>
            </w:pPr>
          </w:p>
        </w:tc>
        <w:tc>
          <w:tcPr>
            <w:tcW w:w="7080" w:type="dxa"/>
            <w:vAlign w:val="bottom"/>
            <w:gridSpan w:val="12"/>
          </w:tcPr>
          <w:p>
            <w:pPr>
              <w:jc w:val="center"/>
              <w:ind w:right="2640"/>
              <w:spacing w:after="0"/>
              <w:rPr>
                <w:sz w:val="20"/>
                <w:szCs w:val="20"/>
                <w:color w:val="auto"/>
              </w:rPr>
            </w:pPr>
            <w:r>
              <w:rPr>
                <w:rFonts w:ascii="Arial" w:cs="Arial" w:eastAsia="Arial" w:hAnsi="Arial"/>
                <w:sz w:val="22"/>
                <w:szCs w:val="22"/>
                <w:b w:val="1"/>
                <w:bCs w:val="1"/>
                <w:color w:val="auto"/>
                <w:w w:val="97"/>
              </w:rPr>
              <w:t>Performance Levels and Award Amounts</w:t>
            </w:r>
          </w:p>
        </w:tc>
        <w:tc>
          <w:tcPr>
            <w:tcW w:w="0" w:type="dxa"/>
            <w:vAlign w:val="bottom"/>
          </w:tcPr>
          <w:p>
            <w:pPr>
              <w:spacing w:after="0"/>
              <w:rPr>
                <w:sz w:val="1"/>
                <w:szCs w:val="1"/>
                <w:color w:val="auto"/>
              </w:rPr>
            </w:pPr>
          </w:p>
        </w:tc>
      </w:tr>
      <w:tr>
        <w:trPr>
          <w:trHeight w:val="520"/>
        </w:trPr>
        <w:tc>
          <w:tcPr>
            <w:tcW w:w="3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gridSpan w:val="2"/>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22"/>
                <w:szCs w:val="22"/>
                <w:b w:val="1"/>
                <w:bCs w:val="1"/>
                <w:color w:val="auto"/>
              </w:rPr>
              <w:t>Goal Performance Level</w:t>
            </w:r>
          </w:p>
        </w:tc>
        <w:tc>
          <w:tcPr>
            <w:tcW w:w="120" w:type="dxa"/>
            <w:vAlign w:val="bottom"/>
          </w:tcPr>
          <w:p>
            <w:pPr>
              <w:spacing w:after="0"/>
              <w:rPr>
                <w:sz w:val="19"/>
                <w:szCs w:val="19"/>
                <w:color w:val="auto"/>
              </w:rPr>
            </w:pPr>
          </w:p>
        </w:tc>
        <w:tc>
          <w:tcPr>
            <w:tcW w:w="3340" w:type="dxa"/>
            <w:vAlign w:val="bottom"/>
            <w:tcBorders>
              <w:right w:val="single" w:sz="8" w:color="auto"/>
            </w:tcBorders>
            <w:gridSpan w:val="4"/>
          </w:tcPr>
          <w:p>
            <w:pPr>
              <w:jc w:val="center"/>
              <w:ind w:right="160"/>
              <w:spacing w:after="0" w:line="223" w:lineRule="exact"/>
              <w:rPr>
                <w:sz w:val="20"/>
                <w:szCs w:val="20"/>
                <w:color w:val="auto"/>
              </w:rPr>
            </w:pPr>
            <w:r>
              <w:rPr>
                <w:rFonts w:ascii="Arial" w:cs="Arial" w:eastAsia="Arial" w:hAnsi="Arial"/>
                <w:sz w:val="22"/>
                <w:szCs w:val="22"/>
                <w:b w:val="1"/>
                <w:bCs w:val="1"/>
                <w:color w:val="auto"/>
                <w:w w:val="98"/>
              </w:rPr>
              <w:t>Payout as Percent of</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Borders>
              <w:right w:val="single" w:sz="8" w:color="auto"/>
            </w:tcBorders>
            <w:gridSpan w:val="2"/>
            <w:vMerge w:val="restart"/>
          </w:tcPr>
          <w:p>
            <w:pPr>
              <w:jc w:val="center"/>
              <w:ind w:right="781"/>
              <w:spacing w:after="0"/>
              <w:rPr>
                <w:sz w:val="20"/>
                <w:szCs w:val="20"/>
                <w:color w:val="auto"/>
              </w:rPr>
            </w:pPr>
            <w:r>
              <w:rPr>
                <w:rFonts w:ascii="Arial" w:cs="Arial" w:eastAsia="Arial" w:hAnsi="Arial"/>
                <w:sz w:val="22"/>
                <w:szCs w:val="22"/>
                <w:b w:val="1"/>
                <w:bCs w:val="1"/>
                <w:color w:val="auto"/>
                <w:w w:val="97"/>
              </w:rPr>
              <w:t>Award Amount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2540" w:type="dxa"/>
            <w:vAlign w:val="bottom"/>
            <w:tcBorders>
              <w:bottom w:val="single" w:sz="8" w:color="auto"/>
              <w:right w:val="single" w:sz="8" w:color="auto"/>
            </w:tcBorders>
            <w:gridSpan w:val="3"/>
          </w:tcPr>
          <w:p>
            <w:pPr>
              <w:jc w:val="center"/>
              <w:ind w:right="940"/>
              <w:spacing w:after="0"/>
              <w:rPr>
                <w:sz w:val="20"/>
                <w:szCs w:val="20"/>
                <w:color w:val="auto"/>
              </w:rPr>
            </w:pPr>
            <w:r>
              <w:rPr>
                <w:rFonts w:ascii="Arial" w:cs="Arial" w:eastAsia="Arial" w:hAnsi="Arial"/>
                <w:sz w:val="22"/>
                <w:szCs w:val="22"/>
                <w:b w:val="1"/>
                <w:bCs w:val="1"/>
                <w:color w:val="auto"/>
                <w:w w:val="96"/>
              </w:rPr>
              <w:t>Target Award</w:t>
            </w: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Superior</w:t>
            </w:r>
          </w:p>
        </w:tc>
        <w:tc>
          <w:tcPr>
            <w:tcW w:w="920" w:type="dxa"/>
            <w:vAlign w:val="bottom"/>
            <w:tcBorders>
              <w:bottom w:val="single" w:sz="8" w:color="auto"/>
            </w:tcBorders>
            <w:gridSpan w:val="2"/>
          </w:tcPr>
          <w:p>
            <w:pPr>
              <w:spacing w:after="0"/>
              <w:rPr>
                <w:sz w:val="22"/>
                <w:szCs w:val="2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9"/>
              </w:rPr>
              <w:t>200%</w:t>
            </w:r>
          </w:p>
        </w:tc>
        <w:tc>
          <w:tcPr>
            <w:tcW w:w="940" w:type="dxa"/>
            <w:vAlign w:val="bottom"/>
            <w:tcBorders>
              <w:bottom w:val="single" w:sz="8" w:color="auto"/>
              <w:right w:val="single" w:sz="8" w:color="auto"/>
            </w:tcBorders>
          </w:tcPr>
          <w:p>
            <w:pPr>
              <w:spacing w:after="0"/>
              <w:rPr>
                <w:sz w:val="22"/>
                <w:szCs w:val="22"/>
                <w:color w:val="auto"/>
              </w:rPr>
            </w:pPr>
          </w:p>
        </w:tc>
        <w:tc>
          <w:tcPr>
            <w:tcW w:w="288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22"/>
                <w:szCs w:val="22"/>
                <w:color w:val="auto"/>
                <w:w w:val="97"/>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Target</w:t>
            </w:r>
          </w:p>
        </w:tc>
        <w:tc>
          <w:tcPr>
            <w:tcW w:w="920" w:type="dxa"/>
            <w:vAlign w:val="bottom"/>
            <w:tcBorders>
              <w:bottom w:val="single" w:sz="8" w:color="auto"/>
            </w:tcBorders>
            <w:gridSpan w:val="2"/>
          </w:tcPr>
          <w:p>
            <w:pPr>
              <w:spacing w:after="0"/>
              <w:rPr>
                <w:sz w:val="22"/>
                <w:szCs w:val="2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9"/>
              </w:rPr>
              <w:t>100%</w:t>
            </w:r>
          </w:p>
        </w:tc>
        <w:tc>
          <w:tcPr>
            <w:tcW w:w="940" w:type="dxa"/>
            <w:vAlign w:val="bottom"/>
            <w:tcBorders>
              <w:bottom w:val="single" w:sz="8" w:color="auto"/>
              <w:right w:val="single" w:sz="8" w:color="auto"/>
            </w:tcBorders>
          </w:tcPr>
          <w:p>
            <w:pPr>
              <w:spacing w:after="0"/>
              <w:rPr>
                <w:sz w:val="22"/>
                <w:szCs w:val="22"/>
                <w:color w:val="auto"/>
              </w:rPr>
            </w:pPr>
          </w:p>
        </w:tc>
        <w:tc>
          <w:tcPr>
            <w:tcW w:w="288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22"/>
                <w:szCs w:val="22"/>
                <w:color w:val="auto"/>
                <w:w w:val="97"/>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Threshold</w:t>
            </w:r>
          </w:p>
        </w:tc>
        <w:tc>
          <w:tcPr>
            <w:tcW w:w="920" w:type="dxa"/>
            <w:vAlign w:val="bottom"/>
            <w:tcBorders>
              <w:bottom w:val="single" w:sz="8" w:color="auto"/>
            </w:tcBorders>
            <w:gridSpan w:val="2"/>
          </w:tcPr>
          <w:p>
            <w:pPr>
              <w:spacing w:after="0"/>
              <w:rPr>
                <w:sz w:val="22"/>
                <w:szCs w:val="2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9"/>
              </w:rPr>
              <w:t>50%</w:t>
            </w:r>
          </w:p>
        </w:tc>
        <w:tc>
          <w:tcPr>
            <w:tcW w:w="940" w:type="dxa"/>
            <w:vAlign w:val="bottom"/>
            <w:tcBorders>
              <w:bottom w:val="single" w:sz="8" w:color="auto"/>
              <w:right w:val="single" w:sz="8" w:color="auto"/>
            </w:tcBorders>
          </w:tcPr>
          <w:p>
            <w:pPr>
              <w:spacing w:after="0"/>
              <w:rPr>
                <w:sz w:val="22"/>
                <w:szCs w:val="22"/>
                <w:color w:val="auto"/>
              </w:rPr>
            </w:pPr>
          </w:p>
        </w:tc>
        <w:tc>
          <w:tcPr>
            <w:tcW w:w="288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22"/>
                <w:szCs w:val="22"/>
                <w:color w:val="auto"/>
                <w:w w:val="97"/>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Below Threshold</w:t>
            </w:r>
          </w:p>
        </w:tc>
        <w:tc>
          <w:tcPr>
            <w:tcW w:w="920" w:type="dxa"/>
            <w:vAlign w:val="bottom"/>
            <w:tcBorders>
              <w:bottom w:val="single" w:sz="8" w:color="auto"/>
            </w:tcBorders>
            <w:gridSpan w:val="2"/>
          </w:tcPr>
          <w:p>
            <w:pPr>
              <w:spacing w:after="0"/>
              <w:rPr>
                <w:sz w:val="22"/>
                <w:szCs w:val="22"/>
                <w:color w:val="auto"/>
              </w:rPr>
            </w:pPr>
          </w:p>
        </w:tc>
        <w:tc>
          <w:tcPr>
            <w:tcW w:w="1000" w:type="dxa"/>
            <w:vAlign w:val="bottom"/>
            <w:tcBorders>
              <w:bottom w:val="single" w:sz="8" w:color="auto"/>
            </w:tcBorders>
          </w:tcPr>
          <w:p>
            <w:pPr>
              <w:jc w:val="center"/>
              <w:ind w:left="492"/>
              <w:spacing w:after="0"/>
              <w:rPr>
                <w:sz w:val="20"/>
                <w:szCs w:val="20"/>
                <w:color w:val="auto"/>
              </w:rPr>
            </w:pPr>
            <w:r>
              <w:rPr>
                <w:rFonts w:ascii="Arial" w:cs="Arial" w:eastAsia="Arial" w:hAnsi="Arial"/>
                <w:sz w:val="22"/>
                <w:szCs w:val="22"/>
                <w:color w:val="auto"/>
              </w:rPr>
              <w:t>0%</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288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22"/>
                <w:szCs w:val="22"/>
                <w:color w:val="auto"/>
                <w:w w:val="97"/>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3"/>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8"/>
              </w:rPr>
              <w:t>Goals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98"/>
              </w:rPr>
              <w:t>Goal</w:t>
            </w:r>
          </w:p>
        </w:tc>
        <w:tc>
          <w:tcPr>
            <w:tcW w:w="0" w:type="dxa"/>
            <w:vAlign w:val="bottom"/>
          </w:tcPr>
          <w:p>
            <w:pPr>
              <w:spacing w:after="0"/>
              <w:rPr>
                <w:sz w:val="1"/>
                <w:szCs w:val="1"/>
                <w:color w:val="auto"/>
              </w:rPr>
            </w:pPr>
          </w:p>
        </w:tc>
      </w:tr>
      <w:tr>
        <w:trPr>
          <w:trHeight w:val="273"/>
        </w:trPr>
        <w:tc>
          <w:tcPr>
            <w:tcW w:w="4320" w:type="dxa"/>
            <w:vAlign w:val="bottom"/>
            <w:gridSpan w:val="3"/>
            <w:vMerge w:val="restart"/>
          </w:tcPr>
          <w:p>
            <w:pPr>
              <w:ind w:left="280"/>
              <w:spacing w:after="0"/>
              <w:rPr>
                <w:sz w:val="20"/>
                <w:szCs w:val="20"/>
                <w:color w:val="auto"/>
              </w:rPr>
            </w:pPr>
            <w:r>
              <w:rPr>
                <w:rFonts w:ascii="Arial" w:cs="Arial" w:eastAsia="Arial" w:hAnsi="Arial"/>
                <w:sz w:val="20"/>
                <w:szCs w:val="20"/>
                <w:b w:val="1"/>
                <w:bCs w:val="1"/>
                <w:color w:val="auto"/>
              </w:rPr>
              <w:t>Financial Goals</w:t>
            </w: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60" w:type="dxa"/>
            <w:vAlign w:val="bottom"/>
            <w:gridSpan w:val="4"/>
          </w:tcPr>
          <w:p>
            <w:pPr>
              <w:jc w:val="center"/>
              <w:ind w:left="1717"/>
              <w:spacing w:after="0"/>
              <w:rPr>
                <w:sz w:val="20"/>
                <w:szCs w:val="20"/>
                <w:color w:val="auto"/>
              </w:rPr>
            </w:pPr>
            <w:r>
              <w:rPr>
                <w:rFonts w:ascii="Arial" w:cs="Arial" w:eastAsia="Arial" w:hAnsi="Arial"/>
                <w:sz w:val="20"/>
                <w:szCs w:val="20"/>
                <w:b w:val="1"/>
                <w:bCs w:val="1"/>
                <w:color w:val="auto"/>
                <w:w w:val="97"/>
              </w:rPr>
              <w:t>Weighting</w:t>
            </w:r>
          </w:p>
        </w:tc>
        <w:tc>
          <w:tcPr>
            <w:tcW w:w="0" w:type="dxa"/>
            <w:vAlign w:val="bottom"/>
          </w:tcPr>
          <w:p>
            <w:pPr>
              <w:spacing w:after="0"/>
              <w:rPr>
                <w:sz w:val="1"/>
                <w:szCs w:val="1"/>
                <w:color w:val="auto"/>
              </w:rPr>
            </w:pPr>
          </w:p>
        </w:tc>
      </w:tr>
      <w:tr>
        <w:trPr>
          <w:trHeight w:val="242"/>
        </w:trPr>
        <w:tc>
          <w:tcPr>
            <w:tcW w:w="4320" w:type="dxa"/>
            <w:vAlign w:val="bottom"/>
            <w:gridSpan w:val="3"/>
            <w:vMerge w:val="continue"/>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380" w:type="dxa"/>
            <w:vAlign w:val="bottom"/>
            <w:gridSpan w:val="5"/>
            <w:vMerge w:val="restart"/>
          </w:tcPr>
          <w:p>
            <w:pPr>
              <w:jc w:val="center"/>
              <w:ind w:left="2815"/>
              <w:spacing w:after="0"/>
              <w:rPr>
                <w:sz w:val="20"/>
                <w:szCs w:val="20"/>
                <w:color w:val="auto"/>
              </w:rPr>
            </w:pPr>
            <w:r>
              <w:rPr>
                <w:rFonts w:ascii="Arial" w:cs="Arial" w:eastAsia="Arial" w:hAnsi="Arial"/>
                <w:sz w:val="20"/>
                <w:szCs w:val="20"/>
                <w:b w:val="1"/>
                <w:bCs w:val="1"/>
                <w:color w:val="auto"/>
                <w:w w:val="94"/>
              </w:rPr>
              <w:t>15%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20" w:type="dxa"/>
            <w:vAlign w:val="bottom"/>
            <w:gridSpan w:val="3"/>
          </w:tcPr>
          <w:p>
            <w:pPr>
              <w:ind w:left="2100"/>
              <w:spacing w:after="0"/>
              <w:rPr>
                <w:sz w:val="20"/>
                <w:szCs w:val="20"/>
                <w:color w:val="auto"/>
              </w:rPr>
            </w:pPr>
            <w:r>
              <w:rPr>
                <w:rFonts w:ascii="Arial" w:cs="Arial" w:eastAsia="Arial" w:hAnsi="Arial"/>
                <w:sz w:val="20"/>
                <w:szCs w:val="20"/>
                <w:color w:val="auto"/>
              </w:rPr>
              <w:t>ALLETE Net Income</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380" w:type="dxa"/>
            <w:vAlign w:val="bottom"/>
            <w:gridSpan w:val="5"/>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860" w:type="dxa"/>
            <w:vAlign w:val="bottom"/>
            <w:gridSpan w:val="6"/>
          </w:tcPr>
          <w:p>
            <w:pPr>
              <w:ind w:left="2100"/>
              <w:spacing w:after="0"/>
              <w:rPr>
                <w:sz w:val="20"/>
                <w:szCs w:val="20"/>
                <w:color w:val="auto"/>
              </w:rPr>
            </w:pPr>
            <w:r>
              <w:rPr>
                <w:rFonts w:ascii="Arial" w:cs="Arial" w:eastAsia="Arial" w:hAnsi="Arial"/>
                <w:sz w:val="20"/>
                <w:szCs w:val="20"/>
                <w:color w:val="auto"/>
              </w:rPr>
              <w:t>ALLETE Clean Energy Net Income</w:t>
            </w:r>
          </w:p>
        </w:tc>
        <w:tc>
          <w:tcPr>
            <w:tcW w:w="3380" w:type="dxa"/>
            <w:vAlign w:val="bottom"/>
            <w:gridSpan w:val="5"/>
          </w:tcPr>
          <w:p>
            <w:pPr>
              <w:jc w:val="center"/>
              <w:ind w:left="2815"/>
              <w:spacing w:after="0"/>
              <w:rPr>
                <w:sz w:val="20"/>
                <w:szCs w:val="20"/>
                <w:color w:val="auto"/>
              </w:rPr>
            </w:pPr>
            <w:r>
              <w:rPr>
                <w:rFonts w:ascii="Arial" w:cs="Arial" w:eastAsia="Arial" w:hAnsi="Arial"/>
                <w:sz w:val="20"/>
                <w:szCs w:val="20"/>
                <w:b w:val="1"/>
                <w:bCs w:val="1"/>
                <w:color w:val="auto"/>
                <w:w w:val="94"/>
              </w:rPr>
              <w:t>45%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4320" w:type="dxa"/>
            <w:vAlign w:val="bottom"/>
            <w:gridSpan w:val="3"/>
          </w:tcPr>
          <w:p>
            <w:pPr>
              <w:ind w:left="280"/>
              <w:spacing w:after="0"/>
              <w:rPr>
                <w:sz w:val="20"/>
                <w:szCs w:val="20"/>
                <w:color w:val="auto"/>
              </w:rPr>
            </w:pPr>
            <w:r>
              <w:rPr>
                <w:rFonts w:ascii="Arial" w:cs="Arial" w:eastAsia="Arial" w:hAnsi="Arial"/>
                <w:sz w:val="20"/>
                <w:szCs w:val="20"/>
                <w:b w:val="1"/>
                <w:bCs w:val="1"/>
                <w:color w:val="auto"/>
              </w:rPr>
              <w:t>Strategic and Operational &amp; Values Goals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80" w:type="dxa"/>
            <w:vAlign w:val="bottom"/>
            <w:gridSpan w:val="4"/>
          </w:tcPr>
          <w:p>
            <w:pPr>
              <w:spacing w:after="0"/>
              <w:rPr>
                <w:sz w:val="24"/>
                <w:szCs w:val="24"/>
                <w:color w:val="auto"/>
              </w:rPr>
            </w:pPr>
          </w:p>
        </w:tc>
        <w:tc>
          <w:tcPr>
            <w:tcW w:w="500" w:type="dxa"/>
            <w:vAlign w:val="bottom"/>
            <w:tcBorders>
              <w:bottom w:val="single" w:sz="8" w:color="auto"/>
            </w:tcBorders>
          </w:tcPr>
          <w:p>
            <w:pPr>
              <w:jc w:val="center"/>
              <w:ind w:left="1"/>
              <w:spacing w:after="0"/>
              <w:rPr>
                <w:sz w:val="20"/>
                <w:szCs w:val="20"/>
                <w:color w:val="auto"/>
              </w:rPr>
            </w:pPr>
            <w:r>
              <w:rPr>
                <w:rFonts w:ascii="Arial" w:cs="Arial" w:eastAsia="Arial" w:hAnsi="Arial"/>
                <w:sz w:val="20"/>
                <w:szCs w:val="20"/>
                <w:b w:val="1"/>
                <w:bCs w:val="1"/>
                <w:color w:val="auto"/>
                <w:w w:val="99"/>
              </w:rPr>
              <w:t>40%</w:t>
            </w: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40" w:type="dxa"/>
            <w:vAlign w:val="bottom"/>
            <w:gridSpan w:val="6"/>
          </w:tcPr>
          <w:p>
            <w:pPr>
              <w:jc w:val="center"/>
              <w:ind w:left="2755"/>
              <w:spacing w:after="0"/>
              <w:rPr>
                <w:sz w:val="20"/>
                <w:szCs w:val="20"/>
                <w:color w:val="auto"/>
              </w:rPr>
            </w:pPr>
            <w:r>
              <w:rPr>
                <w:rFonts w:ascii="Arial" w:cs="Arial" w:eastAsia="Arial" w:hAnsi="Arial"/>
                <w:sz w:val="20"/>
                <w:szCs w:val="20"/>
                <w:b w:val="1"/>
                <w:bCs w:val="1"/>
                <w:color w:val="auto"/>
                <w:w w:val="97"/>
              </w:rPr>
              <w:t>100%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268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Annual Incentive Plan Compensation is subject to recoupment as defined in the Compensation Recovery policy.</w:t>
      </w:r>
    </w:p>
    <w:p>
      <w:pPr>
        <w:sectPr>
          <w:pgSz w:w="11900" w:h="16838" w:orient="portrait"/>
          <w:cols w:equalWidth="0" w:num="1">
            <w:col w:w="11240"/>
          </w:cols>
          <w:pgMar w:left="320" w:top="117"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ALLETE</w:t>
      </w:r>
    </w:p>
    <w:p>
      <w:pPr>
        <w:spacing w:after="0" w:line="1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EXECUTIVE LONG-TERM INCENTIVE COMPENSATION PLAN</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RESTRICTED STOCK UNIT GRANT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4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In accordance with the terms of ALLETE’s Executive Long-Term Incentive Compensation Plan, as amended (the "Plan"), and as determined by and through the Executive Compensation Committee of ALLETE’s Board of Directors, ALLETE hereby grants to</w:t>
      </w:r>
    </w:p>
    <w:p>
      <w:pPr>
        <w:spacing w:after="0" w:line="1"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22"/>
          <w:szCs w:val="22"/>
          <w:color w:val="auto"/>
        </w:rPr>
        <w:t xml:space="preserve">you (the "Participant") Restricted Stock Units (“RSU’s”) as set forth below, payable in the form of ALLETE Common Stock, subject to the terms and conditions set forth in this Grant, including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and all documents incorporated herein by reference:</w:t>
      </w:r>
    </w:p>
    <w:p>
      <w:pPr>
        <w:spacing w:after="0" w:line="205" w:lineRule="exact"/>
        <w:rPr>
          <w:sz w:val="20"/>
          <w:szCs w:val="20"/>
          <w:color w:val="auto"/>
        </w:rPr>
      </w:pPr>
    </w:p>
    <w:p>
      <w:pPr>
        <w:ind w:left="220"/>
        <w:spacing w:after="0"/>
        <w:tabs>
          <w:tab w:leader="none" w:pos="3420" w:val="left"/>
        </w:tabs>
        <w:rPr>
          <w:sz w:val="20"/>
          <w:szCs w:val="20"/>
          <w:color w:val="auto"/>
        </w:rPr>
      </w:pPr>
      <w:r>
        <w:rPr>
          <w:rFonts w:ascii="Times New Roman" w:cs="Times New Roman" w:eastAsia="Times New Roman" w:hAnsi="Times New Roman"/>
          <w:sz w:val="22"/>
          <w:szCs w:val="22"/>
          <w:color w:val="auto"/>
        </w:rPr>
        <w:t>Number of Restricted Stock Units:</w:t>
      </w:r>
      <w:r>
        <w:rPr>
          <w:sz w:val="20"/>
          <w:szCs w:val="20"/>
          <w:color w:val="auto"/>
        </w:rPr>
        <w:tab/>
      </w:r>
      <w:r>
        <w:rPr>
          <w:rFonts w:ascii="Times New Roman" w:cs="Times New Roman" w:eastAsia="Times New Roman" w:hAnsi="Times New Roman"/>
          <w:sz w:val="21"/>
          <w:szCs w:val="21"/>
          <w:color w:val="auto"/>
        </w:rPr>
        <w:t>«RSU__shares»</w:t>
      </w:r>
    </w:p>
    <w:p>
      <w:pPr>
        <w:sectPr>
          <w:pgSz w:w="11900" w:h="16838" w:orient="portrait"/>
          <w:cols w:equalWidth="0" w:num="1">
            <w:col w:w="11180"/>
          </w:cols>
          <w:pgMar w:left="320" w:top="117" w:right="399" w:bottom="1440" w:gutter="0" w:footer="0" w:header="0"/>
        </w:sectPr>
      </w:pP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29, 2025</w:t>
      </w:r>
    </w:p>
    <w:p>
      <w:pPr>
        <w:spacing w:after="0" w:line="15" w:lineRule="exact"/>
        <w:rPr>
          <w:sz w:val="20"/>
          <w:szCs w:val="20"/>
          <w:color w:val="auto"/>
        </w:rPr>
      </w:pPr>
    </w:p>
    <w:p>
      <w:pPr>
        <w:sectPr>
          <w:pgSz w:w="11900" w:h="16838" w:orient="portrait"/>
          <w:cols w:equalWidth="0" w:num="2">
            <w:col w:w="1620" w:space="720"/>
            <w:col w:w="8840"/>
          </w:cols>
          <w:pgMar w:left="320" w:top="117" w:right="39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21"/>
          <w:szCs w:val="21"/>
          <w:color w:val="auto"/>
        </w:rPr>
        <w:t>Vesting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Period ending December 31, 2027</w:t>
      </w:r>
    </w:p>
    <w:p>
      <w:pPr>
        <w:spacing w:after="0" w:line="192" w:lineRule="exact"/>
        <w:rPr>
          <w:sz w:val="20"/>
          <w:szCs w:val="20"/>
          <w:color w:val="auto"/>
        </w:rPr>
      </w:pPr>
    </w:p>
    <w:p>
      <w:pPr>
        <w:sectPr>
          <w:pgSz w:w="11900" w:h="16838" w:orient="portrait"/>
          <w:cols w:equalWidth="0" w:num="2">
            <w:col w:w="1540" w:space="660"/>
            <w:col w:w="8980"/>
          </w:cols>
          <w:pgMar w:left="320" w:top="117" w:right="39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This Grant is made in accordance with the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terms and conditions of the Grant are set forth in Annex A hereto, which is an integral part of this Grant.</w:t>
      </w:r>
    </w:p>
    <w:p>
      <w:pPr>
        <w:spacing w:after="0" w:line="206"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22"/>
          <w:szCs w:val="22"/>
          <w:color w:val="auto"/>
        </w:rPr>
        <w:t>Any term, provision or condition applicable to the Restricted Stock Units set forth in the Plan and not set forth herein is hereby incorporated by reference. To the extent any provision hereof is inconsistent with a Plan provision, the Plan provision will govern.</w:t>
      </w:r>
    </w:p>
    <w:p>
      <w:pPr>
        <w:spacing w:after="0" w:line="193" w:lineRule="exact"/>
        <w:rPr>
          <w:sz w:val="20"/>
          <w:szCs w:val="20"/>
          <w:color w:val="auto"/>
        </w:rPr>
      </w:pPr>
    </w:p>
    <w:p>
      <w:pPr>
        <w:jc w:val="both"/>
        <w:ind w:right="420"/>
        <w:spacing w:after="0" w:line="225" w:lineRule="auto"/>
        <w:rPr>
          <w:sz w:val="20"/>
          <w:szCs w:val="20"/>
          <w:color w:val="auto"/>
        </w:rPr>
      </w:pPr>
      <w:r>
        <w:rPr>
          <w:rFonts w:ascii="Times New Roman" w:cs="Times New Roman" w:eastAsia="Times New Roman" w:hAnsi="Times New Roman"/>
          <w:sz w:val="22"/>
          <w:szCs w:val="22"/>
          <w:color w:val="auto"/>
        </w:rPr>
        <w:t xml:space="preserve">YOU SHOULD CAREFULLY READ AND REVIEW THE TERMS AND CONDITIONS SET FORTH IN THIS GRANT, INCLUDING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WHICH CONTAINS IMPORTANT INFORMATION, INCLUDING MANDATORY CLAIMS AND ARBITRATION PROCEDURES.</w:t>
      </w:r>
    </w:p>
    <w:p>
      <w:pPr>
        <w:spacing w:after="0" w:line="153"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 – Human Resources, in writing within sixty (60) days of the Date of Grant.</w:t>
      </w:r>
    </w:p>
    <w:p>
      <w:pPr>
        <w:spacing w:after="0" w:line="200" w:lineRule="exact"/>
        <w:rPr>
          <w:sz w:val="20"/>
          <w:szCs w:val="20"/>
          <w:color w:val="auto"/>
        </w:rPr>
      </w:pPr>
    </w:p>
    <w:p>
      <w:pPr>
        <w:spacing w:after="0" w:line="23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IN WITNESS WHEREOF, ALLETE has caused this Grant to be executed by its Chair, President and Chief Executive Officer as of the date and year first above written.</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ALLETE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319405</wp:posOffset>
            </wp:positionV>
            <wp:extent cx="2777490" cy="2489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88">
                      <a:extLst>
                        <a:ext uri="{28A0092B-C50C-407E-A947-70E740481C1C}"/>
                      </a:extLst>
                    </a:blip>
                    <a:srcRect/>
                    <a:stretch>
                      <a:fillRect/>
                    </a:stretch>
                  </pic:blipFill>
                  <pic:spPr bwMode="auto">
                    <a:xfrm>
                      <a:off x="0" y="0"/>
                      <a:ext cx="277749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Annex A</w:t>
      </w:r>
    </w:p>
    <w:p>
      <w:pPr>
        <w:sectPr>
          <w:pgSz w:w="11900" w:h="16838" w:orient="portrait"/>
          <w:cols w:equalWidth="0" w:num="1">
            <w:col w:w="11180"/>
          </w:cols>
          <w:pgMar w:left="320" w:top="117" w:right="399" w:bottom="1440" w:gutter="0" w:footer="0" w:header="0"/>
          <w:type w:val="continuous"/>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ALLETE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EXECUTIVE LONG-TERM INCENTIVE COMPENSATION PLAN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UNIT GRANT</w:t>
      </w:r>
    </w:p>
    <w:p>
      <w:pPr>
        <w:spacing w:after="0" w:line="223" w:lineRule="exact"/>
        <w:rPr>
          <w:sz w:val="20"/>
          <w:szCs w:val="20"/>
          <w:color w:val="auto"/>
        </w:rPr>
      </w:pPr>
    </w:p>
    <w:p>
      <w:pPr>
        <w:ind w:right="340" w:firstLine="212"/>
        <w:spacing w:after="0" w:line="257" w:lineRule="auto"/>
        <w:rPr>
          <w:sz w:val="20"/>
          <w:szCs w:val="20"/>
          <w:color w:val="auto"/>
        </w:rPr>
      </w:pPr>
      <w:r>
        <w:rPr>
          <w:rFonts w:ascii="Times New Roman" w:cs="Times New Roman" w:eastAsia="Times New Roman" w:hAnsi="Times New Roman"/>
          <w:sz w:val="22"/>
          <w:szCs w:val="22"/>
          <w:color w:val="auto"/>
        </w:rPr>
        <w:t>The grant of restricted stock units (each, a “RSU”) under the ALLETE Executive Long-Term Incentive Compensation Plan (the “Plan”), evidenced by the Grant to which this is annexed (the “Grant”), is subject to the following additional terms and conditions:</w:t>
      </w:r>
    </w:p>
    <w:p>
      <w:pPr>
        <w:spacing w:after="0" w:line="213" w:lineRule="exact"/>
        <w:rPr>
          <w:sz w:val="20"/>
          <w:szCs w:val="20"/>
          <w:color w:val="auto"/>
        </w:rPr>
      </w:pPr>
    </w:p>
    <w:p>
      <w:pPr>
        <w:ind w:left="380" w:hanging="372"/>
        <w:spacing w:after="0"/>
        <w:tabs>
          <w:tab w:leader="none" w:pos="38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xml:space="preserve"> Subject to the provisions hereof (including the provisions of Section 4 governing the</w:t>
      </w:r>
    </w:p>
    <w:p>
      <w:pPr>
        <w:spacing w:after="0" w:line="27" w:lineRule="exact"/>
        <w:rPr>
          <w:rFonts w:ascii="Times New Roman" w:cs="Times New Roman" w:eastAsia="Times New Roman" w:hAnsi="Times New Roman"/>
          <w:sz w:val="22"/>
          <w:szCs w:val="22"/>
          <w:color w:val="auto"/>
        </w:rPr>
      </w:pPr>
    </w:p>
    <w:p>
      <w:pPr>
        <w:ind w:right="4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of the Grant into a Converted Cash Grant (as defined below)), each RSU will be paid in the form of one share of ALLETE common stock (each, a “Share”), plus accrued Dividend Equivalents. Shares will be deposited into your ALLETE Invest Direct plan account. Except as otherwise provided in sections 3, 4, or 5 below, payment will be made during the period ending sixty days after the end of the vesting period; provided, however, the Participant will not be permitted, directly or indirectly, to designate the taxable year of the distribution. Payment will be subject to withholding for taxes; such withholding shall be in the form of Shares with a value equal to the minimum amount of tax required to be withheld by law; such withholding will be in the form of cash in the case of a Converted Cash Grant.</w:t>
      </w:r>
    </w:p>
    <w:p>
      <w:pPr>
        <w:spacing w:after="0" w:line="212" w:lineRule="exact"/>
        <w:rPr>
          <w:rFonts w:ascii="Times New Roman" w:cs="Times New Roman" w:eastAsia="Times New Roman" w:hAnsi="Times New Roman"/>
          <w:sz w:val="22"/>
          <w:szCs w:val="22"/>
          <w:color w:val="auto"/>
        </w:rPr>
      </w:pPr>
    </w:p>
    <w:p>
      <w:pPr>
        <w:ind w:right="220" w:firstLine="8"/>
        <w:spacing w:after="0" w:line="249" w:lineRule="auto"/>
        <w:tabs>
          <w:tab w:leader="none" w:pos="37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Subject to the provisions of Section 4 below, you will receive Dividend Equivalents in connection with the RSUs granted. Dividend Equivalents will be calculated and credited to you at the time the corresponding dividend is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corresponding RSUs (or Converted Cash Grant) vest and become payable. No Dividend Equivalents will be credited following the Merger.</w:t>
      </w:r>
    </w:p>
    <w:p>
      <w:pPr>
        <w:spacing w:after="0" w:line="222" w:lineRule="exact"/>
        <w:rPr>
          <w:rFonts w:ascii="Times New Roman" w:cs="Times New Roman" w:eastAsia="Times New Roman" w:hAnsi="Times New Roman"/>
          <w:sz w:val="22"/>
          <w:szCs w:val="22"/>
          <w:color w:val="auto"/>
        </w:rPr>
      </w:pPr>
    </w:p>
    <w:p>
      <w:pPr>
        <w:ind w:right="180" w:firstLine="8"/>
        <w:spacing w:after="0" w:line="271" w:lineRule="auto"/>
        <w:tabs>
          <w:tab w:leader="none" w:pos="37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Upon Retirement, Death or Disability; Payment Upon Involuntary Separation Following Merger; Forfeiture Upon Other Termination of Employment, Default on Certain Agreements or Unsatisfactory Job Performance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line="251" w:lineRule="auto"/>
        <w:rPr>
          <w:sz w:val="20"/>
          <w:szCs w:val="20"/>
          <w:color w:val="auto"/>
        </w:rPr>
      </w:pPr>
      <w:r>
        <w:rPr>
          <w:rFonts w:ascii="Times New Roman" w:cs="Times New Roman" w:eastAsia="Times New Roman" w:hAnsi="Times New Roman"/>
          <w:sz w:val="22"/>
          <w:szCs w:val="22"/>
          <w:color w:val="auto"/>
        </w:rPr>
        <w:t>3.1 Subject to Section 3.5 below, if during the vesting period you (i) Retire, (ii) die while employed by a Related Company, or (iii) become Disabled, a portion of the unvested RSUs subject to the Grant, or, if applicable a portion of the Converted Cash Grant</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will vest and be paid to you (or your beneficiary or estate) during the period ending forty-five days after such event; provided, however, you will not be permitted, directly or indirectly, to designate the taxable year of the distribution. Except as otherwise provided in Section or 5 below, payment pursuant to this Section 3.1 will be prorated, after giving effect to accumulated Dividend Equivalents, based on the number of whole</w:t>
      </w:r>
    </w:p>
    <w:p>
      <w:pPr>
        <w:sectPr>
          <w:pgSz w:w="11900" w:h="16838" w:orient="portrait"/>
          <w:cols w:equalWidth="0" w:num="1">
            <w:col w:w="11220"/>
          </w:cols>
          <w:pgMar w:left="320" w:top="117" w:right="3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660" w:right="180"/>
        <w:spacing w:after="0" w:line="266" w:lineRule="auto"/>
        <w:rPr>
          <w:sz w:val="20"/>
          <w:szCs w:val="20"/>
          <w:color w:val="auto"/>
        </w:rPr>
      </w:pPr>
      <w:r>
        <w:rPr>
          <w:rFonts w:ascii="Times New Roman" w:cs="Times New Roman" w:eastAsia="Times New Roman" w:hAnsi="Times New Roman"/>
          <w:sz w:val="22"/>
          <w:szCs w:val="22"/>
          <w:color w:val="auto"/>
        </w:rPr>
        <w:t>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month.</w:t>
      </w:r>
    </w:p>
    <w:p>
      <w:pPr>
        <w:spacing w:after="0" w:line="108" w:lineRule="exact"/>
        <w:rPr>
          <w:sz w:val="20"/>
          <w:szCs w:val="20"/>
          <w:color w:val="auto"/>
        </w:rPr>
      </w:pPr>
    </w:p>
    <w:p>
      <w:pPr>
        <w:ind w:left="660" w:right="60"/>
        <w:spacing w:after="0" w:line="250" w:lineRule="auto"/>
        <w:rPr>
          <w:sz w:val="20"/>
          <w:szCs w:val="20"/>
          <w:color w:val="auto"/>
        </w:rPr>
      </w:pPr>
      <w:r>
        <w:rPr>
          <w:rFonts w:ascii="Times New Roman" w:cs="Times New Roman" w:eastAsia="Times New Roman" w:hAnsi="Times New Roman"/>
          <w:sz w:val="22"/>
          <w:szCs w:val="22"/>
          <w:color w:val="auto"/>
        </w:rPr>
        <w:t>3.2 If you have an Involuntary Separation within 12 months following the Merger Effective Time that occurs prior to payment of any portion of a Converted Cash Grant, you will be entitled to receive payment of the entire unpaid portion of such Converted Cash Grant in accordance with Section 1 above. For purposes of the forgoing, “Involuntary Separation” shall have the meaning set forth in the Amended and Restated ALLETE and Affiliated Companies Change in Control Severance Plan effective October 27, 2023.</w:t>
      </w:r>
    </w:p>
    <w:p>
      <w:pPr>
        <w:spacing w:after="0" w:line="221" w:lineRule="exact"/>
        <w:rPr>
          <w:sz w:val="20"/>
          <w:szCs w:val="20"/>
          <w:color w:val="auto"/>
        </w:rPr>
      </w:pPr>
    </w:p>
    <w:p>
      <w:pPr>
        <w:ind w:left="660" w:right="120"/>
        <w:spacing w:after="0" w:line="268" w:lineRule="auto"/>
        <w:rPr>
          <w:sz w:val="20"/>
          <w:szCs w:val="20"/>
          <w:color w:val="auto"/>
        </w:rPr>
      </w:pPr>
      <w:r>
        <w:rPr>
          <w:rFonts w:ascii="Times New Roman" w:cs="Times New Roman" w:eastAsia="Times New Roman" w:hAnsi="Times New Roman"/>
          <w:sz w:val="21"/>
          <w:szCs w:val="21"/>
          <w:color w:val="auto"/>
        </w:rPr>
        <w:t>3.3 Except as otherwise provided in Section 4 or 5, if during the vesting period or prior to payment of all RSUs, or of any Converted Cash Gran, as applicable</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xml:space="preserve"> you have a Separation from Service for any reason other than those specified in Subsections 3.1 or 3.2 above, all unvested or unpaid RSUs subject to the Grant (and related Dividend Equivalents), or, if applicable, any unpaid portion of a Converted Cash Award, will be forfeited on the date of such Separation from Service.</w:t>
      </w:r>
    </w:p>
    <w:p>
      <w:pPr>
        <w:spacing w:after="0" w:line="204" w:lineRule="exact"/>
        <w:rPr>
          <w:sz w:val="20"/>
          <w:szCs w:val="20"/>
          <w:color w:val="auto"/>
        </w:rPr>
      </w:pPr>
    </w:p>
    <w:p>
      <w:pPr>
        <w:ind w:left="660" w:right="100"/>
        <w:spacing w:after="0" w:line="251" w:lineRule="auto"/>
        <w:rPr>
          <w:sz w:val="20"/>
          <w:szCs w:val="20"/>
          <w:color w:val="auto"/>
        </w:rPr>
      </w:pPr>
      <w:r>
        <w:rPr>
          <w:rFonts w:ascii="Times New Roman" w:cs="Times New Roman" w:eastAsia="Times New Roman" w:hAnsi="Times New Roman"/>
          <w:sz w:val="22"/>
          <w:szCs w:val="22"/>
          <w:color w:val="auto"/>
        </w:rPr>
        <w:t>3.4 If during the vesting period or prior to payment of all RSUs, or of any Converted Cash Grant, as applicable, you are demoted, you default on any written agreement with a Related Company related to a restrictive employment covenant (such as confidentiality, non-disclosure, non-competition, non-solicitation, or the like), or if ALLETE determines, in its sole discretion, that your job performance is unsatisfactory, ALLETE reserves the right to cancel or amend your Grant relating to any unpaid RSUs, resulting in the forfeiture of some portion or all of your unpaid RSUs (and related Dividend Equivalents) or any Converted Cash Award, as applicable.</w:t>
      </w:r>
    </w:p>
    <w:p>
      <w:pPr>
        <w:spacing w:after="0" w:line="208"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22"/>
          <w:szCs w:val="22"/>
          <w:color w:val="auto"/>
        </w:rPr>
        <w:t>3.5 Notwithstanding anything herein to the contrary, if you become entitled to a payment of RSUs or a Converted Cash Grant, as applicable,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any Dividend Equivalents that have accrued during this six-month delay, if applicable, during the seventh month following the date of the Participant’s Retirement, or, if earlier, the date of the Participant’s death.</w:t>
      </w:r>
    </w:p>
    <w:p>
      <w:pPr>
        <w:spacing w:after="0" w:line="207" w:lineRule="exact"/>
        <w:rPr>
          <w:sz w:val="20"/>
          <w:szCs w:val="20"/>
          <w:color w:val="auto"/>
        </w:rPr>
      </w:pPr>
    </w:p>
    <w:p>
      <w:pPr>
        <w:ind w:firstLine="8"/>
        <w:spacing w:after="0" w:line="275" w:lineRule="auto"/>
        <w:tabs>
          <w:tab w:leader="none" w:pos="378"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Merger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Notwithstanding any other provisions of the Grant, any Annex thereto, or</w:t>
      </w:r>
      <w:r>
        <w:rPr>
          <w:rFonts w:ascii="Times New Roman" w:cs="Times New Roman" w:eastAsia="Times New Roman" w:hAnsi="Times New Roman"/>
          <w:sz w:val="21"/>
          <w:szCs w:val="21"/>
          <w:color w:val="auto"/>
        </w:rPr>
        <w:t xml:space="preserve"> provisions in the Plan for Change in Control to the contrary, upon the terms and subject to the conditions set forth in the Merger Agreement, the following terms shall apply to the Grant to the extent it is outstanding and unvested immediately prior to the Merger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7"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22"/>
          <w:szCs w:val="22"/>
          <w:color w:val="auto"/>
        </w:rPr>
        <w:t xml:space="preserve">4.1 The Grant will be canceled as of the Merger Effective Time and converted into a contingent right to receive a converted cash award in an aggregate amount, without interest, equal to the value (a) to the number of shares of Company common stock underlying the Grant immediately prior to the Merger Effective Time, after giving effect to the accumulation of dividend equivalents credited as of the Merger Effective Time,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$67.00, (the “Converted Cash Grant”).</w:t>
      </w:r>
    </w:p>
    <w:p>
      <w:pPr>
        <w:spacing w:after="0" w:line="206" w:lineRule="exact"/>
        <w:rPr>
          <w:sz w:val="20"/>
          <w:szCs w:val="20"/>
          <w:color w:val="auto"/>
        </w:rPr>
      </w:pPr>
    </w:p>
    <w:p>
      <w:pPr>
        <w:ind w:left="660" w:right="160"/>
        <w:spacing w:after="0" w:line="271" w:lineRule="auto"/>
        <w:rPr>
          <w:sz w:val="20"/>
          <w:szCs w:val="20"/>
          <w:color w:val="auto"/>
        </w:rPr>
      </w:pPr>
      <w:r>
        <w:rPr>
          <w:rFonts w:ascii="Times New Roman" w:cs="Times New Roman" w:eastAsia="Times New Roman" w:hAnsi="Times New Roman"/>
          <w:sz w:val="22"/>
          <w:szCs w:val="22"/>
          <w:color w:val="auto"/>
        </w:rPr>
        <w:t>4.2 Any Converted Cash Grant will continue to have, and payment will be subject to, the same terms and conditions as the original Grant, including vesting conditions.</w:t>
      </w:r>
    </w:p>
    <w:p>
      <w:pPr>
        <w:spacing w:after="0" w:line="18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For purposes of clarification of this Section 4, the occurrence of the Merger contemplated by the Merger Agreement will expressly be governed by this Section 4 and not by the provisions of Section 5 below or the provisions in the Plan for Change in Control.</w:t>
      </w:r>
    </w:p>
    <w:p>
      <w:pPr>
        <w:spacing w:after="0" w:line="194" w:lineRule="exact"/>
        <w:rPr>
          <w:sz w:val="20"/>
          <w:szCs w:val="20"/>
          <w:color w:val="auto"/>
        </w:rPr>
      </w:pPr>
    </w:p>
    <w:p>
      <w:pPr>
        <w:ind w:right="20" w:firstLine="8"/>
        <w:spacing w:after="0" w:line="254" w:lineRule="auto"/>
        <w:tabs>
          <w:tab w:leader="none" w:pos="37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This Section 5 shall not apply to the consummation of the Merger. Upon a Change in Control (other than pursuant to the Merger),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vesting period that had elapsed as of the date of the Change in Control or termination of employment, as applicable, in relation to the number of calendar months in the vesting period. For purposes of this calculation, you will be credited with a whole month if you were employed on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month. In no event will you be permitted, directly or indirectly, to designate the taxable year of the distribution on account of or in connection with a Change in Control.</w:t>
      </w:r>
    </w:p>
    <w:p>
      <w:pPr>
        <w:spacing w:after="0" w:line="209" w:lineRule="exact"/>
        <w:rPr>
          <w:rFonts w:ascii="Times New Roman" w:cs="Times New Roman" w:eastAsia="Times New Roman" w:hAnsi="Times New Roman"/>
          <w:sz w:val="21"/>
          <w:szCs w:val="21"/>
          <w:color w:val="auto"/>
        </w:rPr>
      </w:pPr>
    </w:p>
    <w:p>
      <w:pPr>
        <w:ind w:right="980" w:firstLine="8"/>
        <w:spacing w:after="0" w:line="263" w:lineRule="auto"/>
        <w:tabs>
          <w:tab w:leader="none" w:pos="37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80" w:lineRule="exact"/>
        <w:rPr>
          <w:rFonts w:ascii="Times New Roman" w:cs="Times New Roman" w:eastAsia="Times New Roman" w:hAnsi="Times New Roman"/>
          <w:sz w:val="22"/>
          <w:szCs w:val="22"/>
          <w:color w:val="auto"/>
        </w:rPr>
      </w:pPr>
    </w:p>
    <w:p>
      <w:pPr>
        <w:ind w:firstLine="8"/>
        <w:spacing w:after="0" w:line="251" w:lineRule="auto"/>
        <w:tabs>
          <w:tab w:leader="none" w:pos="432"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xml:space="preserve"> 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7"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92" w:lineRule="exact"/>
        <w:rPr>
          <w:sz w:val="20"/>
          <w:szCs w:val="20"/>
          <w:color w:val="auto"/>
        </w:rPr>
      </w:pPr>
    </w:p>
    <w:p>
      <w:pPr>
        <w:ind w:left="440" w:hanging="432"/>
        <w:spacing w:after="0"/>
        <w:tabs>
          <w:tab w:leader="none" w:pos="44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Procedure and Arbitration</w:t>
      </w:r>
      <w:r>
        <w:rPr>
          <w:rFonts w:ascii="Times New Roman" w:cs="Times New Roman" w:eastAsia="Times New Roman" w:hAnsi="Times New Roman"/>
          <w:sz w:val="22"/>
          <w:szCs w:val="22"/>
          <w:color w:val="auto"/>
        </w:rPr>
        <w:t>. The Grant is subject to the following claims procedures:</w:t>
      </w:r>
    </w:p>
    <w:p>
      <w:pPr>
        <w:spacing w:after="0" w:line="247" w:lineRule="exact"/>
        <w:rPr>
          <w:sz w:val="20"/>
          <w:szCs w:val="20"/>
          <w:color w:val="auto"/>
        </w:rPr>
      </w:pPr>
    </w:p>
    <w:p>
      <w:pPr>
        <w:ind w:left="660" w:right="120" w:firstLine="216"/>
        <w:spacing w:after="0" w:line="25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Mandatory Claims Procedures.</w:t>
      </w:r>
      <w:r>
        <w:rPr>
          <w:rFonts w:ascii="Times New Roman" w:cs="Times New Roman" w:eastAsia="Times New Roman" w:hAnsi="Times New Roman"/>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203" w:lineRule="exact"/>
        <w:rPr>
          <w:sz w:val="20"/>
          <w:szCs w:val="20"/>
          <w:color w:val="auto"/>
        </w:rPr>
      </w:pPr>
    </w:p>
    <w:p>
      <w:pPr>
        <w:ind w:left="660" w:firstLine="216"/>
        <w:spacing w:after="0" w:line="256"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Claim Submission</w:t>
      </w:r>
      <w:r>
        <w:rPr>
          <w:rFonts w:ascii="Times New Roman" w:cs="Times New Roman" w:eastAsia="Times New Roman" w:hAnsi="Times New Roman"/>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203" w:lineRule="exact"/>
        <w:rPr>
          <w:sz w:val="20"/>
          <w:szCs w:val="20"/>
          <w:color w:val="auto"/>
        </w:rPr>
      </w:pPr>
    </w:p>
    <w:p>
      <w:pPr>
        <w:ind w:left="660" w:right="200" w:firstLine="216"/>
        <w:spacing w:after="0" w:line="256"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Notice of Denial</w:t>
      </w:r>
      <w:r>
        <w:rPr>
          <w:rFonts w:ascii="Times New Roman" w:cs="Times New Roman" w:eastAsia="Times New Roman" w:hAnsi="Times New Roman"/>
          <w:sz w:val="22"/>
          <w:szCs w:val="22"/>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203" w:lineRule="exact"/>
        <w:rPr>
          <w:sz w:val="20"/>
          <w:szCs w:val="20"/>
          <w:color w:val="auto"/>
        </w:rPr>
      </w:pPr>
    </w:p>
    <w:p>
      <w:pPr>
        <w:ind w:left="660" w:right="500" w:firstLine="216"/>
        <w:spacing w:after="0" w:line="295"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If, after exhausting the procedures set forth above, a Claimant wishes to pursue legal action, any action by the Claimant with respect to a claim, must be resolved by arbitration in the manner described herein.</w:t>
      </w:r>
    </w:p>
    <w:p>
      <w:pPr>
        <w:spacing w:after="0" w:line="162" w:lineRule="exact"/>
        <w:rPr>
          <w:sz w:val="20"/>
          <w:szCs w:val="20"/>
          <w:color w:val="auto"/>
        </w:rPr>
      </w:pPr>
    </w:p>
    <w:p>
      <w:pPr>
        <w:ind w:left="1960" w:right="60" w:hanging="332"/>
        <w:spacing w:after="0" w:line="256" w:lineRule="auto"/>
        <w:tabs>
          <w:tab w:leader="none" w:pos="1951" w:val="left"/>
        </w:tabs>
        <w:numPr>
          <w:ilvl w:val="0"/>
          <w:numId w:val="17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Time Limits</w:t>
      </w:r>
      <w:r>
        <w:rPr>
          <w:rFonts w:ascii="Times New Roman" w:cs="Times New Roman" w:eastAsia="Times New Roman" w:hAnsi="Times New Roman"/>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176" w:lineRule="exact"/>
        <w:rPr>
          <w:rFonts w:ascii="Times New Roman" w:cs="Times New Roman" w:eastAsia="Times New Roman" w:hAnsi="Times New Roman"/>
          <w:sz w:val="22"/>
          <w:szCs w:val="22"/>
          <w:i w:val="1"/>
          <w:iCs w:val="1"/>
          <w:color w:val="auto"/>
        </w:rPr>
      </w:pPr>
    </w:p>
    <w:p>
      <w:pPr>
        <w:ind w:left="1960" w:right="800" w:hanging="332"/>
        <w:spacing w:after="0" w:line="271" w:lineRule="auto"/>
        <w:tabs>
          <w:tab w:leader="none" w:pos="1951" w:val="left"/>
        </w:tabs>
        <w:numPr>
          <w:ilvl w:val="0"/>
          <w:numId w:val="17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Rules Applicable to Arbitration</w:t>
      </w:r>
      <w:r>
        <w:rPr>
          <w:rFonts w:ascii="Times New Roman" w:cs="Times New Roman" w:eastAsia="Times New Roman" w:hAnsi="Times New Roman"/>
          <w:sz w:val="22"/>
          <w:szCs w:val="22"/>
          <w:color w:val="auto"/>
        </w:rPr>
        <w:t>. The arbitration process shall be conducted in accordance with the Commercial Law Rules of the American Arbitration Association.</w:t>
      </w:r>
    </w:p>
    <w:p>
      <w:pPr>
        <w:spacing w:after="0" w:line="157" w:lineRule="exact"/>
        <w:rPr>
          <w:rFonts w:ascii="Times New Roman" w:cs="Times New Roman" w:eastAsia="Times New Roman" w:hAnsi="Times New Roman"/>
          <w:sz w:val="22"/>
          <w:szCs w:val="22"/>
          <w:i w:val="1"/>
          <w:iCs w:val="1"/>
          <w:color w:val="auto"/>
        </w:rPr>
      </w:pPr>
    </w:p>
    <w:p>
      <w:pPr>
        <w:ind w:left="1940" w:hanging="312"/>
        <w:spacing w:after="0"/>
        <w:tabs>
          <w:tab w:leader="none" w:pos="1940" w:val="left"/>
        </w:tabs>
        <w:numPr>
          <w:ilvl w:val="0"/>
          <w:numId w:val="17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The arbitration shall be conducted in Minneapolis,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17"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960" w:right="220" w:hanging="332"/>
        <w:spacing w:after="0" w:line="251" w:lineRule="auto"/>
        <w:tabs>
          <w:tab w:leader="none" w:pos="1951" w:val="left"/>
        </w:tabs>
        <w:numPr>
          <w:ilvl w:val="1"/>
          <w:numId w:val="17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181" w:lineRule="exact"/>
        <w:rPr>
          <w:rFonts w:ascii="Times New Roman" w:cs="Times New Roman" w:eastAsia="Times New Roman" w:hAnsi="Times New Roman"/>
          <w:sz w:val="22"/>
          <w:szCs w:val="22"/>
          <w:i w:val="1"/>
          <w:iCs w:val="1"/>
          <w:color w:val="auto"/>
        </w:rPr>
      </w:pPr>
    </w:p>
    <w:p>
      <w:pPr>
        <w:ind w:left="1960" w:right="480" w:hanging="332"/>
        <w:spacing w:after="0" w:line="271" w:lineRule="auto"/>
        <w:tabs>
          <w:tab w:leader="none" w:pos="1952" w:val="left"/>
        </w:tabs>
        <w:numPr>
          <w:ilvl w:val="1"/>
          <w:numId w:val="17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Judgment upon any award entered by an arbitrator may be entered in any court having jurisdiction over the parties.</w:t>
      </w:r>
    </w:p>
    <w:p>
      <w:pPr>
        <w:spacing w:after="0" w:line="171" w:lineRule="exact"/>
        <w:rPr>
          <w:rFonts w:ascii="Times New Roman" w:cs="Times New Roman" w:eastAsia="Times New Roman" w:hAnsi="Times New Roman"/>
          <w:sz w:val="22"/>
          <w:szCs w:val="22"/>
          <w:i w:val="1"/>
          <w:iCs w:val="1"/>
          <w:color w:val="auto"/>
        </w:rPr>
      </w:pPr>
    </w:p>
    <w:p>
      <w:pPr>
        <w:ind w:left="1960" w:right="140" w:hanging="332"/>
        <w:spacing w:after="0" w:line="248" w:lineRule="auto"/>
        <w:tabs>
          <w:tab w:leader="none" w:pos="1957" w:val="left"/>
        </w:tabs>
        <w:numPr>
          <w:ilvl w:val="1"/>
          <w:numId w:val="17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Waiver of Class, Collective, and Representative Actions</w:t>
      </w:r>
      <w:r>
        <w:rPr>
          <w:rFonts w:ascii="Times New Roman" w:cs="Times New Roman" w:eastAsia="Times New Roman" w:hAnsi="Times New Roman"/>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00" w:lineRule="exact"/>
        <w:rPr>
          <w:rFonts w:ascii="Times New Roman" w:cs="Times New Roman" w:eastAsia="Times New Roman" w:hAnsi="Times New Roman"/>
          <w:sz w:val="22"/>
          <w:szCs w:val="22"/>
          <w:i w:val="1"/>
          <w:iCs w:val="1"/>
          <w:color w:val="auto"/>
        </w:rPr>
      </w:pPr>
    </w:p>
    <w:p>
      <w:pPr>
        <w:ind w:left="1960" w:right="80" w:hanging="332"/>
        <w:spacing w:after="0" w:line="251" w:lineRule="auto"/>
        <w:tabs>
          <w:tab w:leader="none" w:pos="1951" w:val="left"/>
        </w:tabs>
        <w:numPr>
          <w:ilvl w:val="1"/>
          <w:numId w:val="17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Standard of Review</w:t>
      </w:r>
      <w:r>
        <w:rPr>
          <w:rFonts w:ascii="Times New Roman" w:cs="Times New Roman" w:eastAsia="Times New Roman" w:hAnsi="Times New Roman"/>
          <w:sz w:val="22"/>
          <w:szCs w:val="22"/>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Times New Roman" w:cs="Times New Roman" w:eastAsia="Times New Roman" w:hAnsi="Times New Roman"/>
          <w:sz w:val="22"/>
          <w:szCs w:val="22"/>
          <w:i w:val="1"/>
          <w:iCs w:val="1"/>
          <w:color w:val="auto"/>
        </w:rPr>
        <w:t>Conkright v. Frommert</w:t>
      </w:r>
      <w:r>
        <w:rPr>
          <w:rFonts w:ascii="Times New Roman" w:cs="Times New Roman" w:eastAsia="Times New Roman" w:hAnsi="Times New Roman"/>
          <w:sz w:val="22"/>
          <w:szCs w:val="22"/>
          <w:color w:val="auto"/>
        </w:rPr>
        <w:t xml:space="preserve">, 130 S. Ct. 1640 (2010), </w:t>
      </w:r>
      <w:r>
        <w:rPr>
          <w:rFonts w:ascii="Times New Roman" w:cs="Times New Roman" w:eastAsia="Times New Roman" w:hAnsi="Times New Roman"/>
          <w:sz w:val="22"/>
          <w:szCs w:val="22"/>
          <w:i w:val="1"/>
          <w:iCs w:val="1"/>
          <w:color w:val="auto"/>
        </w:rPr>
        <w:t>Metropolitan Life Insurance Co. v.</w:t>
      </w:r>
      <w:r>
        <w:rPr>
          <w:rFonts w:ascii="Times New Roman" w:cs="Times New Roman" w:eastAsia="Times New Roman" w:hAnsi="Times New Roman"/>
          <w:sz w:val="22"/>
          <w:szCs w:val="22"/>
          <w:color w:val="auto"/>
        </w:rPr>
        <w:t xml:space="preserve"> Glenn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554 U.S. 105 (2008), and </w:t>
      </w:r>
      <w:r>
        <w:rPr>
          <w:rFonts w:ascii="Times New Roman" w:cs="Times New Roman" w:eastAsia="Times New Roman" w:hAnsi="Times New Roman"/>
          <w:sz w:val="22"/>
          <w:szCs w:val="22"/>
          <w:i w:val="1"/>
          <w:iCs w:val="1"/>
          <w:color w:val="auto"/>
        </w:rPr>
        <w:t>Firestone Tire and Rubber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Company v. Bruch, </w:t>
      </w:r>
      <w:r>
        <w:rPr>
          <w:rFonts w:ascii="Times New Roman" w:cs="Times New Roman" w:eastAsia="Times New Roman" w:hAnsi="Times New Roman"/>
          <w:sz w:val="22"/>
          <w:szCs w:val="22"/>
          <w:color w:val="auto"/>
        </w:rPr>
        <w:t>489 U.S. 101 (1989), and shall accord due deference to the determinations,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interpretations, and construction of the Plan document by the Claim’s Administrator.</w:t>
      </w:r>
    </w:p>
    <w:p>
      <w:pPr>
        <w:spacing w:after="0" w:line="181" w:lineRule="exact"/>
        <w:rPr>
          <w:rFonts w:ascii="Times New Roman" w:cs="Times New Roman" w:eastAsia="Times New Roman" w:hAnsi="Times New Roman"/>
          <w:sz w:val="22"/>
          <w:szCs w:val="22"/>
          <w:i w:val="1"/>
          <w:iCs w:val="1"/>
          <w:color w:val="auto"/>
        </w:rPr>
      </w:pPr>
    </w:p>
    <w:p>
      <w:pPr>
        <w:ind w:left="1940" w:hanging="312"/>
        <w:spacing w:after="0"/>
        <w:tabs>
          <w:tab w:leader="none" w:pos="1940" w:val="left"/>
        </w:tabs>
        <w:numPr>
          <w:ilvl w:val="1"/>
          <w:numId w:val="17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General Procedures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i w:val="1"/>
          <w:iCs w:val="1"/>
          <w:color w:val="auto"/>
        </w:rPr>
      </w:pPr>
    </w:p>
    <w:p>
      <w:pPr>
        <w:ind w:left="1440" w:right="20" w:hanging="136"/>
        <w:spacing w:after="0" w:line="250" w:lineRule="auto"/>
        <w:tabs>
          <w:tab w:leader="none" w:pos="143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Rules</w:t>
      </w:r>
      <w:r>
        <w:rPr>
          <w:rFonts w:ascii="Times New Roman" w:cs="Times New Roman" w:eastAsia="Times New Roman" w:hAnsi="Times New Roman"/>
          <w:sz w:val="22"/>
          <w:szCs w:val="22"/>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180" w:lineRule="exact"/>
        <w:rPr>
          <w:rFonts w:ascii="Times New Roman" w:cs="Times New Roman" w:eastAsia="Times New Roman" w:hAnsi="Times New Roman"/>
          <w:sz w:val="22"/>
          <w:szCs w:val="22"/>
          <w:color w:val="auto"/>
        </w:rPr>
      </w:pPr>
    </w:p>
    <w:p>
      <w:pPr>
        <w:ind w:left="1440" w:hanging="136"/>
        <w:spacing w:after="0" w:line="271" w:lineRule="auto"/>
        <w:tabs>
          <w:tab w:leader="none" w:pos="195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Substantive Law</w:t>
      </w:r>
      <w:r>
        <w:rPr>
          <w:rFonts w:ascii="Times New Roman" w:cs="Times New Roman" w:eastAsia="Times New Roman" w:hAnsi="Times New Roman"/>
          <w:sz w:val="22"/>
          <w:szCs w:val="22"/>
          <w:color w:val="auto"/>
        </w:rPr>
        <w:t>. The arbitrator shall apply the substantive law (and the laws of remedies, if applicable), of Minnesota or federal law, or both, depending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17" w:right="3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40" w:right="120"/>
        <w:spacing w:after="0" w:line="295" w:lineRule="auto"/>
        <w:rPr>
          <w:sz w:val="20"/>
          <w:szCs w:val="20"/>
          <w:color w:val="auto"/>
        </w:rPr>
      </w:pPr>
      <w:r>
        <w:rPr>
          <w:rFonts w:ascii="Times New Roman" w:cs="Times New Roman" w:eastAsia="Times New Roman" w:hAnsi="Times New Roman"/>
          <w:sz w:val="21"/>
          <w:szCs w:val="21"/>
          <w:color w:val="auto"/>
        </w:rPr>
        <w:t>upon the claim. Except to the extent required by applicable law, the Claimant shall keep any arbitration decision or award strictly confidential and not disclose to anyone other than his or her spouse, attorney, or tax advisor.</w:t>
      </w:r>
    </w:p>
    <w:p>
      <w:pPr>
        <w:spacing w:after="0" w:line="135" w:lineRule="exact"/>
        <w:rPr>
          <w:sz w:val="20"/>
          <w:szCs w:val="20"/>
          <w:color w:val="auto"/>
        </w:rPr>
      </w:pPr>
    </w:p>
    <w:p>
      <w:pPr>
        <w:jc w:val="both"/>
        <w:ind w:left="1440" w:right="20" w:hanging="136"/>
        <w:spacing w:after="0" w:line="256" w:lineRule="auto"/>
        <w:tabs>
          <w:tab w:leader="none" w:pos="194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176" w:lineRule="exact"/>
        <w:rPr>
          <w:rFonts w:ascii="Times New Roman" w:cs="Times New Roman" w:eastAsia="Times New Roman" w:hAnsi="Times New Roman"/>
          <w:sz w:val="22"/>
          <w:szCs w:val="22"/>
          <w:color w:val="auto"/>
        </w:rPr>
      </w:pPr>
    </w:p>
    <w:p>
      <w:pPr>
        <w:ind w:left="1440" w:right="20" w:hanging="136"/>
        <w:spacing w:after="0" w:line="256" w:lineRule="auto"/>
        <w:tabs>
          <w:tab w:leader="none" w:pos="1937"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Pre-Hearing Procedures</w:t>
      </w:r>
      <w:r>
        <w:rPr>
          <w:rFonts w:ascii="Times New Roman" w:cs="Times New Roman" w:eastAsia="Times New Roman" w:hAnsi="Times New Roman"/>
          <w:sz w:val="22"/>
          <w:szCs w:val="22"/>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76" w:lineRule="exact"/>
        <w:rPr>
          <w:rFonts w:ascii="Times New Roman" w:cs="Times New Roman" w:eastAsia="Times New Roman" w:hAnsi="Times New Roman"/>
          <w:sz w:val="22"/>
          <w:szCs w:val="22"/>
          <w:color w:val="auto"/>
        </w:rPr>
      </w:pPr>
    </w:p>
    <w:p>
      <w:pPr>
        <w:ind w:left="1440" w:hanging="136"/>
        <w:spacing w:after="0" w:line="248" w:lineRule="auto"/>
        <w:tabs>
          <w:tab w:leader="none" w:pos="1944"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Costs</w:t>
      </w:r>
      <w:r>
        <w:rPr>
          <w:rFonts w:ascii="Times New Roman" w:cs="Times New Roman" w:eastAsia="Times New Roman" w:hAnsi="Times New Roman"/>
          <w:sz w:val="22"/>
          <w:szCs w:val="22"/>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98" w:lineRule="exact"/>
        <w:rPr>
          <w:rFonts w:ascii="Times New Roman" w:cs="Times New Roman" w:eastAsia="Times New Roman" w:hAnsi="Times New Roman"/>
          <w:sz w:val="22"/>
          <w:szCs w:val="22"/>
          <w:color w:val="auto"/>
        </w:rPr>
      </w:pPr>
    </w:p>
    <w:p>
      <w:pPr>
        <w:ind w:left="1960" w:right="200" w:hanging="494"/>
        <w:spacing w:after="0" w:line="268" w:lineRule="auto"/>
        <w:tabs>
          <w:tab w:leader="none" w:pos="1948" w:val="left"/>
        </w:tabs>
        <w:numPr>
          <w:ilvl w:val="2"/>
          <w:numId w:val="18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u w:val="single" w:color="auto"/>
          <w:color w:val="auto"/>
        </w:rPr>
        <w:t>Interstate Commerce and the Federal Arbitration Act</w:t>
      </w:r>
      <w:r>
        <w:rPr>
          <w:rFonts w:ascii="Times New Roman" w:cs="Times New Roman" w:eastAsia="Times New Roman" w:hAnsi="Times New Roman"/>
          <w:sz w:val="21"/>
          <w:szCs w:val="21"/>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200" w:lineRule="exact"/>
        <w:rPr>
          <w:rFonts w:ascii="Times New Roman" w:cs="Times New Roman" w:eastAsia="Times New Roman" w:hAnsi="Times New Roman"/>
          <w:sz w:val="21"/>
          <w:szCs w:val="21"/>
          <w:i w:val="1"/>
          <w:iCs w:val="1"/>
          <w:color w:val="auto"/>
        </w:rPr>
      </w:pPr>
    </w:p>
    <w:p>
      <w:pPr>
        <w:spacing w:after="0" w:line="233" w:lineRule="exact"/>
        <w:rPr>
          <w:rFonts w:ascii="Times New Roman" w:cs="Times New Roman" w:eastAsia="Times New Roman" w:hAnsi="Times New Roman"/>
          <w:sz w:val="21"/>
          <w:szCs w:val="21"/>
          <w:i w:val="1"/>
          <w:iCs w:val="1"/>
          <w:color w:val="auto"/>
        </w:rPr>
      </w:pPr>
    </w:p>
    <w:p>
      <w:pPr>
        <w:ind w:right="120" w:firstLine="8"/>
        <w:spacing w:after="0" w:line="263" w:lineRule="auto"/>
        <w:tabs>
          <w:tab w:leader="none" w:pos="37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of Actions.</w:t>
      </w:r>
      <w:r>
        <w:rPr>
          <w:rFonts w:ascii="Times New Roman" w:cs="Times New Roman" w:eastAsia="Times New Roman" w:hAnsi="Times New Roman"/>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94" w:lineRule="exact"/>
        <w:rPr>
          <w:rFonts w:ascii="Times New Roman" w:cs="Times New Roman" w:eastAsia="Times New Roman" w:hAnsi="Times New Roman"/>
          <w:sz w:val="22"/>
          <w:szCs w:val="22"/>
          <w:color w:val="auto"/>
        </w:rPr>
      </w:pPr>
    </w:p>
    <w:p>
      <w:pPr>
        <w:ind w:right="160" w:firstLine="8"/>
        <w:spacing w:after="0" w:line="271" w:lineRule="auto"/>
        <w:tabs>
          <w:tab w:leader="none" w:pos="517"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Impact on Other Benefits</w:t>
      </w:r>
      <w:r>
        <w:rPr>
          <w:rFonts w:ascii="Times New Roman" w:cs="Times New Roman" w:eastAsia="Times New Roman" w:hAnsi="Times New Roman"/>
          <w:sz w:val="22"/>
          <w:szCs w:val="22"/>
          <w:color w:val="auto"/>
        </w:rPr>
        <w:t>. The Grant or payment on account thereof shall not be taken into account in determining any benefits under any severance, retirement, welfare,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17"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2"/>
          <w:szCs w:val="22"/>
          <w:color w:val="auto"/>
        </w:rPr>
        <w:t>insurance or other benefit plan of ALLETE or any affiliate except to the extent otherwise expressly provided in writing in such other plan or an agreement thereunder.</w:t>
      </w:r>
    </w:p>
    <w:p>
      <w:pPr>
        <w:spacing w:after="0" w:line="185" w:lineRule="exact"/>
        <w:rPr>
          <w:sz w:val="20"/>
          <w:szCs w:val="20"/>
          <w:color w:val="auto"/>
        </w:rPr>
      </w:pPr>
    </w:p>
    <w:p>
      <w:pPr>
        <w:ind w:right="60" w:firstLine="8"/>
        <w:spacing w:after="0" w:line="263" w:lineRule="auto"/>
        <w:tabs>
          <w:tab w:leader="none" w:pos="47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hereunder to ALLETE shall be addressed to ALLETE, 30 West Superior Street, Duluth, Minnesota 55802, Attention: Director – Human Resources, and any notice hereunder to you shall be directed to your address as indicated by ALLETE’s records, subject to the right of either party to designate at any time hereafter in writing some other address.</w:t>
      </w:r>
    </w:p>
    <w:p>
      <w:pPr>
        <w:spacing w:after="0" w:line="194" w:lineRule="exact"/>
        <w:rPr>
          <w:rFonts w:ascii="Times New Roman" w:cs="Times New Roman" w:eastAsia="Times New Roman" w:hAnsi="Times New Roman"/>
          <w:sz w:val="22"/>
          <w:szCs w:val="22"/>
          <w:color w:val="auto"/>
        </w:rPr>
      </w:pPr>
    </w:p>
    <w:p>
      <w:pPr>
        <w:ind w:firstLine="8"/>
        <w:spacing w:after="0" w:line="272" w:lineRule="auto"/>
        <w:tabs>
          <w:tab w:leader="none" w:pos="486"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Severability.</w:t>
      </w:r>
      <w:r>
        <w:rPr>
          <w:rFonts w:ascii="Times New Roman" w:cs="Times New Roman" w:eastAsia="Times New Roman" w:hAnsi="Times New Roman"/>
          <w:sz w:val="21"/>
          <w:szCs w:val="21"/>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87" w:lineRule="exact"/>
        <w:rPr>
          <w:rFonts w:ascii="Times New Roman" w:cs="Times New Roman" w:eastAsia="Times New Roman" w:hAnsi="Times New Roman"/>
          <w:sz w:val="21"/>
          <w:szCs w:val="21"/>
          <w:color w:val="auto"/>
        </w:rPr>
      </w:pPr>
    </w:p>
    <w:p>
      <w:pPr>
        <w:ind w:right="180" w:firstLine="8"/>
        <w:spacing w:after="0" w:line="271" w:lineRule="auto"/>
        <w:tabs>
          <w:tab w:leader="none" w:pos="48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not otherwise defined herein shall have the meanings given them in the Plan. The following definitions apply to the Grant and this Annex A:</w:t>
      </w:r>
    </w:p>
    <w:p>
      <w:pPr>
        <w:spacing w:after="0" w:line="181" w:lineRule="exact"/>
        <w:rPr>
          <w:sz w:val="20"/>
          <w:szCs w:val="20"/>
          <w:color w:val="auto"/>
        </w:rPr>
      </w:pPr>
    </w:p>
    <w:p>
      <w:pPr>
        <w:ind w:left="660" w:right="100"/>
        <w:spacing w:after="0" w:line="259"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Claims Administrator”</w:t>
      </w:r>
      <w:r>
        <w:rPr>
          <w:rFonts w:ascii="Times New Roman" w:cs="Times New Roman" w:eastAsia="Times New Roman" w:hAnsi="Times New Roman"/>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80" w:lineRule="exact"/>
        <w:rPr>
          <w:sz w:val="20"/>
          <w:szCs w:val="20"/>
          <w:color w:val="auto"/>
        </w:rPr>
      </w:pPr>
    </w:p>
    <w:p>
      <w:pPr>
        <w:ind w:left="740"/>
        <w:spacing w:after="0"/>
        <w:tabs>
          <w:tab w:leader="none" w:pos="132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earliest of:</w:t>
      </w:r>
    </w:p>
    <w:p>
      <w:pPr>
        <w:spacing w:after="0" w:line="197" w:lineRule="exact"/>
        <w:rPr>
          <w:sz w:val="20"/>
          <w:szCs w:val="20"/>
          <w:color w:val="auto"/>
        </w:rPr>
      </w:pPr>
    </w:p>
    <w:p>
      <w:pPr>
        <w:ind w:left="1800" w:right="80" w:hanging="658"/>
        <w:spacing w:after="0" w:line="211" w:lineRule="auto"/>
        <w:tabs>
          <w:tab w:leader="none" w:pos="178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158" w:lineRule="exact"/>
        <w:rPr>
          <w:rFonts w:ascii="Times New Roman" w:cs="Times New Roman" w:eastAsia="Times New Roman" w:hAnsi="Times New Roman"/>
          <w:sz w:val="22"/>
          <w:szCs w:val="22"/>
          <w:color w:val="auto"/>
        </w:rPr>
      </w:pPr>
    </w:p>
    <w:p>
      <w:pPr>
        <w:ind w:left="1800" w:right="160" w:hanging="658"/>
        <w:spacing w:after="0" w:line="220" w:lineRule="auto"/>
        <w:tabs>
          <w:tab w:leader="none" w:pos="179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52" w:lineRule="exact"/>
        <w:rPr>
          <w:rFonts w:ascii="Times New Roman" w:cs="Times New Roman" w:eastAsia="Times New Roman" w:hAnsi="Times New Roman"/>
          <w:sz w:val="22"/>
          <w:szCs w:val="22"/>
          <w:color w:val="auto"/>
        </w:rPr>
      </w:pPr>
    </w:p>
    <w:p>
      <w:pPr>
        <w:ind w:left="1800" w:right="240" w:hanging="658"/>
        <w:spacing w:after="0" w:line="236" w:lineRule="auto"/>
        <w:tabs>
          <w:tab w:leader="none" w:pos="18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majority of the members of the Company’s board of directors is replaced during any twelve (12) month period by directors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17"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0" w:right="260"/>
        <w:spacing w:after="0" w:line="236" w:lineRule="auto"/>
        <w:rPr>
          <w:sz w:val="20"/>
          <w:szCs w:val="20"/>
          <w:color w:val="auto"/>
        </w:rPr>
      </w:pPr>
      <w:r>
        <w:rPr>
          <w:rFonts w:ascii="Times New Roman" w:cs="Times New Roman" w:eastAsia="Times New Roman" w:hAnsi="Times New Roman"/>
          <w:sz w:val="22"/>
          <w:szCs w:val="22"/>
          <w:color w:val="auto"/>
        </w:rPr>
        <w:t>appointment or election is not endorsed by a majority of the members of the board of directors prior to the date of appointment or election; or</w:t>
      </w:r>
    </w:p>
    <w:p>
      <w:pPr>
        <w:spacing w:after="0" w:line="150" w:lineRule="exact"/>
        <w:rPr>
          <w:sz w:val="20"/>
          <w:szCs w:val="20"/>
          <w:color w:val="auto"/>
        </w:rPr>
      </w:pPr>
    </w:p>
    <w:p>
      <w:pPr>
        <w:ind w:left="1800" w:right="80" w:hanging="658"/>
        <w:spacing w:after="0" w:line="213" w:lineRule="auto"/>
        <w:tabs>
          <w:tab w:leader="none" w:pos="178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83" w:lineRule="exact"/>
        <w:rPr>
          <w:sz w:val="20"/>
          <w:szCs w:val="20"/>
          <w:color w:val="auto"/>
        </w:rPr>
      </w:pPr>
    </w:p>
    <w:p>
      <w:pPr>
        <w:ind w:left="580"/>
        <w:spacing w:after="0" w:line="251" w:lineRule="auto"/>
        <w:rPr>
          <w:sz w:val="20"/>
          <w:szCs w:val="20"/>
          <w:color w:val="auto"/>
        </w:rPr>
      </w:pPr>
      <w:r>
        <w:rPr>
          <w:rFonts w:ascii="Times New Roman" w:cs="Times New Roman" w:eastAsia="Times New Roman" w:hAnsi="Times New Roman"/>
          <w:sz w:val="22"/>
          <w:szCs w:val="22"/>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81" w:lineRule="exact"/>
        <w:rPr>
          <w:sz w:val="20"/>
          <w:szCs w:val="20"/>
          <w:color w:val="auto"/>
        </w:rPr>
      </w:pPr>
    </w:p>
    <w:p>
      <w:pPr>
        <w:ind w:left="580" w:right="180"/>
        <w:spacing w:after="0" w:line="271" w:lineRule="auto"/>
        <w:rPr>
          <w:sz w:val="20"/>
          <w:szCs w:val="20"/>
          <w:color w:val="auto"/>
        </w:rPr>
      </w:pPr>
      <w:r>
        <w:rPr>
          <w:rFonts w:ascii="Times New Roman" w:cs="Times New Roman" w:eastAsia="Times New Roman" w:hAnsi="Times New Roman"/>
          <w:sz w:val="22"/>
          <w:szCs w:val="22"/>
          <w:color w:val="auto"/>
        </w:rPr>
        <w:t>Notwithstanding the foregoing, for purposes of the Grant and its administration, the Merger shall not constitute a Change in Control.</w:t>
      </w:r>
    </w:p>
    <w:p>
      <w:pPr>
        <w:spacing w:after="0" w:line="167"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it may be amended from time to time.</w:t>
      </w:r>
    </w:p>
    <w:p>
      <w:pPr>
        <w:spacing w:after="0" w:line="220" w:lineRule="exact"/>
        <w:rPr>
          <w:sz w:val="20"/>
          <w:szCs w:val="20"/>
          <w:color w:val="auto"/>
        </w:rPr>
      </w:pPr>
    </w:p>
    <w:p>
      <w:pPr>
        <w:ind w:left="580"/>
        <w:spacing w:after="0"/>
        <w:tabs>
          <w:tab w:leader="none" w:pos="10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Disabled</w:t>
      </w:r>
      <w:r>
        <w:rPr>
          <w:rFonts w:ascii="Times New Roman" w:cs="Times New Roman" w:eastAsia="Times New Roman" w:hAnsi="Times New Roman"/>
          <w:sz w:val="21"/>
          <w:szCs w:val="21"/>
          <w:color w:val="auto"/>
        </w:rPr>
        <w:t>” means a physical or mental condition in which the Participant is:</w:t>
      </w:r>
    </w:p>
    <w:p>
      <w:pPr>
        <w:spacing w:after="0" w:line="197" w:lineRule="exact"/>
        <w:rPr>
          <w:sz w:val="20"/>
          <w:szCs w:val="20"/>
          <w:color w:val="auto"/>
        </w:rPr>
      </w:pPr>
    </w:p>
    <w:p>
      <w:pPr>
        <w:ind w:left="1880" w:right="100" w:hanging="657"/>
        <w:spacing w:after="0" w:line="225" w:lineRule="auto"/>
        <w:tabs>
          <w:tab w:leader="none" w:pos="186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2" w:lineRule="exact"/>
        <w:rPr>
          <w:rFonts w:ascii="Times New Roman" w:cs="Times New Roman" w:eastAsia="Times New Roman" w:hAnsi="Times New Roman"/>
          <w:sz w:val="22"/>
          <w:szCs w:val="22"/>
          <w:color w:val="auto"/>
        </w:rPr>
      </w:pPr>
    </w:p>
    <w:p>
      <w:pPr>
        <w:ind w:left="1880" w:right="140" w:hanging="657"/>
        <w:spacing w:after="0" w:line="220" w:lineRule="auto"/>
        <w:tabs>
          <w:tab w:leader="none" w:pos="187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52" w:lineRule="exact"/>
        <w:rPr>
          <w:rFonts w:ascii="Times New Roman" w:cs="Times New Roman" w:eastAsia="Times New Roman" w:hAnsi="Times New Roman"/>
          <w:sz w:val="22"/>
          <w:szCs w:val="22"/>
          <w:color w:val="auto"/>
        </w:rPr>
      </w:pPr>
    </w:p>
    <w:p>
      <w:pPr>
        <w:ind w:left="1880" w:hanging="657"/>
        <w:spacing w:after="0"/>
        <w:tabs>
          <w:tab w:leader="none" w:pos="188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to be totally disabled by the Social Security Administration; or</w:t>
      </w:r>
    </w:p>
    <w:p>
      <w:pPr>
        <w:spacing w:after="0" w:line="179" w:lineRule="exact"/>
        <w:rPr>
          <w:rFonts w:ascii="Times New Roman" w:cs="Times New Roman" w:eastAsia="Times New Roman" w:hAnsi="Times New Roman"/>
          <w:sz w:val="22"/>
          <w:szCs w:val="22"/>
          <w:color w:val="auto"/>
        </w:rPr>
      </w:pPr>
    </w:p>
    <w:p>
      <w:pPr>
        <w:ind w:left="1880" w:hanging="657"/>
        <w:spacing w:after="0" w:line="225" w:lineRule="auto"/>
        <w:tabs>
          <w:tab w:leader="none" w:pos="186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7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Merger</w:t>
      </w:r>
      <w:r>
        <w:rPr>
          <w:rFonts w:ascii="Times New Roman" w:cs="Times New Roman" w:eastAsia="Times New Roman" w:hAnsi="Times New Roman"/>
          <w:sz w:val="21"/>
          <w:szCs w:val="21"/>
          <w:color w:val="auto"/>
        </w:rPr>
        <w:t>” shall have the meaning set forth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17" w:right="3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
        <w:spacing w:after="0"/>
        <w:tabs>
          <w:tab w:leader="none" w:pos="86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b w:val="1"/>
          <w:bCs w:val="1"/>
          <w:color w:val="auto"/>
        </w:rPr>
        <w:t xml:space="preserve">“Merger Agreement” </w:t>
      </w:r>
      <w:r>
        <w:rPr>
          <w:rFonts w:ascii="Times New Roman" w:cs="Times New Roman" w:eastAsia="Times New Roman" w:hAnsi="Times New Roman"/>
          <w:sz w:val="21"/>
          <w:szCs w:val="21"/>
          <w:color w:val="auto"/>
        </w:rPr>
        <w:t>means the Agreement and Plan of Merger dated as of</w:t>
      </w:r>
    </w:p>
    <w:p>
      <w:pPr>
        <w:spacing w:after="0" w:line="32" w:lineRule="exact"/>
        <w:rPr>
          <w:sz w:val="20"/>
          <w:szCs w:val="20"/>
          <w:color w:val="auto"/>
        </w:rPr>
      </w:pPr>
    </w:p>
    <w:p>
      <w:pPr>
        <w:ind w:left="660" w:right="40"/>
        <w:spacing w:after="0" w:line="248" w:lineRule="auto"/>
        <w:rPr>
          <w:sz w:val="20"/>
          <w:szCs w:val="20"/>
          <w:color w:val="auto"/>
        </w:rPr>
      </w:pPr>
      <w:r>
        <w:rPr>
          <w:rFonts w:ascii="Times New Roman" w:cs="Times New Roman" w:eastAsia="Times New Roman" w:hAnsi="Times New Roman"/>
          <w:sz w:val="22"/>
          <w:szCs w:val="22"/>
          <w:color w:val="auto"/>
        </w:rPr>
        <w:t>May 5, 2024, by and among the Company, Alloy Parent LLC, a Delaware limited liability company (“Parent”), and Alloy Merger Sub LLC, a Delaware limited liability company and wholly owned subsidiary of Parent.</w:t>
      </w:r>
    </w:p>
    <w:p>
      <w:pPr>
        <w:spacing w:after="0" w:line="21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b w:val="1"/>
          <w:bCs w:val="1"/>
          <w:color w:val="auto"/>
        </w:rPr>
        <w:t>“Merger Effective Time</w:t>
      </w:r>
      <w:r>
        <w:rPr>
          <w:rFonts w:ascii="Times New Roman" w:cs="Times New Roman" w:eastAsia="Times New Roman" w:hAnsi="Times New Roman"/>
          <w:sz w:val="21"/>
          <w:szCs w:val="21"/>
          <w:color w:val="auto"/>
        </w:rPr>
        <w:t>” means the Effective Time of the Merger, as defined in the Merger Agreement.</w:t>
      </w:r>
    </w:p>
    <w:p>
      <w:pPr>
        <w:spacing w:after="0" w:line="247" w:lineRule="exact"/>
        <w:rPr>
          <w:sz w:val="20"/>
          <w:szCs w:val="20"/>
          <w:color w:val="auto"/>
        </w:rPr>
      </w:pPr>
    </w:p>
    <w:p>
      <w:pPr>
        <w:ind w:left="660" w:right="20"/>
        <w:spacing w:after="0" w:line="248"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Related Company</w:t>
      </w:r>
      <w:r>
        <w:rPr>
          <w:rFonts w:ascii="Times New Roman" w:cs="Times New Roman" w:eastAsia="Times New Roman" w:hAnsi="Times New Roman"/>
          <w:sz w:val="22"/>
          <w:szCs w:val="22"/>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212" w:lineRule="exact"/>
        <w:rPr>
          <w:sz w:val="20"/>
          <w:szCs w:val="20"/>
          <w:color w:val="auto"/>
        </w:rPr>
      </w:pPr>
    </w:p>
    <w:p>
      <w:pPr>
        <w:ind w:left="660" w:right="200"/>
        <w:spacing w:after="0" w:line="250" w:lineRule="auto"/>
        <w:rPr>
          <w:sz w:val="20"/>
          <w:szCs w:val="20"/>
          <w:color w:val="auto"/>
        </w:rPr>
      </w:pPr>
      <w:r>
        <w:rPr>
          <w:rFonts w:ascii="Times New Roman" w:cs="Times New Roman" w:eastAsia="Times New Roman" w:hAnsi="Times New Roman"/>
          <w:sz w:val="22"/>
          <w:szCs w:val="22"/>
          <w:color w:val="auto"/>
        </w:rPr>
        <w:t>13.9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Retires</w:t>
      </w:r>
      <w:r>
        <w:rPr>
          <w:rFonts w:ascii="Times New Roman" w:cs="Times New Roman" w:eastAsia="Times New Roman" w:hAnsi="Times New Roman"/>
          <w:sz w:val="22"/>
          <w:szCs w:val="22"/>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6"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22"/>
          <w:szCs w:val="22"/>
          <w:color w:val="auto"/>
        </w:rPr>
        <w:t>13.10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210" w:lineRule="exact"/>
        <w:rPr>
          <w:sz w:val="20"/>
          <w:szCs w:val="20"/>
          <w:color w:val="auto"/>
        </w:rPr>
      </w:pPr>
    </w:p>
    <w:p>
      <w:pPr>
        <w:ind w:left="660" w:right="140"/>
        <w:spacing w:after="0" w:line="250" w:lineRule="auto"/>
        <w:rPr>
          <w:sz w:val="20"/>
          <w:szCs w:val="20"/>
          <w:color w:val="auto"/>
        </w:rPr>
      </w:pPr>
      <w:r>
        <w:rPr>
          <w:rFonts w:ascii="Times New Roman" w:cs="Times New Roman" w:eastAsia="Times New Roman" w:hAnsi="Times New Roman"/>
          <w:sz w:val="22"/>
          <w:szCs w:val="22"/>
          <w:color w:val="auto"/>
        </w:rPr>
        <w:t>13.11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17" w:right="3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color w:val="auto"/>
        </w:rPr>
        <w:t>Exhibit 10(h)15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180"/>
        <w:spacing w:after="0" w:line="251" w:lineRule="auto"/>
        <w:rPr>
          <w:sz w:val="20"/>
          <w:szCs w:val="20"/>
          <w:color w:val="auto"/>
        </w:rPr>
      </w:pPr>
      <w:r>
        <w:rPr>
          <w:rFonts w:ascii="Times New Roman" w:cs="Times New Roman" w:eastAsia="Times New Roman" w:hAnsi="Times New Roman"/>
          <w:sz w:val="22"/>
          <w:szCs w:val="22"/>
          <w:color w:val="auto"/>
        </w:rPr>
        <w:t>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04" w:lineRule="exact"/>
        <w:rPr>
          <w:sz w:val="20"/>
          <w:szCs w:val="20"/>
          <w:color w:val="auto"/>
        </w:rPr>
      </w:pPr>
    </w:p>
    <w:p>
      <w:pPr>
        <w:ind w:left="660" w:firstLine="81"/>
        <w:spacing w:after="0" w:line="258" w:lineRule="auto"/>
        <w:rPr>
          <w:sz w:val="20"/>
          <w:szCs w:val="20"/>
          <w:color w:val="auto"/>
        </w:rPr>
      </w:pPr>
      <w:r>
        <w:rPr>
          <w:rFonts w:ascii="Times New Roman" w:cs="Times New Roman" w:eastAsia="Times New Roman" w:hAnsi="Times New Roman"/>
          <w:sz w:val="22"/>
          <w:szCs w:val="22"/>
          <w:color w:val="auto"/>
        </w:rPr>
        <w:t>13.12 “</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20"/>
          </w:cols>
          <w:pgMar w:left="320" w:top="117" w:right="459" w:bottom="1440" w:gutter="0" w:footer="0" w:header="0"/>
        </w:sectPr>
      </w:pPr>
    </w:p>
    <w:bookmarkStart w:id="263" w:name="page264"/>
    <w:bookmarkEnd w:id="263"/>
    <w:p>
      <w:pPr>
        <w:ind w:left="20"/>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ALLETE</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EXECUTIVE LONG-TERM INCENTIVE COMPENSATION PLAN</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PERFORMANCE SHARE GRANT</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In accordance with the terms of ALLETE’s Executive Long-Term Incentive Compensation Plan, as amended (the "Plan"), and as</w:t>
      </w:r>
    </w:p>
    <w:p>
      <w:pPr>
        <w:spacing w:after="0" w:line="12" w:lineRule="exact"/>
        <w:rPr>
          <w:sz w:val="20"/>
          <w:szCs w:val="20"/>
          <w:color w:val="auto"/>
        </w:rPr>
      </w:pPr>
    </w:p>
    <w:p>
      <w:pPr>
        <w:ind w:left="20" w:right="20"/>
        <w:spacing w:after="0" w:line="218" w:lineRule="auto"/>
        <w:rPr>
          <w:sz w:val="20"/>
          <w:szCs w:val="20"/>
          <w:color w:val="auto"/>
        </w:rPr>
      </w:pPr>
      <w:r>
        <w:rPr>
          <w:rFonts w:ascii="Times New Roman" w:cs="Times New Roman" w:eastAsia="Times New Roman" w:hAnsi="Times New Roman"/>
          <w:sz w:val="22"/>
          <w:szCs w:val="22"/>
          <w:color w:val="auto"/>
        </w:rPr>
        <w:t xml:space="preserve">determined by and through the Executive Compensation Committee of ALLETE’s Board of Directors, ALLETE hereby grants to you (the "Participant") Performance Shares, as set forth below, subject to the terms and conditions set forth in this Grant, including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hereto and all documents incorporated herein by reference:</w:t>
      </w:r>
    </w:p>
    <w:p>
      <w:pPr>
        <w:spacing w:after="0" w:line="232" w:lineRule="exact"/>
        <w:rPr>
          <w:sz w:val="20"/>
          <w:szCs w:val="20"/>
          <w:color w:val="auto"/>
        </w:rPr>
      </w:pPr>
    </w:p>
    <w:p>
      <w:pPr>
        <w:ind w:left="800" w:right="4480" w:hanging="799"/>
        <w:spacing w:after="0" w:line="225" w:lineRule="auto"/>
        <w:rPr>
          <w:sz w:val="20"/>
          <w:szCs w:val="20"/>
          <w:color w:val="auto"/>
        </w:rPr>
      </w:pPr>
      <w:r>
        <w:rPr>
          <w:rFonts w:ascii="Times New Roman" w:cs="Times New Roman" w:eastAsia="Times New Roman" w:hAnsi="Times New Roman"/>
          <w:sz w:val="22"/>
          <w:szCs w:val="22"/>
          <w:color w:val="auto"/>
        </w:rPr>
        <w:t>Number of Performance Shares Granted: «Total_Performance_shares» [#]–Total Shareholder Return Metric «PSA_TSR__shares» [#]–Compound Annual Growth Rate Metric «PSA_CAGR__shares»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Grant: January 29, 2025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Period: January 1, 2025 through December 31, 2027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Performance Goals: See </w:t>
      </w:r>
      <w:r>
        <w:rPr>
          <w:rFonts w:ascii="Times New Roman" w:cs="Times New Roman" w:eastAsia="Times New Roman" w:hAnsi="Times New Roman"/>
          <w:sz w:val="22"/>
          <w:szCs w:val="22"/>
          <w:u w:val="single" w:color="auto"/>
          <w:color w:val="auto"/>
        </w:rPr>
        <w:t>Annex B</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This Grant is made in accordance with the Plan.</w:t>
      </w:r>
    </w:p>
    <w:p>
      <w:pPr>
        <w:spacing w:after="0" w:line="206" w:lineRule="exact"/>
        <w:rPr>
          <w:sz w:val="20"/>
          <w:szCs w:val="20"/>
          <w:color w:val="auto"/>
        </w:rPr>
      </w:pPr>
    </w:p>
    <w:p>
      <w:pPr>
        <w:ind w:left="20"/>
        <w:spacing w:after="0" w:line="236" w:lineRule="auto"/>
        <w:rPr>
          <w:sz w:val="20"/>
          <w:szCs w:val="20"/>
          <w:color w:val="auto"/>
        </w:rPr>
      </w:pPr>
      <w:r>
        <w:rPr>
          <w:rFonts w:ascii="Times New Roman" w:cs="Times New Roman" w:eastAsia="Times New Roman" w:hAnsi="Times New Roman"/>
          <w:sz w:val="22"/>
          <w:szCs w:val="22"/>
          <w:color w:val="auto"/>
        </w:rPr>
        <w:t xml:space="preserve">Further terms and conditions of the Grant are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and Performance Goals are set forth in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hereto, both of which are integral parts of this Grant.</w:t>
      </w:r>
    </w:p>
    <w:p>
      <w:pPr>
        <w:spacing w:after="0" w:line="177" w:lineRule="exact"/>
        <w:rPr>
          <w:sz w:val="20"/>
          <w:szCs w:val="20"/>
          <w:color w:val="auto"/>
        </w:rPr>
      </w:pPr>
    </w:p>
    <w:p>
      <w:pPr>
        <w:ind w:left="20" w:right="420"/>
        <w:spacing w:after="0" w:line="225" w:lineRule="auto"/>
        <w:rPr>
          <w:sz w:val="20"/>
          <w:szCs w:val="20"/>
          <w:color w:val="auto"/>
        </w:rPr>
      </w:pPr>
      <w:r>
        <w:rPr>
          <w:rFonts w:ascii="Times New Roman" w:cs="Times New Roman" w:eastAsia="Times New Roman" w:hAnsi="Times New Roman"/>
          <w:sz w:val="22"/>
          <w:szCs w:val="22"/>
          <w:color w:val="auto"/>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spacing w:after="0" w:line="193" w:lineRule="exact"/>
        <w:rPr>
          <w:sz w:val="20"/>
          <w:szCs w:val="20"/>
          <w:color w:val="auto"/>
        </w:rPr>
      </w:pPr>
    </w:p>
    <w:p>
      <w:pPr>
        <w:jc w:val="both"/>
        <w:ind w:left="20" w:right="440"/>
        <w:spacing w:after="0" w:line="225" w:lineRule="auto"/>
        <w:rPr>
          <w:sz w:val="20"/>
          <w:szCs w:val="20"/>
          <w:color w:val="auto"/>
        </w:rPr>
      </w:pPr>
      <w:r>
        <w:rPr>
          <w:rFonts w:ascii="Times New Roman" w:cs="Times New Roman" w:eastAsia="Times New Roman" w:hAnsi="Times New Roman"/>
          <w:sz w:val="22"/>
          <w:szCs w:val="22"/>
          <w:color w:val="auto"/>
        </w:rPr>
        <w:t xml:space="preserve">YOU SHOULD CAREFULLY READ AND REVIEW THE TERMS AND CONDITIONS SET FORTH IN THIS GRANT, INCLUDING </w:t>
      </w:r>
      <w:r>
        <w:rPr>
          <w:rFonts w:ascii="Times New Roman" w:cs="Times New Roman" w:eastAsia="Times New Roman" w:hAnsi="Times New Roman"/>
          <w:sz w:val="22"/>
          <w:szCs w:val="22"/>
          <w:u w:val="single" w:color="auto"/>
          <w:color w:val="auto"/>
        </w:rPr>
        <w:t>ANNEX A HERETO</w:t>
      </w:r>
      <w:r>
        <w:rPr>
          <w:rFonts w:ascii="Times New Roman" w:cs="Times New Roman" w:eastAsia="Times New Roman" w:hAnsi="Times New Roman"/>
          <w:sz w:val="22"/>
          <w:szCs w:val="22"/>
          <w:color w:val="auto"/>
        </w:rPr>
        <w:t>, WHICH CONTAINS IMPORTANT INFORMATION, INCLUDING MANDATORY CLAIMS AND ARBITRATION PROCEDURES.</w:t>
      </w:r>
    </w:p>
    <w:p>
      <w:pPr>
        <w:spacing w:after="0" w:line="179" w:lineRule="exact"/>
        <w:rPr>
          <w:sz w:val="20"/>
          <w:szCs w:val="20"/>
          <w:color w:val="auto"/>
        </w:rPr>
      </w:pPr>
    </w:p>
    <w:p>
      <w:pPr>
        <w:ind w:left="20" w:right="60"/>
        <w:spacing w:after="0" w:line="225" w:lineRule="auto"/>
        <w:rPr>
          <w:sz w:val="20"/>
          <w:szCs w:val="20"/>
          <w:color w:val="auto"/>
        </w:rPr>
      </w:pPr>
      <w:r>
        <w:rPr>
          <w:rFonts w:ascii="Times New Roman" w:cs="Times New Roman" w:eastAsia="Times New Roman" w:hAnsi="Times New Roman"/>
          <w:sz w:val="22"/>
          <w:szCs w:val="22"/>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 – Human Resources, in writing within sixty (60) days of the Date of Grant.</w:t>
      </w:r>
    </w:p>
    <w:p>
      <w:pPr>
        <w:spacing w:after="0" w:line="193" w:lineRule="exact"/>
        <w:rPr>
          <w:sz w:val="20"/>
          <w:szCs w:val="20"/>
          <w:color w:val="auto"/>
        </w:rPr>
      </w:pPr>
    </w:p>
    <w:p>
      <w:pPr>
        <w:ind w:left="20" w:right="80"/>
        <w:spacing w:after="0" w:line="236" w:lineRule="auto"/>
        <w:rPr>
          <w:sz w:val="20"/>
          <w:szCs w:val="20"/>
          <w:color w:val="auto"/>
        </w:rPr>
      </w:pPr>
      <w:r>
        <w:rPr>
          <w:rFonts w:ascii="Times New Roman" w:cs="Times New Roman" w:eastAsia="Times New Roman" w:hAnsi="Times New Roman"/>
          <w:sz w:val="22"/>
          <w:szCs w:val="22"/>
          <w:color w:val="auto"/>
        </w:rPr>
        <w:t>IN WITNESS WHEREOF, ALLETE has caused this Grant to be executed by its Chair, President and Chief Executive Officer as of the date and year first above written.</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ALLETE</w:t>
      </w:r>
      <w:r>
        <w:rPr>
          <w:sz w:val="1"/>
          <w:szCs w:val="1"/>
          <w:color w:val="auto"/>
        </w:rPr>
        <w:drawing>
          <wp:inline distT="0" distB="0" distL="0" distR="0">
            <wp:extent cx="2143125" cy="25717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9">
                      <a:extLst>
                        <a:ext uri="{28A0092B-C50C-407E-A947-70E740481C1C}"/>
                      </a:extLst>
                    </a:blip>
                    <a:srcRect/>
                    <a:stretch>
                      <a:fillRect/>
                    </a:stretch>
                  </pic:blipFill>
                  <pic:spPr bwMode="auto">
                    <a:xfrm>
                      <a:off x="0" y="0"/>
                      <a:ext cx="2143125" cy="257175"/>
                    </a:xfrm>
                    <a:prstGeom prst="rect">
                      <a:avLst/>
                    </a:prstGeom>
                    <a:noFill/>
                    <a:ln>
                      <a:noFill/>
                    </a:ln>
                  </pic:spPr>
                </pic:pic>
              </a:graphicData>
            </a:graphic>
          </wp:inline>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149860</wp:posOffset>
            </wp:positionV>
            <wp:extent cx="2777490" cy="2482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0">
                      <a:extLst>
                        <a:ext uri="{28A0092B-C50C-407E-A947-70E740481C1C}"/>
                      </a:extLst>
                    </a:blip>
                    <a:srcRect/>
                    <a:stretch>
                      <a:fillRect/>
                    </a:stretch>
                  </pic:blipFill>
                  <pic:spPr bwMode="auto">
                    <a:xfrm>
                      <a:off x="0" y="0"/>
                      <a:ext cx="277749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22"/>
          <w:szCs w:val="22"/>
          <w:color w:val="auto"/>
        </w:rPr>
        <w:t>Attachments:</w:t>
      </w:r>
      <w:r>
        <w:rPr>
          <w:sz w:val="20"/>
          <w:szCs w:val="20"/>
          <w:color w:val="auto"/>
        </w:rPr>
        <w:tab/>
      </w:r>
      <w:r>
        <w:rPr>
          <w:rFonts w:ascii="Times New Roman" w:cs="Times New Roman" w:eastAsia="Times New Roman" w:hAnsi="Times New Roman"/>
          <w:sz w:val="21"/>
          <w:szCs w:val="21"/>
          <w:u w:val="single" w:color="auto"/>
          <w:color w:val="auto"/>
        </w:rPr>
        <w:t xml:space="preserve">Annex A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Annex B</w:t>
      </w:r>
    </w:p>
    <w:p>
      <w:pPr>
        <w:sectPr>
          <w:pgSz w:w="11900" w:h="16838" w:orient="portrait"/>
          <w:cols w:equalWidth="0" w:num="1">
            <w:col w:w="11220"/>
          </w:cols>
          <w:pgMar w:left="300" w:top="117" w:right="3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u w:val="single" w:color="auto"/>
          <w:color w:val="auto"/>
        </w:rPr>
        <w:t>ANNEX A</w:t>
      </w:r>
    </w:p>
    <w:p>
      <w:pPr>
        <w:jc w:val="center"/>
        <w:ind w:right="-19"/>
        <w:spacing w:after="0" w:line="208" w:lineRule="auto"/>
        <w:rPr>
          <w:sz w:val="20"/>
          <w:szCs w:val="20"/>
          <w:color w:val="auto"/>
        </w:rPr>
      </w:pPr>
      <w:r>
        <w:rPr>
          <w:rFonts w:ascii="Times New Roman" w:cs="Times New Roman" w:eastAsia="Times New Roman" w:hAnsi="Times New Roman"/>
          <w:sz w:val="23"/>
          <w:szCs w:val="23"/>
          <w:b w:val="1"/>
          <w:bCs w:val="1"/>
          <w:color w:val="auto"/>
        </w:rPr>
        <w:t>TO</w:t>
      </w:r>
    </w:p>
    <w:p>
      <w:pPr>
        <w:jc w:val="center"/>
        <w:ind w:right="-19"/>
        <w:spacing w:after="0" w:line="220" w:lineRule="auto"/>
        <w:rPr>
          <w:sz w:val="20"/>
          <w:szCs w:val="20"/>
          <w:color w:val="auto"/>
        </w:rPr>
      </w:pPr>
      <w:r>
        <w:rPr>
          <w:rFonts w:ascii="Times New Roman" w:cs="Times New Roman" w:eastAsia="Times New Roman" w:hAnsi="Times New Roman"/>
          <w:sz w:val="23"/>
          <w:szCs w:val="23"/>
          <w:b w:val="1"/>
          <w:bCs w:val="1"/>
          <w:color w:val="auto"/>
        </w:rPr>
        <w:t>ALLETE</w:t>
      </w:r>
    </w:p>
    <w:p>
      <w:pPr>
        <w:jc w:val="center"/>
        <w:ind w:right="-19"/>
        <w:spacing w:after="0" w:line="209" w:lineRule="auto"/>
        <w:rPr>
          <w:sz w:val="20"/>
          <w:szCs w:val="20"/>
          <w:color w:val="auto"/>
        </w:rPr>
      </w:pPr>
      <w:r>
        <w:rPr>
          <w:rFonts w:ascii="Times New Roman" w:cs="Times New Roman" w:eastAsia="Times New Roman" w:hAnsi="Times New Roman"/>
          <w:sz w:val="23"/>
          <w:szCs w:val="23"/>
          <w:b w:val="1"/>
          <w:bCs w:val="1"/>
          <w:color w:val="auto"/>
        </w:rPr>
        <w:t>EXECUTIVE LONG-TERM INCENTIVE COMPENSATION PLAN</w:t>
      </w: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PERFORMANCE SHARE GRANT</w:t>
      </w:r>
    </w:p>
    <w:p>
      <w:pPr>
        <w:spacing w:after="0" w:line="160" w:lineRule="exact"/>
        <w:rPr>
          <w:sz w:val="20"/>
          <w:szCs w:val="20"/>
          <w:color w:val="auto"/>
        </w:rPr>
      </w:pPr>
    </w:p>
    <w:p>
      <w:pPr>
        <w:ind w:right="40" w:firstLine="212"/>
        <w:spacing w:after="0" w:line="225" w:lineRule="auto"/>
        <w:rPr>
          <w:sz w:val="20"/>
          <w:szCs w:val="20"/>
          <w:color w:val="auto"/>
        </w:rPr>
      </w:pPr>
      <w:r>
        <w:rPr>
          <w:rFonts w:ascii="Times New Roman" w:cs="Times New Roman" w:eastAsia="Times New Roman" w:hAnsi="Times New Roman"/>
          <w:sz w:val="22"/>
          <w:szCs w:val="22"/>
          <w:color w:val="auto"/>
        </w:rPr>
        <w:t>The Performance Share Grant (the “Grant”) to which this is annexed is subject to the following additional terms and conditions, including terms governing the conversion of the Grant into a Converted Cash Grant in connection with the Merger (as such terms are defined below):</w:t>
      </w:r>
    </w:p>
    <w:p>
      <w:pPr>
        <w:spacing w:after="0" w:line="179" w:lineRule="exact"/>
        <w:rPr>
          <w:sz w:val="20"/>
          <w:szCs w:val="20"/>
          <w:color w:val="auto"/>
        </w:rPr>
      </w:pPr>
    </w:p>
    <w:p>
      <w:pPr>
        <w:ind w:right="20" w:firstLine="224"/>
        <w:spacing w:after="0" w:line="211" w:lineRule="auto"/>
        <w:tabs>
          <w:tab w:leader="none" w:pos="59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xml:space="preserve"> Subject to the provisions of Section 5 below, you will receive Dividend Equivalents with respect to Performance Shares that are earned and payable. Dividend Equivalents are calculated and credited to you at the time the corresponding dividend is paid. The Dividend Equivalents will be in the form of additional Performance Shares, which will be added to the number of Performance Shares earned (including to the target number of Performance Shares),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 No Dividend Equivalents will be credited following the Merger.</w:t>
      </w:r>
    </w:p>
    <w:p>
      <w:pPr>
        <w:spacing w:after="0" w:line="185" w:lineRule="exact"/>
        <w:rPr>
          <w:rFonts w:ascii="Times New Roman" w:cs="Times New Roman" w:eastAsia="Times New Roman" w:hAnsi="Times New Roman"/>
          <w:sz w:val="22"/>
          <w:szCs w:val="22"/>
          <w:color w:val="auto"/>
        </w:rPr>
      </w:pPr>
    </w:p>
    <w:p>
      <w:pPr>
        <w:ind w:firstLine="224"/>
        <w:spacing w:after="0" w:line="211" w:lineRule="auto"/>
        <w:tabs>
          <w:tab w:leader="none" w:pos="59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Satisfaction of Goals.</w:t>
      </w:r>
      <w:r>
        <w:rPr>
          <w:rFonts w:ascii="Times New Roman" w:cs="Times New Roman" w:eastAsia="Times New Roman" w:hAnsi="Times New Roman"/>
          <w:sz w:val="22"/>
          <w:szCs w:val="22"/>
          <w:color w:val="auto"/>
        </w:rPr>
        <w:t xml:space="preserve"> 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 The provisions of this Section 2 shall not apply in the event that the Grant is converted into a Converted Cash Grant in connection with the Merger.</w:t>
      </w:r>
    </w:p>
    <w:p>
      <w:pPr>
        <w:spacing w:after="0" w:line="178" w:lineRule="exact"/>
        <w:rPr>
          <w:rFonts w:ascii="Times New Roman" w:cs="Times New Roman" w:eastAsia="Times New Roman" w:hAnsi="Times New Roman"/>
          <w:sz w:val="22"/>
          <w:szCs w:val="22"/>
          <w:color w:val="auto"/>
        </w:rPr>
      </w:pPr>
    </w:p>
    <w:p>
      <w:pPr>
        <w:ind w:right="200" w:firstLine="224"/>
        <w:spacing w:after="0" w:line="225" w:lineRule="auto"/>
        <w:tabs>
          <w:tab w:leader="none" w:pos="594"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Subject to the provisions of Sections 4 and 5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 Payment of a Converted Cash Grant shall be made in cash net of required withholding.</w:t>
      </w:r>
    </w:p>
    <w:p>
      <w:pPr>
        <w:spacing w:after="0" w:line="200" w:lineRule="exact"/>
        <w:rPr>
          <w:rFonts w:ascii="Times New Roman" w:cs="Times New Roman" w:eastAsia="Times New Roman" w:hAnsi="Times New Roman"/>
          <w:sz w:val="21"/>
          <w:szCs w:val="21"/>
          <w:color w:val="auto"/>
        </w:rPr>
      </w:pPr>
    </w:p>
    <w:p>
      <w:pPr>
        <w:spacing w:after="0" w:line="223" w:lineRule="exact"/>
        <w:rPr>
          <w:rFonts w:ascii="Times New Roman" w:cs="Times New Roman" w:eastAsia="Times New Roman" w:hAnsi="Times New Roman"/>
          <w:sz w:val="21"/>
          <w:szCs w:val="21"/>
          <w:color w:val="auto"/>
        </w:rPr>
      </w:pPr>
    </w:p>
    <w:p>
      <w:pPr>
        <w:ind w:right="280" w:firstLine="224"/>
        <w:spacing w:after="0" w:line="225" w:lineRule="auto"/>
        <w:tabs>
          <w:tab w:leader="none" w:pos="59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Upon Death, Retirement or Disability; Payment Upon Involuntary Separation Following Merger; Forfeiture of Unvested Performance Shares Upon Demotion, Unsatisfactory Job Performance, Default on Certain Agreements or Other Separation from Service.</w:t>
      </w:r>
    </w:p>
    <w:p>
      <w:pPr>
        <w:spacing w:after="0" w:line="179" w:lineRule="exact"/>
        <w:rPr>
          <w:sz w:val="20"/>
          <w:szCs w:val="20"/>
          <w:color w:val="auto"/>
        </w:rPr>
      </w:pPr>
    </w:p>
    <w:p>
      <w:pPr>
        <w:ind w:left="660" w:right="20" w:firstLine="648"/>
        <w:spacing w:after="0" w:line="217" w:lineRule="auto"/>
        <w:rPr>
          <w:sz w:val="20"/>
          <w:szCs w:val="20"/>
          <w:color w:val="auto"/>
        </w:rPr>
      </w:pPr>
      <w:r>
        <w:rPr>
          <w:rFonts w:ascii="Times New Roman" w:cs="Times New Roman" w:eastAsia="Times New Roman" w:hAnsi="Times New Roman"/>
          <w:sz w:val="22"/>
          <w:szCs w:val="22"/>
          <w:color w:val="auto"/>
        </w:rPr>
        <w:t>4.1 If during a Performance Period you (i) Retire, (ii) die while employed by a Related Company, or (iii) become Disabled, you (or your beneficiary or estate) will receive payment of any Performance Shares (as increased by the Dividend Equivalents), or, if applicable, payment of the Converted Cash Grant pursuant to Section 5 below, after the end of the Performance Period in accordance with Section 3 above. The payment shall be prorated based upon the number of whole calendar months within the Performance Period which had</w:t>
      </w:r>
    </w:p>
    <w:p>
      <w:pPr>
        <w:sectPr>
          <w:pgSz w:w="11900" w:h="16838" w:orient="portrait"/>
          <w:cols w:equalWidth="0" w:num="1">
            <w:col w:w="11240"/>
          </w:cols>
          <w:pgMar w:left="320" w:top="117"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220"/>
        <w:spacing w:after="0" w:line="262" w:lineRule="auto"/>
        <w:rPr>
          <w:sz w:val="20"/>
          <w:szCs w:val="20"/>
          <w:color w:val="auto"/>
        </w:rPr>
      </w:pPr>
      <w:r>
        <w:rPr>
          <w:rFonts w:ascii="Times New Roman" w:cs="Times New Roman" w:eastAsia="Times New Roman" w:hAnsi="Times New Roman"/>
          <w:sz w:val="21"/>
          <w:szCs w:val="21"/>
          <w:color w:val="auto"/>
        </w:rPr>
        <w:t>elapsed as of the date of death, Retirement or Disability in relation to the number of calendar months in the full Performance Period. A whole month is counted in the calculation if you were in the position as of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month.</w:t>
      </w:r>
    </w:p>
    <w:p>
      <w:pPr>
        <w:spacing w:after="0" w:line="72" w:lineRule="exact"/>
        <w:rPr>
          <w:sz w:val="20"/>
          <w:szCs w:val="20"/>
          <w:color w:val="auto"/>
        </w:rPr>
      </w:pPr>
    </w:p>
    <w:p>
      <w:pPr>
        <w:ind w:left="660" w:right="80" w:firstLine="648"/>
        <w:spacing w:after="0" w:line="231" w:lineRule="auto"/>
        <w:rPr>
          <w:sz w:val="20"/>
          <w:szCs w:val="20"/>
          <w:color w:val="auto"/>
        </w:rPr>
      </w:pPr>
      <w:r>
        <w:rPr>
          <w:rFonts w:ascii="Times New Roman" w:cs="Times New Roman" w:eastAsia="Times New Roman" w:hAnsi="Times New Roman"/>
          <w:sz w:val="21"/>
          <w:szCs w:val="21"/>
          <w:color w:val="auto"/>
        </w:rPr>
        <w:t>4.2 If after the end of a Performance Period, but before any or all Performance Shares have been paid, or, if applicable, before a Converted Cash Grant pursuant to Section 5 below has been paid in full, you Retire, die or become Disabled, you (or your beneficiary or estate) will be entitled to full payout of all earned Performance Shares (as increased by the Dividend Equivalents) in accordance with Section 3 above or, if applicable, of any unpaid Converted Cash Grant.</w:t>
      </w:r>
    </w:p>
    <w:p>
      <w:pPr>
        <w:spacing w:after="0" w:line="177" w:lineRule="exact"/>
        <w:rPr>
          <w:sz w:val="20"/>
          <w:szCs w:val="20"/>
          <w:color w:val="auto"/>
        </w:rPr>
      </w:pPr>
    </w:p>
    <w:p>
      <w:pPr>
        <w:ind w:left="660" w:right="140" w:firstLine="648"/>
        <w:spacing w:after="0" w:line="217" w:lineRule="auto"/>
        <w:rPr>
          <w:sz w:val="20"/>
          <w:szCs w:val="20"/>
          <w:color w:val="auto"/>
        </w:rPr>
      </w:pPr>
      <w:r>
        <w:rPr>
          <w:rFonts w:ascii="Times New Roman" w:cs="Times New Roman" w:eastAsia="Times New Roman" w:hAnsi="Times New Roman"/>
          <w:sz w:val="22"/>
          <w:szCs w:val="22"/>
          <w:color w:val="auto"/>
        </w:rPr>
        <w:t>4.3 If, prior to payment in full of a Converted Cash Grant pursuant to Section 5 below, you have an Involuntary Separation within 12 months following the Merger Effective Time, you will be entitled to receive payment of such Converted Cash Grant in accordance with Section 3 above. For purposes of the forgoing, “Involuntary Separation” shall have the meaning set forth in the Amended and Restated ALLETE and Affiliated Companies Change in Control Severance Plan effective October 27, 2023.</w:t>
      </w:r>
    </w:p>
    <w:p>
      <w:pPr>
        <w:spacing w:after="0" w:line="179" w:lineRule="exact"/>
        <w:rPr>
          <w:sz w:val="20"/>
          <w:szCs w:val="20"/>
          <w:color w:val="auto"/>
        </w:rPr>
      </w:pPr>
    </w:p>
    <w:p>
      <w:pPr>
        <w:ind w:left="660" w:firstLine="648"/>
        <w:spacing w:after="0" w:line="208" w:lineRule="auto"/>
        <w:rPr>
          <w:sz w:val="20"/>
          <w:szCs w:val="20"/>
          <w:color w:val="auto"/>
        </w:rPr>
      </w:pPr>
      <w:r>
        <w:rPr>
          <w:rFonts w:ascii="Times New Roman" w:cs="Times New Roman" w:eastAsia="Times New Roman" w:hAnsi="Times New Roman"/>
          <w:sz w:val="22"/>
          <w:szCs w:val="22"/>
          <w:color w:val="auto"/>
        </w:rPr>
        <w:t>4.4 If, prior to payment of all Performance Shares, or of the Converted Cash Grant pursuant to Section 5 below, as applicable,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or, if applicable, athe Converted Cash Award, with the result that some portion or all of your unpaid Performance Shares (and related Dividend Equivalents) or Converted Cash Award will be forfeited.</w:t>
      </w:r>
    </w:p>
    <w:p>
      <w:pPr>
        <w:spacing w:after="0" w:line="1" w:lineRule="exact"/>
        <w:rPr>
          <w:sz w:val="20"/>
          <w:szCs w:val="20"/>
          <w:color w:val="auto"/>
        </w:rPr>
      </w:pPr>
    </w:p>
    <w:p>
      <w:pPr>
        <w:ind w:left="660" w:right="100" w:firstLine="648"/>
        <w:spacing w:after="0" w:line="214" w:lineRule="auto"/>
        <w:rPr>
          <w:sz w:val="20"/>
          <w:szCs w:val="20"/>
          <w:color w:val="auto"/>
        </w:rPr>
      </w:pPr>
      <w:r>
        <w:rPr>
          <w:rFonts w:ascii="Times New Roman" w:cs="Times New Roman" w:eastAsia="Times New Roman" w:hAnsi="Times New Roman"/>
          <w:sz w:val="22"/>
          <w:szCs w:val="22"/>
          <w:color w:val="auto"/>
        </w:rPr>
        <w:t>4.5 If you have a Separation from Service for any reason other than those specified in subsections 4.1 through 4.4 above, all Performance Shares (and related Dividend Equivalents) or, if applicable, the Cash Conversion Grant, to the extent not yet paid, shall be forfeited on the date of such Separation from Service, except as otherwise provided by the Committee.</w:t>
      </w:r>
    </w:p>
    <w:p>
      <w:pPr>
        <w:spacing w:after="0" w:line="181" w:lineRule="exact"/>
        <w:rPr>
          <w:sz w:val="20"/>
          <w:szCs w:val="20"/>
          <w:color w:val="auto"/>
        </w:rPr>
      </w:pPr>
    </w:p>
    <w:p>
      <w:pPr>
        <w:ind w:left="660" w:firstLine="648"/>
        <w:spacing w:after="0" w:line="212" w:lineRule="auto"/>
        <w:rPr>
          <w:sz w:val="20"/>
          <w:szCs w:val="20"/>
          <w:color w:val="auto"/>
        </w:rPr>
      </w:pPr>
      <w:r>
        <w:rPr>
          <w:rFonts w:ascii="Times New Roman" w:cs="Times New Roman" w:eastAsia="Times New Roman" w:hAnsi="Times New Roman"/>
          <w:sz w:val="22"/>
          <w:szCs w:val="22"/>
          <w:color w:val="auto"/>
        </w:rPr>
        <w:t>4.6 Notwithstanding anything herein to the contrary, if (a) you become entitled to a payment of the Converted Cash Grant by reason of your Retirement or Involuntary Separation within 12 months following the Merger Effective Date as provided in Section 4.3 above, and (b) you are a Specified Employee on the date of such Retirement or Involuntarily Separation, payment shall not be made until the earlier of: (i) the expiration of the six-month period beginning on the date of your Retirement or Involuntary Separation, or (ii) the date of your death. The payment to which a Specified Employee would otherwise be entitled during this six-month period shall be paid during the seventh month following the date of the Participant’s Retirement or Involuntary Separation, or, if earlier, the date of the Participant’s death.</w:t>
      </w:r>
    </w:p>
    <w:p>
      <w:pPr>
        <w:spacing w:after="0" w:line="200" w:lineRule="exact"/>
        <w:rPr>
          <w:sz w:val="20"/>
          <w:szCs w:val="20"/>
          <w:color w:val="auto"/>
        </w:rPr>
      </w:pPr>
    </w:p>
    <w:p>
      <w:pPr>
        <w:spacing w:after="0" w:line="226" w:lineRule="exact"/>
        <w:rPr>
          <w:sz w:val="20"/>
          <w:szCs w:val="20"/>
          <w:color w:val="auto"/>
        </w:rPr>
      </w:pPr>
    </w:p>
    <w:p>
      <w:pPr>
        <w:ind w:right="140" w:firstLine="224"/>
        <w:spacing w:after="0" w:line="225" w:lineRule="auto"/>
        <w:tabs>
          <w:tab w:leader="none" w:pos="59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Merger. Notwithstanding any other provisions of the Grant, any Annex thereto, or</w:t>
      </w:r>
      <w:r>
        <w:rPr>
          <w:rFonts w:ascii="Times New Roman" w:cs="Times New Roman" w:eastAsia="Times New Roman" w:hAnsi="Times New Roman"/>
          <w:sz w:val="22"/>
          <w:szCs w:val="22"/>
          <w:color w:val="auto"/>
        </w:rPr>
        <w:t xml:space="preserve"> provisions in the Plan for Change in Control to the contrary, upon the terms and subject to the conditions set forth in the Merger Agreement, the following terms shall apply to the Grant to the extent it is outstanding and unvested immediately prior to the Effective Time:</w:t>
      </w:r>
    </w:p>
    <w:p>
      <w:pPr>
        <w:spacing w:after="0" w:line="179" w:lineRule="exact"/>
        <w:rPr>
          <w:sz w:val="20"/>
          <w:szCs w:val="20"/>
          <w:color w:val="auto"/>
        </w:rPr>
      </w:pPr>
    </w:p>
    <w:p>
      <w:pPr>
        <w:ind w:left="660" w:right="60"/>
        <w:spacing w:after="0" w:line="217" w:lineRule="auto"/>
        <w:rPr>
          <w:sz w:val="20"/>
          <w:szCs w:val="20"/>
          <w:color w:val="auto"/>
        </w:rPr>
      </w:pPr>
      <w:r>
        <w:rPr>
          <w:rFonts w:ascii="Times New Roman" w:cs="Times New Roman" w:eastAsia="Times New Roman" w:hAnsi="Times New Roman"/>
          <w:sz w:val="22"/>
          <w:szCs w:val="22"/>
          <w:color w:val="auto"/>
        </w:rPr>
        <w:t xml:space="preserve">5.1 The Grant will be canceled as of the Merger Effective Time and converted into a right to receive a converted cash award in an aggregate amount, without interest, equal to the value (a) to the number of shares of Company common stock underlying the Performance Share Grant immediately prior to the Merger Effective Time, based on the attainment of the applicable performance metrics at target, after giving effect to the accumulation of dividend equivalents credited as of the Merger Effective Time, </w:t>
      </w:r>
      <w:r>
        <w:rPr>
          <w:rFonts w:ascii="Times New Roman" w:cs="Times New Roman" w:eastAsia="Times New Roman" w:hAnsi="Times New Roman"/>
          <w:sz w:val="22"/>
          <w:szCs w:val="22"/>
          <w:i w:val="1"/>
          <w:iCs w:val="1"/>
          <w:color w:val="auto"/>
        </w:rPr>
        <w:t>multipled by</w:t>
      </w:r>
      <w:r>
        <w:rPr>
          <w:rFonts w:ascii="Times New Roman" w:cs="Times New Roman" w:eastAsia="Times New Roman" w:hAnsi="Times New Roman"/>
          <w:sz w:val="22"/>
          <w:szCs w:val="22"/>
          <w:color w:val="auto"/>
        </w:rPr>
        <w:t xml:space="preserve"> (b) $67.00 (the “Converted Cash Grant”).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2</w:t>
      </w:r>
    </w:p>
    <w:p>
      <w:pPr>
        <w:sectPr>
          <w:pgSz w:w="11900" w:h="16838" w:orient="portrait"/>
          <w:cols w:equalWidth="0" w:num="1">
            <w:col w:w="11240"/>
          </w:cols>
          <w:pgMar w:left="320" w:top="117"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80"/>
        <w:spacing w:after="0" w:line="236" w:lineRule="auto"/>
        <w:rPr>
          <w:sz w:val="20"/>
          <w:szCs w:val="20"/>
          <w:color w:val="auto"/>
        </w:rPr>
      </w:pPr>
      <w:r>
        <w:rPr>
          <w:rFonts w:ascii="Times New Roman" w:cs="Times New Roman" w:eastAsia="Times New Roman" w:hAnsi="Times New Roman"/>
          <w:sz w:val="22"/>
          <w:szCs w:val="22"/>
          <w:color w:val="auto"/>
        </w:rPr>
        <w:t>5.2 The Converted Cash Grant, will continue to have, and payment will be subject to, the same terms and conditions of the original Grant, including time-based vesting conditions but excluding performance-based conditions.</w:t>
      </w:r>
    </w:p>
    <w:p>
      <w:pPr>
        <w:spacing w:after="0" w:line="177"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2"/>
          <w:szCs w:val="22"/>
          <w:color w:val="auto"/>
        </w:rPr>
        <w:t>For purposes of clarification of this Section 5, the occurrence of the Merger contemplated by the Merger Agreement will expressly be governed by this Section 5 and not by the provisions in the Plan for Change in Control; and, provided further, the Grant and the Performance Shares underlying the Grant, do not constitute Applicable Company Performance Stock as that term is defined in Section 2.04 of the Merger Agreement.</w:t>
      </w:r>
    </w:p>
    <w:p>
      <w:pPr>
        <w:spacing w:after="0" w:line="179" w:lineRule="exact"/>
        <w:rPr>
          <w:sz w:val="20"/>
          <w:szCs w:val="20"/>
          <w:color w:val="auto"/>
        </w:rPr>
      </w:pPr>
    </w:p>
    <w:p>
      <w:pPr>
        <w:ind w:right="320" w:firstLine="656"/>
        <w:spacing w:after="0" w:line="225" w:lineRule="auto"/>
        <w:tabs>
          <w:tab w:leader="none" w:pos="1026"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79" w:lineRule="exact"/>
        <w:rPr>
          <w:rFonts w:ascii="Times New Roman" w:cs="Times New Roman" w:eastAsia="Times New Roman" w:hAnsi="Times New Roman"/>
          <w:sz w:val="22"/>
          <w:szCs w:val="22"/>
          <w:color w:val="auto"/>
        </w:rPr>
      </w:pPr>
    </w:p>
    <w:p>
      <w:pPr>
        <w:ind w:right="60" w:firstLine="224"/>
        <w:spacing w:after="0" w:line="211" w:lineRule="auto"/>
        <w:tabs>
          <w:tab w:leader="none" w:pos="59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Compliance. The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5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Procedure and Arbitration</w:t>
      </w:r>
      <w:r>
        <w:rPr>
          <w:rFonts w:ascii="Times New Roman" w:cs="Times New Roman" w:eastAsia="Times New Roman" w:hAnsi="Times New Roman"/>
          <w:sz w:val="22"/>
          <w:szCs w:val="22"/>
          <w:color w:val="auto"/>
        </w:rPr>
        <w:t>. The Grant is subject to the following claims procedures:</w:t>
      </w:r>
    </w:p>
    <w:p>
      <w:pPr>
        <w:spacing w:after="0" w:line="206" w:lineRule="exact"/>
        <w:rPr>
          <w:sz w:val="20"/>
          <w:szCs w:val="20"/>
          <w:color w:val="auto"/>
        </w:rPr>
      </w:pPr>
    </w:p>
    <w:p>
      <w:pPr>
        <w:ind w:left="660" w:right="120" w:firstLine="216"/>
        <w:spacing w:after="0" w:line="220"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Mandatory Claims Procedures.</w:t>
      </w:r>
      <w:r>
        <w:rPr>
          <w:rFonts w:ascii="Times New Roman" w:cs="Times New Roman" w:eastAsia="Times New Roman" w:hAnsi="Times New Roman"/>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79" w:lineRule="exact"/>
        <w:rPr>
          <w:sz w:val="20"/>
          <w:szCs w:val="20"/>
          <w:color w:val="auto"/>
        </w:rPr>
      </w:pPr>
    </w:p>
    <w:p>
      <w:pPr>
        <w:ind w:left="660" w:firstLine="216"/>
        <w:spacing w:after="0" w:line="220"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Claim Submission</w:t>
      </w:r>
      <w:r>
        <w:rPr>
          <w:rFonts w:ascii="Times New Roman" w:cs="Times New Roman" w:eastAsia="Times New Roman" w:hAnsi="Times New Roman"/>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79" w:lineRule="exact"/>
        <w:rPr>
          <w:sz w:val="20"/>
          <w:szCs w:val="20"/>
          <w:color w:val="auto"/>
        </w:rPr>
      </w:pPr>
    </w:p>
    <w:p>
      <w:pPr>
        <w:ind w:left="660" w:right="200" w:firstLine="216"/>
        <w:spacing w:after="0" w:line="220"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Notice of Denial</w:t>
      </w:r>
      <w:r>
        <w:rPr>
          <w:rFonts w:ascii="Times New Roman" w:cs="Times New Roman" w:eastAsia="Times New Roman" w:hAnsi="Times New Roman"/>
          <w:sz w:val="22"/>
          <w:szCs w:val="22"/>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79" w:lineRule="exact"/>
        <w:rPr>
          <w:sz w:val="20"/>
          <w:szCs w:val="20"/>
          <w:color w:val="auto"/>
        </w:rPr>
      </w:pPr>
    </w:p>
    <w:p>
      <w:pPr>
        <w:ind w:left="660" w:right="500" w:firstLine="216"/>
        <w:spacing w:after="0" w:line="255"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If, after exhausting the procedures set forth above, a Claimant wishes to pursue legal action, any action by the Claimant with respect to a claim, must be resolved by arbitration in the manner described herein.</w:t>
      </w:r>
    </w:p>
    <w:p>
      <w:pPr>
        <w:spacing w:after="0" w:line="162" w:lineRule="exact"/>
        <w:rPr>
          <w:sz w:val="20"/>
          <w:szCs w:val="20"/>
          <w:color w:val="auto"/>
        </w:rPr>
      </w:pPr>
    </w:p>
    <w:p>
      <w:pPr>
        <w:ind w:left="1960" w:right="60" w:hanging="332"/>
        <w:spacing w:after="0" w:line="225" w:lineRule="auto"/>
        <w:tabs>
          <w:tab w:leader="none" w:pos="1951" w:val="left"/>
        </w:tabs>
        <w:numPr>
          <w:ilvl w:val="0"/>
          <w:numId w:val="19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Time Limits</w:t>
      </w:r>
      <w:r>
        <w:rPr>
          <w:rFonts w:ascii="Times New Roman" w:cs="Times New Roman" w:eastAsia="Times New Roman" w:hAnsi="Times New Roman"/>
          <w:sz w:val="22"/>
          <w:szCs w:val="22"/>
          <w:color w:val="auto"/>
        </w:rPr>
        <w:t>. A Claimant seeking arbitration of any determination by the Claims Administrator must, within six (6) months of the date of the Claims Administrator’s final decision, file a demand for arbitration with the American</w:t>
      </w:r>
    </w:p>
    <w:p>
      <w:pPr>
        <w:spacing w:after="0" w:line="39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3</w:t>
      </w:r>
    </w:p>
    <w:p>
      <w:pPr>
        <w:sectPr>
          <w:pgSz w:w="11900" w:h="16838" w:orient="portrait"/>
          <w:cols w:equalWidth="0" w:num="1">
            <w:col w:w="11240"/>
          </w:cols>
          <w:pgMar w:left="320" w:top="117"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60" w:right="40"/>
        <w:spacing w:after="0" w:line="236" w:lineRule="auto"/>
        <w:rPr>
          <w:sz w:val="20"/>
          <w:szCs w:val="20"/>
          <w:color w:val="auto"/>
        </w:rPr>
      </w:pPr>
      <w:r>
        <w:rPr>
          <w:rFonts w:ascii="Times New Roman" w:cs="Times New Roman" w:eastAsia="Times New Roman" w:hAnsi="Times New Roman"/>
          <w:sz w:val="22"/>
          <w:szCs w:val="22"/>
          <w:color w:val="auto"/>
        </w:rPr>
        <w:t>Arbitration Association submitting the claim to resolution by arbitration. A Claimant waives any claim not filed timely in accordance with this Section.</w:t>
      </w:r>
    </w:p>
    <w:p>
      <w:pPr>
        <w:spacing w:after="0" w:line="150" w:lineRule="exact"/>
        <w:rPr>
          <w:sz w:val="20"/>
          <w:szCs w:val="20"/>
          <w:color w:val="auto"/>
        </w:rPr>
      </w:pPr>
    </w:p>
    <w:p>
      <w:pPr>
        <w:ind w:left="1960" w:right="780" w:hanging="332"/>
        <w:spacing w:after="0" w:line="236" w:lineRule="auto"/>
        <w:tabs>
          <w:tab w:leader="none" w:pos="1951" w:val="left"/>
        </w:tabs>
        <w:numPr>
          <w:ilvl w:val="1"/>
          <w:numId w:val="1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Rules Applicable to Arbitration</w:t>
      </w:r>
      <w:r>
        <w:rPr>
          <w:rFonts w:ascii="Times New Roman" w:cs="Times New Roman" w:eastAsia="Times New Roman" w:hAnsi="Times New Roman"/>
          <w:sz w:val="22"/>
          <w:szCs w:val="22"/>
          <w:color w:val="auto"/>
        </w:rPr>
        <w:t>. The arbitration process shall be conducted in accordance with the Commercial Law Rules of the American Arbitration Association.</w:t>
      </w:r>
    </w:p>
    <w:p>
      <w:pPr>
        <w:spacing w:after="0" w:line="150" w:lineRule="exact"/>
        <w:rPr>
          <w:rFonts w:ascii="Times New Roman" w:cs="Times New Roman" w:eastAsia="Times New Roman" w:hAnsi="Times New Roman"/>
          <w:sz w:val="22"/>
          <w:szCs w:val="22"/>
          <w:i w:val="1"/>
          <w:iCs w:val="1"/>
          <w:color w:val="auto"/>
        </w:rPr>
      </w:pPr>
    </w:p>
    <w:p>
      <w:pPr>
        <w:ind w:left="1940" w:hanging="312"/>
        <w:spacing w:after="0"/>
        <w:tabs>
          <w:tab w:leader="none" w:pos="1940" w:val="left"/>
        </w:tabs>
        <w:numPr>
          <w:ilvl w:val="1"/>
          <w:numId w:val="1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The arbitration shall be conducted in Minneapolis, Minnesota.</w:t>
      </w:r>
    </w:p>
    <w:p>
      <w:pPr>
        <w:spacing w:after="0" w:line="179" w:lineRule="exact"/>
        <w:rPr>
          <w:rFonts w:ascii="Times New Roman" w:cs="Times New Roman" w:eastAsia="Times New Roman" w:hAnsi="Times New Roman"/>
          <w:sz w:val="22"/>
          <w:szCs w:val="22"/>
          <w:i w:val="1"/>
          <w:iCs w:val="1"/>
          <w:color w:val="auto"/>
        </w:rPr>
      </w:pPr>
    </w:p>
    <w:p>
      <w:pPr>
        <w:ind w:left="1960" w:right="220" w:hanging="332"/>
        <w:spacing w:after="0" w:line="215" w:lineRule="auto"/>
        <w:tabs>
          <w:tab w:leader="none" w:pos="1951" w:val="left"/>
        </w:tabs>
        <w:numPr>
          <w:ilvl w:val="1"/>
          <w:numId w:val="1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152" w:lineRule="exact"/>
        <w:rPr>
          <w:rFonts w:ascii="Times New Roman" w:cs="Times New Roman" w:eastAsia="Times New Roman" w:hAnsi="Times New Roman"/>
          <w:sz w:val="22"/>
          <w:szCs w:val="22"/>
          <w:i w:val="1"/>
          <w:iCs w:val="1"/>
          <w:color w:val="auto"/>
        </w:rPr>
      </w:pPr>
    </w:p>
    <w:p>
      <w:pPr>
        <w:ind w:left="1960" w:right="480" w:hanging="332"/>
        <w:spacing w:after="0" w:line="236" w:lineRule="auto"/>
        <w:tabs>
          <w:tab w:leader="none" w:pos="1952" w:val="left"/>
        </w:tabs>
        <w:numPr>
          <w:ilvl w:val="1"/>
          <w:numId w:val="1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Judgment upon any award entered by an arbitrator may be entered in any court having jurisdiction over the parties.</w:t>
      </w:r>
    </w:p>
    <w:p>
      <w:pPr>
        <w:spacing w:after="0" w:line="150" w:lineRule="exact"/>
        <w:rPr>
          <w:rFonts w:ascii="Times New Roman" w:cs="Times New Roman" w:eastAsia="Times New Roman" w:hAnsi="Times New Roman"/>
          <w:sz w:val="22"/>
          <w:szCs w:val="22"/>
          <w:i w:val="1"/>
          <w:iCs w:val="1"/>
          <w:color w:val="auto"/>
        </w:rPr>
      </w:pPr>
    </w:p>
    <w:p>
      <w:pPr>
        <w:ind w:left="1960" w:right="140" w:hanging="332"/>
        <w:spacing w:after="0" w:line="215" w:lineRule="auto"/>
        <w:tabs>
          <w:tab w:leader="none" w:pos="1957" w:val="left"/>
        </w:tabs>
        <w:numPr>
          <w:ilvl w:val="1"/>
          <w:numId w:val="1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Waiver of Class, Collective, and Representative Actions</w:t>
      </w:r>
      <w:r>
        <w:rPr>
          <w:rFonts w:ascii="Times New Roman" w:cs="Times New Roman" w:eastAsia="Times New Roman" w:hAnsi="Times New Roman"/>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152" w:lineRule="exact"/>
        <w:rPr>
          <w:rFonts w:ascii="Times New Roman" w:cs="Times New Roman" w:eastAsia="Times New Roman" w:hAnsi="Times New Roman"/>
          <w:sz w:val="22"/>
          <w:szCs w:val="22"/>
          <w:i w:val="1"/>
          <w:iCs w:val="1"/>
          <w:color w:val="auto"/>
        </w:rPr>
      </w:pPr>
    </w:p>
    <w:p>
      <w:pPr>
        <w:ind w:left="1960" w:right="80" w:hanging="332"/>
        <w:spacing w:after="0" w:line="215" w:lineRule="auto"/>
        <w:tabs>
          <w:tab w:leader="none" w:pos="1951" w:val="left"/>
        </w:tabs>
        <w:numPr>
          <w:ilvl w:val="1"/>
          <w:numId w:val="1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Standard of Review</w:t>
      </w:r>
      <w:r>
        <w:rPr>
          <w:rFonts w:ascii="Times New Roman" w:cs="Times New Roman" w:eastAsia="Times New Roman" w:hAnsi="Times New Roman"/>
          <w:sz w:val="22"/>
          <w:szCs w:val="22"/>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Times New Roman" w:cs="Times New Roman" w:eastAsia="Times New Roman" w:hAnsi="Times New Roman"/>
          <w:sz w:val="22"/>
          <w:szCs w:val="22"/>
          <w:i w:val="1"/>
          <w:iCs w:val="1"/>
          <w:color w:val="auto"/>
        </w:rPr>
        <w:t>Conkright v. Frommert</w:t>
      </w:r>
      <w:r>
        <w:rPr>
          <w:rFonts w:ascii="Times New Roman" w:cs="Times New Roman" w:eastAsia="Times New Roman" w:hAnsi="Times New Roman"/>
          <w:sz w:val="22"/>
          <w:szCs w:val="22"/>
          <w:color w:val="auto"/>
        </w:rPr>
        <w:t xml:space="preserve">, 130 S. Ct. 1640 (2010), </w:t>
      </w:r>
      <w:r>
        <w:rPr>
          <w:rFonts w:ascii="Times New Roman" w:cs="Times New Roman" w:eastAsia="Times New Roman" w:hAnsi="Times New Roman"/>
          <w:sz w:val="22"/>
          <w:szCs w:val="22"/>
          <w:i w:val="1"/>
          <w:iCs w:val="1"/>
          <w:color w:val="auto"/>
        </w:rPr>
        <w:t>Metropolitan Life Insurance Co. v.</w:t>
      </w:r>
      <w:r>
        <w:rPr>
          <w:rFonts w:ascii="Times New Roman" w:cs="Times New Roman" w:eastAsia="Times New Roman" w:hAnsi="Times New Roman"/>
          <w:sz w:val="22"/>
          <w:szCs w:val="22"/>
          <w:color w:val="auto"/>
        </w:rPr>
        <w:t xml:space="preserve"> Glenn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554 U.S. 105 (2008), and </w:t>
      </w:r>
      <w:r>
        <w:rPr>
          <w:rFonts w:ascii="Times New Roman" w:cs="Times New Roman" w:eastAsia="Times New Roman" w:hAnsi="Times New Roman"/>
          <w:sz w:val="22"/>
          <w:szCs w:val="22"/>
          <w:i w:val="1"/>
          <w:iCs w:val="1"/>
          <w:color w:val="auto"/>
        </w:rPr>
        <w:t>Firestone Tire and Rubber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Company v. Bruch, </w:t>
      </w:r>
      <w:r>
        <w:rPr>
          <w:rFonts w:ascii="Times New Roman" w:cs="Times New Roman" w:eastAsia="Times New Roman" w:hAnsi="Times New Roman"/>
          <w:sz w:val="22"/>
          <w:szCs w:val="22"/>
          <w:color w:val="auto"/>
        </w:rPr>
        <w:t>489 U.S. 101 (1989), and shall accord due deference to the determinations,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interpretations, and construction of the Plan document by the Claims Administrator.</w:t>
      </w:r>
    </w:p>
    <w:p>
      <w:pPr>
        <w:spacing w:after="0" w:line="152" w:lineRule="exact"/>
        <w:rPr>
          <w:rFonts w:ascii="Times New Roman" w:cs="Times New Roman" w:eastAsia="Times New Roman" w:hAnsi="Times New Roman"/>
          <w:sz w:val="22"/>
          <w:szCs w:val="22"/>
          <w:i w:val="1"/>
          <w:iCs w:val="1"/>
          <w:color w:val="auto"/>
        </w:rPr>
      </w:pPr>
    </w:p>
    <w:p>
      <w:pPr>
        <w:ind w:left="1940" w:hanging="312"/>
        <w:spacing w:after="0"/>
        <w:tabs>
          <w:tab w:leader="none" w:pos="1940" w:val="left"/>
        </w:tabs>
        <w:numPr>
          <w:ilvl w:val="1"/>
          <w:numId w:val="1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u w:val="single" w:color="auto"/>
          <w:color w:val="auto"/>
        </w:rPr>
        <w:t>General Procedures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i w:val="1"/>
          <w:iCs w:val="1"/>
          <w:color w:val="auto"/>
        </w:rPr>
      </w:pPr>
    </w:p>
    <w:p>
      <w:pPr>
        <w:ind w:left="1440" w:right="20" w:hanging="136"/>
        <w:spacing w:after="0" w:line="213" w:lineRule="auto"/>
        <w:tabs>
          <w:tab w:leader="none" w:pos="143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Rules</w:t>
      </w:r>
      <w:r>
        <w:rPr>
          <w:rFonts w:ascii="Times New Roman" w:cs="Times New Roman" w:eastAsia="Times New Roman" w:hAnsi="Times New Roman"/>
          <w:sz w:val="22"/>
          <w:szCs w:val="22"/>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156" w:lineRule="exact"/>
        <w:rPr>
          <w:rFonts w:ascii="Times New Roman" w:cs="Times New Roman" w:eastAsia="Times New Roman" w:hAnsi="Times New Roman"/>
          <w:sz w:val="22"/>
          <w:szCs w:val="22"/>
          <w:color w:val="auto"/>
        </w:rPr>
      </w:pPr>
    </w:p>
    <w:p>
      <w:pPr>
        <w:jc w:val="both"/>
        <w:ind w:left="1440" w:hanging="136"/>
        <w:spacing w:after="0" w:line="220" w:lineRule="auto"/>
        <w:tabs>
          <w:tab w:leader="none" w:pos="1957"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Substantive Law</w:t>
      </w:r>
      <w:r>
        <w:rPr>
          <w:rFonts w:ascii="Times New Roman" w:cs="Times New Roman" w:eastAsia="Times New Roman" w:hAnsi="Times New Roman"/>
          <w:sz w:val="22"/>
          <w:szCs w:val="22"/>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39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4</w:t>
      </w:r>
    </w:p>
    <w:p>
      <w:pPr>
        <w:sectPr>
          <w:pgSz w:w="11900" w:h="16838" w:orient="portrait"/>
          <w:cols w:equalWidth="0" w:num="1">
            <w:col w:w="11220"/>
          </w:cols>
          <w:pgMar w:left="320" w:top="117" w:right="3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440" w:right="20" w:hanging="136"/>
        <w:spacing w:after="0" w:line="220" w:lineRule="auto"/>
        <w:tabs>
          <w:tab w:leader="none" w:pos="1949" w:val="left"/>
        </w:tabs>
        <w:numPr>
          <w:ilvl w:val="2"/>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152" w:lineRule="exact"/>
        <w:rPr>
          <w:rFonts w:ascii="Times New Roman" w:cs="Times New Roman" w:eastAsia="Times New Roman" w:hAnsi="Times New Roman"/>
          <w:sz w:val="22"/>
          <w:szCs w:val="22"/>
          <w:color w:val="auto"/>
        </w:rPr>
      </w:pPr>
    </w:p>
    <w:p>
      <w:pPr>
        <w:ind w:left="1440" w:right="20" w:hanging="136"/>
        <w:spacing w:after="0" w:line="220" w:lineRule="auto"/>
        <w:tabs>
          <w:tab w:leader="none" w:pos="1937" w:val="left"/>
        </w:tabs>
        <w:numPr>
          <w:ilvl w:val="2"/>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Pre-Hearing Procedures</w:t>
      </w:r>
      <w:r>
        <w:rPr>
          <w:rFonts w:ascii="Times New Roman" w:cs="Times New Roman" w:eastAsia="Times New Roman" w:hAnsi="Times New Roman"/>
          <w:sz w:val="22"/>
          <w:szCs w:val="22"/>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52" w:lineRule="exact"/>
        <w:rPr>
          <w:rFonts w:ascii="Times New Roman" w:cs="Times New Roman" w:eastAsia="Times New Roman" w:hAnsi="Times New Roman"/>
          <w:sz w:val="22"/>
          <w:szCs w:val="22"/>
          <w:color w:val="auto"/>
        </w:rPr>
      </w:pPr>
    </w:p>
    <w:p>
      <w:pPr>
        <w:ind w:left="1440" w:hanging="136"/>
        <w:spacing w:after="0" w:line="211" w:lineRule="auto"/>
        <w:tabs>
          <w:tab w:leader="none" w:pos="1944" w:val="left"/>
        </w:tabs>
        <w:numPr>
          <w:ilvl w:val="2"/>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Costs</w:t>
      </w:r>
      <w:r>
        <w:rPr>
          <w:rFonts w:ascii="Times New Roman" w:cs="Times New Roman" w:eastAsia="Times New Roman" w:hAnsi="Times New Roman"/>
          <w:sz w:val="22"/>
          <w:szCs w:val="22"/>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58" w:lineRule="exact"/>
        <w:rPr>
          <w:rFonts w:ascii="Times New Roman" w:cs="Times New Roman" w:eastAsia="Times New Roman" w:hAnsi="Times New Roman"/>
          <w:sz w:val="22"/>
          <w:szCs w:val="22"/>
          <w:color w:val="auto"/>
        </w:rPr>
      </w:pPr>
    </w:p>
    <w:p>
      <w:pPr>
        <w:ind w:left="1800" w:right="360" w:hanging="334"/>
        <w:spacing w:after="0" w:line="231" w:lineRule="auto"/>
        <w:tabs>
          <w:tab w:leader="none" w:pos="1788" w:val="left"/>
        </w:tabs>
        <w:numPr>
          <w:ilvl w:val="3"/>
          <w:numId w:val="19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u w:val="single" w:color="auto"/>
          <w:color w:val="auto"/>
        </w:rPr>
        <w:t>Interstate Commerce and the Federal Arbitration Act</w:t>
      </w:r>
      <w:r>
        <w:rPr>
          <w:rFonts w:ascii="Times New Roman" w:cs="Times New Roman" w:eastAsia="Times New Roman" w:hAnsi="Times New Roman"/>
          <w:sz w:val="21"/>
          <w:szCs w:val="21"/>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77" w:lineRule="exact"/>
        <w:rPr>
          <w:rFonts w:ascii="Times New Roman" w:cs="Times New Roman" w:eastAsia="Times New Roman" w:hAnsi="Times New Roman"/>
          <w:sz w:val="21"/>
          <w:szCs w:val="21"/>
          <w:i w:val="1"/>
          <w:iCs w:val="1"/>
          <w:color w:val="auto"/>
        </w:rPr>
      </w:pPr>
    </w:p>
    <w:p>
      <w:pPr>
        <w:ind w:right="220" w:firstLine="656"/>
        <w:spacing w:after="0" w:line="225" w:lineRule="auto"/>
        <w:tabs>
          <w:tab w:leader="none" w:pos="1026"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of Actions.</w:t>
      </w:r>
      <w:r>
        <w:rPr>
          <w:rFonts w:ascii="Times New Roman" w:cs="Times New Roman" w:eastAsia="Times New Roman" w:hAnsi="Times New Roman"/>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79" w:lineRule="exact"/>
        <w:rPr>
          <w:rFonts w:ascii="Times New Roman" w:cs="Times New Roman" w:eastAsia="Times New Roman" w:hAnsi="Times New Roman"/>
          <w:sz w:val="22"/>
          <w:szCs w:val="22"/>
          <w:color w:val="auto"/>
        </w:rPr>
      </w:pPr>
    </w:p>
    <w:p>
      <w:pPr>
        <w:ind w:right="340" w:firstLine="656"/>
        <w:spacing w:after="0" w:line="225" w:lineRule="auto"/>
        <w:tabs>
          <w:tab w:leader="none" w:pos="1134"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Impact on Other Benefits</w:t>
      </w:r>
      <w:r>
        <w:rPr>
          <w:rFonts w:ascii="Times New Roman" w:cs="Times New Roman" w:eastAsia="Times New Roman" w:hAnsi="Times New Roman"/>
          <w:sz w:val="22"/>
          <w:szCs w:val="22"/>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79" w:lineRule="exact"/>
        <w:rPr>
          <w:rFonts w:ascii="Times New Roman" w:cs="Times New Roman" w:eastAsia="Times New Roman" w:hAnsi="Times New Roman"/>
          <w:sz w:val="22"/>
          <w:szCs w:val="22"/>
          <w:color w:val="auto"/>
        </w:rPr>
      </w:pPr>
    </w:p>
    <w:p>
      <w:pPr>
        <w:ind w:right="60" w:firstLine="224"/>
        <w:spacing w:after="0" w:line="236" w:lineRule="auto"/>
        <w:tabs>
          <w:tab w:leader="none" w:pos="69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Any notice hereunder to ALLETE shall be addressed to ALLETE, 30 West Superior Street, Duluth, Minnesota 55802, Attention: Director – Human Resources, and any notice hereunder to you shall be directed to your address as indicated by ALLETE’s records, subject to the right of either party to designate at any time hereafter in writing some other address.</w:t>
      </w:r>
    </w:p>
    <w:p>
      <w:pPr>
        <w:spacing w:after="0" w:line="178" w:lineRule="exact"/>
        <w:rPr>
          <w:rFonts w:ascii="Times New Roman" w:cs="Times New Roman" w:eastAsia="Times New Roman" w:hAnsi="Times New Roman"/>
          <w:sz w:val="21"/>
          <w:szCs w:val="21"/>
          <w:color w:val="auto"/>
        </w:rPr>
      </w:pPr>
    </w:p>
    <w:p>
      <w:pPr>
        <w:jc w:val="both"/>
        <w:ind w:firstLine="656"/>
        <w:spacing w:after="0" w:line="231" w:lineRule="auto"/>
        <w:tabs>
          <w:tab w:leader="none" w:pos="1134"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Severability.</w:t>
      </w:r>
      <w:r>
        <w:rPr>
          <w:rFonts w:ascii="Times New Roman" w:cs="Times New Roman" w:eastAsia="Times New Roman" w:hAnsi="Times New Roman"/>
          <w:sz w:val="21"/>
          <w:szCs w:val="21"/>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77" w:lineRule="exact"/>
        <w:rPr>
          <w:sz w:val="20"/>
          <w:szCs w:val="20"/>
          <w:color w:val="auto"/>
        </w:rPr>
      </w:pPr>
    </w:p>
    <w:p>
      <w:pPr>
        <w:ind w:right="840" w:firstLine="224"/>
        <w:spacing w:after="0" w:line="236" w:lineRule="auto"/>
        <w:tabs>
          <w:tab w:leader="none" w:pos="70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not otherwise defined herein shall have the meanings given them in the Plan. The following definitions apply to the Grant and this Annex A:</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5</w:t>
      </w:r>
    </w:p>
    <w:p>
      <w:pPr>
        <w:sectPr>
          <w:pgSz w:w="11900" w:h="16838" w:orient="portrait"/>
          <w:cols w:equalWidth="0" w:num="1">
            <w:col w:w="11240"/>
          </w:cols>
          <w:pgMar w:left="320" w:top="117"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40" w:firstLine="648"/>
        <w:spacing w:after="0" w:line="227"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Claims Administrator”</w:t>
      </w:r>
      <w:r>
        <w:rPr>
          <w:rFonts w:ascii="Times New Roman" w:cs="Times New Roman" w:eastAsia="Times New Roman" w:hAnsi="Times New Roman"/>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46"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it may be amended from time to time.</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32.3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Disabled</w:t>
      </w:r>
      <w:r>
        <w:rPr>
          <w:rFonts w:ascii="Times New Roman" w:cs="Times New Roman" w:eastAsia="Times New Roman" w:hAnsi="Times New Roman"/>
          <w:sz w:val="21"/>
          <w:szCs w:val="21"/>
          <w:color w:val="auto"/>
        </w:rPr>
        <w:t>” means a physical or mental condition in which the Participant is:</w:t>
      </w:r>
    </w:p>
    <w:p>
      <w:pPr>
        <w:spacing w:after="0" w:line="183" w:lineRule="exact"/>
        <w:rPr>
          <w:sz w:val="20"/>
          <w:szCs w:val="20"/>
          <w:color w:val="auto"/>
        </w:rPr>
      </w:pPr>
    </w:p>
    <w:p>
      <w:pPr>
        <w:ind w:left="2280" w:right="60" w:hanging="652"/>
        <w:spacing w:after="0" w:line="225" w:lineRule="auto"/>
        <w:tabs>
          <w:tab w:leader="none" w:pos="227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2" w:lineRule="exact"/>
        <w:rPr>
          <w:rFonts w:ascii="Times New Roman" w:cs="Times New Roman" w:eastAsia="Times New Roman" w:hAnsi="Times New Roman"/>
          <w:sz w:val="22"/>
          <w:szCs w:val="22"/>
          <w:color w:val="auto"/>
        </w:rPr>
      </w:pPr>
    </w:p>
    <w:p>
      <w:pPr>
        <w:ind w:left="2280" w:right="260" w:hanging="652"/>
        <w:spacing w:after="0" w:line="220" w:lineRule="auto"/>
        <w:tabs>
          <w:tab w:leader="none" w:pos="227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52" w:lineRule="exact"/>
        <w:rPr>
          <w:rFonts w:ascii="Times New Roman" w:cs="Times New Roman" w:eastAsia="Times New Roman" w:hAnsi="Times New Roman"/>
          <w:sz w:val="22"/>
          <w:szCs w:val="22"/>
          <w:color w:val="auto"/>
        </w:rPr>
      </w:pPr>
    </w:p>
    <w:p>
      <w:pPr>
        <w:ind w:left="2280" w:hanging="652"/>
        <w:spacing w:after="0"/>
        <w:tabs>
          <w:tab w:leader="none" w:pos="22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to be totally disabled by the Social Security Administration; or</w:t>
      </w:r>
    </w:p>
    <w:p>
      <w:pPr>
        <w:spacing w:after="0" w:line="179" w:lineRule="exact"/>
        <w:rPr>
          <w:rFonts w:ascii="Times New Roman" w:cs="Times New Roman" w:eastAsia="Times New Roman" w:hAnsi="Times New Roman"/>
          <w:sz w:val="22"/>
          <w:szCs w:val="22"/>
          <w:color w:val="auto"/>
        </w:rPr>
      </w:pPr>
    </w:p>
    <w:p>
      <w:pPr>
        <w:ind w:left="2280" w:right="320" w:hanging="652"/>
        <w:spacing w:after="0" w:line="225" w:lineRule="auto"/>
        <w:tabs>
          <w:tab w:leader="none" w:pos="227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48"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Merger</w:t>
      </w:r>
      <w:r>
        <w:rPr>
          <w:rFonts w:ascii="Times New Roman" w:cs="Times New Roman" w:eastAsia="Times New Roman" w:hAnsi="Times New Roman"/>
          <w:sz w:val="21"/>
          <w:szCs w:val="21"/>
          <w:color w:val="auto"/>
        </w:rPr>
        <w:t>” shall have the meaning set forth in the Merger Agreement.</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b w:val="1"/>
          <w:bCs w:val="1"/>
          <w:color w:val="auto"/>
        </w:rPr>
        <w:t xml:space="preserve">“Merger Agreement” </w:t>
      </w:r>
      <w:r>
        <w:rPr>
          <w:rFonts w:ascii="Times New Roman" w:cs="Times New Roman" w:eastAsia="Times New Roman" w:hAnsi="Times New Roman"/>
          <w:sz w:val="21"/>
          <w:szCs w:val="21"/>
          <w:color w:val="auto"/>
        </w:rPr>
        <w:t>means the Agreement and Plan of Merger dated as of</w:t>
      </w:r>
    </w:p>
    <w:p>
      <w:pPr>
        <w:spacing w:after="0" w:line="3" w:lineRule="exact"/>
        <w:rPr>
          <w:sz w:val="20"/>
          <w:szCs w:val="20"/>
          <w:color w:val="auto"/>
        </w:rPr>
      </w:pPr>
    </w:p>
    <w:p>
      <w:pPr>
        <w:ind w:left="660" w:right="40"/>
        <w:spacing w:after="0" w:line="225" w:lineRule="auto"/>
        <w:rPr>
          <w:sz w:val="20"/>
          <w:szCs w:val="20"/>
          <w:color w:val="auto"/>
        </w:rPr>
      </w:pPr>
      <w:r>
        <w:rPr>
          <w:rFonts w:ascii="Times New Roman" w:cs="Times New Roman" w:eastAsia="Times New Roman" w:hAnsi="Times New Roman"/>
          <w:sz w:val="22"/>
          <w:szCs w:val="22"/>
          <w:color w:val="auto"/>
        </w:rPr>
        <w:t>May 5, 2024, by and among the Company, Alloy Parent LLC, a Delaware limited liability company (“Parent”), and Alloy Merger Sub LLC, a Delaware limited liability company and wholly owned subsidiary of Parent.</w:t>
      </w:r>
    </w:p>
    <w:p>
      <w:pPr>
        <w:spacing w:after="0" w:line="17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b w:val="1"/>
          <w:bCs w:val="1"/>
          <w:color w:val="auto"/>
        </w:rPr>
        <w:t>“Merger Effective Time</w:t>
      </w:r>
      <w:r>
        <w:rPr>
          <w:rFonts w:ascii="Times New Roman" w:cs="Times New Roman" w:eastAsia="Times New Roman" w:hAnsi="Times New Roman"/>
          <w:sz w:val="21"/>
          <w:szCs w:val="21"/>
          <w:color w:val="auto"/>
        </w:rPr>
        <w:t>” means the Effective Time of the Merger, as defined in the Merger Agreement.</w:t>
      </w:r>
    </w:p>
    <w:p>
      <w:pPr>
        <w:spacing w:after="0" w:line="206" w:lineRule="exact"/>
        <w:rPr>
          <w:sz w:val="20"/>
          <w:szCs w:val="20"/>
          <w:color w:val="auto"/>
        </w:rPr>
      </w:pPr>
    </w:p>
    <w:p>
      <w:pPr>
        <w:ind w:left="660" w:right="80" w:firstLine="648"/>
        <w:spacing w:after="0" w:line="212"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b w:val="1"/>
          <w:bCs w:val="1"/>
          <w:color w:val="auto"/>
        </w:rPr>
        <w:t>Related Company</w:t>
      </w:r>
      <w:r>
        <w:rPr>
          <w:rFonts w:ascii="Times New Roman" w:cs="Times New Roman" w:eastAsia="Times New Roman" w:hAnsi="Times New Roman"/>
          <w:sz w:val="22"/>
          <w:szCs w:val="22"/>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6" w:lineRule="exact"/>
        <w:rPr>
          <w:sz w:val="20"/>
          <w:szCs w:val="20"/>
          <w:color w:val="auto"/>
        </w:rPr>
      </w:pPr>
    </w:p>
    <w:p>
      <w:pPr>
        <w:ind w:left="660" w:firstLine="648"/>
        <w:spacing w:after="0" w:line="221"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Retires</w:t>
      </w:r>
      <w:r>
        <w:rPr>
          <w:rFonts w:ascii="Times New Roman" w:cs="Times New Roman" w:eastAsia="Times New Roman" w:hAnsi="Times New Roman"/>
          <w:sz w:val="22"/>
          <w:szCs w:val="22"/>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w:t>
      </w:r>
    </w:p>
    <w:p>
      <w:pPr>
        <w:spacing w:after="0" w:line="17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22"/>
          <w:szCs w:val="22"/>
          <w:color w:val="auto"/>
        </w:rPr>
        <w:t>6</w:t>
      </w:r>
    </w:p>
    <w:p>
      <w:pPr>
        <w:sectPr>
          <w:pgSz w:w="11900" w:h="16838" w:orient="portrait"/>
          <w:cols w:equalWidth="0" w:num="1">
            <w:col w:w="11220"/>
          </w:cols>
          <w:pgMar w:left="320" w:top="117" w:right="3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line="225" w:lineRule="auto"/>
        <w:rPr>
          <w:sz w:val="20"/>
          <w:szCs w:val="20"/>
          <w:color w:val="auto"/>
        </w:rPr>
      </w:pPr>
      <w:r>
        <w:rPr>
          <w:rFonts w:ascii="Times New Roman" w:cs="Times New Roman" w:eastAsia="Times New Roman" w:hAnsi="Times New Roman"/>
          <w:sz w:val="22"/>
          <w:szCs w:val="22"/>
          <w:color w:val="auto"/>
        </w:rPr>
        <w:t>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175" w:lineRule="exact"/>
        <w:rPr>
          <w:sz w:val="20"/>
          <w:szCs w:val="20"/>
          <w:color w:val="auto"/>
        </w:rPr>
      </w:pPr>
    </w:p>
    <w:p>
      <w:pPr>
        <w:ind w:left="660" w:right="60" w:firstLine="216"/>
        <w:spacing w:after="0" w:line="220" w:lineRule="auto"/>
        <w:rPr>
          <w:sz w:val="20"/>
          <w:szCs w:val="20"/>
          <w:color w:val="auto"/>
        </w:rPr>
      </w:pPr>
      <w:r>
        <w:rPr>
          <w:rFonts w:ascii="Times New Roman" w:cs="Times New Roman" w:eastAsia="Times New Roman" w:hAnsi="Times New Roman"/>
          <w:sz w:val="21"/>
          <w:szCs w:val="21"/>
          <w:color w:val="auto"/>
        </w:rPr>
        <w:t>13.9 “</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Courier New" w:cs="Courier New" w:eastAsia="Courier New" w:hAnsi="Courier New"/>
          <w:sz w:val="22"/>
          <w:szCs w:val="22"/>
          <w:color w:val="auto"/>
        </w:rPr>
        <w:t>7</w:t>
      </w:r>
    </w:p>
    <w:p>
      <w:pPr>
        <w:sectPr>
          <w:pgSz w:w="11900" w:h="16838" w:orient="portrait"/>
          <w:cols w:equalWidth="0" w:num="1">
            <w:col w:w="11220"/>
          </w:cols>
          <w:pgMar w:left="320" w:top="117" w:right="3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Effective 2025</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[Eligible Executive Employees]</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ALLETE</w:t>
      </w:r>
    </w:p>
    <w:p>
      <w:pPr>
        <w:spacing w:after="0" w:line="15" w:lineRule="exact"/>
        <w:rPr>
          <w:sz w:val="20"/>
          <w:szCs w:val="20"/>
          <w:color w:val="auto"/>
        </w:rPr>
      </w:pPr>
    </w:p>
    <w:p>
      <w:pPr>
        <w:ind w:left="220" w:right="2280" w:firstLine="2189"/>
        <w:spacing w:after="0" w:line="248" w:lineRule="auto"/>
        <w:rPr>
          <w:sz w:val="20"/>
          <w:szCs w:val="20"/>
          <w:color w:val="auto"/>
        </w:rPr>
      </w:pPr>
      <w:r>
        <w:rPr>
          <w:rFonts w:ascii="Times New Roman" w:cs="Times New Roman" w:eastAsia="Times New Roman" w:hAnsi="Times New Roman"/>
          <w:sz w:val="22"/>
          <w:szCs w:val="22"/>
          <w:b w:val="1"/>
          <w:bCs w:val="1"/>
          <w:color w:val="auto"/>
        </w:rPr>
        <w:t>EXECUTIVE LONG TERM INCENTIVE COMPENSATION PLAN PERFORMANCE SHARE GRANT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Financial Measure</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2"/>
          <w:szCs w:val="22"/>
          <w:color w:val="auto"/>
        </w:rPr>
        <w:t>Fifty percent (50%) of the total performance share opportunity is based on Total Shareholder Return (TSR) computed over the three-year performance period January 1, 2025 to December 31, 2027.</w:t>
      </w:r>
    </w:p>
    <w:p>
      <w:pPr>
        <w:spacing w:after="0" w:line="223"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Fifty percent (50%) of the total performance share opportunity is based on the Company’s Compound Annual Growth Rate (CAGR) computed over the three-year performance period January 1, 2025 to December 31, 2027.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Performance Share Award (TSR metric):</w:t>
      </w:r>
    </w:p>
    <w:p>
      <w:pPr>
        <w:spacing w:after="0" w:line="2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Achievement will be weighted on TSR performance in accordance with ALLETE’s TSR ranking as follows: at the 85th percentile or higher among the peer group (superior performance), 200% of the weighted Performance Share Grant will be earned. If ALLETE’s TSR ranking is at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among the peer group (target performance), 100% of the weighted Performance Share Grant will be earned. If ALLETE’s TSR ranking is at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(threshold performance), 50% of the weighted Performance Share Grant will be earned. If TSR ranking is below threshold, no weighted Performance Shares will be earned. Straight-line interpolation will be used to determine earned awards based on the TSR ranking between threshold, target and superior.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Peer Group:</w:t>
      </w:r>
    </w:p>
    <w:p>
      <w:pPr>
        <w:spacing w:after="0" w:line="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1"/>
          <w:szCs w:val="21"/>
          <w:color w:val="auto"/>
        </w:rPr>
        <w:t>The integrated utility companies comprising Edison Electric Institute (EEI) Stock Index as of December 31, 2027 that have been in the EEI Stock Index for at least three years as of December 31, 2027 will constitute the peer group used to determine actual payout results. The table below lists the EEI Stock Index as of December 31, 2023, based on published information available as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of that date:</w:t>
            </w:r>
          </w:p>
        </w:tc>
        <w:tc>
          <w:tcPr>
            <w:tcW w:w="2380" w:type="dxa"/>
            <w:vAlign w:val="bottom"/>
            <w:vMerge w:val="restart"/>
          </w:tcPr>
          <w:p>
            <w:pPr>
              <w:jc w:val="right"/>
              <w:spacing w:after="0"/>
              <w:rPr>
                <w:sz w:val="20"/>
                <w:szCs w:val="20"/>
                <w:color w:val="auto"/>
              </w:rPr>
            </w:pPr>
            <w:r>
              <w:rPr>
                <w:rFonts w:ascii="Courier New" w:cs="Courier New" w:eastAsia="Courier New" w:hAnsi="Courier New"/>
                <w:sz w:val="22"/>
                <w:szCs w:val="22"/>
                <w:color w:val="auto"/>
              </w:rPr>
              <w:t>8</w:t>
            </w:r>
          </w:p>
        </w:tc>
        <w:tc>
          <w:tcPr>
            <w:tcW w:w="0" w:type="dxa"/>
            <w:vAlign w:val="bottom"/>
          </w:tcPr>
          <w:p>
            <w:pPr>
              <w:spacing w:after="0"/>
              <w:rPr>
                <w:sz w:val="1"/>
                <w:szCs w:val="1"/>
                <w:color w:val="auto"/>
              </w:rPr>
            </w:pPr>
          </w:p>
        </w:tc>
      </w:tr>
      <w:tr>
        <w:trPr>
          <w:trHeight w:val="164"/>
        </w:trPr>
        <w:tc>
          <w:tcPr>
            <w:tcW w:w="330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117"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color w:val="auto"/>
        </w:rPr>
        <w:t>Exhibit 10(h)16</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7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Alliant Energy Corporation</w:t>
            </w:r>
          </w:p>
        </w:tc>
        <w:tc>
          <w:tcPr>
            <w:tcW w:w="37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Evergy Inc.</w:t>
            </w:r>
          </w:p>
        </w:tc>
        <w:tc>
          <w:tcPr>
            <w:tcW w:w="37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PG&amp;E Corporation</w:t>
            </w:r>
          </w:p>
        </w:tc>
      </w:tr>
      <w:tr>
        <w:trPr>
          <w:trHeight w:val="264"/>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Ameren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Eversource Energy</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Pinnacle West Capital Corporation</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American Electric Power Company</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Exelon Corporation</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PNM Resources, Inc.</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Avista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FirstEnergy Corporation</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Portland General Electric Company</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Black Hills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Hawaiian Electric Industries, Inc.</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PPL Corporation</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CenterPoint Energy, Inc.</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IDACORP, Inc.</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Public Service Enterprise Group, Inc.</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CMS Energy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MDU Resources Group, Inc.</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Sempra Energy</w:t>
            </w:r>
          </w:p>
        </w:tc>
      </w:tr>
      <w:tr>
        <w:trPr>
          <w:trHeight w:val="264"/>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Consolidated Edison, Inc.</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MGE Energy, Inc.</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Southern Company</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Dominion Energy, Inc.</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NextEra Energy, Inc.</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Unitil Corporation</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DTE Energy Company</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NiSource, Inc.</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WEC Energy Group, Inc.</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Duke Energy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NorthWestern Corporation</w:t>
            </w: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Xcel Energy, Inc.</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Edison International</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OGE Energy Corp.</w:t>
            </w:r>
          </w:p>
        </w:tc>
        <w:tc>
          <w:tcPr>
            <w:tcW w:w="3740" w:type="dxa"/>
            <w:vAlign w:val="bottom"/>
            <w:tcBorders>
              <w:bottom w:val="single" w:sz="8" w:color="auto"/>
              <w:right w:val="single" w:sz="8" w:color="auto"/>
            </w:tcBorders>
          </w:tcPr>
          <w:p>
            <w:pPr>
              <w:spacing w:after="0"/>
              <w:rPr>
                <w:sz w:val="22"/>
                <w:szCs w:val="22"/>
                <w:color w:val="auto"/>
              </w:rPr>
            </w:pP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Entergy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Otter Tail Corporation</w:t>
            </w:r>
          </w:p>
        </w:tc>
        <w:tc>
          <w:tcPr>
            <w:tcW w:w="3740" w:type="dxa"/>
            <w:vAlign w:val="bottom"/>
            <w:tcBorders>
              <w:bottom w:val="single" w:sz="8" w:color="auto"/>
              <w:right w:val="single" w:sz="8" w:color="auto"/>
            </w:tcBorders>
          </w:tcPr>
          <w:p>
            <w:pPr>
              <w:spacing w:after="0"/>
              <w:rPr>
                <w:sz w:val="22"/>
                <w:szCs w:val="22"/>
                <w:color w:val="auto"/>
              </w:rPr>
            </w:pPr>
          </w:p>
        </w:tc>
      </w:tr>
    </w:tbl>
    <w:p>
      <w:pPr>
        <w:spacing w:after="0" w:line="31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color w:val="auto"/>
        </w:rPr>
        <w:t>Any Company that is no longer included in the EEI Stock Index as of December 31, 2027 due to corporate restructuring during the performance period (e.g., mergers, acquisitions, divestitures, spin-offs, etc.) will be excluded from the results calculation entirely. If a corporate restructuring during the performance period results in a company remaining in the EEI Stock Index following the transaction (and thus not being excluded from the results calculation entirely), from the point of the transaction forward, the results calculation will track only the entity that remains in the EEI Stock Index and ignore other entities, regardless of whether such other entities are publicly traded.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Performance Share Award (CAGR metric):</w:t>
      </w:r>
    </w:p>
    <w:p>
      <w:pPr>
        <w:spacing w:after="0" w:line="24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CAGR will be calculated by using the baseline pro forma Earnings per Share (EPS) for the year ending December 31 of the year prior to the beginning of the three-year performance period and the pro forma EPS at the end of the three-year performance period. Achievement will be weighted on CAGR performance in accordance with the following table:</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Compound Annual Growth Rate</w:t>
            </w:r>
          </w:p>
        </w:tc>
        <w:tc>
          <w:tcPr>
            <w:tcW w:w="562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22"/>
                <w:szCs w:val="22"/>
                <w:color w:val="auto"/>
              </w:rPr>
              <w:t>Payout Percentage (% of Target Award)</w:t>
            </w: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Superior 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w:t>
            </w: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Target 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r>
      <w:tr>
        <w:trPr>
          <w:trHeight w:val="26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 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bl>
    <w:p>
      <w:pPr>
        <w:spacing w:after="0" w:line="32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If CAGR percentage result is below threshold, no weighted Performance Shares will be earned. Straight-line interpolation will be used to determine earned awards based on the CAGR percentage result between threshold, target and superior.</w:t>
      </w:r>
    </w:p>
    <w:p>
      <w:pPr>
        <w:spacing w:after="0" w:line="16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22"/>
          <w:szCs w:val="22"/>
          <w:color w:val="auto"/>
        </w:rPr>
        <w:t>9</w:t>
      </w:r>
    </w:p>
    <w:p>
      <w:pPr>
        <w:sectPr>
          <w:pgSz w:w="11900" w:h="16838" w:orient="portrait"/>
          <w:cols w:equalWidth="0" w:num="1">
            <w:col w:w="11260"/>
          </w:cols>
          <w:pgMar w:left="320" w:top="117" w:right="31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color w:val="auto"/>
        </w:rPr>
        <w:t>Exhibit 19</w:t>
      </w:r>
    </w:p>
    <w:p>
      <w:pPr>
        <w:spacing w:after="0" w:line="270" w:lineRule="exact"/>
        <w:rPr>
          <w:sz w:val="20"/>
          <w:szCs w:val="20"/>
          <w:color w:val="auto"/>
        </w:rPr>
      </w:pPr>
    </w:p>
    <w:p>
      <w:pPr>
        <w:jc w:val="right"/>
        <w:ind w:right="60"/>
        <w:spacing w:after="0"/>
        <w:rPr>
          <w:sz w:val="20"/>
          <w:szCs w:val="20"/>
          <w:color w:val="auto"/>
        </w:rPr>
      </w:pPr>
      <w:r>
        <w:rPr>
          <w:rFonts w:ascii="Calibri" w:cs="Calibri" w:eastAsia="Calibri" w:hAnsi="Calibri"/>
          <w:sz w:val="18"/>
          <w:szCs w:val="18"/>
          <w:b w:val="1"/>
          <w:bCs w:val="1"/>
          <w:i w:val="1"/>
          <w:iCs w:val="1"/>
          <w:color w:val="auto"/>
        </w:rPr>
        <w:t>Approved by the ALLETE</w:t>
      </w:r>
    </w:p>
    <w:p>
      <w:pPr>
        <w:spacing w:after="0" w:line="23" w:lineRule="exact"/>
        <w:rPr>
          <w:sz w:val="20"/>
          <w:szCs w:val="20"/>
          <w:color w:val="auto"/>
        </w:rPr>
      </w:pPr>
    </w:p>
    <w:p>
      <w:pPr>
        <w:jc w:val="right"/>
        <w:ind w:right="60"/>
        <w:spacing w:after="0"/>
        <w:rPr>
          <w:sz w:val="20"/>
          <w:szCs w:val="20"/>
          <w:color w:val="auto"/>
        </w:rPr>
      </w:pPr>
      <w:r>
        <w:rPr>
          <w:rFonts w:ascii="Calibri" w:cs="Calibri" w:eastAsia="Calibri" w:hAnsi="Calibri"/>
          <w:sz w:val="18"/>
          <w:szCs w:val="18"/>
          <w:b w:val="1"/>
          <w:bCs w:val="1"/>
          <w:i w:val="1"/>
          <w:iCs w:val="1"/>
          <w:color w:val="auto"/>
        </w:rPr>
        <w:t>Board of Directors on January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ALLETE, INC.</w:t>
      </w:r>
    </w:p>
    <w:p>
      <w:pPr>
        <w:jc w:val="center"/>
        <w:ind w:right="-19"/>
        <w:spacing w:after="0" w:line="238" w:lineRule="auto"/>
        <w:rPr>
          <w:sz w:val="20"/>
          <w:szCs w:val="20"/>
          <w:color w:val="auto"/>
        </w:rPr>
      </w:pPr>
      <w:r>
        <w:rPr>
          <w:rFonts w:ascii="Calibri" w:cs="Calibri" w:eastAsia="Calibri" w:hAnsi="Calibri"/>
          <w:sz w:val="20"/>
          <w:szCs w:val="20"/>
          <w:b w:val="1"/>
          <w:bCs w:val="1"/>
          <w:color w:val="auto"/>
        </w:rPr>
        <w:t>PURCHASE AND SALE OF COMPANY SECURITIES POLICY</w:t>
      </w:r>
    </w:p>
    <w:p>
      <w:pPr>
        <w:spacing w:after="0" w:line="239" w:lineRule="exact"/>
        <w:rPr>
          <w:sz w:val="20"/>
          <w:szCs w:val="20"/>
          <w:color w:val="auto"/>
        </w:rPr>
      </w:pPr>
    </w:p>
    <w:p>
      <w:pPr>
        <w:ind w:left="120" w:right="340"/>
        <w:spacing w:after="0" w:line="233" w:lineRule="auto"/>
        <w:rPr>
          <w:sz w:val="20"/>
          <w:szCs w:val="20"/>
          <w:color w:val="auto"/>
        </w:rPr>
      </w:pPr>
      <w:r>
        <w:rPr>
          <w:rFonts w:ascii="Calibri" w:cs="Calibri" w:eastAsia="Calibri" w:hAnsi="Calibri"/>
          <w:sz w:val="20"/>
          <w:szCs w:val="20"/>
          <w:color w:val="auto"/>
        </w:rPr>
        <w:t>This policy has been established to assure that directors, ofcers, employees, and consultants (collectvely, “Covered Persons”) of ALLETE, Inc. and its subsidiaries (collectvely, “ALLETE” or “Company”) comply with applicable federal and state insider trading laws and regulatons. This policy applies to all Covered Persons, as well as to: (i) the Covered Person’s family and household members, which includes family members who reside with a Covered Person (including a spouse, a child, a child away at college, stepchildren, grandchildren, parents, stepparents, grandparents, siblings, and in-laws), anyone else who lives in the Covered Person’s household (whether or not they are the Covered Person’s family members), and any family members who do not live in the Covered Person’s household, but whose transactons in ALLETE securites are directed, infuenced, or controlled by the Covered Person (collectvely, “Family Members”) and (ii) any enttes or persons who are controlled by a Covered Person (“Related Enttes”). ALLETE may also, from tme to tme, determine that other persons should be subject to this Policy.</w:t>
      </w:r>
    </w:p>
    <w:p>
      <w:pPr>
        <w:spacing w:after="0" w:line="243" w:lineRule="exact"/>
        <w:rPr>
          <w:sz w:val="20"/>
          <w:szCs w:val="20"/>
          <w:color w:val="auto"/>
        </w:rPr>
      </w:pPr>
    </w:p>
    <w:p>
      <w:pPr>
        <w:ind w:left="120" w:right="560"/>
        <w:spacing w:after="0" w:line="231" w:lineRule="auto"/>
        <w:rPr>
          <w:sz w:val="20"/>
          <w:szCs w:val="20"/>
          <w:color w:val="auto"/>
        </w:rPr>
      </w:pPr>
      <w:r>
        <w:rPr>
          <w:rFonts w:ascii="Calibri" w:cs="Calibri" w:eastAsia="Calibri" w:hAnsi="Calibri"/>
          <w:sz w:val="20"/>
          <w:szCs w:val="20"/>
          <w:color w:val="auto"/>
        </w:rPr>
        <w:t xml:space="preserve">No Covered Person shall buy or sell securites of ALLETE, Inc. (“ALLETE Securites”), or otherwise engage in transactons in ALLETE Securites, including </w:t>
      </w:r>
      <w:r>
        <w:rPr>
          <w:rFonts w:ascii="Calibri" w:cs="Calibri" w:eastAsia="Calibri" w:hAnsi="Calibri"/>
          <w:sz w:val="20"/>
          <w:szCs w:val="20"/>
          <w:i w:val="1"/>
          <w:iCs w:val="1"/>
          <w:color w:val="auto"/>
        </w:rPr>
        <w:t>bona fde</w:t>
      </w:r>
      <w:r>
        <w:rPr>
          <w:rFonts w:ascii="Calibri" w:cs="Calibri" w:eastAsia="Calibri" w:hAnsi="Calibri"/>
          <w:sz w:val="20"/>
          <w:szCs w:val="20"/>
          <w:color w:val="auto"/>
        </w:rPr>
        <w:t xml:space="preserve"> gifs or donatons of ALLETE Securites, on the basis of material non-public informaton about the Company or ALLETE Securites, either directly or through a third party, nor pass on (“tp”) such informaton to others.</w:t>
      </w:r>
    </w:p>
    <w:p>
      <w:pPr>
        <w:spacing w:after="0" w:line="254" w:lineRule="exact"/>
        <w:rPr>
          <w:sz w:val="20"/>
          <w:szCs w:val="20"/>
          <w:color w:val="auto"/>
        </w:rPr>
      </w:pPr>
    </w:p>
    <w:p>
      <w:pPr>
        <w:ind w:left="120" w:right="400"/>
        <w:spacing w:after="0" w:line="233" w:lineRule="auto"/>
        <w:rPr>
          <w:sz w:val="20"/>
          <w:szCs w:val="20"/>
          <w:color w:val="auto"/>
        </w:rPr>
      </w:pPr>
      <w:r>
        <w:rPr>
          <w:rFonts w:ascii="Calibri" w:cs="Calibri" w:eastAsia="Calibri" w:hAnsi="Calibri"/>
          <w:sz w:val="20"/>
          <w:szCs w:val="20"/>
          <w:color w:val="auto"/>
        </w:rPr>
        <w:t>This policy also prohibits Covered Persons from buying or selling securites of other companies with which the Company does business, such as the Company’s customers, suppliers, compettors, or joint-venture partners, or companies involved in a potental transacton or business relatonship with the Company (collectvely, “Other Companies”) based on material non-public informaton relatng to those Other Companies and from tpping such material non-public informaton to others.</w:t>
      </w:r>
    </w:p>
    <w:p>
      <w:pPr>
        <w:spacing w:after="0" w:line="253" w:lineRule="exact"/>
        <w:rPr>
          <w:sz w:val="20"/>
          <w:szCs w:val="20"/>
          <w:color w:val="auto"/>
        </w:rPr>
      </w:pPr>
    </w:p>
    <w:p>
      <w:pPr>
        <w:ind w:left="120" w:right="580"/>
        <w:spacing w:after="0" w:line="228" w:lineRule="auto"/>
        <w:rPr>
          <w:sz w:val="20"/>
          <w:szCs w:val="20"/>
          <w:color w:val="auto"/>
        </w:rPr>
      </w:pPr>
      <w:r>
        <w:rPr>
          <w:rFonts w:ascii="Calibri" w:cs="Calibri" w:eastAsia="Calibri" w:hAnsi="Calibri"/>
          <w:sz w:val="20"/>
          <w:szCs w:val="20"/>
          <w:color w:val="auto"/>
        </w:rPr>
        <w:t>Covered Persons are individually responsible for complying with this policy and for ensuring that any Family Members or Related Enttes also comply with this policy.</w:t>
      </w:r>
    </w:p>
    <w:p>
      <w:pPr>
        <w:spacing w:after="0" w:line="242" w:lineRule="exact"/>
        <w:rPr>
          <w:sz w:val="20"/>
          <w:szCs w:val="20"/>
          <w:color w:val="auto"/>
        </w:rPr>
      </w:pPr>
    </w:p>
    <w:p>
      <w:pPr>
        <w:ind w:left="120"/>
        <w:spacing w:after="0"/>
        <w:rPr>
          <w:sz w:val="20"/>
          <w:szCs w:val="20"/>
          <w:color w:val="auto"/>
        </w:rPr>
      </w:pPr>
      <w:r>
        <w:rPr>
          <w:rFonts w:ascii="Calibri" w:cs="Calibri" w:eastAsia="Calibri" w:hAnsi="Calibri"/>
          <w:sz w:val="20"/>
          <w:szCs w:val="20"/>
          <w:b w:val="1"/>
          <w:bCs w:val="1"/>
          <w:color w:val="auto"/>
        </w:rPr>
        <w:t>General Requirements</w:t>
      </w:r>
    </w:p>
    <w:p>
      <w:pPr>
        <w:spacing w:after="0" w:line="238" w:lineRule="exact"/>
        <w:rPr>
          <w:sz w:val="20"/>
          <w:szCs w:val="20"/>
          <w:color w:val="auto"/>
        </w:rPr>
      </w:pPr>
    </w:p>
    <w:p>
      <w:pPr>
        <w:ind w:left="120"/>
        <w:spacing w:after="0" w:line="233" w:lineRule="auto"/>
        <w:rPr>
          <w:sz w:val="20"/>
          <w:szCs w:val="20"/>
          <w:color w:val="auto"/>
        </w:rPr>
      </w:pPr>
      <w:r>
        <w:rPr>
          <w:rFonts w:ascii="Calibri" w:cs="Calibri" w:eastAsia="Calibri" w:hAnsi="Calibri"/>
          <w:sz w:val="20"/>
          <w:szCs w:val="20"/>
          <w:color w:val="auto"/>
        </w:rPr>
        <w:t>Both federal and state securites laws and regulatons prohibit the use of material non-public informaton when trading in or recommending ALLETE Securites. Informaton is “material” if (i) a reasonable investor would likely consider such informaton important in deciding whether to buy, sell, or hold a company’s securites or (ii) the informaton could afect the market or price of a company’s securites, whether it is positve or negatve. Common examples of informaton that could be material include, but are not limited to:</w:t>
      </w:r>
    </w:p>
    <w:p>
      <w:pPr>
        <w:spacing w:after="0" w:line="244" w:lineRule="exact"/>
        <w:rPr>
          <w:sz w:val="20"/>
          <w:szCs w:val="20"/>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Calibri" w:cs="Calibri" w:eastAsia="Calibri" w:hAnsi="Calibri"/>
          <w:sz w:val="20"/>
          <w:szCs w:val="20"/>
          <w:color w:val="auto"/>
        </w:rPr>
        <w:t>Financial results or a change in dividends;</w:t>
      </w:r>
    </w:p>
    <w:p>
      <w:pPr>
        <w:spacing w:after="0" w:line="6"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199"/>
        </w:numPr>
        <w:rPr>
          <w:rFonts w:ascii="Times New Roman" w:cs="Times New Roman" w:eastAsia="Times New Roman" w:hAnsi="Times New Roman"/>
          <w:sz w:val="18"/>
          <w:szCs w:val="18"/>
          <w:color w:val="auto"/>
        </w:rPr>
      </w:pPr>
      <w:r>
        <w:rPr>
          <w:rFonts w:ascii="Calibri" w:cs="Calibri" w:eastAsia="Calibri" w:hAnsi="Calibri"/>
          <w:sz w:val="20"/>
          <w:szCs w:val="20"/>
          <w:color w:val="auto"/>
        </w:rPr>
        <w:t>Projectons of future earnings or losses, or other earnings guidance;</w:t>
      </w:r>
    </w:p>
    <w:p>
      <w:pPr>
        <w:spacing w:after="0" w:line="9" w:lineRule="exact"/>
        <w:rPr>
          <w:rFonts w:ascii="Times New Roman" w:cs="Times New Roman" w:eastAsia="Times New Roman" w:hAnsi="Times New Roman"/>
          <w:sz w:val="18"/>
          <w:szCs w:val="18"/>
          <w:color w:val="auto"/>
        </w:rPr>
      </w:pPr>
    </w:p>
    <w:p>
      <w:pPr>
        <w:ind w:left="660" w:right="880" w:hanging="328"/>
        <w:spacing w:after="0" w:line="228" w:lineRule="auto"/>
        <w:tabs>
          <w:tab w:leader="none" w:pos="655" w:val="left"/>
        </w:tabs>
        <w:numPr>
          <w:ilvl w:val="0"/>
          <w:numId w:val="199"/>
        </w:numPr>
        <w:rPr>
          <w:rFonts w:ascii="Times New Roman" w:cs="Times New Roman" w:eastAsia="Times New Roman" w:hAnsi="Times New Roman"/>
          <w:sz w:val="18"/>
          <w:szCs w:val="18"/>
          <w:color w:val="auto"/>
        </w:rPr>
      </w:pPr>
      <w:r>
        <w:rPr>
          <w:rFonts w:ascii="Calibri" w:cs="Calibri" w:eastAsia="Calibri" w:hAnsi="Calibri"/>
          <w:sz w:val="20"/>
          <w:szCs w:val="20"/>
          <w:color w:val="auto"/>
        </w:rPr>
        <w:t>Earnings that are inconsistent with the consensus expectaton of the investment community, or a change to previously announced earnings, revenue or other material fnancial projectons or guidance;</w:t>
      </w:r>
    </w:p>
    <w:p>
      <w:pPr>
        <w:spacing w:after="0" w:line="8" w:lineRule="exact"/>
        <w:rPr>
          <w:rFonts w:ascii="Times New Roman" w:cs="Times New Roman" w:eastAsia="Times New Roman" w:hAnsi="Times New Roman"/>
          <w:sz w:val="18"/>
          <w:szCs w:val="18"/>
          <w:color w:val="auto"/>
        </w:rPr>
      </w:pPr>
    </w:p>
    <w:p>
      <w:pPr>
        <w:ind w:left="660" w:right="500" w:hanging="328"/>
        <w:spacing w:after="0" w:line="234" w:lineRule="auto"/>
        <w:tabs>
          <w:tab w:leader="none" w:pos="655" w:val="left"/>
        </w:tabs>
        <w:numPr>
          <w:ilvl w:val="0"/>
          <w:numId w:val="199"/>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Industry informaton (such as prices, volumes, or other conditons afectng the Company’s business or likely to afect other companies in the industry);</w:t>
      </w:r>
    </w:p>
    <w:p>
      <w:pPr>
        <w:spacing w:after="0" w:line="1" w:lineRule="exact"/>
        <w:rPr>
          <w:rFonts w:ascii="Times New Roman" w:cs="Times New Roman" w:eastAsia="Times New Roman" w:hAnsi="Times New Roman"/>
          <w:sz w:val="18"/>
          <w:szCs w:val="18"/>
          <w:color w:val="auto"/>
        </w:rPr>
      </w:pPr>
    </w:p>
    <w:p>
      <w:pPr>
        <w:ind w:left="660" w:hanging="328"/>
        <w:spacing w:after="0" w:line="225" w:lineRule="auto"/>
        <w:tabs>
          <w:tab w:leader="none" w:pos="660" w:val="left"/>
        </w:tabs>
        <w:numPr>
          <w:ilvl w:val="0"/>
          <w:numId w:val="199"/>
        </w:numPr>
        <w:rPr>
          <w:rFonts w:ascii="Times New Roman" w:cs="Times New Roman" w:eastAsia="Times New Roman" w:hAnsi="Times New Roman"/>
          <w:sz w:val="18"/>
          <w:szCs w:val="18"/>
          <w:color w:val="auto"/>
        </w:rPr>
      </w:pPr>
      <w:r>
        <w:rPr>
          <w:rFonts w:ascii="Calibri" w:cs="Calibri" w:eastAsia="Calibri" w:hAnsi="Calibri"/>
          <w:sz w:val="20"/>
          <w:szCs w:val="20"/>
          <w:color w:val="auto"/>
        </w:rPr>
        <w:t>Signifcant changes in sales volumes, margins, or pricing;</w:t>
      </w:r>
    </w:p>
    <w:p>
      <w:pPr>
        <w:sectPr>
          <w:pgSz w:w="11900" w:h="16838" w:orient="portrait"/>
          <w:cols w:equalWidth="0" w:num="1">
            <w:col w:w="11220"/>
          </w:cols>
          <w:pgMar w:left="320" w:top="122" w:right="35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Signifcant changes in accountng treatment, write-ofs, or efectve tax rate;</w:t>
      </w:r>
    </w:p>
    <w:p>
      <w:pPr>
        <w:spacing w:after="0" w:line="8" w:lineRule="exact"/>
        <w:rPr>
          <w:rFonts w:ascii="Times New Roman" w:cs="Times New Roman" w:eastAsia="Times New Roman" w:hAnsi="Times New Roman"/>
          <w:sz w:val="18"/>
          <w:szCs w:val="18"/>
          <w:color w:val="auto"/>
        </w:rPr>
      </w:pPr>
    </w:p>
    <w:p>
      <w:pPr>
        <w:ind w:left="660" w:right="400" w:hanging="328"/>
        <w:spacing w:after="0" w:line="228" w:lineRule="auto"/>
        <w:tabs>
          <w:tab w:leader="none" w:pos="655"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A pending or proposed merger, acquisiton, or dispositon of a signifcant asset, including the dispositon of a subsidiary, or tender ofer;</w:t>
      </w:r>
    </w:p>
    <w:p>
      <w:pPr>
        <w:ind w:left="660" w:hanging="328"/>
        <w:spacing w:after="0" w:line="238" w:lineRule="auto"/>
        <w:tabs>
          <w:tab w:leader="none" w:pos="660"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Signifcant changes in senior management;</w:t>
      </w:r>
    </w:p>
    <w:p>
      <w:pPr>
        <w:spacing w:after="0" w:line="6"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A signifcant change in the ownership of the Company, including a change in control;</w:t>
      </w:r>
    </w:p>
    <w:p>
      <w:pPr>
        <w:spacing w:after="0" w:line="6" w:lineRule="exact"/>
        <w:rPr>
          <w:rFonts w:ascii="Times New Roman" w:cs="Times New Roman" w:eastAsia="Times New Roman" w:hAnsi="Times New Roman"/>
          <w:sz w:val="18"/>
          <w:szCs w:val="18"/>
          <w:color w:val="auto"/>
        </w:rPr>
      </w:pPr>
    </w:p>
    <w:p>
      <w:pPr>
        <w:ind w:left="660" w:hanging="328"/>
        <w:spacing w:after="0" w:line="232" w:lineRule="auto"/>
        <w:tabs>
          <w:tab w:leader="none" w:pos="660"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A signifcant change in capital investment plans;</w:t>
      </w:r>
    </w:p>
    <w:p>
      <w:pPr>
        <w:spacing w:after="0" w:line="7" w:lineRule="exact"/>
        <w:rPr>
          <w:rFonts w:ascii="Times New Roman" w:cs="Times New Roman" w:eastAsia="Times New Roman" w:hAnsi="Times New Roman"/>
          <w:sz w:val="18"/>
          <w:szCs w:val="18"/>
          <w:color w:val="auto"/>
        </w:rPr>
      </w:pPr>
    </w:p>
    <w:p>
      <w:pPr>
        <w:ind w:left="660" w:hanging="328"/>
        <w:spacing w:after="0" w:line="232" w:lineRule="auto"/>
        <w:tabs>
          <w:tab w:leader="none" w:pos="660"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A stock split or new securites ofering (i.e., pending public or private sales of debt or equity securites);</w:t>
      </w:r>
    </w:p>
    <w:p>
      <w:pPr>
        <w:spacing w:after="0" w:line="7"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An impending bankruptcy fling, an impending insolvency acton, or the existence of severe liquidity problems;</w:t>
      </w:r>
    </w:p>
    <w:p>
      <w:pPr>
        <w:spacing w:after="0" w:line="6" w:lineRule="exact"/>
        <w:rPr>
          <w:rFonts w:ascii="Times New Roman" w:cs="Times New Roman" w:eastAsia="Times New Roman" w:hAnsi="Times New Roman"/>
          <w:sz w:val="18"/>
          <w:szCs w:val="18"/>
          <w:color w:val="auto"/>
        </w:rPr>
      </w:pPr>
    </w:p>
    <w:p>
      <w:pPr>
        <w:ind w:left="660" w:hanging="328"/>
        <w:spacing w:after="0" w:line="232" w:lineRule="auto"/>
        <w:tabs>
          <w:tab w:leader="none" w:pos="660"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gain or loss of a signifcant customer or supplier;</w:t>
      </w:r>
    </w:p>
    <w:p>
      <w:pPr>
        <w:spacing w:after="0" w:line="7" w:lineRule="exact"/>
        <w:rPr>
          <w:rFonts w:ascii="Times New Roman" w:cs="Times New Roman" w:eastAsia="Times New Roman" w:hAnsi="Times New Roman"/>
          <w:sz w:val="18"/>
          <w:szCs w:val="18"/>
          <w:color w:val="auto"/>
        </w:rPr>
      </w:pPr>
    </w:p>
    <w:p>
      <w:pPr>
        <w:ind w:left="660" w:right="580" w:hanging="328"/>
        <w:spacing w:after="0" w:line="229" w:lineRule="auto"/>
        <w:tabs>
          <w:tab w:leader="none" w:pos="655"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A signifcant cybersecurity incident, such as a data breach, or any other incident leading to a signifcant disrupton in the Company’s operatons;</w:t>
      </w:r>
    </w:p>
    <w:p>
      <w:pPr>
        <w:ind w:left="660" w:hanging="328"/>
        <w:spacing w:after="0" w:line="238" w:lineRule="auto"/>
        <w:tabs>
          <w:tab w:leader="none" w:pos="660"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Material developments in regulatory or litgaton maters, whether actual, pending, or threatened; and</w:t>
      </w:r>
    </w:p>
    <w:p>
      <w:pPr>
        <w:spacing w:after="0" w:line="6" w:lineRule="exact"/>
        <w:rPr>
          <w:rFonts w:ascii="Times New Roman" w:cs="Times New Roman" w:eastAsia="Times New Roman" w:hAnsi="Times New Roman"/>
          <w:sz w:val="18"/>
          <w:szCs w:val="18"/>
          <w:color w:val="auto"/>
        </w:rPr>
      </w:pPr>
    </w:p>
    <w:p>
      <w:pPr>
        <w:ind w:left="660" w:right="260" w:hanging="328"/>
        <w:spacing w:after="0" w:line="229" w:lineRule="auto"/>
        <w:tabs>
          <w:tab w:leader="none" w:pos="655" w:val="left"/>
        </w:tabs>
        <w:numPr>
          <w:ilvl w:val="0"/>
          <w:numId w:val="200"/>
        </w:numPr>
        <w:rPr>
          <w:rFonts w:ascii="Times New Roman" w:cs="Times New Roman" w:eastAsia="Times New Roman" w:hAnsi="Times New Roman"/>
          <w:sz w:val="18"/>
          <w:szCs w:val="18"/>
          <w:color w:val="auto"/>
        </w:rPr>
      </w:pPr>
      <w:r>
        <w:rPr>
          <w:rFonts w:ascii="Calibri" w:cs="Calibri" w:eastAsia="Calibri" w:hAnsi="Calibri"/>
          <w:sz w:val="20"/>
          <w:szCs w:val="20"/>
          <w:color w:val="auto"/>
        </w:rPr>
        <w:t>Impositon of any event-specifc restrictons on trading securites of the Company or any other company, or the extension or terminaton of any such trading restrictons.</w:t>
      </w:r>
    </w:p>
    <w:p>
      <w:pPr>
        <w:spacing w:after="0" w:line="239"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This list is not exhaustve. Any informaton, favorable or unfavorable, that could reasonably be expected to afect the price of a security should be considered material. Anyone scrutnizing a Covered Person’s, Family Member’s, or Related Entty’s transactons will be doing so afer the fact, with the beneft of hindsight; before engaging in any transacton, Covered Persons, Family Members, and Related Enttes should carefully consider how enforcement authorites and others might view the transacton in hindsight. Questons concerning the materiality of partcular informaton should be resolved in favor of concluding that it is material. Anyone in possession of material non-public informaton including not only Covered Persons, but also persons outside the Company, such as Family Members, Related Enttes, friends, brokers, or others who may have acquired the inside informaton directly or through tps, can be an insider.</w:t>
      </w:r>
    </w:p>
    <w:p>
      <w:pPr>
        <w:spacing w:after="0" w:line="200" w:lineRule="exact"/>
        <w:rPr>
          <w:sz w:val="20"/>
          <w:szCs w:val="20"/>
          <w:color w:val="auto"/>
        </w:rPr>
      </w:pPr>
    </w:p>
    <w:p>
      <w:pPr>
        <w:spacing w:after="0" w:line="238" w:lineRule="exact"/>
        <w:rPr>
          <w:sz w:val="20"/>
          <w:szCs w:val="20"/>
          <w:color w:val="auto"/>
        </w:rPr>
      </w:pPr>
    </w:p>
    <w:p>
      <w:pPr>
        <w:ind w:left="120" w:right="60"/>
        <w:spacing w:after="0" w:line="233" w:lineRule="auto"/>
        <w:rPr>
          <w:sz w:val="20"/>
          <w:szCs w:val="20"/>
          <w:color w:val="auto"/>
        </w:rPr>
      </w:pPr>
      <w:r>
        <w:rPr>
          <w:rFonts w:ascii="Calibri" w:cs="Calibri" w:eastAsia="Calibri" w:hAnsi="Calibri"/>
          <w:sz w:val="20"/>
          <w:szCs w:val="20"/>
          <w:color w:val="auto"/>
        </w:rPr>
        <w:t>Federal securites laws and regulatons generally impose upon persons possessing material non-public informaton a “disclose or abstain” rule. This means that the insider must abstain from trading unless the informaton has been publicly disclosed and sufcient tme has elapsed for the informaton to be “absorbed” by the investng public. Because insiders are not generally able to act on their own to disclose material non-public informaton without violatng their fduciary duty of confdentality to ALLETE Companies and causing ALLETE Companies substantal harm, the “disclose or abstain” rule should be regarded as imposing an obligaton not to trade in ALLETE Securites at any tme when one is in possession of material non-public informaton.</w:t>
      </w:r>
    </w:p>
    <w:p>
      <w:pPr>
        <w:spacing w:after="0" w:line="238" w:lineRule="exact"/>
        <w:rPr>
          <w:sz w:val="20"/>
          <w:szCs w:val="20"/>
          <w:color w:val="auto"/>
        </w:rPr>
      </w:pPr>
    </w:p>
    <w:p>
      <w:pPr>
        <w:ind w:left="120" w:right="340"/>
        <w:spacing w:after="0" w:line="234" w:lineRule="auto"/>
        <w:rPr>
          <w:sz w:val="20"/>
          <w:szCs w:val="20"/>
          <w:color w:val="auto"/>
        </w:rPr>
      </w:pPr>
      <w:r>
        <w:rPr>
          <w:rFonts w:ascii="Calibri" w:cs="Calibri" w:eastAsia="Calibri" w:hAnsi="Calibri"/>
          <w:sz w:val="20"/>
          <w:szCs w:val="20"/>
          <w:color w:val="auto"/>
        </w:rPr>
        <w:t>Furthermore, all external requests for material and non-public informaton involving ALLETE Companies must be referred without comment to (i) Public Afairs or (ii) Investor Relatons for inquiries by securites analysts or investors.</w:t>
      </w:r>
    </w:p>
    <w:p>
      <w:pPr>
        <w:spacing w:after="0" w:line="239" w:lineRule="exact"/>
        <w:rPr>
          <w:sz w:val="20"/>
          <w:szCs w:val="20"/>
          <w:color w:val="auto"/>
        </w:rPr>
      </w:pPr>
    </w:p>
    <w:p>
      <w:pPr>
        <w:jc w:val="both"/>
        <w:ind w:left="120" w:right="140"/>
        <w:spacing w:after="0" w:line="233" w:lineRule="auto"/>
        <w:rPr>
          <w:sz w:val="20"/>
          <w:szCs w:val="20"/>
          <w:color w:val="auto"/>
        </w:rPr>
      </w:pPr>
      <w:r>
        <w:rPr>
          <w:rFonts w:ascii="Calibri" w:cs="Calibri" w:eastAsia="Calibri" w:hAnsi="Calibri"/>
          <w:sz w:val="20"/>
          <w:szCs w:val="20"/>
          <w:color w:val="auto"/>
        </w:rPr>
        <w:t>To assure that Covered Persons do not violate the legal prohibiton on “insider trading,” the following specifc procedures have been established. They should not, however, be viewed as exhaustve, and any Covered Person who is in doubt as to whether a proposed transacton in ALLETE Securites would violate this insider trading policy or these procedures should consult with ALLETE Inc.’s Chief Legal Ofcer before going forward with the transacton.</w:t>
      </w:r>
    </w:p>
    <w:p>
      <w:pPr>
        <w:spacing w:after="0" w:line="244" w:lineRule="exact"/>
        <w:rPr>
          <w:sz w:val="20"/>
          <w:szCs w:val="20"/>
          <w:color w:val="auto"/>
        </w:rPr>
      </w:pPr>
    </w:p>
    <w:p>
      <w:pPr>
        <w:ind w:left="120"/>
        <w:spacing w:after="0"/>
        <w:rPr>
          <w:sz w:val="20"/>
          <w:szCs w:val="20"/>
          <w:color w:val="auto"/>
        </w:rPr>
      </w:pPr>
      <w:r>
        <w:rPr>
          <w:rFonts w:ascii="Calibri" w:cs="Calibri" w:eastAsia="Calibri" w:hAnsi="Calibri"/>
          <w:sz w:val="20"/>
          <w:szCs w:val="20"/>
          <w:b w:val="1"/>
          <w:bCs w:val="1"/>
          <w:color w:val="auto"/>
        </w:rPr>
        <w:t>Specifc Requirements</w:t>
      </w:r>
    </w:p>
    <w:p>
      <w:pPr>
        <w:sectPr>
          <w:pgSz w:w="11900" w:h="16838" w:orient="portrait"/>
          <w:cols w:equalWidth="0" w:num="1">
            <w:col w:w="11060"/>
          </w:cols>
          <w:pgMar w:left="320" w:top="122" w:right="51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right="240" w:hanging="646"/>
        <w:spacing w:after="0" w:line="233" w:lineRule="auto"/>
        <w:tabs>
          <w:tab w:leader="none" w:pos="745" w:val="left"/>
        </w:tabs>
        <w:numPr>
          <w:ilvl w:val="0"/>
          <w:numId w:val="201"/>
        </w:numPr>
        <w:rPr>
          <w:rFonts w:ascii="Calibri" w:cs="Calibri" w:eastAsia="Calibri" w:hAnsi="Calibri"/>
          <w:sz w:val="18"/>
          <w:szCs w:val="18"/>
          <w:color w:val="auto"/>
        </w:rPr>
      </w:pPr>
      <w:r>
        <w:rPr>
          <w:rFonts w:ascii="Calibri" w:cs="Calibri" w:eastAsia="Calibri" w:hAnsi="Calibri"/>
          <w:sz w:val="20"/>
          <w:szCs w:val="20"/>
          <w:color w:val="auto"/>
        </w:rPr>
        <w:t>Covered Persons, Family Members, and Related Enttes shall not engage in any transacton involving any ALLETE Securites at any tme when such person is in possession of material non-public informaton, or prior to the third market day following public disclosure of such informaton. Securites trades executed in compliance with a person’s pre-cleared 10b5-1 plan (see paragraph 4 below), even if made at a tme when the person possesses material non-public informaton, will not consttute a violaton of this requirement, so long as the person complies with paragraph 4 below and they did not possess material non-public informaton at the tme they entered into the 10b5-1 plan.</w:t>
      </w:r>
    </w:p>
    <w:p>
      <w:pPr>
        <w:spacing w:after="0" w:line="224" w:lineRule="exact"/>
        <w:rPr>
          <w:rFonts w:ascii="Calibri" w:cs="Calibri" w:eastAsia="Calibri" w:hAnsi="Calibri"/>
          <w:sz w:val="18"/>
          <w:szCs w:val="18"/>
          <w:color w:val="auto"/>
        </w:rPr>
      </w:pPr>
    </w:p>
    <w:p>
      <w:pPr>
        <w:ind w:left="760" w:right="280" w:hanging="646"/>
        <w:spacing w:after="0"/>
        <w:tabs>
          <w:tab w:leader="none" w:pos="745" w:val="left"/>
        </w:tabs>
        <w:numPr>
          <w:ilvl w:val="0"/>
          <w:numId w:val="201"/>
        </w:numPr>
        <w:rPr>
          <w:rFonts w:ascii="Calibri" w:cs="Calibri" w:eastAsia="Calibri" w:hAnsi="Calibri"/>
          <w:sz w:val="18"/>
          <w:szCs w:val="18"/>
          <w:color w:val="auto"/>
        </w:rPr>
      </w:pPr>
      <w:r>
        <w:rPr>
          <w:rFonts w:ascii="Calibri" w:cs="Calibri" w:eastAsia="Calibri" w:hAnsi="Calibri"/>
          <w:sz w:val="20"/>
          <w:szCs w:val="20"/>
          <w:color w:val="auto"/>
        </w:rPr>
        <w:t>To help avoid the potental for improper transactons involving ALLETE Securites transactons before there has been adequate public disseminaton of fnancial informaton, directors and ofcers of the Company shall refrain from transactons in ALLETE Securites (a) during the period commencing on the frst day of the 15-day period that ends on the last day of the quarter (i.e. commencing on March 17, June 16, September 16 or December 17, as applicable) and ending on the second market day following the public release of ALLETE Inc.’s earnings for that quarter and (b) during certain event-specifc blackout periods.</w:t>
      </w:r>
    </w:p>
    <w:p>
      <w:pPr>
        <w:spacing w:after="0" w:line="200" w:lineRule="exact"/>
        <w:rPr>
          <w:rFonts w:ascii="Calibri" w:cs="Calibri" w:eastAsia="Calibri" w:hAnsi="Calibri"/>
          <w:sz w:val="18"/>
          <w:szCs w:val="18"/>
          <w:color w:val="auto"/>
        </w:rPr>
      </w:pPr>
    </w:p>
    <w:p>
      <w:pPr>
        <w:spacing w:after="0" w:line="212" w:lineRule="exact"/>
        <w:rPr>
          <w:rFonts w:ascii="Calibri" w:cs="Calibri" w:eastAsia="Calibri" w:hAnsi="Calibri"/>
          <w:sz w:val="18"/>
          <w:szCs w:val="18"/>
          <w:color w:val="auto"/>
        </w:rPr>
      </w:pPr>
    </w:p>
    <w:p>
      <w:pPr>
        <w:ind w:left="760" w:right="220" w:hanging="646"/>
        <w:spacing w:after="0" w:line="233" w:lineRule="auto"/>
        <w:tabs>
          <w:tab w:leader="none" w:pos="745" w:val="left"/>
        </w:tabs>
        <w:numPr>
          <w:ilvl w:val="0"/>
          <w:numId w:val="201"/>
        </w:numPr>
        <w:rPr>
          <w:rFonts w:ascii="Calibri" w:cs="Calibri" w:eastAsia="Calibri" w:hAnsi="Calibri"/>
          <w:sz w:val="18"/>
          <w:szCs w:val="18"/>
          <w:color w:val="auto"/>
        </w:rPr>
      </w:pPr>
      <w:r>
        <w:rPr>
          <w:rFonts w:ascii="Calibri" w:cs="Calibri" w:eastAsia="Calibri" w:hAnsi="Calibri"/>
          <w:sz w:val="20"/>
          <w:szCs w:val="20"/>
          <w:color w:val="auto"/>
        </w:rPr>
        <w:t>Directors and ofcers of the Company shall not engage in any transacton involving ALLETE Securites without frst complying with the Company’s “pre-clearance” process. This process applies to all transactons, including those that occur outside the period surrounding earnings informaton. Prior to engaging in a transacton involving ALLETE Securites, directors and ofcers of the Company must abide by the pre-clearance requirements established by the Company.</w:t>
      </w:r>
    </w:p>
    <w:p>
      <w:pPr>
        <w:spacing w:after="0" w:line="226" w:lineRule="exact"/>
        <w:rPr>
          <w:rFonts w:ascii="Calibri" w:cs="Calibri" w:eastAsia="Calibri" w:hAnsi="Calibri"/>
          <w:sz w:val="18"/>
          <w:szCs w:val="18"/>
          <w:color w:val="auto"/>
        </w:rPr>
      </w:pPr>
    </w:p>
    <w:p>
      <w:pPr>
        <w:ind w:left="760" w:right="180"/>
        <w:spacing w:after="0" w:line="231" w:lineRule="auto"/>
        <w:rPr>
          <w:rFonts w:ascii="Calibri" w:cs="Calibri" w:eastAsia="Calibri" w:hAnsi="Calibri"/>
          <w:sz w:val="18"/>
          <w:szCs w:val="18"/>
          <w:color w:val="auto"/>
        </w:rPr>
      </w:pPr>
      <w:r>
        <w:rPr>
          <w:rFonts w:ascii="Calibri" w:cs="Calibri" w:eastAsia="Calibri" w:hAnsi="Calibri"/>
          <w:sz w:val="20"/>
          <w:szCs w:val="20"/>
          <w:color w:val="auto"/>
        </w:rPr>
        <w:t>Pre-clearance requirements also apply to transactons by Family Members and Related Enttes of the Company’s directors and ofcers. ALLETE Securites trades executed in compliance with a pre-cleared 10b5-1 plan (see paragraph 5 below) will not require further pre-clearance at the tme each trade is transacted.</w:t>
      </w:r>
    </w:p>
    <w:p>
      <w:pPr>
        <w:spacing w:after="0" w:line="213" w:lineRule="exact"/>
        <w:rPr>
          <w:rFonts w:ascii="Calibri" w:cs="Calibri" w:eastAsia="Calibri" w:hAnsi="Calibri"/>
          <w:sz w:val="18"/>
          <w:szCs w:val="18"/>
          <w:color w:val="auto"/>
        </w:rPr>
      </w:pPr>
    </w:p>
    <w:p>
      <w:pPr>
        <w:ind w:left="760" w:right="120" w:hanging="644"/>
        <w:spacing w:after="0" w:line="233" w:lineRule="auto"/>
        <w:tabs>
          <w:tab w:leader="none" w:pos="745" w:val="left"/>
        </w:tabs>
        <w:numPr>
          <w:ilvl w:val="0"/>
          <w:numId w:val="201"/>
        </w:numPr>
        <w:rPr>
          <w:rFonts w:ascii="Calibri" w:cs="Calibri" w:eastAsia="Calibri" w:hAnsi="Calibri"/>
          <w:sz w:val="18"/>
          <w:szCs w:val="18"/>
          <w:color w:val="auto"/>
        </w:rPr>
      </w:pPr>
      <w:r>
        <w:rPr>
          <w:rFonts w:ascii="Calibri" w:cs="Calibri" w:eastAsia="Calibri" w:hAnsi="Calibri"/>
          <w:sz w:val="20"/>
          <w:szCs w:val="20"/>
          <w:color w:val="auto"/>
        </w:rPr>
        <w:t>SEC Rule 10b5-1 provides an afrmatve defense from insider trading liability under the federal securites laws if trades occur under a pre-arranged trading plan that meets certain requirements. A 10b5-1 plan is a binding contract or writen instructon or plan between the trading person and his or her broker that specifes the amount, price and dates on which securites are to be purchased or sold on the person’s behalf (or a writen formula by which the amount, price and dates of trades will be determined). The afrmatve defense aforded by Rule 10b5-1 will be unavailable if the trading person alters or deviates from the contract, instructon, or plan.</w:t>
      </w:r>
    </w:p>
    <w:p>
      <w:pPr>
        <w:spacing w:after="0" w:line="224" w:lineRule="exact"/>
        <w:rPr>
          <w:rFonts w:ascii="Calibri" w:cs="Calibri" w:eastAsia="Calibri" w:hAnsi="Calibri"/>
          <w:sz w:val="18"/>
          <w:szCs w:val="18"/>
          <w:color w:val="auto"/>
        </w:rPr>
      </w:pPr>
    </w:p>
    <w:p>
      <w:pPr>
        <w:ind w:left="760"/>
        <w:spacing w:after="0" w:line="234" w:lineRule="auto"/>
        <w:rPr>
          <w:rFonts w:ascii="Calibri" w:cs="Calibri" w:eastAsia="Calibri" w:hAnsi="Calibri"/>
          <w:sz w:val="18"/>
          <w:szCs w:val="18"/>
          <w:color w:val="auto"/>
        </w:rPr>
      </w:pPr>
      <w:r>
        <w:rPr>
          <w:rFonts w:ascii="Calibri" w:cs="Calibri" w:eastAsia="Calibri" w:hAnsi="Calibri"/>
          <w:sz w:val="20"/>
          <w:szCs w:val="20"/>
          <w:color w:val="auto"/>
        </w:rPr>
        <w:t>Trades in ALLETE Securites that are executed pursuant to an approved 10b5-1 plan are not subject to the prohibiton on trading on the basis of material nonpublic informaton or to restrictons relatng to blackout policies and pre-clearance procedures.</w:t>
      </w:r>
    </w:p>
    <w:p>
      <w:pPr>
        <w:spacing w:after="0" w:line="279" w:lineRule="exact"/>
        <w:rPr>
          <w:rFonts w:ascii="Calibri" w:cs="Calibri" w:eastAsia="Calibri" w:hAnsi="Calibri"/>
          <w:sz w:val="18"/>
          <w:szCs w:val="18"/>
          <w:color w:val="auto"/>
        </w:rPr>
      </w:pPr>
    </w:p>
    <w:p>
      <w:pPr>
        <w:ind w:left="760" w:firstLine="1"/>
        <w:spacing w:after="0" w:line="230" w:lineRule="auto"/>
        <w:rPr>
          <w:rFonts w:ascii="Calibri" w:cs="Calibri" w:eastAsia="Calibri" w:hAnsi="Calibri"/>
          <w:sz w:val="18"/>
          <w:szCs w:val="18"/>
          <w:color w:val="auto"/>
        </w:rPr>
      </w:pPr>
      <w:r>
        <w:rPr>
          <w:rFonts w:ascii="Calibri" w:cs="Calibri" w:eastAsia="Calibri" w:hAnsi="Calibri"/>
          <w:sz w:val="20"/>
          <w:szCs w:val="20"/>
          <w:color w:val="auto"/>
        </w:rPr>
        <w:t>All directors and ofcers of the Company must obtain approval of any 10b5-1 plan in accordance with the pre-clearance process described in Secton 4 above in advance of the plan’s adopton. Any modifcaton or amendment to a 10b5-1 plan must comply with all the requirements associated with adoptng a 10b5-1 plan, including pre-clearance. All trades made pursuant to a 10b5-1 plan must stll comply with all other applicable disclosure requirements under federal and state securites laws.</w:t>
      </w:r>
    </w:p>
    <w:p>
      <w:pPr>
        <w:spacing w:after="0" w:line="225" w:lineRule="exact"/>
        <w:rPr>
          <w:rFonts w:ascii="Calibri" w:cs="Calibri" w:eastAsia="Calibri" w:hAnsi="Calibri"/>
          <w:sz w:val="18"/>
          <w:szCs w:val="18"/>
          <w:color w:val="auto"/>
        </w:rPr>
      </w:pPr>
    </w:p>
    <w:p>
      <w:pPr>
        <w:ind w:left="760" w:right="1040" w:hanging="646"/>
        <w:spacing w:after="0" w:line="234" w:lineRule="auto"/>
        <w:tabs>
          <w:tab w:leader="none" w:pos="745" w:val="left"/>
        </w:tabs>
        <w:numPr>
          <w:ilvl w:val="0"/>
          <w:numId w:val="201"/>
        </w:numPr>
        <w:rPr>
          <w:rFonts w:ascii="Calibri" w:cs="Calibri" w:eastAsia="Calibri" w:hAnsi="Calibri"/>
          <w:sz w:val="18"/>
          <w:szCs w:val="18"/>
          <w:color w:val="auto"/>
        </w:rPr>
      </w:pPr>
      <w:r>
        <w:rPr>
          <w:rFonts w:ascii="Calibri" w:cs="Calibri" w:eastAsia="Calibri" w:hAnsi="Calibri"/>
          <w:sz w:val="20"/>
          <w:szCs w:val="20"/>
          <w:color w:val="auto"/>
        </w:rPr>
        <w:t>Secton 16 flers must advise ALLETE’s Chief Legal Ofcer in advance of each transacton in ALLETE Securites so that appropriate SEC flings can tmely be made on the person’s behalf.</w:t>
      </w:r>
    </w:p>
    <w:p>
      <w:pPr>
        <w:sectPr>
          <w:pgSz w:w="11900" w:h="16838" w:orient="portrait"/>
          <w:cols w:equalWidth="0" w:num="1">
            <w:col w:w="11220"/>
          </w:cols>
          <w:pgMar w:left="320" w:top="122" w:right="3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760" w:right="240" w:hanging="647"/>
        <w:spacing w:after="0" w:line="231" w:lineRule="auto"/>
        <w:tabs>
          <w:tab w:leader="none" w:pos="744" w:val="left"/>
        </w:tabs>
        <w:numPr>
          <w:ilvl w:val="0"/>
          <w:numId w:val="202"/>
        </w:numPr>
        <w:rPr>
          <w:rFonts w:ascii="Calibri" w:cs="Calibri" w:eastAsia="Calibri" w:hAnsi="Calibri"/>
          <w:sz w:val="18"/>
          <w:szCs w:val="18"/>
          <w:color w:val="auto"/>
        </w:rPr>
      </w:pPr>
      <w:r>
        <w:rPr>
          <w:rFonts w:ascii="Calibri" w:cs="Calibri" w:eastAsia="Calibri" w:hAnsi="Calibri"/>
          <w:sz w:val="20"/>
          <w:szCs w:val="20"/>
          <w:color w:val="auto"/>
        </w:rPr>
        <w:t>No director or ofcer of the Company may engage in any short-swing transacton (any combinaton of purchase and sale or sale and purchase of ALLETE Securites within six months of each other) in violaton of the short-swing proft prohibiton of Secton 16 of the Securites Exchange Act of 1934, as amended.</w:t>
      </w:r>
    </w:p>
    <w:p>
      <w:pPr>
        <w:spacing w:after="0" w:line="226" w:lineRule="exact"/>
        <w:rPr>
          <w:rFonts w:ascii="Calibri" w:cs="Calibri" w:eastAsia="Calibri" w:hAnsi="Calibri"/>
          <w:sz w:val="18"/>
          <w:szCs w:val="18"/>
          <w:color w:val="auto"/>
        </w:rPr>
      </w:pPr>
    </w:p>
    <w:p>
      <w:pPr>
        <w:ind w:left="760" w:right="380" w:hanging="646"/>
        <w:spacing w:after="0" w:line="231" w:lineRule="auto"/>
        <w:tabs>
          <w:tab w:leader="none" w:pos="744" w:val="left"/>
        </w:tabs>
        <w:numPr>
          <w:ilvl w:val="0"/>
          <w:numId w:val="202"/>
        </w:numPr>
        <w:rPr>
          <w:rFonts w:ascii="Calibri" w:cs="Calibri" w:eastAsia="Calibri" w:hAnsi="Calibri"/>
          <w:sz w:val="18"/>
          <w:szCs w:val="18"/>
          <w:color w:val="auto"/>
        </w:rPr>
      </w:pPr>
      <w:r>
        <w:rPr>
          <w:rFonts w:ascii="Calibri" w:cs="Calibri" w:eastAsia="Calibri" w:hAnsi="Calibri"/>
          <w:sz w:val="20"/>
          <w:szCs w:val="20"/>
          <w:color w:val="auto"/>
        </w:rPr>
        <w:t>No director or ofcer of the Company may hold ALLETE Securites in a margin account or otherwise enter into any pledge arrangement that would permit a third party to sell ALLETE Securites without the director or ofcer’s consent or knowledge.</w:t>
      </w:r>
    </w:p>
    <w:p>
      <w:pPr>
        <w:spacing w:after="0" w:line="226" w:lineRule="exact"/>
        <w:rPr>
          <w:rFonts w:ascii="Calibri" w:cs="Calibri" w:eastAsia="Calibri" w:hAnsi="Calibri"/>
          <w:sz w:val="18"/>
          <w:szCs w:val="18"/>
          <w:color w:val="auto"/>
        </w:rPr>
      </w:pPr>
    </w:p>
    <w:p>
      <w:pPr>
        <w:ind w:left="760" w:right="460" w:hanging="646"/>
        <w:spacing w:after="0" w:line="231" w:lineRule="auto"/>
        <w:tabs>
          <w:tab w:leader="none" w:pos="744" w:val="left"/>
        </w:tabs>
        <w:numPr>
          <w:ilvl w:val="0"/>
          <w:numId w:val="202"/>
        </w:numPr>
        <w:rPr>
          <w:rFonts w:ascii="Calibri" w:cs="Calibri" w:eastAsia="Calibri" w:hAnsi="Calibri"/>
          <w:sz w:val="18"/>
          <w:szCs w:val="18"/>
          <w:color w:val="auto"/>
        </w:rPr>
      </w:pPr>
      <w:r>
        <w:rPr>
          <w:rFonts w:ascii="Calibri" w:cs="Calibri" w:eastAsia="Calibri" w:hAnsi="Calibri"/>
          <w:sz w:val="20"/>
          <w:szCs w:val="20"/>
          <w:color w:val="auto"/>
        </w:rPr>
        <w:t>No director or ofcer of the Company may enter into a transacton that allows the director or ofcer to beneft from the devaluaton of ALLETE securites (short sales) or any form of speculaton (including put or call optons or any form of derivatves) with respect to ALLETE Securites.</w:t>
      </w:r>
    </w:p>
    <w:p>
      <w:pPr>
        <w:spacing w:after="0" w:line="213" w:lineRule="exact"/>
        <w:rPr>
          <w:rFonts w:ascii="Calibri" w:cs="Calibri" w:eastAsia="Calibri" w:hAnsi="Calibri"/>
          <w:sz w:val="18"/>
          <w:szCs w:val="18"/>
          <w:color w:val="auto"/>
        </w:rPr>
      </w:pPr>
    </w:p>
    <w:p>
      <w:pPr>
        <w:ind w:left="760" w:right="360" w:hanging="646"/>
        <w:spacing w:after="0" w:line="234" w:lineRule="auto"/>
        <w:tabs>
          <w:tab w:leader="none" w:pos="744" w:val="left"/>
        </w:tabs>
        <w:numPr>
          <w:ilvl w:val="0"/>
          <w:numId w:val="202"/>
        </w:numPr>
        <w:rPr>
          <w:rFonts w:ascii="Calibri" w:cs="Calibri" w:eastAsia="Calibri" w:hAnsi="Calibri"/>
          <w:sz w:val="18"/>
          <w:szCs w:val="18"/>
          <w:color w:val="auto"/>
        </w:rPr>
      </w:pPr>
      <w:r>
        <w:rPr>
          <w:rFonts w:ascii="Calibri" w:cs="Calibri" w:eastAsia="Calibri" w:hAnsi="Calibri"/>
          <w:sz w:val="20"/>
          <w:szCs w:val="20"/>
          <w:color w:val="auto"/>
        </w:rPr>
        <w:t>No director or ofcer of the Company may enter into transactons which allow the director or ofcer to be insulated from the full risk or reward of ALLETE securites ownership (hedging transactons).</w:t>
      </w:r>
    </w:p>
    <w:p>
      <w:pPr>
        <w:spacing w:after="0" w:line="216" w:lineRule="exact"/>
        <w:rPr>
          <w:sz w:val="20"/>
          <w:szCs w:val="20"/>
          <w:color w:val="auto"/>
        </w:rPr>
      </w:pPr>
    </w:p>
    <w:p>
      <w:pPr>
        <w:ind w:left="120"/>
        <w:spacing w:after="0"/>
        <w:rPr>
          <w:sz w:val="20"/>
          <w:szCs w:val="20"/>
          <w:color w:val="auto"/>
        </w:rPr>
      </w:pPr>
      <w:r>
        <w:rPr>
          <w:rFonts w:ascii="Calibri" w:cs="Calibri" w:eastAsia="Calibri" w:hAnsi="Calibri"/>
          <w:sz w:val="20"/>
          <w:szCs w:val="20"/>
          <w:b w:val="1"/>
          <w:bCs w:val="1"/>
          <w:color w:val="auto"/>
        </w:rPr>
        <w:t>RSOP Plan</w:t>
      </w:r>
    </w:p>
    <w:p>
      <w:pPr>
        <w:spacing w:after="0" w:line="238" w:lineRule="exact"/>
        <w:rPr>
          <w:sz w:val="20"/>
          <w:szCs w:val="20"/>
          <w:color w:val="auto"/>
        </w:rPr>
      </w:pPr>
    </w:p>
    <w:p>
      <w:pPr>
        <w:ind w:left="120"/>
        <w:spacing w:after="0" w:line="233" w:lineRule="auto"/>
        <w:rPr>
          <w:sz w:val="20"/>
          <w:szCs w:val="20"/>
          <w:color w:val="auto"/>
        </w:rPr>
      </w:pPr>
      <w:r>
        <w:rPr>
          <w:rFonts w:ascii="Calibri" w:cs="Calibri" w:eastAsia="Calibri" w:hAnsi="Calibri"/>
          <w:sz w:val="20"/>
          <w:szCs w:val="20"/>
          <w:color w:val="auto"/>
        </w:rPr>
        <w:t>This policy does not apply to purchases of ALLETE Securites in the ALLETE and Afliated Companies Retrement Savings and Stock Ownership Plan (the “RSOP”) resultng from periodic contributons of money to the plan pursuant to payroll deducton electons. This policy does apply, however, to certain electons that may be made under the RSOP, including (a) an electon to increase or decrease the percentage of periodic contributons that will be allocated to any ALLETE Securites funds, (b) an electon to make an intra-plan transfer of an existng account balance into or out of a ALLETE Securites fund, (c) an electon to borrow money against any RSOP account if the loan will result in a liquidaton of some or all of a partcipant’s ALLETE Securites fund balance, and (d) an electon to pre-pay an RSOP loan if the pre-payment will result in allocaton of loan proceeds to any ALLETE Securites fund.</w:t>
      </w:r>
    </w:p>
    <w:p>
      <w:pPr>
        <w:spacing w:after="0" w:line="235" w:lineRule="exact"/>
        <w:rPr>
          <w:sz w:val="20"/>
          <w:szCs w:val="20"/>
          <w:color w:val="auto"/>
        </w:rPr>
      </w:pPr>
    </w:p>
    <w:p>
      <w:pPr>
        <w:ind w:left="120"/>
        <w:spacing w:after="0"/>
        <w:rPr>
          <w:sz w:val="20"/>
          <w:szCs w:val="20"/>
          <w:color w:val="auto"/>
        </w:rPr>
      </w:pPr>
      <w:r>
        <w:rPr>
          <w:rFonts w:ascii="Calibri" w:cs="Calibri" w:eastAsia="Calibri" w:hAnsi="Calibri"/>
          <w:sz w:val="20"/>
          <w:szCs w:val="20"/>
          <w:b w:val="1"/>
          <w:bCs w:val="1"/>
          <w:color w:val="auto"/>
        </w:rPr>
        <w:t>Employee Stock Purchase Plan</w:t>
      </w:r>
    </w:p>
    <w:p>
      <w:pPr>
        <w:spacing w:after="0" w:line="252" w:lineRule="exact"/>
        <w:rPr>
          <w:sz w:val="20"/>
          <w:szCs w:val="20"/>
          <w:color w:val="auto"/>
        </w:rPr>
      </w:pPr>
    </w:p>
    <w:p>
      <w:pPr>
        <w:ind w:left="120" w:right="100"/>
        <w:spacing w:after="0" w:line="231" w:lineRule="auto"/>
        <w:rPr>
          <w:sz w:val="20"/>
          <w:szCs w:val="20"/>
          <w:color w:val="auto"/>
        </w:rPr>
      </w:pPr>
      <w:r>
        <w:rPr>
          <w:rFonts w:ascii="Calibri" w:cs="Calibri" w:eastAsia="Calibri" w:hAnsi="Calibri"/>
          <w:sz w:val="20"/>
          <w:szCs w:val="20"/>
          <w:color w:val="auto"/>
        </w:rPr>
        <w:t>This policy does not apply to any purchase of ALLETE Securites in the Company’s employee stock purchase plan resultng from periodic contributons of money to the plan pursuant to payroll deducton electons made at the tme of enrollment in the plan. This policy does apply, however, to certain electons under the employee stock purchase plan, including (a) an electon to increase or decrease partcipaton in the plan, (b) an electon to purchase of ALLETE Securites by making a lump-sum contributon to the plan, and (c) an electon to sell ALLETE Securites purchased pursuant to the plan.</w:t>
      </w:r>
    </w:p>
    <w:p>
      <w:pPr>
        <w:spacing w:after="0" w:line="273" w:lineRule="exact"/>
        <w:rPr>
          <w:sz w:val="20"/>
          <w:szCs w:val="20"/>
          <w:color w:val="auto"/>
        </w:rPr>
      </w:pPr>
    </w:p>
    <w:p>
      <w:pPr>
        <w:ind w:left="120"/>
        <w:spacing w:after="0"/>
        <w:rPr>
          <w:sz w:val="20"/>
          <w:szCs w:val="20"/>
          <w:color w:val="auto"/>
        </w:rPr>
      </w:pPr>
      <w:r>
        <w:rPr>
          <w:rFonts w:ascii="Calibri" w:cs="Calibri" w:eastAsia="Calibri" w:hAnsi="Calibri"/>
          <w:sz w:val="20"/>
          <w:szCs w:val="20"/>
          <w:b w:val="1"/>
          <w:bCs w:val="1"/>
          <w:color w:val="auto"/>
        </w:rPr>
        <w:t>Individual Responsibility</w:t>
      </w:r>
    </w:p>
    <w:p>
      <w:pPr>
        <w:spacing w:after="0" w:line="252" w:lineRule="exact"/>
        <w:rPr>
          <w:sz w:val="20"/>
          <w:szCs w:val="20"/>
          <w:color w:val="auto"/>
        </w:rPr>
      </w:pPr>
    </w:p>
    <w:p>
      <w:pPr>
        <w:ind w:left="120" w:right="40"/>
        <w:spacing w:after="0" w:line="231" w:lineRule="auto"/>
        <w:rPr>
          <w:sz w:val="20"/>
          <w:szCs w:val="20"/>
          <w:color w:val="auto"/>
        </w:rPr>
      </w:pPr>
      <w:r>
        <w:rPr>
          <w:rFonts w:ascii="Calibri" w:cs="Calibri" w:eastAsia="Calibri" w:hAnsi="Calibri"/>
          <w:sz w:val="20"/>
          <w:szCs w:val="20"/>
          <w:color w:val="auto"/>
        </w:rPr>
        <w:t>Every Covered Person has the individual responsibility to comply with this policy against insider trading, regardless of whether a transacton is executed outside a blackout period or is pre-cleared by the Company, and to ensure that all Family Members and Related Enttes abide by the terms of this policy. The restrictons and procedures are intended to help avoid inadvertent instances of improper insider trading, but appropriate judgment should always be exercised by each Covered Person in connecton with any trade of Company Securites.</w:t>
      </w:r>
    </w:p>
    <w:p>
      <w:pPr>
        <w:spacing w:after="0" w:line="256" w:lineRule="exact"/>
        <w:rPr>
          <w:sz w:val="20"/>
          <w:szCs w:val="20"/>
          <w:color w:val="auto"/>
        </w:rPr>
      </w:pPr>
    </w:p>
    <w:p>
      <w:pPr>
        <w:ind w:left="120" w:right="320"/>
        <w:spacing w:after="0" w:line="228" w:lineRule="auto"/>
        <w:rPr>
          <w:sz w:val="20"/>
          <w:szCs w:val="20"/>
          <w:color w:val="auto"/>
        </w:rPr>
      </w:pPr>
      <w:r>
        <w:rPr>
          <w:rFonts w:ascii="Calibri" w:cs="Calibri" w:eastAsia="Calibri" w:hAnsi="Calibri"/>
          <w:sz w:val="20"/>
          <w:szCs w:val="20"/>
          <w:color w:val="auto"/>
        </w:rPr>
        <w:t>A Covered Person may, from tme to tme, have to forego a proposed transacton in ALLETE Securites even if he or she planned to make the transacton before learning of material nonpublic informaton</w:t>
      </w:r>
    </w:p>
    <w:p>
      <w:pPr>
        <w:sectPr>
          <w:pgSz w:w="11900" w:h="16838" w:orient="portrait"/>
          <w:cols w:equalWidth="0" w:num="1">
            <w:col w:w="11040"/>
          </w:cols>
          <w:pgMar w:left="320" w:top="122" w:right="5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and even though the person believes he or she may sufer an economic loss or forego antcipated proft by waitng.</w:t>
      </w:r>
    </w:p>
    <w:p>
      <w:pPr>
        <w:spacing w:after="0" w:line="242" w:lineRule="exact"/>
        <w:rPr>
          <w:sz w:val="20"/>
          <w:szCs w:val="20"/>
          <w:color w:val="auto"/>
        </w:rPr>
      </w:pPr>
    </w:p>
    <w:p>
      <w:pPr>
        <w:ind w:left="120"/>
        <w:spacing w:after="0"/>
        <w:rPr>
          <w:sz w:val="20"/>
          <w:szCs w:val="20"/>
          <w:color w:val="auto"/>
        </w:rPr>
      </w:pPr>
      <w:r>
        <w:rPr>
          <w:rFonts w:ascii="Calibri" w:cs="Calibri" w:eastAsia="Calibri" w:hAnsi="Calibri"/>
          <w:sz w:val="20"/>
          <w:szCs w:val="20"/>
          <w:b w:val="1"/>
          <w:bCs w:val="1"/>
          <w:color w:val="auto"/>
        </w:rPr>
        <w:t>Sanctons</w:t>
      </w:r>
    </w:p>
    <w:p>
      <w:pPr>
        <w:spacing w:after="0" w:line="228"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Violatons of this policy statement will be taken seriously and will consttute grounds for disciplinary actons, including dismissal.</w:t>
      </w:r>
    </w:p>
    <w:p>
      <w:pPr>
        <w:spacing w:after="0" w:line="252" w:lineRule="exact"/>
        <w:rPr>
          <w:sz w:val="20"/>
          <w:szCs w:val="20"/>
          <w:color w:val="auto"/>
        </w:rPr>
      </w:pPr>
    </w:p>
    <w:p>
      <w:pPr>
        <w:ind w:left="120"/>
        <w:spacing w:after="0" w:line="228" w:lineRule="auto"/>
        <w:rPr>
          <w:sz w:val="20"/>
          <w:szCs w:val="20"/>
          <w:color w:val="auto"/>
        </w:rPr>
      </w:pPr>
      <w:r>
        <w:rPr>
          <w:rFonts w:ascii="Calibri" w:cs="Calibri" w:eastAsia="Calibri" w:hAnsi="Calibri"/>
          <w:sz w:val="20"/>
          <w:szCs w:val="20"/>
          <w:color w:val="auto"/>
        </w:rPr>
        <w:t>Furthermore, the government can seek a variety of remedies and sanctons when a person commits insider trading. Besides being required to disgorge profts gained or losses avoided, the ofender may be subject to fnes, imprisonment, or both.</w:t>
      </w:r>
    </w:p>
    <w:p>
      <w:pPr>
        <w:spacing w:after="0" w:line="242" w:lineRule="exact"/>
        <w:rPr>
          <w:sz w:val="20"/>
          <w:szCs w:val="20"/>
          <w:color w:val="auto"/>
        </w:rPr>
      </w:pPr>
    </w:p>
    <w:p>
      <w:pPr>
        <w:ind w:left="120"/>
        <w:spacing w:after="0"/>
        <w:rPr>
          <w:sz w:val="20"/>
          <w:szCs w:val="20"/>
          <w:color w:val="auto"/>
        </w:rPr>
      </w:pPr>
      <w:r>
        <w:rPr>
          <w:rFonts w:ascii="Calibri" w:cs="Calibri" w:eastAsia="Calibri" w:hAnsi="Calibri"/>
          <w:sz w:val="20"/>
          <w:szCs w:val="20"/>
          <w:b w:val="1"/>
          <w:bCs w:val="1"/>
          <w:color w:val="auto"/>
        </w:rPr>
        <w:t>RESERVATION OF AUTHORITY</w:t>
      </w:r>
    </w:p>
    <w:p>
      <w:pPr>
        <w:spacing w:after="0" w:line="238" w:lineRule="exact"/>
        <w:rPr>
          <w:sz w:val="20"/>
          <w:szCs w:val="20"/>
          <w:color w:val="auto"/>
        </w:rPr>
      </w:pPr>
    </w:p>
    <w:p>
      <w:pPr>
        <w:ind w:left="120" w:right="80"/>
        <w:spacing w:after="0" w:line="231" w:lineRule="auto"/>
        <w:rPr>
          <w:sz w:val="20"/>
          <w:szCs w:val="20"/>
          <w:color w:val="auto"/>
        </w:rPr>
      </w:pPr>
      <w:r>
        <w:rPr>
          <w:rFonts w:ascii="Calibri" w:cs="Calibri" w:eastAsia="Calibri" w:hAnsi="Calibri"/>
          <w:sz w:val="20"/>
          <w:szCs w:val="20"/>
          <w:color w:val="auto"/>
        </w:rPr>
        <w:t>Amendments or exceptons to this policy may be made by ALLETE’s Chief Executve Ofcer. Any questons concerning the applicability of the foregoing requirements or interpretaton of this policy, including whether partcular informaton is material or has been publicly disclosed, should be referred to ALLETE’s Chief Legal Ofcer prior to trading in ALLETE Securites.</w:t>
      </w:r>
    </w:p>
    <w:p>
      <w:pPr>
        <w:sectPr>
          <w:pgSz w:w="11900" w:h="16838" w:orient="portrait"/>
          <w:cols w:equalWidth="0" w:num="1">
            <w:col w:w="10760"/>
          </w:cols>
          <w:pgMar w:left="320" w:top="122" w:right="81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29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464"/>
        </w:trPr>
        <w:tc>
          <w:tcPr>
            <w:tcW w:w="83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832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r>
      <w:tr>
        <w:trPr>
          <w:trHeight w:val="223"/>
        </w:trPr>
        <w:tc>
          <w:tcPr>
            <w:tcW w:w="8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Name of Organization </w:t>
            </w:r>
            <w:r>
              <w:rPr>
                <w:rFonts w:ascii="Times New Roman" w:cs="Times New Roman" w:eastAsia="Times New Roman" w:hAnsi="Times New Roman"/>
                <w:sz w:val="16"/>
                <w:szCs w:val="16"/>
                <w:i w:val="1"/>
                <w:iCs w:val="1"/>
                <w:color w:val="auto"/>
              </w:rPr>
              <w:t>(a)</w:t>
            </w:r>
          </w:p>
        </w:tc>
        <w:tc>
          <w:tcPr>
            <w:tcW w:w="2920" w:type="dxa"/>
            <w:vAlign w:val="bottom"/>
            <w:tcBorders>
              <w:top w:val="single" w:sz="8" w:color="auto"/>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State or Country</w:t>
            </w:r>
          </w:p>
        </w:tc>
        <w:tc>
          <w:tcPr>
            <w:tcW w:w="20" w:type="dxa"/>
            <w:vAlign w:val="bottom"/>
          </w:tcPr>
          <w:p>
            <w:pPr>
              <w:spacing w:after="0"/>
              <w:rPr>
                <w:sz w:val="19"/>
                <w:szCs w:val="19"/>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ALLETE, Inc. </w:t>
            </w:r>
            <w:r>
              <w:rPr>
                <w:rFonts w:ascii="Times New Roman" w:cs="Times New Roman" w:eastAsia="Times New Roman" w:hAnsi="Times New Roman"/>
                <w:sz w:val="18"/>
                <w:szCs w:val="18"/>
                <w:i w:val="1"/>
                <w:iCs w:val="1"/>
                <w:color w:val="auto"/>
              </w:rPr>
              <w:t>(d/b/a ALLETE; Minnesota Power; Minnesota Power, Inc.;</w:t>
            </w:r>
          </w:p>
        </w:tc>
        <w:tc>
          <w:tcPr>
            <w:tcW w:w="29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Minnesota Power &amp; Light Company)</w:t>
            </w:r>
          </w:p>
        </w:tc>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ALLETE Automotive Services, LLC</w:t>
            </w:r>
          </w:p>
        </w:tc>
        <w:tc>
          <w:tcPr>
            <w:tcW w:w="29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ALLETE Enterprises, Inc.</w:t>
            </w:r>
          </w:p>
        </w:tc>
        <w:tc>
          <w:tcPr>
            <w:tcW w:w="2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ALLETE Clean Energy, Inc.</w:t>
            </w:r>
          </w:p>
        </w:tc>
        <w:tc>
          <w:tcPr>
            <w:tcW w:w="29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ACE O&amp;M,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ACE Solar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ACE Wind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ACE Mid-West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ACE Gopher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ACE Lincoln Heights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Cisco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Bobcat Wind, LLC</w:t>
            </w:r>
          </w:p>
        </w:tc>
        <w:tc>
          <w:tcPr>
            <w:tcW w:w="29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Minnesota</w:t>
            </w:r>
          </w:p>
        </w:tc>
        <w:tc>
          <w:tcPr>
            <w:tcW w:w="20" w:type="dxa"/>
            <w:vAlign w:val="bottom"/>
          </w:tcPr>
          <w:p>
            <w:pPr>
              <w:spacing w:after="0"/>
              <w:rPr>
                <w:sz w:val="19"/>
                <w:szCs w:val="19"/>
                <w:color w:val="auto"/>
              </w:rPr>
            </w:pPr>
          </w:p>
        </w:tc>
      </w:tr>
      <w:tr>
        <w:trPr>
          <w:trHeight w:val="230"/>
        </w:trPr>
        <w:tc>
          <w:tcPr>
            <w:tcW w:w="8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MWW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Lake Benton Power Associates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Lake Benton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Lake Benton Power Partners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Storm Lake Power Partners I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Storm Lake II Power Associates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Storm Lake II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Storm Lake Power Partners II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ACE South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ACE Caddo Class B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ACE-SRE Caddo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Caddo Holding Company,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Caddo Wind,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Diamond Spring QOZB,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ACE DS Class B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Diamond Spring,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ACE West Holdings,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ACE GAWW Class B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Great American West Wind,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Glen Ullin Energy Center,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South Peak Wind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Condon Wind Power,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Ruso Wind Partners,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Armenia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AMW I Holding,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Armenia Mountain Wind,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Armenia Mountain Wind II,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Thunder Spirit Wind,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ALLETE Enterprises QOF,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ALLETE Power Systems, Inc.</w:t>
            </w:r>
          </w:p>
        </w:tc>
        <w:tc>
          <w:tcPr>
            <w:tcW w:w="29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ALLETE Renewable Resources, Inc.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North Dakota</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ALLETE Transmission Holdings, Inc.</w:t>
            </w:r>
          </w:p>
        </w:tc>
        <w:tc>
          <w:tcPr>
            <w:tcW w:w="29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Wisconsin</w:t>
            </w:r>
          </w:p>
        </w:tc>
        <w:tc>
          <w:tcPr>
            <w:tcW w:w="20" w:type="dxa"/>
            <w:vAlign w:val="bottom"/>
          </w:tcPr>
          <w:p>
            <w:pPr>
              <w:spacing w:after="0"/>
              <w:rPr>
                <w:sz w:val="19"/>
                <w:szCs w:val="19"/>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ALLETE Transmission Ventures,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ALLETE NPC Holdings,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ASW Partners,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ALLETE South Wind, LLC</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4"/>
        </w:trPr>
        <w:tc>
          <w:tcPr>
            <w:tcW w:w="8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Nobles 2 Power Partners, LLC</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0"/>
                <w:szCs w:val="20"/>
                <w:color w:val="auto"/>
              </w:rPr>
            </w:pPr>
          </w:p>
        </w:tc>
      </w:tr>
    </w:tbl>
    <w:p>
      <w:pPr>
        <w:sectPr>
          <w:pgSz w:w="11900" w:h="16838" w:orient="portrait"/>
          <w:cols w:equalWidth="0" w:num="1">
            <w:col w:w="11240"/>
          </w:cols>
          <w:pgMar w:left="320" w:top="360" w:right="339"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4320" w:type="dxa"/>
            <w:vAlign w:val="bottom"/>
            <w:gridSpan w:val="2"/>
          </w:tcPr>
          <w:p>
            <w:pPr>
              <w:ind w:left="352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364"/>
        </w:trPr>
        <w:tc>
          <w:tcPr>
            <w:tcW w:w="6920" w:type="dxa"/>
            <w:vAlign w:val="bottom"/>
          </w:tcPr>
          <w:p>
            <w:pPr>
              <w:spacing w:after="0"/>
              <w:rPr>
                <w:sz w:val="24"/>
                <w:szCs w:val="24"/>
                <w:color w:val="auto"/>
              </w:rPr>
            </w:pPr>
          </w:p>
        </w:tc>
        <w:tc>
          <w:tcPr>
            <w:tcW w:w="4320" w:type="dxa"/>
            <w:vAlign w:val="bottom"/>
            <w:gridSpan w:val="2"/>
          </w:tcPr>
          <w:p>
            <w:pPr>
              <w:spacing w:after="0"/>
              <w:rPr>
                <w:sz w:val="24"/>
                <w:szCs w:val="24"/>
                <w:color w:val="auto"/>
              </w:rPr>
            </w:pPr>
          </w:p>
        </w:tc>
      </w:tr>
      <w:tr>
        <w:trPr>
          <w:trHeight w:val="223"/>
        </w:trPr>
        <w:tc>
          <w:tcPr>
            <w:tcW w:w="6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Name of Organization </w:t>
            </w:r>
            <w:r>
              <w:rPr>
                <w:rFonts w:ascii="Times New Roman" w:cs="Times New Roman" w:eastAsia="Times New Roman" w:hAnsi="Times New Roman"/>
                <w:sz w:val="16"/>
                <w:szCs w:val="16"/>
                <w:i w:val="1"/>
                <w:iCs w:val="1"/>
                <w:color w:val="auto"/>
              </w:rPr>
              <w:t>(a)</w:t>
            </w:r>
          </w:p>
        </w:tc>
        <w:tc>
          <w:tcPr>
            <w:tcW w:w="4260" w:type="dxa"/>
            <w:vAlign w:val="bottom"/>
            <w:tcBorders>
              <w:top w:val="single" w:sz="8" w:color="auto"/>
            </w:tcBorders>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State or Country</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BNI Energy, Inc.</w:t>
            </w:r>
          </w:p>
        </w:tc>
        <w:tc>
          <w:tcPr>
            <w:tcW w:w="4260" w:type="dxa"/>
            <w:vAlign w:val="bottom"/>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9"/>
              </w:rPr>
              <w:t>North Dakota</w:t>
            </w:r>
          </w:p>
        </w:tc>
        <w:tc>
          <w:tcPr>
            <w:tcW w:w="60" w:type="dxa"/>
            <w:vAlign w:val="bottom"/>
          </w:tcPr>
          <w:p>
            <w:pPr>
              <w:spacing w:after="0"/>
              <w:rPr>
                <w:sz w:val="19"/>
                <w:szCs w:val="19"/>
                <w:color w:val="auto"/>
              </w:rPr>
            </w:pPr>
          </w:p>
        </w:tc>
      </w:tr>
      <w:tr>
        <w:trPr>
          <w:trHeight w:val="230"/>
        </w:trPr>
        <w:tc>
          <w:tcPr>
            <w:tcW w:w="6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BNI Coal, Ltd.</w:t>
            </w:r>
          </w:p>
        </w:tc>
        <w:tc>
          <w:tcPr>
            <w:tcW w:w="426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99"/>
              </w:rPr>
              <w:t>North Dakota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BNI Land, LLC</w:t>
            </w:r>
          </w:p>
        </w:tc>
        <w:tc>
          <w:tcPr>
            <w:tcW w:w="4260" w:type="dxa"/>
            <w:vAlign w:val="bottom"/>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9"/>
              </w:rPr>
              <w:t>North Dakota</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DLS Manager, LLC</w:t>
            </w:r>
          </w:p>
        </w:tc>
        <w:tc>
          <w:tcPr>
            <w:tcW w:w="426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DLS Holdco, LLC</w:t>
            </w:r>
          </w:p>
        </w:tc>
        <w:tc>
          <w:tcPr>
            <w:tcW w:w="4260" w:type="dxa"/>
            <w:vAlign w:val="bottom"/>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MP Affiliate Resources, Inc.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New Energy Equity LLC</w:t>
            </w:r>
          </w:p>
        </w:tc>
        <w:tc>
          <w:tcPr>
            <w:tcW w:w="4260" w:type="dxa"/>
            <w:vAlign w:val="bottom"/>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Rainy River Energy Corporation</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South Shore Energy, LLC</w:t>
            </w:r>
          </w:p>
        </w:tc>
        <w:tc>
          <w:tcPr>
            <w:tcW w:w="4260" w:type="dxa"/>
            <w:vAlign w:val="bottom"/>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7"/>
              </w:rPr>
              <w:t>Wisconsin</w:t>
            </w:r>
          </w:p>
        </w:tc>
        <w:tc>
          <w:tcPr>
            <w:tcW w:w="60" w:type="dxa"/>
            <w:vAlign w:val="bottom"/>
          </w:tcPr>
          <w:p>
            <w:pPr>
              <w:spacing w:after="0"/>
              <w:rPr>
                <w:sz w:val="19"/>
                <w:szCs w:val="19"/>
                <w:color w:val="auto"/>
              </w:rPr>
            </w:pPr>
          </w:p>
        </w:tc>
      </w:tr>
      <w:tr>
        <w:trPr>
          <w:trHeight w:val="230"/>
        </w:trPr>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Upper Minnesota Properties, Inc.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Upper Minnesota Properties - Development, Inc.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60" w:type="dxa"/>
            <w:vAlign w:val="bottom"/>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ALLETE Properties, LLC </w:t>
            </w:r>
            <w:r>
              <w:rPr>
                <w:rFonts w:ascii="Times New Roman" w:cs="Times New Roman" w:eastAsia="Times New Roman" w:hAnsi="Times New Roman"/>
                <w:sz w:val="18"/>
                <w:szCs w:val="18"/>
                <w:i w:val="1"/>
                <w:iCs w:val="1"/>
                <w:color w:val="auto"/>
              </w:rPr>
              <w:t>(d/b/a ALLETE Properties)</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ALLETE Commercial, LLC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Lehigh Acquisition, LLC</w:t>
            </w:r>
          </w:p>
        </w:tc>
        <w:tc>
          <w:tcPr>
            <w:tcW w:w="426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Florida Landmark Communities, LLC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60" w:type="dxa"/>
            <w:vAlign w:val="bottom"/>
          </w:tcPr>
          <w:p>
            <w:pPr>
              <w:spacing w:after="0"/>
              <w:rPr>
                <w:sz w:val="19"/>
                <w:szCs w:val="19"/>
                <w:color w:val="auto"/>
              </w:rPr>
            </w:pPr>
          </w:p>
        </w:tc>
      </w:tr>
      <w:tr>
        <w:trPr>
          <w:trHeight w:val="229"/>
        </w:trPr>
        <w:tc>
          <w:tcPr>
            <w:tcW w:w="6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Interlachen Lakes Estates, LLC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Palm Coast Land, LLC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Florida</w:t>
            </w:r>
          </w:p>
        </w:tc>
        <w:tc>
          <w:tcPr>
            <w:tcW w:w="60" w:type="dxa"/>
            <w:vAlign w:val="bottom"/>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ALLETE Water Services, Inc.</w:t>
            </w:r>
          </w:p>
        </w:tc>
        <w:tc>
          <w:tcPr>
            <w:tcW w:w="42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 Land, Incorporated</w:t>
            </w:r>
          </w:p>
        </w:tc>
        <w:tc>
          <w:tcPr>
            <w:tcW w:w="4260" w:type="dxa"/>
            <w:vAlign w:val="bottom"/>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7"/>
              </w:rPr>
              <w:t>Wisconsin</w:t>
            </w:r>
          </w:p>
        </w:tc>
        <w:tc>
          <w:tcPr>
            <w:tcW w:w="60" w:type="dxa"/>
            <w:vAlign w:val="bottom"/>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MP Investments, Inc.</w:t>
            </w:r>
          </w:p>
        </w:tc>
        <w:tc>
          <w:tcPr>
            <w:tcW w:w="426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RendField Land Company, Inc.</w:t>
            </w:r>
          </w:p>
        </w:tc>
        <w:tc>
          <w:tcPr>
            <w:tcW w:w="4260" w:type="dxa"/>
            <w:vAlign w:val="bottom"/>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Minnesota</w:t>
            </w:r>
          </w:p>
        </w:tc>
        <w:tc>
          <w:tcPr>
            <w:tcW w:w="60" w:type="dxa"/>
            <w:vAlign w:val="bottom"/>
          </w:tcPr>
          <w:p>
            <w:pPr>
              <w:spacing w:after="0"/>
              <w:rPr>
                <w:sz w:val="19"/>
                <w:szCs w:val="19"/>
                <w:color w:val="auto"/>
              </w:rPr>
            </w:pPr>
          </w:p>
        </w:tc>
      </w:tr>
      <w:tr>
        <w:trPr>
          <w:trHeight w:val="229"/>
        </w:trPr>
        <w:tc>
          <w:tcPr>
            <w:tcW w:w="6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Superior Water, Light and Power Company</w:t>
            </w:r>
          </w:p>
        </w:tc>
        <w:tc>
          <w:tcPr>
            <w:tcW w:w="4260" w:type="dxa"/>
            <w:vAlign w:val="bottom"/>
            <w:tcBorders>
              <w:bottom w:val="single" w:sz="8" w:color="auto"/>
            </w:tcBorders>
          </w:tcPr>
          <w:p>
            <w:pPr>
              <w:jc w:val="center"/>
              <w:ind w:left="2430"/>
              <w:spacing w:after="0"/>
              <w:rPr>
                <w:sz w:val="20"/>
                <w:szCs w:val="20"/>
                <w:color w:val="auto"/>
              </w:rPr>
            </w:pPr>
            <w:r>
              <w:rPr>
                <w:rFonts w:ascii="Times New Roman" w:cs="Times New Roman" w:eastAsia="Times New Roman" w:hAnsi="Times New Roman"/>
                <w:sz w:val="18"/>
                <w:szCs w:val="18"/>
                <w:color w:val="auto"/>
                <w:w w:val="97"/>
              </w:rPr>
              <w:t>Wisconsin</w:t>
            </w:r>
          </w:p>
        </w:tc>
        <w:tc>
          <w:tcPr>
            <w:tcW w:w="60" w:type="dxa"/>
            <w:vAlign w:val="bottom"/>
          </w:tcPr>
          <w:p>
            <w:pPr>
              <w:spacing w:after="0"/>
              <w:rPr>
                <w:sz w:val="19"/>
                <w:szCs w:val="19"/>
                <w:color w:val="auto"/>
              </w:rPr>
            </w:pPr>
          </w:p>
        </w:tc>
      </w:tr>
      <w:tr>
        <w:trPr>
          <w:trHeight w:val="285"/>
        </w:trPr>
        <w:tc>
          <w:tcPr>
            <w:tcW w:w="6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Certain insignificant subsidiaries are omitted.</w:t>
            </w:r>
          </w:p>
        </w:tc>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333-266383, 333-262769) and Form S-8 (Nos. 333-162890, 333-183051, 333-190336, 333-207846, 333-228120, 333-253190, 333-265211) of ALLETE, Inc. of our report dated February 13, 2025 relating to the financial statements, financial statement schedule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ectPr>
          <w:pgSz w:w="11900" w:h="16838" w:orient="portrait"/>
          <w:cols w:equalWidth="0" w:num="1">
            <w:col w:w="11240"/>
          </w:cols>
          <w:pgMar w:left="320" w:top="360"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Bethany M. Owen, certify that:</w:t>
      </w:r>
    </w:p>
    <w:p>
      <w:pPr>
        <w:spacing w:after="0" w:line="252" w:lineRule="exact"/>
        <w:rPr>
          <w:sz w:val="20"/>
          <w:szCs w:val="20"/>
          <w:color w:val="auto"/>
        </w:rPr>
      </w:pPr>
    </w:p>
    <w:p>
      <w:pPr>
        <w:ind w:left="320" w:hanging="312"/>
        <w:spacing w:after="0"/>
        <w:tabs>
          <w:tab w:leader="none" w:pos="3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ALLETE,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400" w:hanging="332"/>
        <w:spacing w:after="0" w:line="266" w:lineRule="auto"/>
        <w:tabs>
          <w:tab w:leader="none" w:pos="32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4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41"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3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4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2025</w:t>
            </w:r>
          </w:p>
        </w:tc>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Bethany M. Owen</w:t>
            </w:r>
          </w:p>
        </w:tc>
      </w:tr>
      <w:tr>
        <w:trPr>
          <w:trHeight w:val="218"/>
        </w:trPr>
        <w:tc>
          <w:tcPr>
            <w:tcW w:w="360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Bethany M. Owen</w:t>
            </w:r>
          </w:p>
        </w:tc>
      </w:tr>
      <w:tr>
        <w:trPr>
          <w:trHeight w:val="234"/>
        </w:trPr>
        <w:tc>
          <w:tcPr>
            <w:tcW w:w="360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r>
    </w:tbl>
    <w:p>
      <w:pPr>
        <w:sectPr>
          <w:pgSz w:w="11900" w:h="16838" w:orient="portrait"/>
          <w:cols w:equalWidth="0" w:num="1">
            <w:col w:w="11240"/>
          </w:cols>
          <w:pgMar w:left="320" w:top="887"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Steven W. Morris, certify that:</w:t>
      </w:r>
    </w:p>
    <w:p>
      <w:pPr>
        <w:spacing w:after="0" w:line="252" w:lineRule="exact"/>
        <w:rPr>
          <w:sz w:val="20"/>
          <w:szCs w:val="20"/>
          <w:color w:val="auto"/>
        </w:rPr>
      </w:pPr>
    </w:p>
    <w:p>
      <w:pPr>
        <w:ind w:left="320" w:hanging="312"/>
        <w:spacing w:after="0"/>
        <w:tabs>
          <w:tab w:leader="none" w:pos="3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ALLETE,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400" w:hanging="332"/>
        <w:spacing w:after="0" w:line="266" w:lineRule="auto"/>
        <w:tabs>
          <w:tab w:leader="none" w:pos="32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4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41"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3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73" w:lineRule="auto"/>
        <w:tabs>
          <w:tab w:leader="none" w:pos="64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2025</w:t>
            </w:r>
          </w:p>
        </w:tc>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W. Morris</w:t>
            </w:r>
          </w:p>
        </w:tc>
      </w:tr>
      <w:tr>
        <w:trPr>
          <w:trHeight w:val="218"/>
        </w:trPr>
        <w:tc>
          <w:tcPr>
            <w:tcW w:w="36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Steven W. Morris</w:t>
            </w:r>
          </w:p>
        </w:tc>
      </w:tr>
      <w:tr>
        <w:trPr>
          <w:trHeight w:val="234"/>
        </w:trPr>
        <w:tc>
          <w:tcPr>
            <w:tcW w:w="362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87"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officers of ALLETE, Inc. (ALLETE), does hereby certify that:</w:t>
      </w:r>
    </w:p>
    <w:p>
      <w:pPr>
        <w:spacing w:after="0" w:line="189" w:lineRule="exact"/>
        <w:rPr>
          <w:sz w:val="20"/>
          <w:szCs w:val="20"/>
          <w:color w:val="auto"/>
        </w:rPr>
      </w:pPr>
    </w:p>
    <w:p>
      <w:pPr>
        <w:ind w:left="340" w:hanging="170"/>
        <w:spacing w:after="0" w:line="282" w:lineRule="auto"/>
        <w:tabs>
          <w:tab w:leader="none" w:pos="57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ALLETE for the fiscal year ended December 31, 2024, (Report) fully complies with the requirements of Section 13(a) of the Securities Exchange Act of 1934 (15 U.S.C. 78m); and</w:t>
      </w:r>
    </w:p>
    <w:p>
      <w:pPr>
        <w:spacing w:after="0" w:line="18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ALLETE.</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13, 2025</w:t>
            </w:r>
          </w:p>
        </w:tc>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Bethany M. Owen</w:t>
            </w:r>
          </w:p>
        </w:tc>
      </w:tr>
      <w:tr>
        <w:trPr>
          <w:trHeight w:val="218"/>
        </w:trPr>
        <w:tc>
          <w:tcPr>
            <w:tcW w:w="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Bethany M. Owen</w:t>
            </w:r>
          </w:p>
        </w:tc>
      </w:tr>
      <w:tr>
        <w:trPr>
          <w:trHeight w:val="234"/>
        </w:trPr>
        <w:tc>
          <w:tcPr>
            <w:tcW w:w="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r>
      <w:tr>
        <w:trPr>
          <w:trHeight w:val="35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13, 2025</w:t>
            </w:r>
          </w:p>
        </w:tc>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W. Morris</w:t>
            </w:r>
          </w:p>
        </w:tc>
      </w:tr>
      <w:tr>
        <w:trPr>
          <w:trHeight w:val="218"/>
        </w:trPr>
        <w:tc>
          <w:tcPr>
            <w:tcW w:w="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W. Morris</w:t>
            </w:r>
          </w:p>
        </w:tc>
      </w:tr>
      <w:tr>
        <w:trPr>
          <w:trHeight w:val="234"/>
        </w:trPr>
        <w:tc>
          <w:tcPr>
            <w:tcW w:w="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38" w:lineRule="exact"/>
        <w:rPr>
          <w:sz w:val="20"/>
          <w:szCs w:val="20"/>
          <w:color w:val="auto"/>
        </w:rPr>
      </w:pPr>
    </w:p>
    <w:tbl>
      <w:tblPr>
        <w:tblLayout w:type="fixed"/>
        <w:tblInd w:w="30" w:type="dxa"/>
        <w:tblCellMar>
          <w:top w:w="0" w:type="dxa"/>
          <w:left w:w="0" w:type="dxa"/>
          <w:bottom w:w="0" w:type="dxa"/>
          <w:right w:w="0" w:type="dxa"/>
        </w:tblCellMar>
      </w:tblPr>
      <w:tr>
        <w:trPr>
          <w:trHeight w:val="558"/>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Notice of</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Received</w:t>
            </w: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Pattern of</w:t>
            </w:r>
          </w:p>
        </w:tc>
        <w:tc>
          <w:tcPr>
            <w:tcW w:w="9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Mine or Operating</w:t>
            </w: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 Dollar</w:t>
            </w:r>
          </w:p>
        </w:tc>
        <w:tc>
          <w:tcPr>
            <w:tcW w:w="8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Violation</w:t>
            </w:r>
          </w:p>
        </w:tc>
        <w:tc>
          <w:tcPr>
            <w:tcW w:w="9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Notice of</w:t>
            </w:r>
          </w:p>
        </w:tc>
        <w:tc>
          <w:tcPr>
            <w:tcW w:w="8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 Actions</w:t>
            </w: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10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 to</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Resolved</w:t>
            </w: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Identification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S&amp;S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Orders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110(b)(2)</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104(e)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Section</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Last Day of</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98"/>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0" w:type="dxa"/>
            <w:vAlign w:val="bottom"/>
          </w:tcPr>
          <w:p>
            <w:pPr>
              <w:spacing w:after="0"/>
              <w:rPr>
                <w:sz w:val="1"/>
                <w:szCs w:val="1"/>
                <w:color w:val="auto"/>
              </w:rPr>
            </w:pPr>
          </w:p>
        </w:tc>
      </w:tr>
      <w:tr>
        <w:trPr>
          <w:trHeight w:val="138"/>
        </w:trPr>
        <w:tc>
          <w:tcPr>
            <w:tcW w:w="1240" w:type="dxa"/>
            <w:vAlign w:val="bottom"/>
            <w:tcBorders>
              <w:left w:val="single" w:sz="8" w:color="auto"/>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BNI Energy, owner of Center Mine, received nine citations under Section 104(a) of the Mine Safety Act, two of which were significant and substantial (S&amp;S) citations. For the year ended December 31, 2024, BNI Energy paid no penalties for citations closed during the period. For the year ended December 31, 2024, there were no citations, orders, violations or notices received under Sections 104(b), 104(d), 107(a), 104(e) or 110(b)(2) of the Mine Safety Act and there were no fatalities.</w:t>
      </w:r>
    </w:p>
    <w:p>
      <w:pPr>
        <w:sectPr>
          <w:pgSz w:w="11900" w:h="16838" w:orient="portrait"/>
          <w:cols w:equalWidth="0" w:num="1">
            <w:col w:w="11240"/>
          </w:cols>
          <w:pgMar w:left="320" w:top="887" w:right="339" w:bottom="1440" w:gutter="0" w:footer="0" w:header="0"/>
        </w:sectPr>
      </w:pPr>
    </w:p>
    <w:bookmarkStart w:id="285" w:name="page286"/>
    <w:bookmarkEnd w:id="285"/>
    <w:p>
      <w:pPr>
        <w:spacing w:after="0"/>
        <w:rPr>
          <w:sz w:val="20"/>
          <w:szCs w:val="20"/>
          <w:color w:val="auto"/>
        </w:rPr>
      </w:pPr>
      <w:r>
        <w:rPr>
          <w:rFonts w:ascii="Calibri" w:cs="Calibri" w:eastAsia="Calibri" w:hAnsi="Calibri"/>
          <w:sz w:val="22"/>
          <w:szCs w:val="22"/>
          <w:b w:val="1"/>
          <w:bCs w:val="1"/>
          <w:color w:val="auto"/>
        </w:rPr>
        <w:t>Exhibit 97</w:t>
      </w:r>
    </w:p>
    <w:p>
      <w:pPr>
        <w:jc w:val="right"/>
        <w:spacing w:after="0" w:line="229" w:lineRule="auto"/>
        <w:rPr>
          <w:sz w:val="20"/>
          <w:szCs w:val="20"/>
          <w:color w:val="auto"/>
        </w:rPr>
      </w:pPr>
      <w:r>
        <w:rPr>
          <w:rFonts w:ascii="Calibri" w:cs="Calibri" w:eastAsia="Calibri" w:hAnsi="Calibri"/>
          <w:sz w:val="22"/>
          <w:szCs w:val="22"/>
          <w:b w:val="1"/>
          <w:bCs w:val="1"/>
          <w:i w:val="1"/>
          <w:iCs w:val="1"/>
          <w:color w:val="auto"/>
        </w:rPr>
        <w:t>Approved by the ALLETE Board</w:t>
      </w:r>
    </w:p>
    <w:p>
      <w:pPr>
        <w:jc w:val="right"/>
        <w:spacing w:after="0" w:line="227" w:lineRule="auto"/>
        <w:rPr>
          <w:sz w:val="20"/>
          <w:szCs w:val="20"/>
          <w:color w:val="auto"/>
        </w:rPr>
      </w:pPr>
      <w:r>
        <w:rPr>
          <w:rFonts w:ascii="Calibri" w:cs="Calibri" w:eastAsia="Calibri" w:hAnsi="Calibri"/>
          <w:sz w:val="22"/>
          <w:szCs w:val="22"/>
          <w:b w:val="1"/>
          <w:bCs w:val="1"/>
          <w:i w:val="1"/>
          <w:iCs w:val="1"/>
          <w:color w:val="auto"/>
        </w:rPr>
        <w:t>Of Directors on October 27, 2023</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ALLETE, INC.</w:t>
      </w:r>
    </w:p>
    <w:p>
      <w:pPr>
        <w:jc w:val="center"/>
        <w:spacing w:after="0" w:line="215" w:lineRule="auto"/>
        <w:rPr>
          <w:sz w:val="20"/>
          <w:szCs w:val="20"/>
          <w:color w:val="auto"/>
        </w:rPr>
      </w:pPr>
      <w:r>
        <w:rPr>
          <w:rFonts w:ascii="Calibri" w:cs="Calibri" w:eastAsia="Calibri" w:hAnsi="Calibri"/>
          <w:sz w:val="22"/>
          <w:szCs w:val="22"/>
          <w:b w:val="1"/>
          <w:bCs w:val="1"/>
          <w:color w:val="auto"/>
        </w:rPr>
        <w:t>EXECUTIVE COMPENSATION RECOVERY POLICY</w:t>
      </w:r>
    </w:p>
    <w:p>
      <w:pPr>
        <w:spacing w:after="0" w:line="218" w:lineRule="exact"/>
        <w:rPr>
          <w:sz w:val="20"/>
          <w:szCs w:val="20"/>
          <w:color w:val="auto"/>
        </w:rPr>
      </w:pPr>
    </w:p>
    <w:p>
      <w:pPr>
        <w:ind w:left="640" w:hanging="308"/>
        <w:spacing w:after="0"/>
        <w:tabs>
          <w:tab w:leader="none" w:pos="640" w:val="left"/>
        </w:tabs>
        <w:numPr>
          <w:ilvl w:val="0"/>
          <w:numId w:val="20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Purpose</w:t>
      </w:r>
    </w:p>
    <w:p>
      <w:pPr>
        <w:spacing w:after="0" w:line="230" w:lineRule="exact"/>
        <w:rPr>
          <w:rFonts w:ascii="Calibri" w:cs="Calibri" w:eastAsia="Calibri" w:hAnsi="Calibri"/>
          <w:sz w:val="22"/>
          <w:szCs w:val="22"/>
          <w:b w:val="1"/>
          <w:bCs w:val="1"/>
          <w:color w:val="auto"/>
        </w:rPr>
      </w:pPr>
    </w:p>
    <w:p>
      <w:pPr>
        <w:ind w:left="660" w:right="360"/>
        <w:spacing w:after="0" w:line="221" w:lineRule="auto"/>
        <w:rPr>
          <w:rFonts w:ascii="Calibri" w:cs="Calibri" w:eastAsia="Calibri" w:hAnsi="Calibri"/>
          <w:sz w:val="22"/>
          <w:szCs w:val="22"/>
          <w:b w:val="1"/>
          <w:bCs w:val="1"/>
          <w:color w:val="auto"/>
        </w:rPr>
      </w:pPr>
      <w:r>
        <w:rPr>
          <w:rFonts w:ascii="Calibri" w:cs="Calibri" w:eastAsia="Calibri" w:hAnsi="Calibri"/>
          <w:sz w:val="22"/>
          <w:szCs w:val="22"/>
          <w:color w:val="auto"/>
        </w:rPr>
        <w:t>The Board of Directors (the “Board”) of ALLETE, Inc. (the “Company”) has adopted this Executve Compensaton Recovery Policy (this “Policy) to implement a mandatory clawback policy in the event of a Restatement in compliance with the Applicable Rules.</w:t>
      </w:r>
    </w:p>
    <w:p>
      <w:pPr>
        <w:spacing w:after="0" w:line="216" w:lineRule="exact"/>
        <w:rPr>
          <w:rFonts w:ascii="Calibri" w:cs="Calibri" w:eastAsia="Calibri" w:hAnsi="Calibri"/>
          <w:sz w:val="22"/>
          <w:szCs w:val="22"/>
          <w:b w:val="1"/>
          <w:bCs w:val="1"/>
          <w:color w:val="auto"/>
        </w:rPr>
      </w:pPr>
    </w:p>
    <w:p>
      <w:pPr>
        <w:ind w:left="660" w:right="340"/>
        <w:spacing w:after="0" w:line="222" w:lineRule="auto"/>
        <w:rPr>
          <w:rFonts w:ascii="Calibri" w:cs="Calibri" w:eastAsia="Calibri" w:hAnsi="Calibri"/>
          <w:sz w:val="22"/>
          <w:szCs w:val="22"/>
          <w:b w:val="1"/>
          <w:bCs w:val="1"/>
          <w:color w:val="auto"/>
        </w:rPr>
      </w:pPr>
      <w:r>
        <w:rPr>
          <w:rFonts w:ascii="Calibri" w:cs="Calibri" w:eastAsia="Calibri" w:hAnsi="Calibri"/>
          <w:sz w:val="22"/>
          <w:szCs w:val="22"/>
          <w:color w:val="auto"/>
        </w:rPr>
        <w:t>Any capitalized terms used in this Policy, and not otherwise immediately defned, shall have the meanings set forth in Secton II.</w:t>
      </w:r>
    </w:p>
    <w:p>
      <w:pPr>
        <w:spacing w:after="0" w:line="220" w:lineRule="exact"/>
        <w:rPr>
          <w:sz w:val="20"/>
          <w:szCs w:val="20"/>
          <w:color w:val="auto"/>
        </w:rPr>
      </w:pPr>
    </w:p>
    <w:p>
      <w:pPr>
        <w:ind w:left="660" w:hanging="328"/>
        <w:spacing w:after="0"/>
        <w:tabs>
          <w:tab w:leader="none" w:pos="660" w:val="left"/>
        </w:tabs>
        <w:numPr>
          <w:ilvl w:val="0"/>
          <w:numId w:val="20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Defned Terms</w:t>
      </w:r>
    </w:p>
    <w:p>
      <w:pPr>
        <w:spacing w:after="0" w:line="230" w:lineRule="exact"/>
        <w:rPr>
          <w:rFonts w:ascii="Calibri" w:cs="Calibri" w:eastAsia="Calibri" w:hAnsi="Calibri"/>
          <w:sz w:val="22"/>
          <w:szCs w:val="22"/>
          <w:b w:val="1"/>
          <w:bCs w:val="1"/>
          <w:color w:val="auto"/>
        </w:rPr>
      </w:pPr>
    </w:p>
    <w:p>
      <w:pPr>
        <w:ind w:left="1300" w:right="140" w:hanging="320"/>
        <w:spacing w:after="0" w:line="221" w:lineRule="auto"/>
        <w:tabs>
          <w:tab w:leader="none" w:pos="1296" w:val="left"/>
        </w:tabs>
        <w:numPr>
          <w:ilvl w:val="1"/>
          <w:numId w:val="207"/>
        </w:numPr>
        <w:rPr>
          <w:rFonts w:ascii="Calibri" w:cs="Calibri" w:eastAsia="Calibri" w:hAnsi="Calibri"/>
          <w:sz w:val="22"/>
          <w:szCs w:val="22"/>
          <w:color w:val="auto"/>
        </w:rPr>
      </w:pPr>
      <w:r>
        <w:rPr>
          <w:rFonts w:ascii="Calibri" w:cs="Calibri" w:eastAsia="Calibri" w:hAnsi="Calibri"/>
          <w:sz w:val="22"/>
          <w:szCs w:val="22"/>
          <w:color w:val="auto"/>
        </w:rPr>
        <w:t>“Applicable Rules” means Secton 10D of the Exchange Act and Rule 10D-1 promulgated thereunder, Secton 303A.14 of the Listed Company Manual (“Manual”) of the New York Stock Exchange LLC (“NYSE”), and any other natonal stock exchange rules that the Company is or may become subject to.</w:t>
      </w:r>
    </w:p>
    <w:p>
      <w:pPr>
        <w:spacing w:after="0" w:line="230" w:lineRule="exact"/>
        <w:rPr>
          <w:rFonts w:ascii="Calibri" w:cs="Calibri" w:eastAsia="Calibri" w:hAnsi="Calibri"/>
          <w:sz w:val="22"/>
          <w:szCs w:val="22"/>
          <w:color w:val="auto"/>
        </w:rPr>
      </w:pPr>
    </w:p>
    <w:p>
      <w:pPr>
        <w:ind w:left="1300" w:right="1320" w:hanging="320"/>
        <w:spacing w:after="0" w:line="223" w:lineRule="auto"/>
        <w:tabs>
          <w:tab w:leader="none" w:pos="1292" w:val="left"/>
        </w:tabs>
        <w:numPr>
          <w:ilvl w:val="1"/>
          <w:numId w:val="207"/>
        </w:numPr>
        <w:rPr>
          <w:rFonts w:ascii="Calibri" w:cs="Calibri" w:eastAsia="Calibri" w:hAnsi="Calibri"/>
          <w:sz w:val="22"/>
          <w:szCs w:val="22"/>
          <w:color w:val="auto"/>
        </w:rPr>
      </w:pPr>
      <w:r>
        <w:rPr>
          <w:rFonts w:ascii="Calibri" w:cs="Calibri" w:eastAsia="Calibri" w:hAnsi="Calibri"/>
          <w:sz w:val="22"/>
          <w:szCs w:val="22"/>
          <w:color w:val="auto"/>
        </w:rPr>
        <w:t>“Clawback Compensaton” means Incentve-Based Compensaton or any other recovered incentve compensaton, in each case as determined to be subject to repayment pursuant to this Policy.</w:t>
      </w:r>
    </w:p>
    <w:p>
      <w:pPr>
        <w:spacing w:after="0" w:line="229" w:lineRule="exact"/>
        <w:rPr>
          <w:rFonts w:ascii="Calibri" w:cs="Calibri" w:eastAsia="Calibri" w:hAnsi="Calibri"/>
          <w:sz w:val="22"/>
          <w:szCs w:val="22"/>
          <w:color w:val="auto"/>
        </w:rPr>
      </w:pPr>
    </w:p>
    <w:p>
      <w:pPr>
        <w:ind w:left="1300" w:right="240" w:hanging="320"/>
        <w:spacing w:after="0" w:line="223" w:lineRule="auto"/>
        <w:tabs>
          <w:tab w:leader="none" w:pos="1297" w:val="left"/>
        </w:tabs>
        <w:numPr>
          <w:ilvl w:val="1"/>
          <w:numId w:val="207"/>
        </w:numPr>
        <w:rPr>
          <w:rFonts w:ascii="Calibri" w:cs="Calibri" w:eastAsia="Calibri" w:hAnsi="Calibri"/>
          <w:sz w:val="22"/>
          <w:szCs w:val="22"/>
          <w:color w:val="auto"/>
        </w:rPr>
      </w:pPr>
      <w:r>
        <w:rPr>
          <w:rFonts w:ascii="Calibri" w:cs="Calibri" w:eastAsia="Calibri" w:hAnsi="Calibri"/>
          <w:sz w:val="22"/>
          <w:szCs w:val="22"/>
          <w:color w:val="auto"/>
        </w:rPr>
        <w:t>“Clawback Event” means a required compensaton recovery of Incentve-Based Compensaton in the event of a Restatement.</w:t>
      </w:r>
    </w:p>
    <w:p>
      <w:pPr>
        <w:spacing w:after="0" w:line="219" w:lineRule="exact"/>
        <w:rPr>
          <w:rFonts w:ascii="Calibri" w:cs="Calibri" w:eastAsia="Calibri" w:hAnsi="Calibri"/>
          <w:sz w:val="22"/>
          <w:szCs w:val="22"/>
          <w:color w:val="auto"/>
        </w:rPr>
      </w:pPr>
    </w:p>
    <w:p>
      <w:pPr>
        <w:ind w:left="1300" w:hanging="320"/>
        <w:spacing w:after="0"/>
        <w:tabs>
          <w:tab w:leader="none" w:pos="1300" w:val="left"/>
        </w:tabs>
        <w:numPr>
          <w:ilvl w:val="1"/>
          <w:numId w:val="207"/>
        </w:numPr>
        <w:rPr>
          <w:rFonts w:ascii="Calibri" w:cs="Calibri" w:eastAsia="Calibri" w:hAnsi="Calibri"/>
          <w:sz w:val="22"/>
          <w:szCs w:val="22"/>
          <w:color w:val="auto"/>
        </w:rPr>
      </w:pPr>
      <w:r>
        <w:rPr>
          <w:rFonts w:ascii="Calibri" w:cs="Calibri" w:eastAsia="Calibri" w:hAnsi="Calibri"/>
          <w:sz w:val="22"/>
          <w:szCs w:val="22"/>
          <w:color w:val="auto"/>
        </w:rPr>
        <w:t>“Commitee” means the Executve Compensaton and Human Capital Commitee of the Board.</w:t>
      </w:r>
    </w:p>
    <w:p>
      <w:pPr>
        <w:spacing w:after="0" w:line="203" w:lineRule="exact"/>
        <w:rPr>
          <w:rFonts w:ascii="Calibri" w:cs="Calibri" w:eastAsia="Calibri" w:hAnsi="Calibri"/>
          <w:sz w:val="22"/>
          <w:szCs w:val="22"/>
          <w:color w:val="auto"/>
        </w:rPr>
      </w:pPr>
    </w:p>
    <w:p>
      <w:pPr>
        <w:ind w:left="1300" w:hanging="320"/>
        <w:spacing w:after="0"/>
        <w:tabs>
          <w:tab w:leader="none" w:pos="1300" w:val="left"/>
        </w:tabs>
        <w:numPr>
          <w:ilvl w:val="1"/>
          <w:numId w:val="207"/>
        </w:numPr>
        <w:rPr>
          <w:rFonts w:ascii="Calibri" w:cs="Calibri" w:eastAsia="Calibri" w:hAnsi="Calibri"/>
          <w:sz w:val="22"/>
          <w:szCs w:val="22"/>
          <w:color w:val="auto"/>
        </w:rPr>
      </w:pPr>
      <w:r>
        <w:rPr>
          <w:rFonts w:ascii="Calibri" w:cs="Calibri" w:eastAsia="Calibri" w:hAnsi="Calibri"/>
          <w:sz w:val="22"/>
          <w:szCs w:val="22"/>
          <w:color w:val="auto"/>
        </w:rPr>
        <w:t>“Exchange Act” means the Securites Exchange Act of 1934, as amended.</w:t>
      </w:r>
    </w:p>
    <w:p>
      <w:pPr>
        <w:spacing w:after="0" w:line="227" w:lineRule="exact"/>
        <w:rPr>
          <w:rFonts w:ascii="Calibri" w:cs="Calibri" w:eastAsia="Calibri" w:hAnsi="Calibri"/>
          <w:sz w:val="22"/>
          <w:szCs w:val="22"/>
          <w:color w:val="auto"/>
        </w:rPr>
      </w:pPr>
    </w:p>
    <w:p>
      <w:pPr>
        <w:ind w:left="1300" w:right="60" w:hanging="320"/>
        <w:spacing w:after="0" w:line="221" w:lineRule="auto"/>
        <w:tabs>
          <w:tab w:leader="none" w:pos="1285" w:val="left"/>
        </w:tabs>
        <w:numPr>
          <w:ilvl w:val="1"/>
          <w:numId w:val="207"/>
        </w:numPr>
        <w:rPr>
          <w:rFonts w:ascii="Calibri" w:cs="Calibri" w:eastAsia="Calibri" w:hAnsi="Calibri"/>
          <w:sz w:val="22"/>
          <w:szCs w:val="22"/>
          <w:color w:val="auto"/>
        </w:rPr>
      </w:pPr>
      <w:r>
        <w:rPr>
          <w:rFonts w:ascii="Calibri" w:cs="Calibri" w:eastAsia="Calibri" w:hAnsi="Calibri"/>
          <w:sz w:val="22"/>
          <w:szCs w:val="22"/>
          <w:color w:val="auto"/>
        </w:rPr>
        <w:t>“Executve Ofcer” means any person currently or formerly designated by the Board as an “ofcer” for purposes of Secton 16 of the Exchange Act and the related promulgated rules, or as otherwise determined by the Board in accordance with the defniton of executve ofcer as set forth in the Applicable Rules.</w:t>
      </w:r>
    </w:p>
    <w:p>
      <w:pPr>
        <w:spacing w:after="0" w:line="230" w:lineRule="exact"/>
        <w:rPr>
          <w:rFonts w:ascii="Calibri" w:cs="Calibri" w:eastAsia="Calibri" w:hAnsi="Calibri"/>
          <w:sz w:val="22"/>
          <w:szCs w:val="22"/>
          <w:color w:val="auto"/>
        </w:rPr>
      </w:pPr>
    </w:p>
    <w:p>
      <w:pPr>
        <w:ind w:left="1300" w:right="80" w:hanging="320"/>
        <w:spacing w:after="0" w:line="219" w:lineRule="auto"/>
        <w:tabs>
          <w:tab w:leader="none" w:pos="1294" w:val="left"/>
        </w:tabs>
        <w:numPr>
          <w:ilvl w:val="1"/>
          <w:numId w:val="207"/>
        </w:numPr>
        <w:rPr>
          <w:rFonts w:ascii="Calibri" w:cs="Calibri" w:eastAsia="Calibri" w:hAnsi="Calibri"/>
          <w:sz w:val="22"/>
          <w:szCs w:val="22"/>
          <w:color w:val="auto"/>
        </w:rPr>
      </w:pPr>
      <w:r>
        <w:rPr>
          <w:rFonts w:ascii="Calibri" w:cs="Calibri" w:eastAsia="Calibri" w:hAnsi="Calibri"/>
          <w:sz w:val="22"/>
          <w:szCs w:val="22"/>
          <w:color w:val="auto"/>
        </w:rPr>
        <w:t>“Financial Reportng Measures” mean (i) measures that are determined and presented in accordance with the accountng principles used in preparing the Company’s fnancial statements, and any measures that are derived wholly or in part from such measures, (ii) the Company’s stock price, or (iii) total shareholder return in respect of the Company. A Financial Reportng Measure need not be presented within the Company’s fnancial statements or included in a fling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1" w:right="339" w:bottom="1440" w:gutter="0" w:footer="0" w:header="0"/>
        </w:sectPr>
      </w:pPr>
    </w:p>
    <w:bookmarkStart w:id="286" w:name="page287"/>
    <w:bookmarkEnd w:id="286"/>
    <w:p>
      <w:pPr>
        <w:spacing w:after="0"/>
        <w:rPr>
          <w:sz w:val="20"/>
          <w:szCs w:val="20"/>
          <w:color w:val="auto"/>
        </w:rPr>
      </w:pPr>
      <w:r>
        <w:rPr>
          <w:rFonts w:ascii="Calibri" w:cs="Calibri" w:eastAsia="Calibri" w:hAnsi="Calibri"/>
          <w:sz w:val="22"/>
          <w:szCs w:val="22"/>
          <w:b w:val="1"/>
          <w:bCs w:val="1"/>
          <w:color w:val="auto"/>
        </w:rPr>
        <w:t>Exhibit 97</w:t>
      </w:r>
    </w:p>
    <w:p>
      <w:pPr>
        <w:jc w:val="right"/>
        <w:spacing w:after="0" w:line="229" w:lineRule="auto"/>
        <w:rPr>
          <w:sz w:val="20"/>
          <w:szCs w:val="20"/>
          <w:color w:val="auto"/>
        </w:rPr>
      </w:pPr>
      <w:r>
        <w:rPr>
          <w:rFonts w:ascii="Calibri" w:cs="Calibri" w:eastAsia="Calibri" w:hAnsi="Calibri"/>
          <w:sz w:val="22"/>
          <w:szCs w:val="22"/>
          <w:b w:val="1"/>
          <w:bCs w:val="1"/>
          <w:i w:val="1"/>
          <w:iCs w:val="1"/>
          <w:color w:val="auto"/>
        </w:rPr>
        <w:t>Approved by the ALLETE Board</w:t>
      </w:r>
    </w:p>
    <w:p>
      <w:pPr>
        <w:jc w:val="right"/>
        <w:spacing w:after="0" w:line="227" w:lineRule="auto"/>
        <w:rPr>
          <w:sz w:val="20"/>
          <w:szCs w:val="20"/>
          <w:color w:val="auto"/>
        </w:rPr>
      </w:pPr>
      <w:r>
        <w:rPr>
          <w:rFonts w:ascii="Calibri" w:cs="Calibri" w:eastAsia="Calibri" w:hAnsi="Calibri"/>
          <w:sz w:val="22"/>
          <w:szCs w:val="22"/>
          <w:b w:val="1"/>
          <w:bCs w:val="1"/>
          <w:i w:val="1"/>
          <w:iCs w:val="1"/>
          <w:color w:val="auto"/>
        </w:rPr>
        <w:t>Of Directors on October 27, 2023</w:t>
      </w:r>
    </w:p>
    <w:p>
      <w:pPr>
        <w:spacing w:after="0" w:line="200" w:lineRule="exact"/>
        <w:rPr>
          <w:sz w:val="20"/>
          <w:szCs w:val="20"/>
          <w:color w:val="auto"/>
        </w:rPr>
      </w:pPr>
    </w:p>
    <w:p>
      <w:pPr>
        <w:spacing w:after="0" w:line="314" w:lineRule="exact"/>
        <w:rPr>
          <w:sz w:val="20"/>
          <w:szCs w:val="20"/>
          <w:color w:val="auto"/>
        </w:rPr>
      </w:pPr>
    </w:p>
    <w:p>
      <w:pPr>
        <w:ind w:left="1300" w:right="100" w:hanging="320"/>
        <w:spacing w:after="0" w:line="219" w:lineRule="auto"/>
        <w:tabs>
          <w:tab w:leader="none" w:pos="1292" w:val="left"/>
        </w:tabs>
        <w:numPr>
          <w:ilvl w:val="1"/>
          <w:numId w:val="208"/>
        </w:numPr>
        <w:rPr>
          <w:rFonts w:ascii="Calibri" w:cs="Calibri" w:eastAsia="Calibri" w:hAnsi="Calibri"/>
          <w:sz w:val="22"/>
          <w:szCs w:val="22"/>
          <w:color w:val="auto"/>
        </w:rPr>
      </w:pPr>
      <w:r>
        <w:rPr>
          <w:rFonts w:ascii="Calibri" w:cs="Calibri" w:eastAsia="Calibri" w:hAnsi="Calibri"/>
          <w:sz w:val="22"/>
          <w:szCs w:val="22"/>
          <w:color w:val="auto"/>
        </w:rPr>
        <w:t>“Incentve-Based Compensaton” means any compensaton that is granted, earned, or vested, based wholly or in part upon the atainment of a Financial Reportng Measure. Incentve-Based Compensaton does not include, among other forms of compensaton, equity awards that vest exclusively upon completon of a specifed tme period without any performance conditon, or bonus awards that are discretonary or based on subjectve goals or goals that are unrelated to Financial Reportng Measures.</w:t>
      </w:r>
    </w:p>
    <w:p>
      <w:pPr>
        <w:spacing w:after="0" w:line="232" w:lineRule="exact"/>
        <w:rPr>
          <w:rFonts w:ascii="Calibri" w:cs="Calibri" w:eastAsia="Calibri" w:hAnsi="Calibri"/>
          <w:sz w:val="22"/>
          <w:szCs w:val="22"/>
          <w:color w:val="auto"/>
        </w:rPr>
      </w:pPr>
    </w:p>
    <w:p>
      <w:pPr>
        <w:ind w:left="1300" w:right="100" w:hanging="320"/>
        <w:spacing w:after="0" w:line="217" w:lineRule="auto"/>
        <w:tabs>
          <w:tab w:leader="none" w:pos="1296" w:val="left"/>
        </w:tabs>
        <w:numPr>
          <w:ilvl w:val="1"/>
          <w:numId w:val="208"/>
        </w:numPr>
        <w:rPr>
          <w:rFonts w:ascii="Calibri" w:cs="Calibri" w:eastAsia="Calibri" w:hAnsi="Calibri"/>
          <w:sz w:val="22"/>
          <w:szCs w:val="22"/>
          <w:color w:val="auto"/>
        </w:rPr>
      </w:pPr>
      <w:r>
        <w:rPr>
          <w:rFonts w:ascii="Calibri" w:cs="Calibri" w:eastAsia="Calibri" w:hAnsi="Calibri"/>
          <w:sz w:val="22"/>
          <w:szCs w:val="22"/>
          <w:color w:val="auto"/>
        </w:rPr>
        <w:t>“Received”—Incentve-Based Compensaton is deemed “Received” for the purposes of this Policy in the Company’s fscal period during which the Financial Reportng Measure applicable to the Incentve-Based Compensaton award is atained, even if the payment or grant of the Incentve-Based Compensaton occurs afer the end of that period.</w:t>
      </w:r>
    </w:p>
    <w:p>
      <w:pPr>
        <w:spacing w:after="0" w:line="230" w:lineRule="exact"/>
        <w:rPr>
          <w:rFonts w:ascii="Calibri" w:cs="Calibri" w:eastAsia="Calibri" w:hAnsi="Calibri"/>
          <w:sz w:val="22"/>
          <w:szCs w:val="22"/>
          <w:color w:val="auto"/>
        </w:rPr>
      </w:pPr>
    </w:p>
    <w:p>
      <w:pPr>
        <w:ind w:left="1300" w:right="40" w:hanging="320"/>
        <w:spacing w:after="0" w:line="219" w:lineRule="auto"/>
        <w:tabs>
          <w:tab w:leader="none" w:pos="1298" w:val="left"/>
        </w:tabs>
        <w:numPr>
          <w:ilvl w:val="1"/>
          <w:numId w:val="208"/>
        </w:numPr>
        <w:rPr>
          <w:rFonts w:ascii="Calibri" w:cs="Calibri" w:eastAsia="Calibri" w:hAnsi="Calibri"/>
          <w:sz w:val="22"/>
          <w:szCs w:val="22"/>
          <w:color w:val="auto"/>
        </w:rPr>
      </w:pPr>
      <w:r>
        <w:rPr>
          <w:rFonts w:ascii="Calibri" w:cs="Calibri" w:eastAsia="Calibri" w:hAnsi="Calibri"/>
          <w:sz w:val="22"/>
          <w:szCs w:val="22"/>
          <w:color w:val="auto"/>
        </w:rPr>
        <w:t>“Recovery Period” means the three completed fscal years immediately preceding the date on which the Company is required to prepare a Restatement, which date is the earlier of (i) the date that the Board, a commitee of the Board, or the ofcer or ofcers of the Company authorized to take such acton if Board acton is not required, concludes, or reasonably should have concluded, that the Company is required to prepare a Restatement; or (ii) a date that a court, regulator, or other legally authorized body directs the Company to prepare a Restatement.</w:t>
      </w:r>
    </w:p>
    <w:p>
      <w:pPr>
        <w:spacing w:after="0" w:line="220" w:lineRule="exact"/>
        <w:rPr>
          <w:rFonts w:ascii="Calibri" w:cs="Calibri" w:eastAsia="Calibri" w:hAnsi="Calibri"/>
          <w:sz w:val="22"/>
          <w:szCs w:val="22"/>
          <w:color w:val="auto"/>
        </w:rPr>
      </w:pPr>
    </w:p>
    <w:p>
      <w:pPr>
        <w:ind w:left="1300" w:hanging="320"/>
        <w:spacing w:after="0"/>
        <w:tabs>
          <w:tab w:leader="none" w:pos="1300" w:val="left"/>
        </w:tabs>
        <w:numPr>
          <w:ilvl w:val="1"/>
          <w:numId w:val="208"/>
        </w:numPr>
        <w:rPr>
          <w:rFonts w:ascii="Calibri" w:cs="Calibri" w:eastAsia="Calibri" w:hAnsi="Calibri"/>
          <w:sz w:val="22"/>
          <w:szCs w:val="22"/>
          <w:color w:val="auto"/>
        </w:rPr>
      </w:pPr>
      <w:r>
        <w:rPr>
          <w:rFonts w:ascii="Calibri" w:cs="Calibri" w:eastAsia="Calibri" w:hAnsi="Calibri"/>
          <w:sz w:val="22"/>
          <w:szCs w:val="22"/>
          <w:color w:val="auto"/>
        </w:rPr>
        <w:t>“Regulators” means, as applicable, the SEC and the NYSE.</w:t>
      </w:r>
    </w:p>
    <w:p>
      <w:pPr>
        <w:spacing w:after="0" w:line="228" w:lineRule="exact"/>
        <w:rPr>
          <w:rFonts w:ascii="Calibri" w:cs="Calibri" w:eastAsia="Calibri" w:hAnsi="Calibri"/>
          <w:sz w:val="22"/>
          <w:szCs w:val="22"/>
          <w:color w:val="auto"/>
        </w:rPr>
      </w:pPr>
    </w:p>
    <w:p>
      <w:pPr>
        <w:ind w:left="1300" w:right="140" w:hanging="320"/>
        <w:spacing w:after="0" w:line="217" w:lineRule="auto"/>
        <w:tabs>
          <w:tab w:leader="none" w:pos="1296" w:val="left"/>
        </w:tabs>
        <w:numPr>
          <w:ilvl w:val="1"/>
          <w:numId w:val="208"/>
        </w:numPr>
        <w:rPr>
          <w:rFonts w:ascii="Calibri" w:cs="Calibri" w:eastAsia="Calibri" w:hAnsi="Calibri"/>
          <w:sz w:val="22"/>
          <w:szCs w:val="22"/>
          <w:color w:val="auto"/>
        </w:rPr>
      </w:pPr>
      <w:r>
        <w:rPr>
          <w:rFonts w:ascii="Calibri" w:cs="Calibri" w:eastAsia="Calibri" w:hAnsi="Calibri"/>
          <w:sz w:val="22"/>
          <w:szCs w:val="22"/>
          <w:color w:val="auto"/>
        </w:rPr>
        <w:t>“Restatement” means an accountng restatement of the Company’s fnancial statements that the Company is required to prepare due to the Company’s material noncompliance with any fnancial reportng requirement under the securites laws, including (i) any required accountng restatement to correct an error in previously issued fnancial statements that is material to the previously issued fnancial statements, or (ii) that would result in a material misstatement if the error were corrected in the current period or lef uncorrected in the current period.</w:t>
      </w:r>
    </w:p>
    <w:p>
      <w:pPr>
        <w:spacing w:after="0" w:line="220" w:lineRule="exact"/>
        <w:rPr>
          <w:rFonts w:ascii="Calibri" w:cs="Calibri" w:eastAsia="Calibri" w:hAnsi="Calibri"/>
          <w:sz w:val="22"/>
          <w:szCs w:val="22"/>
          <w:color w:val="auto"/>
        </w:rPr>
      </w:pPr>
    </w:p>
    <w:p>
      <w:pPr>
        <w:ind w:left="1300" w:hanging="320"/>
        <w:spacing w:after="0"/>
        <w:tabs>
          <w:tab w:leader="none" w:pos="1300" w:val="left"/>
        </w:tabs>
        <w:numPr>
          <w:ilvl w:val="1"/>
          <w:numId w:val="208"/>
        </w:numPr>
        <w:rPr>
          <w:rFonts w:ascii="Calibri" w:cs="Calibri" w:eastAsia="Calibri" w:hAnsi="Calibri"/>
          <w:sz w:val="22"/>
          <w:szCs w:val="22"/>
          <w:color w:val="auto"/>
        </w:rPr>
      </w:pPr>
      <w:r>
        <w:rPr>
          <w:rFonts w:ascii="Calibri" w:cs="Calibri" w:eastAsia="Calibri" w:hAnsi="Calibri"/>
          <w:sz w:val="22"/>
          <w:szCs w:val="22"/>
          <w:color w:val="auto"/>
        </w:rPr>
        <w:t>“SEC” means the U.S. Securites and Exchange Commission.</w:t>
      </w:r>
    </w:p>
    <w:p>
      <w:pPr>
        <w:spacing w:after="0" w:line="215" w:lineRule="exact"/>
        <w:rPr>
          <w:rFonts w:ascii="Calibri" w:cs="Calibri" w:eastAsia="Calibri" w:hAnsi="Calibri"/>
          <w:sz w:val="22"/>
          <w:szCs w:val="22"/>
          <w:color w:val="auto"/>
        </w:rPr>
      </w:pPr>
    </w:p>
    <w:p>
      <w:pPr>
        <w:ind w:left="660" w:hanging="328"/>
        <w:spacing w:after="0"/>
        <w:tabs>
          <w:tab w:leader="none" w:pos="660" w:val="left"/>
        </w:tabs>
        <w:numPr>
          <w:ilvl w:val="0"/>
          <w:numId w:val="209"/>
        </w:numPr>
        <w:rPr>
          <w:rFonts w:ascii="Calibri" w:cs="Calibri" w:eastAsia="Calibri" w:hAnsi="Calibri"/>
          <w:sz w:val="20"/>
          <w:szCs w:val="20"/>
          <w:b w:val="1"/>
          <w:bCs w:val="1"/>
          <w:color w:val="auto"/>
        </w:rPr>
      </w:pPr>
      <w:r>
        <w:rPr>
          <w:rFonts w:ascii="Calibri" w:cs="Calibri" w:eastAsia="Calibri" w:hAnsi="Calibri"/>
          <w:sz w:val="22"/>
          <w:szCs w:val="22"/>
          <w:b w:val="1"/>
          <w:bCs w:val="1"/>
          <w:color w:val="auto"/>
        </w:rPr>
        <w:t>Administraton</w:t>
      </w:r>
    </w:p>
    <w:p>
      <w:pPr>
        <w:spacing w:after="0" w:line="229" w:lineRule="exact"/>
        <w:rPr>
          <w:rFonts w:ascii="Calibri" w:cs="Calibri" w:eastAsia="Calibri" w:hAnsi="Calibri"/>
          <w:sz w:val="20"/>
          <w:szCs w:val="20"/>
          <w:b w:val="1"/>
          <w:bCs w:val="1"/>
          <w:color w:val="auto"/>
        </w:rPr>
      </w:pPr>
    </w:p>
    <w:p>
      <w:pPr>
        <w:jc w:val="both"/>
        <w:ind w:left="660" w:right="540"/>
        <w:spacing w:after="0" w:line="234" w:lineRule="auto"/>
        <w:rPr>
          <w:rFonts w:ascii="Calibri" w:cs="Calibri" w:eastAsia="Calibri" w:hAnsi="Calibri"/>
          <w:sz w:val="20"/>
          <w:szCs w:val="20"/>
          <w:b w:val="1"/>
          <w:bCs w:val="1"/>
          <w:color w:val="auto"/>
        </w:rPr>
      </w:pPr>
      <w:r>
        <w:rPr>
          <w:rFonts w:ascii="Calibri" w:cs="Calibri" w:eastAsia="Calibri" w:hAnsi="Calibri"/>
          <w:sz w:val="21"/>
          <w:szCs w:val="21"/>
          <w:color w:val="auto"/>
        </w:rPr>
        <w:t>This Policy shall be administered by the Commitee, which shall make all determinatons with respect to this Policy, provided that this Policy shall be interpreted in a manner consistent with the requirements of the Applicable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1" w:right="339" w:bottom="1440" w:gutter="0" w:footer="0" w:header="0"/>
        </w:sectPr>
      </w:pPr>
    </w:p>
    <w:bookmarkStart w:id="287" w:name="page288"/>
    <w:bookmarkEnd w:id="287"/>
    <w:p>
      <w:pPr>
        <w:spacing w:after="0"/>
        <w:rPr>
          <w:sz w:val="20"/>
          <w:szCs w:val="20"/>
          <w:color w:val="auto"/>
        </w:rPr>
      </w:pPr>
      <w:r>
        <w:rPr>
          <w:rFonts w:ascii="Calibri" w:cs="Calibri" w:eastAsia="Calibri" w:hAnsi="Calibri"/>
          <w:sz w:val="22"/>
          <w:szCs w:val="22"/>
          <w:b w:val="1"/>
          <w:bCs w:val="1"/>
          <w:color w:val="auto"/>
        </w:rPr>
        <w:t>Exhibit 97</w:t>
      </w:r>
    </w:p>
    <w:p>
      <w:pPr>
        <w:jc w:val="right"/>
        <w:spacing w:after="0" w:line="229" w:lineRule="auto"/>
        <w:rPr>
          <w:sz w:val="20"/>
          <w:szCs w:val="20"/>
          <w:color w:val="auto"/>
        </w:rPr>
      </w:pPr>
      <w:r>
        <w:rPr>
          <w:rFonts w:ascii="Calibri" w:cs="Calibri" w:eastAsia="Calibri" w:hAnsi="Calibri"/>
          <w:sz w:val="22"/>
          <w:szCs w:val="22"/>
          <w:b w:val="1"/>
          <w:bCs w:val="1"/>
          <w:i w:val="1"/>
          <w:iCs w:val="1"/>
          <w:color w:val="auto"/>
        </w:rPr>
        <w:t>Approved by the ALLETE Board</w:t>
      </w:r>
    </w:p>
    <w:p>
      <w:pPr>
        <w:jc w:val="right"/>
        <w:spacing w:after="0" w:line="227" w:lineRule="auto"/>
        <w:rPr>
          <w:sz w:val="20"/>
          <w:szCs w:val="20"/>
          <w:color w:val="auto"/>
        </w:rPr>
      </w:pPr>
      <w:r>
        <w:rPr>
          <w:rFonts w:ascii="Calibri" w:cs="Calibri" w:eastAsia="Calibri" w:hAnsi="Calibri"/>
          <w:sz w:val="22"/>
          <w:szCs w:val="22"/>
          <w:b w:val="1"/>
          <w:bCs w:val="1"/>
          <w:i w:val="1"/>
          <w:iCs w:val="1"/>
          <w:color w:val="auto"/>
        </w:rPr>
        <w:t>Of Directors on October 27, 2023</w:t>
      </w:r>
    </w:p>
    <w:p>
      <w:pPr>
        <w:spacing w:after="0" w:line="200" w:lineRule="exact"/>
        <w:rPr>
          <w:sz w:val="20"/>
          <w:szCs w:val="20"/>
          <w:color w:val="auto"/>
        </w:rPr>
      </w:pPr>
    </w:p>
    <w:p>
      <w:pPr>
        <w:spacing w:after="0" w:line="314" w:lineRule="exact"/>
        <w:rPr>
          <w:sz w:val="20"/>
          <w:szCs w:val="20"/>
          <w:color w:val="auto"/>
        </w:rPr>
      </w:pPr>
    </w:p>
    <w:p>
      <w:pPr>
        <w:ind w:left="660" w:right="60"/>
        <w:spacing w:after="0" w:line="221" w:lineRule="auto"/>
        <w:rPr>
          <w:sz w:val="20"/>
          <w:szCs w:val="20"/>
          <w:color w:val="auto"/>
        </w:rPr>
      </w:pPr>
      <w:r>
        <w:rPr>
          <w:rFonts w:ascii="Calibri" w:cs="Calibri" w:eastAsia="Calibri" w:hAnsi="Calibri"/>
          <w:sz w:val="22"/>
          <w:szCs w:val="22"/>
          <w:color w:val="auto"/>
        </w:rPr>
        <w:t>Notwithstanding the foregoing, the Board may assume any or all powers and authority of the Commitee with respect to the administraton of this Policy, in which case references to the Commitee shall be deemed to include the Board, as applicable.</w:t>
      </w:r>
    </w:p>
    <w:p>
      <w:pPr>
        <w:spacing w:after="0" w:line="220" w:lineRule="exact"/>
        <w:rPr>
          <w:sz w:val="20"/>
          <w:szCs w:val="20"/>
          <w:color w:val="auto"/>
        </w:rPr>
      </w:pPr>
    </w:p>
    <w:p>
      <w:pPr>
        <w:ind w:left="340"/>
        <w:spacing w:after="0"/>
        <w:rPr>
          <w:sz w:val="20"/>
          <w:szCs w:val="20"/>
          <w:color w:val="auto"/>
        </w:rPr>
      </w:pPr>
      <w:r>
        <w:rPr>
          <w:rFonts w:ascii="Calibri" w:cs="Calibri" w:eastAsia="Calibri" w:hAnsi="Calibri"/>
          <w:sz w:val="22"/>
          <w:szCs w:val="22"/>
          <w:b w:val="1"/>
          <w:bCs w:val="1"/>
          <w:color w:val="auto"/>
        </w:rPr>
        <w:t>IV. Recovery on a Restatement</w:t>
      </w:r>
    </w:p>
    <w:p>
      <w:pPr>
        <w:spacing w:after="0" w:line="228" w:lineRule="exact"/>
        <w:rPr>
          <w:sz w:val="20"/>
          <w:szCs w:val="20"/>
          <w:color w:val="auto"/>
        </w:rPr>
      </w:pPr>
    </w:p>
    <w:p>
      <w:pPr>
        <w:ind w:left="660"/>
        <w:spacing w:after="0" w:line="217" w:lineRule="auto"/>
        <w:rPr>
          <w:sz w:val="20"/>
          <w:szCs w:val="20"/>
          <w:color w:val="auto"/>
        </w:rPr>
      </w:pPr>
      <w:r>
        <w:rPr>
          <w:rFonts w:ascii="Calibri" w:cs="Calibri" w:eastAsia="Calibri" w:hAnsi="Calibri"/>
          <w:sz w:val="22"/>
          <w:szCs w:val="22"/>
          <w:color w:val="auto"/>
        </w:rPr>
        <w:t>In the event that the Company is required to prepare a Restatement, the Company shall reasonably promptly recover the amount, as calculated pursuant to Secton IV, of any erroneously awarded Incentve-Based Compensaton that is Received by an Executve Ofcer during the Recovery Period. The amount of erroneously Received Incentve-Based Compensaton will be the excess of the amount of Incentve-Based Compensaton that is Received by the Executve Ofcer (whether in cash or shares) based on the erroneous data in the original fnancial statements over the amount of Incentve-Based Compensaton that would have been Received by the Executve Ofcer (whether in cash or in shares) had such Incentve-Based Compensaton been based on the restated results, without respect to any tax liabilites incurred or paid by the Executve Ofcer.</w:t>
      </w:r>
    </w:p>
    <w:p>
      <w:pPr>
        <w:spacing w:after="0" w:line="3" w:lineRule="exact"/>
        <w:rPr>
          <w:sz w:val="20"/>
          <w:szCs w:val="20"/>
          <w:color w:val="auto"/>
        </w:rPr>
      </w:pPr>
    </w:p>
    <w:p>
      <w:pPr>
        <w:ind w:left="660"/>
        <w:spacing w:after="0" w:line="214" w:lineRule="auto"/>
        <w:rPr>
          <w:sz w:val="20"/>
          <w:szCs w:val="20"/>
          <w:color w:val="auto"/>
        </w:rPr>
      </w:pPr>
      <w:r>
        <w:rPr>
          <w:rFonts w:ascii="Calibri" w:cs="Calibri" w:eastAsia="Calibri" w:hAnsi="Calibri"/>
          <w:sz w:val="22"/>
          <w:szCs w:val="22"/>
          <w:color w:val="auto"/>
        </w:rPr>
        <w:t>Without limitng the foregoing, for Incentve-Based Compensaton based on the Company’s stock price or total shareholder return, where the amount of erroneously awarded compensaton is not subject to mathematcal recalculaton directly from the informaton in the Restatement, (i) the amount shall be based on a reasonable estmate of the efect of the Restatement on the stock price or total shareholder return upon which the Incentve-Based Compensaton was Received, and (ii) the Company shall maintain documentaton of the determinaton of that reasonable estmate and provide such estmate to NYSE.</w:t>
      </w:r>
    </w:p>
    <w:p>
      <w:pPr>
        <w:spacing w:after="0" w:line="223" w:lineRule="exact"/>
        <w:rPr>
          <w:sz w:val="20"/>
          <w:szCs w:val="20"/>
          <w:color w:val="auto"/>
        </w:rPr>
      </w:pPr>
    </w:p>
    <w:p>
      <w:pPr>
        <w:ind w:left="340"/>
        <w:spacing w:after="0"/>
        <w:rPr>
          <w:sz w:val="20"/>
          <w:szCs w:val="20"/>
          <w:color w:val="auto"/>
        </w:rPr>
      </w:pPr>
      <w:r>
        <w:rPr>
          <w:rFonts w:ascii="Calibri" w:cs="Calibri" w:eastAsia="Calibri" w:hAnsi="Calibri"/>
          <w:sz w:val="22"/>
          <w:szCs w:val="22"/>
          <w:b w:val="1"/>
          <w:bCs w:val="1"/>
          <w:color w:val="auto"/>
        </w:rPr>
        <w:t>V. Coverage and Applicaton</w:t>
      </w:r>
    </w:p>
    <w:p>
      <w:pPr>
        <w:spacing w:after="0" w:line="230" w:lineRule="exact"/>
        <w:rPr>
          <w:sz w:val="20"/>
          <w:szCs w:val="20"/>
          <w:color w:val="auto"/>
        </w:rPr>
      </w:pPr>
    </w:p>
    <w:p>
      <w:pPr>
        <w:ind w:left="660" w:right="160"/>
        <w:spacing w:after="0" w:line="218" w:lineRule="auto"/>
        <w:rPr>
          <w:sz w:val="20"/>
          <w:szCs w:val="20"/>
          <w:color w:val="auto"/>
        </w:rPr>
      </w:pPr>
      <w:r>
        <w:rPr>
          <w:rFonts w:ascii="Calibri" w:cs="Calibri" w:eastAsia="Calibri" w:hAnsi="Calibri"/>
          <w:sz w:val="22"/>
          <w:szCs w:val="22"/>
          <w:color w:val="auto"/>
        </w:rPr>
        <w:t>Except as provided in Secton X below, this Policy covers all persons who are Executve Ofcers at any tme during the Recovery Period for which Incentve-Based Compensaton is Received. Incentve-Based Compensaton shall not be recovered under this Policy to the extent Received by any person before the date the person served as an Executve Ofcer. Subsequent changes in an Executve Ofcer’s employment status, including retrement or terminaton of employment, do not afect the Company’s right to recover Incentve-Based Compensaton pursuant to this Policy. Subject to Secton XI below, this Policy shall apply to Incentve-Based Compensaton that is Received by any Executve Ofcer on or afer October 2, 2023 that resulted from atainment of a Financial Reportng Measure based on or derived from fnancial informaton for any fscal period ending on or afer October 2, 2023.</w:t>
      </w:r>
    </w:p>
    <w:p>
      <w:pPr>
        <w:spacing w:after="0" w:line="209" w:lineRule="exact"/>
        <w:rPr>
          <w:sz w:val="20"/>
          <w:szCs w:val="20"/>
          <w:color w:val="auto"/>
        </w:rPr>
      </w:pPr>
    </w:p>
    <w:p>
      <w:pPr>
        <w:ind w:left="340"/>
        <w:spacing w:after="0"/>
        <w:rPr>
          <w:sz w:val="20"/>
          <w:szCs w:val="20"/>
          <w:color w:val="auto"/>
        </w:rPr>
      </w:pPr>
      <w:r>
        <w:rPr>
          <w:rFonts w:ascii="Calibri" w:cs="Calibri" w:eastAsia="Calibri" w:hAnsi="Calibri"/>
          <w:sz w:val="22"/>
          <w:szCs w:val="22"/>
          <w:b w:val="1"/>
          <w:bCs w:val="1"/>
          <w:color w:val="auto"/>
        </w:rPr>
        <w:t>VI. Exceptons to Policy</w:t>
      </w:r>
    </w:p>
    <w:p>
      <w:pPr>
        <w:spacing w:after="0" w:line="219"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No recovery of Incentve-Based Compensaton shall be required if any of the following conditons are met and the</w:t>
      </w:r>
    </w:p>
    <w:p>
      <w:pPr>
        <w:ind w:left="660"/>
        <w:spacing w:after="0" w:line="217" w:lineRule="auto"/>
        <w:rPr>
          <w:sz w:val="20"/>
          <w:szCs w:val="20"/>
          <w:color w:val="auto"/>
        </w:rPr>
      </w:pPr>
      <w:r>
        <w:rPr>
          <w:rFonts w:ascii="Calibri" w:cs="Calibri" w:eastAsia="Calibri" w:hAnsi="Calibri"/>
          <w:sz w:val="22"/>
          <w:szCs w:val="22"/>
          <w:color w:val="auto"/>
        </w:rPr>
        <w:t>Commitee determines that, on such basis, recovery would be impractcable: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1" w:right="339" w:bottom="1440" w:gutter="0" w:footer="0" w:header="0"/>
        </w:sectPr>
      </w:pPr>
    </w:p>
    <w:bookmarkStart w:id="288" w:name="page289"/>
    <w:bookmarkEnd w:id="288"/>
    <w:p>
      <w:pPr>
        <w:spacing w:after="0"/>
        <w:rPr>
          <w:sz w:val="20"/>
          <w:szCs w:val="20"/>
          <w:color w:val="auto"/>
        </w:rPr>
      </w:pPr>
      <w:r>
        <w:rPr>
          <w:rFonts w:ascii="Calibri" w:cs="Calibri" w:eastAsia="Calibri" w:hAnsi="Calibri"/>
          <w:sz w:val="22"/>
          <w:szCs w:val="22"/>
          <w:b w:val="1"/>
          <w:bCs w:val="1"/>
          <w:color w:val="auto"/>
        </w:rPr>
        <w:t>Exhibit 97</w:t>
      </w:r>
    </w:p>
    <w:p>
      <w:pPr>
        <w:jc w:val="right"/>
        <w:spacing w:after="0" w:line="229" w:lineRule="auto"/>
        <w:rPr>
          <w:sz w:val="20"/>
          <w:szCs w:val="20"/>
          <w:color w:val="auto"/>
        </w:rPr>
      </w:pPr>
      <w:r>
        <w:rPr>
          <w:rFonts w:ascii="Calibri" w:cs="Calibri" w:eastAsia="Calibri" w:hAnsi="Calibri"/>
          <w:sz w:val="22"/>
          <w:szCs w:val="22"/>
          <w:b w:val="1"/>
          <w:bCs w:val="1"/>
          <w:i w:val="1"/>
          <w:iCs w:val="1"/>
          <w:color w:val="auto"/>
        </w:rPr>
        <w:t>Approved by the ALLETE Board</w:t>
      </w:r>
    </w:p>
    <w:p>
      <w:pPr>
        <w:jc w:val="right"/>
        <w:spacing w:after="0" w:line="229" w:lineRule="auto"/>
        <w:rPr>
          <w:sz w:val="20"/>
          <w:szCs w:val="20"/>
          <w:color w:val="auto"/>
        </w:rPr>
      </w:pPr>
      <w:r>
        <w:rPr>
          <w:rFonts w:ascii="Calibri" w:cs="Calibri" w:eastAsia="Calibri" w:hAnsi="Calibri"/>
          <w:sz w:val="22"/>
          <w:szCs w:val="22"/>
          <w:b w:val="1"/>
          <w:bCs w:val="1"/>
          <w:i w:val="1"/>
          <w:iCs w:val="1"/>
          <w:color w:val="auto"/>
        </w:rPr>
        <w:t>Of Directors on October 27, 2023</w:t>
      </w:r>
    </w:p>
    <w:p>
      <w:pPr>
        <w:spacing w:after="0" w:line="200" w:lineRule="exact"/>
        <w:rPr>
          <w:sz w:val="20"/>
          <w:szCs w:val="20"/>
          <w:color w:val="auto"/>
        </w:rPr>
      </w:pPr>
    </w:p>
    <w:p>
      <w:pPr>
        <w:spacing w:after="0" w:line="312" w:lineRule="exact"/>
        <w:rPr>
          <w:sz w:val="20"/>
          <w:szCs w:val="20"/>
          <w:color w:val="auto"/>
        </w:rPr>
      </w:pPr>
    </w:p>
    <w:p>
      <w:pPr>
        <w:ind w:left="1300" w:right="20" w:hanging="320"/>
        <w:spacing w:after="0" w:line="219" w:lineRule="auto"/>
        <w:tabs>
          <w:tab w:leader="none" w:pos="1296" w:val="left"/>
        </w:tabs>
        <w:numPr>
          <w:ilvl w:val="0"/>
          <w:numId w:val="210"/>
        </w:numPr>
        <w:rPr>
          <w:rFonts w:ascii="Calibri" w:cs="Calibri" w:eastAsia="Calibri" w:hAnsi="Calibri"/>
          <w:sz w:val="22"/>
          <w:szCs w:val="22"/>
          <w:color w:val="auto"/>
        </w:rPr>
      </w:pPr>
      <w:r>
        <w:rPr>
          <w:rFonts w:ascii="Calibri" w:cs="Calibri" w:eastAsia="Calibri" w:hAnsi="Calibri"/>
          <w:sz w:val="22"/>
          <w:szCs w:val="22"/>
          <w:color w:val="auto"/>
        </w:rPr>
        <w:t>the direct expense paid to a third party to assist in enforcing this Policy would exceed the amount to be recovered; provided that prior to making a determinaton that it would be impractcable to recover any Incentve-Based Compensaton based on the expense of enforcement, the Company shall (i) have made a reasonable atempt to recover the Incentve-Based Compensaton, (ii) have documented such reasonable atempts to recover, and (iii) provide the documentaton to NYSE;</w:t>
      </w:r>
    </w:p>
    <w:p>
      <w:pPr>
        <w:spacing w:after="0" w:line="4" w:lineRule="exact"/>
        <w:rPr>
          <w:rFonts w:ascii="Calibri" w:cs="Calibri" w:eastAsia="Calibri" w:hAnsi="Calibri"/>
          <w:sz w:val="22"/>
          <w:szCs w:val="22"/>
          <w:color w:val="auto"/>
        </w:rPr>
      </w:pPr>
    </w:p>
    <w:p>
      <w:pPr>
        <w:ind w:left="1300" w:hanging="320"/>
        <w:spacing w:after="0" w:line="217" w:lineRule="auto"/>
        <w:tabs>
          <w:tab w:leader="none" w:pos="1300" w:val="left"/>
        </w:tabs>
        <w:numPr>
          <w:ilvl w:val="0"/>
          <w:numId w:val="210"/>
        </w:numPr>
        <w:rPr>
          <w:rFonts w:ascii="Calibri" w:cs="Calibri" w:eastAsia="Calibri" w:hAnsi="Calibri"/>
          <w:sz w:val="22"/>
          <w:szCs w:val="22"/>
          <w:color w:val="auto"/>
        </w:rPr>
      </w:pPr>
      <w:r>
        <w:rPr>
          <w:rFonts w:ascii="Calibri" w:cs="Calibri" w:eastAsia="Calibri" w:hAnsi="Calibri"/>
          <w:sz w:val="22"/>
          <w:szCs w:val="22"/>
          <w:color w:val="auto"/>
        </w:rPr>
        <w:t>recovery would violate home country law where that law was adopted prior to November 28, 2022; or</w:t>
      </w:r>
    </w:p>
    <w:p>
      <w:pPr>
        <w:ind w:left="1300" w:right="280" w:hanging="320"/>
        <w:spacing w:after="0" w:line="213" w:lineRule="auto"/>
        <w:tabs>
          <w:tab w:leader="none" w:pos="1297" w:val="left"/>
        </w:tabs>
        <w:numPr>
          <w:ilvl w:val="0"/>
          <w:numId w:val="210"/>
        </w:numPr>
        <w:rPr>
          <w:rFonts w:ascii="Calibri" w:cs="Calibri" w:eastAsia="Calibri" w:hAnsi="Calibri"/>
          <w:sz w:val="22"/>
          <w:szCs w:val="22"/>
          <w:color w:val="auto"/>
        </w:rPr>
      </w:pPr>
      <w:r>
        <w:rPr>
          <w:rFonts w:ascii="Calibri" w:cs="Calibri" w:eastAsia="Calibri" w:hAnsi="Calibri"/>
          <w:sz w:val="22"/>
          <w:szCs w:val="22"/>
          <w:color w:val="auto"/>
        </w:rPr>
        <w:t>recovery would likely cause an otherwise tax-qualifed retrement plan, under which benefts are broadly available to employees, to fail to meet the requirements of Secton 401(a)(13) or Secton 411(a) of the Internal Revenue Code of 1986, as amended, and U.S. Treasury regulatons promulgated thereunder.</w:t>
      </w:r>
    </w:p>
    <w:p>
      <w:pPr>
        <w:spacing w:after="0" w:line="216" w:lineRule="exact"/>
        <w:rPr>
          <w:sz w:val="20"/>
          <w:szCs w:val="20"/>
          <w:color w:val="auto"/>
        </w:rPr>
      </w:pPr>
    </w:p>
    <w:p>
      <w:pPr>
        <w:ind w:left="340"/>
        <w:spacing w:after="0"/>
        <w:rPr>
          <w:sz w:val="20"/>
          <w:szCs w:val="20"/>
          <w:color w:val="auto"/>
        </w:rPr>
      </w:pPr>
      <w:r>
        <w:rPr>
          <w:rFonts w:ascii="Calibri" w:cs="Calibri" w:eastAsia="Calibri" w:hAnsi="Calibri"/>
          <w:sz w:val="22"/>
          <w:szCs w:val="22"/>
          <w:b w:val="1"/>
          <w:bCs w:val="1"/>
          <w:color w:val="auto"/>
        </w:rPr>
        <w:t>VII. Public Disclosure</w:t>
      </w:r>
    </w:p>
    <w:p>
      <w:pPr>
        <w:spacing w:after="0" w:line="230" w:lineRule="exact"/>
        <w:rPr>
          <w:sz w:val="20"/>
          <w:szCs w:val="20"/>
          <w:color w:val="auto"/>
        </w:rPr>
      </w:pPr>
    </w:p>
    <w:p>
      <w:pPr>
        <w:ind w:left="660" w:right="100"/>
        <w:spacing w:after="0" w:line="221" w:lineRule="auto"/>
        <w:rPr>
          <w:sz w:val="20"/>
          <w:szCs w:val="20"/>
          <w:color w:val="auto"/>
        </w:rPr>
      </w:pPr>
      <w:r>
        <w:rPr>
          <w:rFonts w:ascii="Calibri" w:cs="Calibri" w:eastAsia="Calibri" w:hAnsi="Calibri"/>
          <w:sz w:val="22"/>
          <w:szCs w:val="22"/>
          <w:color w:val="auto"/>
        </w:rPr>
        <w:t>The Company shall make all required disclosures and flings with the Regulators with respect to this Policy in accordance with the requirements of the Applicable Rules, and any other requirements applicable to the Company, including any disclosures required in connecton with SEC flings.</w:t>
      </w:r>
    </w:p>
    <w:p>
      <w:pPr>
        <w:spacing w:after="0" w:line="220" w:lineRule="exact"/>
        <w:rPr>
          <w:sz w:val="20"/>
          <w:szCs w:val="20"/>
          <w:color w:val="auto"/>
        </w:rPr>
      </w:pPr>
    </w:p>
    <w:p>
      <w:pPr>
        <w:ind w:left="340"/>
        <w:spacing w:after="0"/>
        <w:rPr>
          <w:sz w:val="20"/>
          <w:szCs w:val="20"/>
          <w:color w:val="auto"/>
        </w:rPr>
      </w:pPr>
      <w:r>
        <w:rPr>
          <w:rFonts w:ascii="Calibri" w:cs="Calibri" w:eastAsia="Calibri" w:hAnsi="Calibri"/>
          <w:sz w:val="22"/>
          <w:szCs w:val="22"/>
          <w:b w:val="1"/>
          <w:bCs w:val="1"/>
          <w:color w:val="auto"/>
        </w:rPr>
        <w:t>VIII. Methods of Recovery</w:t>
      </w:r>
    </w:p>
    <w:p>
      <w:pPr>
        <w:spacing w:after="0" w:line="228" w:lineRule="exact"/>
        <w:rPr>
          <w:sz w:val="20"/>
          <w:szCs w:val="20"/>
          <w:color w:val="auto"/>
        </w:rPr>
      </w:pPr>
    </w:p>
    <w:p>
      <w:pPr>
        <w:ind w:left="660" w:right="700"/>
        <w:spacing w:after="0" w:line="223" w:lineRule="auto"/>
        <w:rPr>
          <w:sz w:val="20"/>
          <w:szCs w:val="20"/>
          <w:color w:val="auto"/>
        </w:rPr>
      </w:pPr>
      <w:r>
        <w:rPr>
          <w:rFonts w:ascii="Calibri" w:cs="Calibri" w:eastAsia="Calibri" w:hAnsi="Calibri"/>
          <w:sz w:val="22"/>
          <w:szCs w:val="22"/>
          <w:color w:val="auto"/>
        </w:rPr>
        <w:t>In the event of a Clawback Event, subject to applicable law, the Commitee may take any such actons as it deems necessary or appropriate, including, without limitaton:</w:t>
      </w:r>
    </w:p>
    <w:p>
      <w:pPr>
        <w:spacing w:after="0" w:line="2" w:lineRule="exact"/>
        <w:rPr>
          <w:sz w:val="20"/>
          <w:szCs w:val="20"/>
          <w:color w:val="auto"/>
        </w:rPr>
      </w:pPr>
    </w:p>
    <w:p>
      <w:pPr>
        <w:ind w:left="1300" w:right="40" w:hanging="320"/>
        <w:spacing w:after="0" w:line="220" w:lineRule="auto"/>
        <w:tabs>
          <w:tab w:leader="none" w:pos="1296" w:val="left"/>
        </w:tabs>
        <w:numPr>
          <w:ilvl w:val="0"/>
          <w:numId w:val="211"/>
        </w:numPr>
        <w:rPr>
          <w:rFonts w:ascii="Calibri" w:cs="Calibri" w:eastAsia="Calibri" w:hAnsi="Calibri"/>
          <w:sz w:val="21"/>
          <w:szCs w:val="21"/>
          <w:color w:val="auto"/>
        </w:rPr>
      </w:pPr>
      <w:r>
        <w:rPr>
          <w:rFonts w:ascii="Calibri" w:cs="Calibri" w:eastAsia="Calibri" w:hAnsi="Calibri"/>
          <w:sz w:val="21"/>
          <w:szCs w:val="21"/>
          <w:color w:val="auto"/>
        </w:rPr>
        <w:t>The forfeiture, reducton, or cancellaton of any Clawback Compensaton in the form of vested or unvested equity or equity-based awards that have not been distributed or otherwise setled prior to the date of determinaton;</w:t>
      </w:r>
    </w:p>
    <w:p>
      <w:pPr>
        <w:ind w:left="1300" w:hanging="320"/>
        <w:spacing w:after="0" w:line="217" w:lineRule="auto"/>
        <w:tabs>
          <w:tab w:leader="none" w:pos="1300" w:val="left"/>
        </w:tabs>
        <w:numPr>
          <w:ilvl w:val="0"/>
          <w:numId w:val="211"/>
        </w:numPr>
        <w:rPr>
          <w:rFonts w:ascii="Calibri" w:cs="Calibri" w:eastAsia="Calibri" w:hAnsi="Calibri"/>
          <w:sz w:val="22"/>
          <w:szCs w:val="22"/>
          <w:color w:val="auto"/>
        </w:rPr>
      </w:pPr>
      <w:r>
        <w:rPr>
          <w:rFonts w:ascii="Calibri" w:cs="Calibri" w:eastAsia="Calibri" w:hAnsi="Calibri"/>
          <w:sz w:val="22"/>
          <w:szCs w:val="22"/>
          <w:color w:val="auto"/>
        </w:rPr>
        <w:t>The recovery of any Clawback Compensaton that was previously paid to the Executve Ofcer;</w:t>
      </w:r>
    </w:p>
    <w:p>
      <w:pPr>
        <w:ind w:left="1300" w:right="280" w:hanging="320"/>
        <w:spacing w:after="0" w:line="218" w:lineRule="auto"/>
        <w:tabs>
          <w:tab w:leader="none" w:pos="1297" w:val="left"/>
        </w:tabs>
        <w:numPr>
          <w:ilvl w:val="0"/>
          <w:numId w:val="211"/>
        </w:numPr>
        <w:rPr>
          <w:rFonts w:ascii="Calibri" w:cs="Calibri" w:eastAsia="Calibri" w:hAnsi="Calibri"/>
          <w:sz w:val="22"/>
          <w:szCs w:val="22"/>
          <w:color w:val="auto"/>
        </w:rPr>
      </w:pPr>
      <w:r>
        <w:rPr>
          <w:rFonts w:ascii="Calibri" w:cs="Calibri" w:eastAsia="Calibri" w:hAnsi="Calibri"/>
          <w:sz w:val="22"/>
          <w:szCs w:val="22"/>
          <w:color w:val="auto"/>
        </w:rPr>
        <w:t>The recovery of any gain realized on the vestng, exercise, setlement, sale, transfer, or other dispositon of any Covered Compensaton in the form of equity or equity-based awards;</w:t>
      </w:r>
    </w:p>
    <w:p>
      <w:pPr>
        <w:ind w:left="1300" w:right="560" w:hanging="320"/>
        <w:spacing w:after="0" w:line="217" w:lineRule="auto"/>
        <w:tabs>
          <w:tab w:leader="none" w:pos="1292" w:val="left"/>
        </w:tabs>
        <w:numPr>
          <w:ilvl w:val="0"/>
          <w:numId w:val="211"/>
        </w:numPr>
        <w:rPr>
          <w:rFonts w:ascii="Calibri" w:cs="Calibri" w:eastAsia="Calibri" w:hAnsi="Calibri"/>
          <w:sz w:val="22"/>
          <w:szCs w:val="22"/>
          <w:color w:val="auto"/>
        </w:rPr>
      </w:pPr>
      <w:r>
        <w:rPr>
          <w:rFonts w:ascii="Calibri" w:cs="Calibri" w:eastAsia="Calibri" w:hAnsi="Calibri"/>
          <w:sz w:val="22"/>
          <w:szCs w:val="22"/>
          <w:color w:val="auto"/>
        </w:rPr>
        <w:t>The ofset, withholding, or eliminaton of any compensaton that could be paid or awarded to the Executve Ofcer afer the date of determinaton;</w:t>
      </w:r>
    </w:p>
    <w:p>
      <w:pPr>
        <w:jc w:val="both"/>
        <w:ind w:left="1300" w:right="200" w:hanging="320"/>
        <w:spacing w:after="0" w:line="226" w:lineRule="auto"/>
        <w:tabs>
          <w:tab w:leader="none" w:pos="1300" w:val="left"/>
        </w:tabs>
        <w:numPr>
          <w:ilvl w:val="0"/>
          <w:numId w:val="211"/>
        </w:numPr>
        <w:rPr>
          <w:rFonts w:ascii="Calibri" w:cs="Calibri" w:eastAsia="Calibri" w:hAnsi="Calibri"/>
          <w:sz w:val="21"/>
          <w:szCs w:val="21"/>
          <w:color w:val="auto"/>
        </w:rPr>
      </w:pPr>
      <w:r>
        <w:rPr>
          <w:rFonts w:ascii="Calibri" w:cs="Calibri" w:eastAsia="Calibri" w:hAnsi="Calibri"/>
          <w:sz w:val="21"/>
          <w:szCs w:val="21"/>
          <w:color w:val="auto"/>
        </w:rPr>
        <w:t>The recovery of any amount in respect of Clawback Compensaton contributed to a plan that takes into account Clawback Compensaton (excluding certain tax-qualifed plans, but including long-term disability, life insurance, supplemental executve retrement plans) and any earnings accrued to date on that notonal amount; and</w:t>
      </w:r>
    </w:p>
    <w:p>
      <w:pPr>
        <w:spacing w:after="0" w:line="2" w:lineRule="exact"/>
        <w:rPr>
          <w:rFonts w:ascii="Calibri" w:cs="Calibri" w:eastAsia="Calibri" w:hAnsi="Calibri"/>
          <w:sz w:val="21"/>
          <w:szCs w:val="21"/>
          <w:color w:val="auto"/>
        </w:rPr>
      </w:pPr>
    </w:p>
    <w:p>
      <w:pPr>
        <w:ind w:left="1280" w:hanging="300"/>
        <w:spacing w:after="0" w:line="218" w:lineRule="auto"/>
        <w:tabs>
          <w:tab w:leader="none" w:pos="1280" w:val="left"/>
        </w:tabs>
        <w:numPr>
          <w:ilvl w:val="0"/>
          <w:numId w:val="211"/>
        </w:numPr>
        <w:rPr>
          <w:rFonts w:ascii="Calibri" w:cs="Calibri" w:eastAsia="Calibri" w:hAnsi="Calibri"/>
          <w:sz w:val="22"/>
          <w:szCs w:val="22"/>
          <w:color w:val="auto"/>
        </w:rPr>
      </w:pPr>
      <w:r>
        <w:rPr>
          <w:rFonts w:ascii="Calibri" w:cs="Calibri" w:eastAsia="Calibri" w:hAnsi="Calibri"/>
          <w:sz w:val="22"/>
          <w:szCs w:val="22"/>
          <w:color w:val="auto"/>
        </w:rPr>
        <w:t>The taking of any other remedial and recovery acton permited by law, as determined by the Commitee.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01" w:right="339" w:bottom="1440" w:gutter="0" w:footer="0" w:header="0"/>
        </w:sectPr>
      </w:pPr>
    </w:p>
    <w:bookmarkStart w:id="289" w:name="page290"/>
    <w:bookmarkEnd w:id="289"/>
    <w:p>
      <w:pPr>
        <w:spacing w:after="0"/>
        <w:rPr>
          <w:sz w:val="20"/>
          <w:szCs w:val="20"/>
          <w:color w:val="auto"/>
        </w:rPr>
      </w:pPr>
      <w:r>
        <w:rPr>
          <w:rFonts w:ascii="Calibri" w:cs="Calibri" w:eastAsia="Calibri" w:hAnsi="Calibri"/>
          <w:sz w:val="22"/>
          <w:szCs w:val="22"/>
          <w:b w:val="1"/>
          <w:bCs w:val="1"/>
          <w:color w:val="auto"/>
        </w:rPr>
        <w:t>Exhibit 97</w:t>
      </w:r>
    </w:p>
    <w:p>
      <w:pPr>
        <w:jc w:val="right"/>
        <w:spacing w:after="0" w:line="229" w:lineRule="auto"/>
        <w:rPr>
          <w:sz w:val="20"/>
          <w:szCs w:val="20"/>
          <w:color w:val="auto"/>
        </w:rPr>
      </w:pPr>
      <w:r>
        <w:rPr>
          <w:rFonts w:ascii="Calibri" w:cs="Calibri" w:eastAsia="Calibri" w:hAnsi="Calibri"/>
          <w:sz w:val="22"/>
          <w:szCs w:val="22"/>
          <w:b w:val="1"/>
          <w:bCs w:val="1"/>
          <w:i w:val="1"/>
          <w:iCs w:val="1"/>
          <w:color w:val="auto"/>
        </w:rPr>
        <w:t>Approved by the ALLETE Board</w:t>
      </w:r>
    </w:p>
    <w:p>
      <w:pPr>
        <w:jc w:val="right"/>
        <w:spacing w:after="0" w:line="229" w:lineRule="auto"/>
        <w:rPr>
          <w:sz w:val="20"/>
          <w:szCs w:val="20"/>
          <w:color w:val="auto"/>
        </w:rPr>
      </w:pPr>
      <w:r>
        <w:rPr>
          <w:rFonts w:ascii="Calibri" w:cs="Calibri" w:eastAsia="Calibri" w:hAnsi="Calibri"/>
          <w:sz w:val="22"/>
          <w:szCs w:val="22"/>
          <w:b w:val="1"/>
          <w:bCs w:val="1"/>
          <w:i w:val="1"/>
          <w:iCs w:val="1"/>
          <w:color w:val="auto"/>
        </w:rPr>
        <w:t>Of Directors on October 27, 2023</w:t>
      </w:r>
    </w:p>
    <w:p>
      <w:pPr>
        <w:spacing w:after="0" w:line="200" w:lineRule="exact"/>
        <w:rPr>
          <w:sz w:val="20"/>
          <w:szCs w:val="20"/>
          <w:color w:val="auto"/>
        </w:rPr>
      </w:pPr>
    </w:p>
    <w:p>
      <w:pPr>
        <w:spacing w:after="0" w:line="312" w:lineRule="exact"/>
        <w:rPr>
          <w:sz w:val="20"/>
          <w:szCs w:val="20"/>
          <w:color w:val="auto"/>
        </w:rPr>
      </w:pPr>
    </w:p>
    <w:p>
      <w:pPr>
        <w:ind w:left="660" w:right="40"/>
        <w:spacing w:after="0" w:line="222" w:lineRule="auto"/>
        <w:rPr>
          <w:sz w:val="20"/>
          <w:szCs w:val="20"/>
          <w:color w:val="auto"/>
        </w:rPr>
      </w:pPr>
      <w:r>
        <w:rPr>
          <w:rFonts w:ascii="Calibri" w:cs="Calibri" w:eastAsia="Calibri" w:hAnsi="Calibri"/>
          <w:sz w:val="22"/>
          <w:szCs w:val="22"/>
          <w:color w:val="auto"/>
        </w:rPr>
        <w:t>In additon, the Commitee may authorize legal acton for breach of fduciary duty or other violaton of law and take such other actons to enforce the Executve Ofcer’s obligatons to the Company as the Commitee deems appropriate.</w:t>
      </w:r>
    </w:p>
    <w:p>
      <w:pPr>
        <w:spacing w:after="0" w:line="222" w:lineRule="exact"/>
        <w:rPr>
          <w:sz w:val="20"/>
          <w:szCs w:val="20"/>
          <w:color w:val="auto"/>
        </w:rPr>
      </w:pPr>
    </w:p>
    <w:p>
      <w:pPr>
        <w:ind w:left="340"/>
        <w:spacing w:after="0"/>
        <w:rPr>
          <w:sz w:val="20"/>
          <w:szCs w:val="20"/>
          <w:color w:val="auto"/>
        </w:rPr>
      </w:pPr>
      <w:r>
        <w:rPr>
          <w:rFonts w:ascii="Calibri" w:cs="Calibri" w:eastAsia="Calibri" w:hAnsi="Calibri"/>
          <w:sz w:val="22"/>
          <w:szCs w:val="22"/>
          <w:b w:val="1"/>
          <w:bCs w:val="1"/>
          <w:color w:val="auto"/>
        </w:rPr>
        <w:t>IX. No Indemnifcaton</w:t>
      </w:r>
    </w:p>
    <w:p>
      <w:pPr>
        <w:spacing w:after="0" w:line="228" w:lineRule="exact"/>
        <w:rPr>
          <w:sz w:val="20"/>
          <w:szCs w:val="20"/>
          <w:color w:val="auto"/>
        </w:rPr>
      </w:pPr>
    </w:p>
    <w:p>
      <w:pPr>
        <w:ind w:left="660" w:right="480"/>
        <w:spacing w:after="0" w:line="221" w:lineRule="auto"/>
        <w:rPr>
          <w:sz w:val="20"/>
          <w:szCs w:val="20"/>
          <w:color w:val="auto"/>
        </w:rPr>
      </w:pPr>
      <w:r>
        <w:rPr>
          <w:rFonts w:ascii="Calibri" w:cs="Calibri" w:eastAsia="Calibri" w:hAnsi="Calibri"/>
          <w:sz w:val="22"/>
          <w:szCs w:val="22"/>
          <w:color w:val="auto"/>
        </w:rPr>
        <w:t>The Company shall not indemnify any current or former Executve Ofcer against the loss of erroneously awarded compensaton. Nor shall the Company pay or reimburse any Executve Ofcer for premiums incurred or paid for any insurance policy to fund such Executve Ofcer’s potental recovery obligatons.</w:t>
      </w:r>
    </w:p>
    <w:p>
      <w:pPr>
        <w:spacing w:after="0" w:line="206" w:lineRule="exact"/>
        <w:rPr>
          <w:sz w:val="20"/>
          <w:szCs w:val="20"/>
          <w:color w:val="auto"/>
        </w:rPr>
      </w:pPr>
    </w:p>
    <w:p>
      <w:pPr>
        <w:ind w:left="340"/>
        <w:spacing w:after="0"/>
        <w:rPr>
          <w:sz w:val="20"/>
          <w:szCs w:val="20"/>
          <w:color w:val="auto"/>
        </w:rPr>
      </w:pPr>
      <w:r>
        <w:rPr>
          <w:rFonts w:ascii="Calibri" w:cs="Calibri" w:eastAsia="Calibri" w:hAnsi="Calibri"/>
          <w:sz w:val="22"/>
          <w:szCs w:val="22"/>
          <w:b w:val="1"/>
          <w:bCs w:val="1"/>
          <w:color w:val="auto"/>
        </w:rPr>
        <w:t>X. No Substtuton of Rights; Non-Exhaustve Rights</w:t>
      </w:r>
    </w:p>
    <w:p>
      <w:pPr>
        <w:spacing w:after="0" w:line="228" w:lineRule="exact"/>
        <w:rPr>
          <w:sz w:val="20"/>
          <w:szCs w:val="20"/>
          <w:color w:val="auto"/>
        </w:rPr>
      </w:pPr>
    </w:p>
    <w:p>
      <w:pPr>
        <w:ind w:left="660" w:right="240"/>
        <w:spacing w:after="0" w:line="219" w:lineRule="auto"/>
        <w:rPr>
          <w:sz w:val="20"/>
          <w:szCs w:val="20"/>
          <w:color w:val="auto"/>
        </w:rPr>
      </w:pPr>
      <w:r>
        <w:rPr>
          <w:rFonts w:ascii="Calibri" w:cs="Calibri" w:eastAsia="Calibri" w:hAnsi="Calibri"/>
          <w:sz w:val="22"/>
          <w:szCs w:val="22"/>
          <w:color w:val="auto"/>
        </w:rPr>
        <w:t>Any right of recovery under this Policy is in additon to, and not in lieu of, any other remedies or rights of recovery that may be available to the Company pursuant to: (a) the Amended and Restated ALLETE Executve Long-Term Incentve Compensaton Plan, or any other incentve plan of the Company or any of its subsidiaries or afliates; (b) the terms of any similar policy or provision in any employment agreement, compensaton agreement or arrangement, or similar agreement; or (c) any other legal remedies available to the Company.</w:t>
      </w:r>
    </w:p>
    <w:p>
      <w:pPr>
        <w:spacing w:after="0" w:line="233" w:lineRule="exact"/>
        <w:rPr>
          <w:sz w:val="20"/>
          <w:szCs w:val="20"/>
          <w:color w:val="auto"/>
        </w:rPr>
      </w:pPr>
    </w:p>
    <w:p>
      <w:pPr>
        <w:ind w:left="660" w:right="40"/>
        <w:spacing w:after="0" w:line="220" w:lineRule="auto"/>
        <w:rPr>
          <w:sz w:val="20"/>
          <w:szCs w:val="20"/>
          <w:color w:val="auto"/>
        </w:rPr>
      </w:pPr>
      <w:r>
        <w:rPr>
          <w:rFonts w:ascii="Calibri" w:cs="Calibri" w:eastAsia="Calibri" w:hAnsi="Calibri"/>
          <w:sz w:val="22"/>
          <w:szCs w:val="22"/>
          <w:color w:val="auto"/>
        </w:rPr>
        <w:t>In additon to recovery of compensaton as provided for in this Policy, the Company may take any and all other actons as it deems necessary, appropriate and in the Company’s best interest in connecton with a Clawback Event, including, without limitaton, terminaton of an Executve Ofcer’s employment and initatng legal acton against an Executve Ofcer, and nothing in this Policy limits the Company’s rights to take any such or other appropriate actons.</w:t>
      </w:r>
    </w:p>
    <w:p>
      <w:pPr>
        <w:spacing w:after="0" w:line="220" w:lineRule="exact"/>
        <w:rPr>
          <w:sz w:val="20"/>
          <w:szCs w:val="20"/>
          <w:color w:val="auto"/>
        </w:rPr>
      </w:pPr>
    </w:p>
    <w:p>
      <w:pPr>
        <w:ind w:left="340"/>
        <w:spacing w:after="0"/>
        <w:rPr>
          <w:sz w:val="20"/>
          <w:szCs w:val="20"/>
          <w:color w:val="auto"/>
        </w:rPr>
      </w:pPr>
      <w:r>
        <w:rPr>
          <w:rFonts w:ascii="Calibri" w:cs="Calibri" w:eastAsia="Calibri" w:hAnsi="Calibri"/>
          <w:sz w:val="22"/>
          <w:szCs w:val="22"/>
          <w:b w:val="1"/>
          <w:bCs w:val="1"/>
          <w:color w:val="auto"/>
        </w:rPr>
        <w:t>XI. Amendment</w:t>
      </w:r>
    </w:p>
    <w:p>
      <w:pPr>
        <w:spacing w:after="0" w:line="214" w:lineRule="exact"/>
        <w:rPr>
          <w:sz w:val="20"/>
          <w:szCs w:val="20"/>
          <w:color w:val="auto"/>
        </w:rPr>
      </w:pPr>
    </w:p>
    <w:p>
      <w:pPr>
        <w:ind w:left="660" w:right="620"/>
        <w:spacing w:after="0" w:line="223" w:lineRule="auto"/>
        <w:rPr>
          <w:sz w:val="20"/>
          <w:szCs w:val="20"/>
          <w:color w:val="auto"/>
        </w:rPr>
      </w:pPr>
      <w:r>
        <w:rPr>
          <w:rFonts w:ascii="Calibri" w:cs="Calibri" w:eastAsia="Calibri" w:hAnsi="Calibri"/>
          <w:sz w:val="22"/>
          <w:szCs w:val="22"/>
          <w:color w:val="auto"/>
        </w:rPr>
        <w:t>The Board, based upon the recommendaton of the Commitee, may amend this Policy at any tme for any reason, subject to any limitatons under the Applicable Rules.</w:t>
      </w:r>
    </w:p>
    <w:p>
      <w:pPr>
        <w:spacing w:after="0" w:line="217" w:lineRule="exact"/>
        <w:rPr>
          <w:sz w:val="20"/>
          <w:szCs w:val="20"/>
          <w:color w:val="auto"/>
        </w:rPr>
      </w:pPr>
    </w:p>
    <w:p>
      <w:pPr>
        <w:ind w:left="340"/>
        <w:spacing w:after="0"/>
        <w:rPr>
          <w:sz w:val="20"/>
          <w:szCs w:val="20"/>
          <w:color w:val="auto"/>
        </w:rPr>
      </w:pPr>
      <w:r>
        <w:rPr>
          <w:rFonts w:ascii="Calibri" w:cs="Calibri" w:eastAsia="Calibri" w:hAnsi="Calibri"/>
          <w:sz w:val="22"/>
          <w:szCs w:val="22"/>
          <w:b w:val="1"/>
          <w:bCs w:val="1"/>
          <w:color w:val="auto"/>
        </w:rPr>
        <w:t>XII. Efectve Date</w:t>
      </w:r>
    </w:p>
    <w:p>
      <w:pPr>
        <w:spacing w:after="0" w:line="230" w:lineRule="exact"/>
        <w:rPr>
          <w:sz w:val="20"/>
          <w:szCs w:val="20"/>
          <w:color w:val="auto"/>
        </w:rPr>
      </w:pPr>
    </w:p>
    <w:p>
      <w:pPr>
        <w:ind w:left="660" w:right="120"/>
        <w:spacing w:after="0" w:line="219" w:lineRule="auto"/>
        <w:rPr>
          <w:sz w:val="20"/>
          <w:szCs w:val="20"/>
          <w:color w:val="auto"/>
        </w:rPr>
      </w:pPr>
      <w:r>
        <w:rPr>
          <w:rFonts w:ascii="Calibri" w:cs="Calibri" w:eastAsia="Calibri" w:hAnsi="Calibri"/>
          <w:sz w:val="22"/>
          <w:szCs w:val="22"/>
          <w:color w:val="auto"/>
        </w:rPr>
        <w:t>This Policy shall be efectve as of December 1, 2023 (the “Efectve Date”). This Policy expressly supersedes the ALLETE and Afliated Companies Compensaton Recovery Policy, which was frst adopted by the Board efectve as of January 1, 2011, and was most recently reviewed and approved by the Board on July 24, 2019 (the “Prior Policy”). For the avoidance of doubt, the terms and conditons of this Policy shall govern any historical period in which the Prior Policy would otherwise have been in efect.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01" w:right="339" w:bottom="1440" w:gutter="0" w:footer="0" w:header="0"/>
        </w:sectPr>
      </w:pPr>
    </w:p>
    <w:bookmarkStart w:id="290" w:name="page291"/>
    <w:bookmarkEnd w:id="290"/>
    <w:p>
      <w:pPr>
        <w:ind w:left="10460"/>
        <w:spacing w:after="0"/>
        <w:rPr>
          <w:sz w:val="20"/>
          <w:szCs w:val="20"/>
          <w:color w:val="auto"/>
        </w:rPr>
      </w:pPr>
      <w:r>
        <w:rPr>
          <w:rFonts w:ascii="Times New Roman" w:cs="Times New Roman" w:eastAsia="Times New Roman" w:hAnsi="Times New Roman"/>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-50800</wp:posOffset>
            </wp:positionV>
            <wp:extent cx="1371600" cy="6254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1">
                      <a:extLst>
                        <a:ext uri="{28A0092B-C50C-407E-A947-70E740481C1C}"/>
                      </a:extLst>
                    </a:blip>
                    <a:srcRect/>
                    <a:stretch>
                      <a:fillRect/>
                    </a:stretch>
                  </pic:blipFill>
                  <pic:spPr bwMode="auto">
                    <a:xfrm>
                      <a:off x="0" y="0"/>
                      <a:ext cx="1371600" cy="62547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p>
      <w:pPr>
        <w:spacing w:after="0" w:line="3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For Release: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00" w:lineRule="exact"/>
        <w:rPr>
          <w:sz w:val="20"/>
          <w:szCs w:val="20"/>
          <w:color w:val="auto"/>
        </w:rPr>
      </w:pPr>
    </w:p>
    <w:p>
      <w:pPr>
        <w:sectPr>
          <w:pgSz w:w="11900" w:h="16838" w:orient="portrait"/>
          <w:cols w:equalWidth="0" w:num="2">
            <w:col w:w="8100" w:space="720"/>
            <w:col w:w="2400"/>
          </w:cols>
          <w:pgMar w:left="320" w:top="999" w:right="359" w:bottom="1440" w:gutter="0" w:footer="0" w:header="0"/>
          <w:type w:val="continuous"/>
        </w:sectPr>
      </w:pPr>
    </w:p>
    <w:p>
      <w:pPr>
        <w:spacing w:after="0" w:line="17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Investor Contact: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640"/>
        <w:spacing w:after="0" w:line="340" w:lineRule="auto"/>
        <w:rPr>
          <w:sz w:val="20"/>
          <w:szCs w:val="20"/>
          <w:color w:val="auto"/>
        </w:rPr>
      </w:pPr>
      <w:r>
        <w:rPr>
          <w:rFonts w:ascii="Times New Roman" w:cs="Times New Roman" w:eastAsia="Times New Roman" w:hAnsi="Times New Roman"/>
          <w:sz w:val="18"/>
          <w:szCs w:val="18"/>
          <w:color w:val="auto"/>
        </w:rPr>
        <w:t>218-723-3952 shareholder@allete.com</w:t>
      </w:r>
    </w:p>
    <w:p>
      <w:pPr>
        <w:spacing w:after="0" w:line="1" w:lineRule="exact"/>
        <w:rPr>
          <w:sz w:val="20"/>
          <w:szCs w:val="20"/>
          <w:color w:val="auto"/>
        </w:rPr>
      </w:pPr>
    </w:p>
    <w:p>
      <w:pPr>
        <w:sectPr>
          <w:pgSz w:w="11900" w:h="16838" w:orient="portrait"/>
          <w:cols w:equalWidth="0" w:num="2">
            <w:col w:w="8420" w:space="400"/>
            <w:col w:w="2400"/>
          </w:cols>
          <w:pgMar w:left="320" w:top="999"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86"/>
          <w:szCs w:val="86"/>
          <w:b w:val="1"/>
          <w:bCs w:val="1"/>
          <w:i w:val="1"/>
          <w:iCs w:val="1"/>
          <w:color w:val="auto"/>
        </w:rPr>
        <w:t>NEWS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ALLETE, Inc. reports 2024 earnings</w:t>
      </w:r>
    </w:p>
    <w:p>
      <w:pPr>
        <w:spacing w:after="0" w:line="4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DULUTH, Minn. - ALLETE, Inc. (NYSE: ALE) today reported 2024 earnings of $3.10 per share on net income of $179.3 million and operating revenue of $1.5 billion. Reported results from 2023 were $4.30 per share on net income of $247.1 million and operating revenue of $1.9 billion. Results for 2024 reflect approximately 39 cents per share of transaction expenses related to the merger agreement entered into May 5, 2024, with Canada Pension Plan Investment Board and Global Infrastructure Partners. Earnings in 2024 were positively impacted by the implementation of interim rates on January 1, 2024, net of reserves, related to Minnesota Power’s rate case settlement. Net income in 2023 included approximately 6 cents per share for transaction expenses and 71 cents per share related to the arbitration award at ALLETE Clean Energy including consolidated income tax impacts recorded at Corporate and Other. Earnings per share dilution in 2024 was two cents due to additional shares of common stock outstanding in 2024.</w:t>
      </w:r>
    </w:p>
    <w:p>
      <w:pPr>
        <w:spacing w:after="0" w:line="21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20"/>
          <w:szCs w:val="20"/>
          <w:color w:val="auto"/>
        </w:rPr>
        <w:t>“I am pleased and extremely proud of our entire ALLETE team this past year, working diligently on many fronts to execute our Sustainability in Action strategy in tandem with initiatives as part of the merger agreement with Canada Pension Plan Investment Board and Global Infrastructure Partners,” said ALLETE Chair, President, and Chief Executive Officer Bethany Owen. “The merger continues to progress as planned, and we remain on track for a 2025 closing, subject to all necessary approvals. With the Federal Energy Regulatory Commission approval in December, we met another important milestone that brings us closer to realizing the benefits of this transaction for our customers, our communities, our co-workers, and our shareholders, and we held the first of multiple public hearings in January.”</w:t>
      </w:r>
    </w:p>
    <w:p>
      <w:pPr>
        <w:spacing w:after="0" w:line="20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20"/>
          <w:szCs w:val="20"/>
          <w:color w:val="auto"/>
        </w:rPr>
        <w:t>Owen continued, “At Minnesota Power and Superior Water, Light &amp; Power, our teams continue to execute on our commitments to provide safe, resilient, reliable, and affordable service to our customers. We were pleased that the Minnesota Public Utilities Commission approved Minnesota Power’s 2023 rate case settlement agreement in the fourth quarter, with final rates expected to be implemented in the first quarter of 2025. In addition, Superior Water, Light &amp; Power implemented new rates on January 1, 2025, and our New Energy Equity team continues to execute on its strategy and robust pipeline of projects.”</w:t>
      </w:r>
    </w:p>
    <w:p>
      <w:pPr>
        <w:spacing w:after="0" w:line="19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auto"/>
        </w:rPr>
        <w:t>“Overall results for 2024 were slightly above expectations excluding transaction expenses and interim rate refund reserves resulting from the Minnesota Power rate case settlement,” said ALLETE Senior Vice President and Chief Financial Officer Steve Morris. “While earnings were lower at ALLETE Clean Energy, primarily due to a longer than expected forced outage near its Caddo wind energy, earnings from the American Transmission Company and New Energy Equity slightly exceeded expectations.”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Page 1 of 5</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20"/>
          </w:cols>
          <w:pgMar w:left="320" w:top="999" w:right="359" w:bottom="1440" w:gutter="0" w:footer="0" w:header="0"/>
          <w:type w:val="continuous"/>
        </w:sectPr>
      </w:pPr>
    </w:p>
    <w:bookmarkStart w:id="291" w:name="page292"/>
    <w:bookmarkEnd w:id="291"/>
    <w:p>
      <w:pPr>
        <w:ind w:right="20"/>
        <w:spacing w:after="0" w:line="281" w:lineRule="auto"/>
        <w:rPr>
          <w:sz w:val="20"/>
          <w:szCs w:val="20"/>
          <w:color w:val="auto"/>
        </w:rPr>
      </w:pPr>
      <w:r>
        <w:rPr>
          <w:rFonts w:ascii="Times New Roman" w:cs="Times New Roman" w:eastAsia="Times New Roman" w:hAnsi="Times New Roman"/>
          <w:sz w:val="20"/>
          <w:szCs w:val="20"/>
          <w:color w:val="auto"/>
        </w:rPr>
        <w:t>ALLETE’s Regulated Operations segment, which includes Minnesota Power, Superior Water, Light &amp; Power and the Company’s investment in the American Transmission Company (“ATC”), recorded 2024 net income of $160.9 million, compared to $147.2 million in 2023. Net income at Minnesota Power was higher compared to 2023 reflecting the implementation of interim rates on January 1, 2024, net of reserves related to Minnesota Power’s rate case settlement. Also included in 2024 were higher transmission margins, partially offset by higher depreciation and property tax expenses, as well as lower margins from industrial customers. Earnings at Superior Water, Light &amp; Power were lower in 2024 compared to 2023 primarily due to higher operating and maintenance expenses. Our after-tax equity earnings at ATC were higher than 2023 reflecting period over period changes in ATC’s estimate of a refund liability related to a FERC decision on MISO return on equity complaints in 2024.</w:t>
      </w:r>
    </w:p>
    <w:p>
      <w:pPr>
        <w:spacing w:after="0" w:line="22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0"/>
          <w:szCs w:val="20"/>
          <w:color w:val="auto"/>
        </w:rPr>
        <w:t>ALLETE Clean Energy recorded 2024 net income of $17.8 million compared to $71.7 million in 2023. Net income in 2024 reflected impacts from a forced network outage near its Caddo wind energy facility as well as a transformer outage at its Diamond Springs wind energy facility during the first half of the year. These decreases were partially offset by a $3.5 million after-tax gain on the sale of the Whitetail wind project and lower operating and maintenance expenses. Net income in 2023 included a $44.3 million, after-tax gain recognized for the favorable arbitration award, as well as the gain on sale of the Red Barn project and higher interest income related to interest awarded as part of the arbitration ruling.</w:t>
      </w:r>
    </w:p>
    <w:p>
      <w:pPr>
        <w:spacing w:after="0" w:line="217"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9"/>
          <w:szCs w:val="19"/>
          <w:color w:val="auto"/>
        </w:rPr>
        <w:t>Corporate and Other businesses, which include New Energy Equity, BNI Energy, ALLETE Properties and our investments in renewable energy facilities, recorded net income of $0.6 million in 2024, compared to net income of $28.2 million in 2023. Net income in 2024 included higher transaction expenses of approximately 33 cents per share, related to the merger agreement entered into in May of 2024, as well as lower earnings from Minnesota solar projects as investment tax credits were recognized in 2023, and lower earnings at ALLETE Properties due to higher land sales in 2023. These were partially offset by higher earnings at New Energy Equity in 2024 compared to 2023.</w:t>
      </w:r>
    </w:p>
    <w:p>
      <w:pPr>
        <w:spacing w:after="0" w:line="20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20"/>
          <w:szCs w:val="20"/>
          <w:color w:val="auto"/>
        </w:rPr>
        <w:t xml:space="preserve">ALLETE is an energy company headquartered in Duluth, Minn. In addition to its electric utilities, Minnesota Power and Superior Water, Light &amp; Power of Wisconsin, ALLETE owns ALLETE Clean Energy, based in Duluth, BNI Energy in Bismarck, N.D., New Energy Equity in Annapolis, MD, and has an eight percent equity interest in the American Transmission Co. More information about ALLETE is available at www.allete.com. </w:t>
      </w:r>
      <w:r>
        <w:rPr>
          <w:rFonts w:ascii="Times New Roman" w:cs="Times New Roman" w:eastAsia="Times New Roman" w:hAnsi="Times New Roman"/>
          <w:sz w:val="20"/>
          <w:szCs w:val="20"/>
          <w:i w:val="1"/>
          <w:iCs w:val="1"/>
          <w:color w:val="auto"/>
        </w:rPr>
        <w:t>ALE-CORP</w:t>
      </w:r>
    </w:p>
    <w:p>
      <w:pPr>
        <w:spacing w:after="0" w:line="216"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Page 2 of 5</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ALLETE 30 West Superior Street, Duluth, Minnesota 55802</w:t>
      </w:r>
    </w:p>
    <w:p>
      <w:pPr>
        <w:sectPr>
          <w:pgSz w:w="11900" w:h="16838" w:orient="portrait"/>
          <w:cols w:equalWidth="0" w:num="1">
            <w:col w:w="11200"/>
          </w:cols>
          <w:pgMar w:left="320" w:top="1183" w:right="379" w:bottom="1440" w:gutter="0" w:footer="0" w:header="0"/>
        </w:sectPr>
      </w:pPr>
    </w:p>
    <w:bookmarkStart w:id="292" w:name="page293"/>
    <w:bookmarkEnd w:id="292"/>
    <w:p>
      <w:pPr>
        <w:spacing w:after="0" w:line="290" w:lineRule="auto"/>
        <w:rPr>
          <w:sz w:val="20"/>
          <w:szCs w:val="20"/>
          <w:color w:val="auto"/>
        </w:rPr>
      </w:pPr>
      <w:r>
        <w:rPr>
          <w:rFonts w:ascii="Times New Roman" w:cs="Times New Roman" w:eastAsia="Times New Roman" w:hAnsi="Times New Roman"/>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Page 3 of 5</w:t>
      </w:r>
    </w:p>
    <w:p>
      <w:pPr>
        <w:spacing w:after="0" w:line="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ALLETE 30 West Superior Street, Duluth, Minnesota 55802</w:t>
      </w:r>
    </w:p>
    <w:p>
      <w:pPr>
        <w:sectPr>
          <w:pgSz w:w="11900" w:h="16838" w:orient="portrait"/>
          <w:cols w:equalWidth="0" w:num="1">
            <w:col w:w="11160"/>
          </w:cols>
          <w:pgMar w:left="320" w:top="1186" w:right="41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Periods Ended December 31, 2024 and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33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8"/>
        </w:trPr>
        <w:tc>
          <w:tcPr>
            <w:tcW w:w="58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$314.1</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$319.2</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$1,242.7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w:t>
            </w:r>
          </w:p>
        </w:tc>
      </w:tr>
      <w:tr>
        <w:trPr>
          <w:trHeight w:val="22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49.5</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82.3</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r>
      <w:tr>
        <w:trPr>
          <w:trHeight w:val="230"/>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 Non-utility</w:t>
            </w: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Revenue</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364.8</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402.7</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1,529.8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120.3</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132.1</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477.6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230"/>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20.7</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21.9</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64.6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26.0</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36.8</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129.2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74.9</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91.1</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361.4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3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69.7</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63.6</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29"/>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15.1</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65.4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3"/>
        </w:trPr>
        <w:tc>
          <w:tcPr>
            <w:tcW w:w="5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326.7</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359.6</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1,369.7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r>
      <w:tr>
        <w:trPr>
          <w:trHeight w:val="223"/>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38.1</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43.1</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160.1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(20.9)</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(19.9)</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Earnings</w:t>
            </w:r>
          </w:p>
        </w:tc>
        <w:tc>
          <w:tcPr>
            <w:tcW w:w="2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8.5</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23.0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3"/>
        </w:trPr>
        <w:tc>
          <w:tcPr>
            <w:tcW w:w="5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Non-Controlling Interest and Income Taxes</w:t>
            </w: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28.7</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126.4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32.3</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31.0</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121.7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3"/>
        </w:trPr>
        <w:tc>
          <w:tcPr>
            <w:tcW w:w="58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(18.3)</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$50.6</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$51.5</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$179.3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57.8</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58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58.0</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57.6</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$0.88</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$0.89</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2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$0.87</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$0.89</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Share of Common Stock</w:t>
            </w:r>
          </w:p>
        </w:tc>
        <w:tc>
          <w:tcPr>
            <w:tcW w:w="2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$0.71</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$0.68</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rPr>
          <w:sz w:val="20"/>
          <w:szCs w:val="20"/>
          <w:color w:val="auto"/>
        </w:rPr>
      </w:pPr>
      <w:r>
        <w:rPr>
          <w:rFonts w:ascii="Times New Roman" w:cs="Times New Roman" w:eastAsia="Times New Roman" w:hAnsi="Times New Roman"/>
          <w:sz w:val="18"/>
          <w:szCs w:val="18"/>
          <w:color w:val="auto"/>
        </w:rPr>
        <w:t>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384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 31,</w:t>
            </w:r>
          </w:p>
        </w:tc>
      </w:tr>
      <w:tr>
        <w:trPr>
          <w:trHeight w:val="238"/>
        </w:trPr>
        <w:tc>
          <w:tcPr>
            <w:tcW w:w="3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1,704.7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5,181.5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5,013.4</w:t>
            </w: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Liabilities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r>
      <w:tr>
        <w:trPr>
          <w:trHeight w:val="27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Defined Benefit Pension &amp; Other Postretirement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149"/>
        </w:trPr>
        <w:tc>
          <w:tcPr>
            <w:tcW w:w="3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Benefit Plans</w:t>
            </w:r>
          </w:p>
        </w:tc>
        <w:tc>
          <w:tcPr>
            <w:tcW w:w="1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Intangibles – Net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3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3,390.1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w:t>
            </w:r>
          </w:p>
        </w:tc>
      </w:tr>
      <w:tr>
        <w:trPr>
          <w:trHeight w:val="223"/>
        </w:trPr>
        <w:tc>
          <w:tcPr>
            <w:tcW w:w="3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$6,754.3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c>
          <w:tcPr>
            <w:tcW w:w="38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$6,754.3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 of 5</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ALLETE 30 West Superior Street, Duluth, Minnesota 55802</w:t>
      </w:r>
    </w:p>
    <w:p>
      <w:pPr>
        <w:sectPr>
          <w:pgSz w:w="11900" w:h="16838" w:orient="portrait"/>
          <w:cols w:equalWidth="0" w:num="1">
            <w:col w:w="11240"/>
          </w:cols>
          <w:pgMar w:left="320" w:top="887" w:right="3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4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ALLETE, Inc.</w:t>
            </w:r>
          </w:p>
        </w:tc>
        <w:tc>
          <w:tcPr>
            <w:tcW w:w="4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Regulated Operations</w:t>
            </w:r>
          </w:p>
        </w:tc>
        <w:tc>
          <w:tcPr>
            <w:tcW w:w="2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$49.0</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$34.8</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$160.9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ALLETE Clean Energy</w:t>
            </w:r>
          </w:p>
        </w:tc>
        <w:tc>
          <w:tcPr>
            <w:tcW w:w="2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9"/>
        </w:trPr>
        <w:tc>
          <w:tcPr>
            <w:tcW w:w="5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and Other</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5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$50.6</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$51.5</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$179.3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23"/>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$0.87</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$0.89</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344"/>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Statistical Data</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High</w:t>
            </w:r>
          </w:p>
        </w:tc>
        <w:tc>
          <w:tcPr>
            <w:tcW w:w="2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$62.16</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$65.86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r>
      <w:tr>
        <w:trPr>
          <w:trHeight w:val="230"/>
        </w:trPr>
        <w:tc>
          <w:tcPr>
            <w:tcW w:w="5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Low</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$63.80</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$49.29</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$55.86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r>
      <w:tr>
        <w:trPr>
          <w:trHeight w:val="229"/>
        </w:trPr>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Close</w:t>
            </w:r>
          </w:p>
        </w:tc>
        <w:tc>
          <w:tcPr>
            <w:tcW w:w="2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$64.80</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$61.16</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$64.80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r>
      <w:tr>
        <w:trPr>
          <w:trHeight w:val="229"/>
        </w:trPr>
        <w:tc>
          <w:tcPr>
            <w:tcW w:w="5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Book Value</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$49.20</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$48.81</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r>
      <w:tr>
        <w:trPr>
          <w:trHeight w:val="331"/>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Regulated Utility</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Retail and Municipal</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Residential</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276</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277</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30"/>
        </w:trPr>
        <w:tc>
          <w:tcPr>
            <w:tcW w:w="5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w:t>
            </w:r>
          </w:p>
        </w:tc>
        <w:tc>
          <w:tcPr>
            <w:tcW w:w="2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323</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29"/>
        </w:trPr>
        <w:tc>
          <w:tcPr>
            <w:tcW w:w="5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Industrial</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1,780</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1,866</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r>
      <w:tr>
        <w:trPr>
          <w:trHeight w:val="230"/>
        </w:trPr>
        <w:tc>
          <w:tcPr>
            <w:tcW w:w="5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Municipal</w:t>
            </w:r>
          </w:p>
        </w:tc>
        <w:tc>
          <w:tcPr>
            <w:tcW w:w="2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119</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469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5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2,498</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2,584</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9,882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r>
      <w:tr>
        <w:trPr>
          <w:trHeight w:val="230"/>
        </w:trPr>
        <w:tc>
          <w:tcPr>
            <w:tcW w:w="5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Power Suppliers</w:t>
            </w:r>
          </w:p>
        </w:tc>
        <w:tc>
          <w:tcPr>
            <w:tcW w:w="2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728</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811</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2,680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23"/>
        </w:trPr>
        <w:tc>
          <w:tcPr>
            <w:tcW w:w="5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Utility</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3,226</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3,395</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12,562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r>
      <w:tr>
        <w:trPr>
          <w:trHeight w:val="331"/>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Revenue</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Regulated Utility Revenue</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and Municipal Electric Revenue</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$42.2</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$38.7</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$163.3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44.9</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42.0</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184.0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Industrial</w:t>
            </w:r>
          </w:p>
        </w:tc>
        <w:tc>
          <w:tcPr>
            <w:tcW w:w="2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153.8</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153.3</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607.8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r>
      <w:tr>
        <w:trPr>
          <w:trHeight w:val="230"/>
        </w:trPr>
        <w:tc>
          <w:tcPr>
            <w:tcW w:w="5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Municipal</w:t>
            </w:r>
          </w:p>
        </w:tc>
        <w:tc>
          <w:tcPr>
            <w:tcW w:w="2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34.2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249.5</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242.2</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989.3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34.8</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42.9</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137.2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30"/>
        </w:trPr>
        <w:tc>
          <w:tcPr>
            <w:tcW w:w="51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(Includes Water and Gas Revenue)</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29.8</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34.1</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23"/>
        </w:trPr>
        <w:tc>
          <w:tcPr>
            <w:tcW w:w="5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Regulated Utility Revenue</w:t>
            </w:r>
          </w:p>
        </w:tc>
        <w:tc>
          <w:tcPr>
            <w:tcW w:w="2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$314.1</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$319.2</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$1,242.7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w:t>
            </w:r>
          </w:p>
        </w:tc>
      </w:tr>
    </w:tbl>
    <w:p>
      <w:pPr>
        <w:spacing w:after="0" w:line="200" w:lineRule="exact"/>
        <w:rPr>
          <w:sz w:val="20"/>
          <w:szCs w:val="20"/>
          <w:color w:val="auto"/>
        </w:rPr>
      </w:pPr>
    </w:p>
    <w:p>
      <w:pPr>
        <w:spacing w:after="0" w:line="3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 of 5</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ALLETE 30 West Superior Street, Duluth, Minnesota 55802</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
      <w:numFmt w:val="bullet"/>
      <w:start w:val="1"/>
    </w:lvl>
  </w:abstractNum>
  <w:abstractNum w:abstractNumId="2">
    <w:nsid w:val="1D545C4D"/>
    <w:multiLevelType w:val="hybridMultilevel"/>
    <w:lvl w:ilvl="0">
      <w:lvlJc w:val="left"/>
      <w:lvlText w:val="•"/>
      <w:numFmt w:val="bullet"/>
      <w:start w:val="1"/>
    </w:lvl>
  </w:abstractNum>
  <w:abstractNum w:abstractNumId="3">
    <w:nsid w:val="59ADEA3D"/>
    <w:multiLevelType w:val="hybridMultilevel"/>
    <w:lvl w:ilvl="0">
      <w:lvlJc w:val="left"/>
      <w:lvlText w:val="•"/>
      <w:numFmt w:val="bullet"/>
      <w:start w:val="1"/>
    </w:lvl>
  </w:abstractNum>
  <w:abstractNum w:abstractNumId="4">
    <w:nsid w:val="288F1A34"/>
    <w:multiLevelType w:val="hybridMultilevel"/>
    <w:lvl w:ilvl="0">
      <w:lvlJc w:val="left"/>
      <w:lvlText w:val="(%1)"/>
      <w:numFmt w:val="lowerLetter"/>
      <w:start w:val="1"/>
    </w:lvl>
  </w:abstractNum>
  <w:abstractNum w:abstractNumId="5">
    <w:nsid w:val="2A155DBC"/>
    <w:multiLevelType w:val="hybridMultilevel"/>
    <w:lvl w:ilvl="0">
      <w:lvlJc w:val="left"/>
      <w:lvlText w:val="(%1)"/>
      <w:numFmt w:val="lowerLetter"/>
      <w:start w:val="1"/>
    </w:lvl>
  </w:abstractNum>
  <w:abstractNum w:abstractNumId="6">
    <w:nsid w:val="1D9F6E5F"/>
    <w:multiLevelType w:val="hybridMultilevel"/>
    <w:lvl w:ilvl="0">
      <w:lvlJc w:val="left"/>
      <w:lvlText w:val="(%1)"/>
      <w:numFmt w:val="lowerLetter"/>
      <w:start w:val="1"/>
    </w:lvl>
  </w:abstractNum>
  <w:abstractNum w:abstractNumId="7">
    <w:nsid w:val="97E1B4E"/>
    <w:multiLevelType w:val="hybridMultilevel"/>
    <w:lvl w:ilvl="0">
      <w:lvlJc w:val="left"/>
      <w:lvlText w:val="(%1)"/>
      <w:numFmt w:val="lowerLetter"/>
      <w:start w:val="1"/>
    </w:lvl>
  </w:abstractNum>
  <w:abstractNum w:abstractNumId="8">
    <w:nsid w:val="51088277"/>
    <w:multiLevelType w:val="hybridMultilevel"/>
    <w:lvl w:ilvl="0">
      <w:lvlJc w:val="left"/>
      <w:lvlText w:val="•"/>
      <w:numFmt w:val="bullet"/>
      <w:start w:val="1"/>
    </w:lvl>
  </w:abstractNum>
  <w:abstractNum w:abstractNumId="9">
    <w:nsid w:val="1CA0C5FA"/>
    <w:multiLevelType w:val="hybridMultilevel"/>
    <w:lvl w:ilvl="0">
      <w:lvlJc w:val="left"/>
      <w:lvlText w:val="•"/>
      <w:numFmt w:val="bullet"/>
      <w:start w:val="1"/>
    </w:lvl>
  </w:abstractNum>
  <w:abstractNum w:abstractNumId="10">
    <w:nsid w:val="53584BCB"/>
    <w:multiLevelType w:val="hybridMultilevel"/>
    <w:lvl w:ilvl="0">
      <w:lvlJc w:val="left"/>
      <w:lvlText w:val="•"/>
      <w:numFmt w:val="bullet"/>
      <w:start w:val="1"/>
    </w:lvl>
  </w:abstractNum>
  <w:abstractNum w:abstractNumId="11">
    <w:nsid w:val="415E286C"/>
    <w:multiLevelType w:val="hybridMultilevel"/>
    <w:lvl w:ilvl="0">
      <w:lvlJc w:val="left"/>
      <w:lvlText w:val="(%1)"/>
      <w:numFmt w:val="lowerLetter"/>
      <w:start w:val="1"/>
    </w:lvl>
  </w:abstractNum>
  <w:abstractNum w:abstractNumId="12">
    <w:nsid w:val="7C58FD05"/>
    <w:multiLevelType w:val="hybridMultilevel"/>
    <w:lvl w:ilvl="0">
      <w:lvlJc w:val="left"/>
      <w:lvlText w:val="(%1)"/>
      <w:numFmt w:val="lowerLetter"/>
      <w:start w:val="1"/>
    </w:lvl>
  </w:abstractNum>
  <w:abstractNum w:abstractNumId="13">
    <w:nsid w:val="23D86AAC"/>
    <w:multiLevelType w:val="hybridMultilevel"/>
    <w:lvl w:ilvl="0">
      <w:lvlJc w:val="left"/>
      <w:lvlText w:val="(%1)"/>
      <w:numFmt w:val="lowerLetter"/>
      <w:start w:val="1"/>
    </w:lvl>
  </w:abstractNum>
  <w:abstractNum w:abstractNumId="14">
    <w:nsid w:val="45E6D486"/>
    <w:multiLevelType w:val="hybridMultilevel"/>
    <w:lvl w:ilvl="0">
      <w:lvlJc w:val="left"/>
      <w:lvlText w:val="•"/>
      <w:numFmt w:val="bullet"/>
      <w:start w:val="1"/>
    </w:lvl>
  </w:abstractNum>
  <w:abstractNum w:abstractNumId="15">
    <w:nsid w:val="5C10FE21"/>
    <w:multiLevelType w:val="hybridMultilevel"/>
    <w:lvl w:ilvl="0">
      <w:lvlJc w:val="left"/>
      <w:lvlText w:val="•"/>
      <w:numFmt w:val="bullet"/>
      <w:start w:val="1"/>
    </w:lvl>
  </w:abstractNum>
  <w:abstractNum w:abstractNumId="16">
    <w:nsid w:val="E7FFA2B"/>
    <w:multiLevelType w:val="hybridMultilevel"/>
    <w:lvl w:ilvl="0">
      <w:lvlJc w:val="left"/>
      <w:lvlText w:val="(%1)"/>
      <w:numFmt w:val="lowerLetter"/>
      <w:start w:val="1"/>
    </w:lvl>
  </w:abstractNum>
  <w:abstractNum w:abstractNumId="17">
    <w:nsid w:val="3C5991AA"/>
    <w:multiLevelType w:val="hybridMultilevel"/>
    <w:lvl w:ilvl="0">
      <w:lvlJc w:val="left"/>
      <w:lvlText w:val="(%1)"/>
      <w:numFmt w:val="lowerLetter"/>
      <w:start w:val="1"/>
    </w:lvl>
  </w:abstractNum>
  <w:abstractNum w:abstractNumId="18">
    <w:nsid w:val="4BD8591A"/>
    <w:multiLevelType w:val="hybridMultilevel"/>
    <w:lvl w:ilvl="0">
      <w:lvlJc w:val="left"/>
      <w:lvlText w:val="(%1)"/>
      <w:numFmt w:val="decimal"/>
      <w:start w:val="3"/>
    </w:lvl>
  </w:abstractNum>
  <w:abstractNum w:abstractNumId="19">
    <w:nsid w:val="78DF6A55"/>
    <w:multiLevelType w:val="hybridMultilevel"/>
    <w:lvl w:ilvl="0">
      <w:lvlJc w:val="left"/>
      <w:lvlText w:val="\emdash "/>
      <w:numFmt w:val="bullet"/>
      <w:start w:val="1"/>
    </w:lvl>
  </w:abstractNum>
  <w:abstractNum w:abstractNumId="20">
    <w:nsid w:val="39B7AAA2"/>
    <w:multiLevelType w:val="hybridMultilevel"/>
    <w:lvl w:ilvl="0">
      <w:lvlJc w:val="left"/>
      <w:lvlText w:val="%1"/>
      <w:numFmt w:val="decimal"/>
      <w:start w:val="32"/>
    </w:lvl>
  </w:abstractNum>
  <w:abstractNum w:abstractNumId="21">
    <w:nsid w:val="2B0D8DBE"/>
    <w:multiLevelType w:val="hybridMultilevel"/>
    <w:lvl w:ilvl="0">
      <w:lvlJc w:val="left"/>
      <w:lvlText w:val="%1"/>
      <w:numFmt w:val="decimal"/>
      <w:start w:val="99"/>
    </w:lvl>
  </w:abstractNum>
  <w:abstractNum w:abstractNumId="22">
    <w:nsid w:val="6C80EC70"/>
    <w:multiLevelType w:val="hybridMultilevel"/>
    <w:lvl w:ilvl="0">
      <w:lvlJc w:val="left"/>
      <w:lvlText w:val="*"/>
      <w:numFmt w:val="bullet"/>
      <w:start w:val="1"/>
    </w:lvl>
  </w:abstractNum>
  <w:abstractNum w:abstractNumId="23">
    <w:nsid w:val="379E21B5"/>
    <w:multiLevelType w:val="hybridMultilevel"/>
    <w:lvl w:ilvl="0">
      <w:lvlJc w:val="left"/>
      <w:lvlText w:val="**"/>
      <w:numFmt w:val="bullet"/>
      <w:start w:val="1"/>
    </w:lvl>
  </w:abstractNum>
  <w:abstractNum w:abstractNumId="24">
    <w:nsid w:val="69E373"/>
    <w:multiLevelType w:val="hybridMultilevel"/>
    <w:lvl w:ilvl="0">
      <w:lvlJc w:val="left"/>
      <w:lvlText w:val="+"/>
      <w:numFmt w:val="bullet"/>
      <w:start w:val="1"/>
    </w:lvl>
  </w:abstractNum>
  <w:abstractNum w:abstractNumId="25">
    <w:nsid w:val="2C27173B"/>
    <w:multiLevelType w:val="hybridMultilevel"/>
    <w:lvl w:ilvl="0">
      <w:lvlJc w:val="left"/>
      <w:lvlText w:val="(%1)"/>
      <w:numFmt w:val="lowerLetter"/>
      <w:start w:val="1"/>
    </w:lvl>
  </w:abstractNum>
  <w:abstractNum w:abstractNumId="26">
    <w:nsid w:val="4C9B0904"/>
    <w:multiLevelType w:val="hybridMultilevel"/>
    <w:lvl w:ilvl="0">
      <w:lvlJc w:val="left"/>
      <w:lvlText w:val="(%1)"/>
      <w:numFmt w:val="lowerLetter"/>
      <w:start w:val="1"/>
    </w:lvl>
  </w:abstractNum>
  <w:abstractNum w:abstractNumId="27">
    <w:nsid w:val="6AA7B75C"/>
    <w:multiLevelType w:val="hybridMultilevel"/>
    <w:lvl w:ilvl="0">
      <w:lvlJc w:val="left"/>
      <w:lvlText w:val="(%1)"/>
      <w:numFmt w:val="lowerLetter"/>
      <w:start w:val="1"/>
    </w:lvl>
  </w:abstractNum>
  <w:abstractNum w:abstractNumId="28">
    <w:nsid w:val="1DF029D3"/>
    <w:multiLevelType w:val="hybridMultilevel"/>
    <w:lvl w:ilvl="0">
      <w:lvlJc w:val="left"/>
      <w:lvlText w:val="(%1)"/>
      <w:numFmt w:val="lowerLetter"/>
      <w:start w:val="1"/>
    </w:lvl>
  </w:abstractNum>
  <w:abstractNum w:abstractNumId="29">
    <w:nsid w:val="5675FF36"/>
    <w:multiLevelType w:val="hybridMultilevel"/>
    <w:lvl w:ilvl="0">
      <w:lvlJc w:val="left"/>
      <w:lvlText w:val="(%1)"/>
      <w:numFmt w:val="lowerLetter"/>
      <w:start w:val="1"/>
    </w:lvl>
  </w:abstractNum>
  <w:abstractNum w:abstractNumId="30">
    <w:nsid w:val="3DD15094"/>
    <w:multiLevelType w:val="hybridMultilevel"/>
    <w:lvl w:ilvl="0">
      <w:lvlJc w:val="left"/>
      <w:lvlText w:val="(%1)"/>
      <w:numFmt w:val="lowerLetter"/>
      <w:start w:val="1"/>
    </w:lvl>
  </w:abstractNum>
  <w:abstractNum w:abstractNumId="31">
    <w:nsid w:val="3DB012B3"/>
    <w:multiLevelType w:val="hybridMultilevel"/>
    <w:lvl w:ilvl="0">
      <w:lvlJc w:val="left"/>
      <w:lvlText w:val="(%1)"/>
      <w:numFmt w:val="lowerLetter"/>
      <w:start w:val="1"/>
    </w:lvl>
  </w:abstractNum>
  <w:abstractNum w:abstractNumId="32">
    <w:nsid w:val="2708C9AF"/>
    <w:multiLevelType w:val="hybridMultilevel"/>
    <w:lvl w:ilvl="0">
      <w:lvlJc w:val="left"/>
      <w:lvlText w:val="(%1)"/>
      <w:numFmt w:val="lowerLetter"/>
      <w:start w:val="1"/>
    </w:lvl>
  </w:abstractNum>
  <w:abstractNum w:abstractNumId="33">
    <w:nsid w:val="5B25ACE2"/>
    <w:multiLevelType w:val="hybridMultilevel"/>
    <w:lvl w:ilvl="0">
      <w:lvlJc w:val="left"/>
      <w:lvlText w:val="(%1)"/>
      <w:numFmt w:val="lowerLetter"/>
      <w:start w:val="1"/>
    </w:lvl>
  </w:abstractNum>
  <w:abstractNum w:abstractNumId="34">
    <w:nsid w:val="175DFCF0"/>
    <w:multiLevelType w:val="hybridMultilevel"/>
    <w:lvl w:ilvl="0">
      <w:lvlJc w:val="left"/>
      <w:lvlText w:val="(%1)"/>
      <w:numFmt w:val="lowerLetter"/>
      <w:start w:val="1"/>
    </w:lvl>
  </w:abstractNum>
  <w:abstractNum w:abstractNumId="35">
    <w:nsid w:val="4F97E3E4"/>
    <w:multiLevelType w:val="hybridMultilevel"/>
    <w:lvl w:ilvl="0">
      <w:lvlJc w:val="left"/>
      <w:lvlText w:val="(%1)"/>
      <w:numFmt w:val="lowerLetter"/>
      <w:start w:val="1"/>
    </w:lvl>
  </w:abstractNum>
  <w:abstractNum w:abstractNumId="36">
    <w:nsid w:val="53B0A9E"/>
    <w:multiLevelType w:val="hybridMultilevel"/>
    <w:lvl w:ilvl="0">
      <w:lvlJc w:val="left"/>
      <w:lvlText w:val="(%1)"/>
      <w:numFmt w:val="lowerLetter"/>
      <w:start w:val="1"/>
    </w:lvl>
  </w:abstractNum>
  <w:abstractNum w:abstractNumId="37">
    <w:nsid w:val="34FD6B4F"/>
    <w:multiLevelType w:val="hybridMultilevel"/>
    <w:lvl w:ilvl="0">
      <w:lvlJc w:val="left"/>
      <w:lvlText w:val="(%1)"/>
      <w:numFmt w:val="lowerLetter"/>
      <w:start w:val="1"/>
    </w:lvl>
  </w:abstractNum>
  <w:abstractNum w:abstractNumId="38">
    <w:nsid w:val="5915FF32"/>
    <w:multiLevelType w:val="hybridMultilevel"/>
    <w:lvl w:ilvl="0">
      <w:lvlJc w:val="left"/>
      <w:lvlText w:val="(%1)"/>
      <w:numFmt w:val="lowerLetter"/>
      <w:start w:val="1"/>
    </w:lvl>
  </w:abstractNum>
  <w:abstractNum w:abstractNumId="39">
    <w:nsid w:val="56438D15"/>
    <w:multiLevelType w:val="hybridMultilevel"/>
    <w:lvl w:ilvl="0">
      <w:lvlJc w:val="left"/>
      <w:lvlText w:val="•"/>
      <w:numFmt w:val="bullet"/>
      <w:start w:val="1"/>
    </w:lvl>
  </w:abstractNum>
  <w:abstractNum w:abstractNumId="40">
    <w:nsid w:val="519E3149"/>
    <w:multiLevelType w:val="hybridMultilevel"/>
    <w:lvl w:ilvl="0">
      <w:lvlJc w:val="left"/>
      <w:lvlText w:val="(%1)"/>
      <w:numFmt w:val="lowerLetter"/>
      <w:start w:val="1"/>
    </w:lvl>
  </w:abstractNum>
  <w:abstractNum w:abstractNumId="41">
    <w:nsid w:val="2C6E4AFD"/>
    <w:multiLevelType w:val="hybridMultilevel"/>
    <w:lvl w:ilvl="0">
      <w:lvlJc w:val="left"/>
      <w:lvlText w:val="(%1)"/>
      <w:numFmt w:val="lowerLetter"/>
      <w:start w:val="1"/>
    </w:lvl>
  </w:abstractNum>
  <w:abstractNum w:abstractNumId="42">
    <w:nsid w:val="17A1B582"/>
    <w:multiLevelType w:val="hybridMultilevel"/>
    <w:lvl w:ilvl="0">
      <w:lvlJc w:val="left"/>
      <w:lvlText w:val="(%1)"/>
      <w:numFmt w:val="lowerLetter"/>
      <w:start w:val="1"/>
    </w:lvl>
  </w:abstractNum>
  <w:abstractNum w:abstractNumId="43">
    <w:nsid w:val="4DF72E4E"/>
    <w:multiLevelType w:val="hybridMultilevel"/>
    <w:lvl w:ilvl="0">
      <w:lvlJc w:val="left"/>
      <w:lvlText w:val="(%1)"/>
      <w:numFmt w:val="lowerLetter"/>
      <w:start w:val="1"/>
    </w:lvl>
  </w:abstractNum>
  <w:abstractNum w:abstractNumId="44">
    <w:nsid w:val="5046B5A9"/>
    <w:multiLevelType w:val="hybridMultilevel"/>
    <w:lvl w:ilvl="0">
      <w:lvlJc w:val="left"/>
      <w:lvlText w:val="(%1)"/>
      <w:numFmt w:val="lowerLetter"/>
      <w:start w:val="1"/>
    </w:lvl>
  </w:abstractNum>
  <w:abstractNum w:abstractNumId="45">
    <w:nsid w:val="5D888A08"/>
    <w:multiLevelType w:val="hybridMultilevel"/>
    <w:lvl w:ilvl="0">
      <w:lvlJc w:val="left"/>
      <w:lvlText w:val="(%1)"/>
      <w:numFmt w:val="lowerLetter"/>
      <w:start w:val="1"/>
    </w:lvl>
  </w:abstractNum>
  <w:abstractNum w:abstractNumId="46">
    <w:nsid w:val="2A082C70"/>
    <w:multiLevelType w:val="hybridMultilevel"/>
    <w:lvl w:ilvl="0">
      <w:lvlJc w:val="left"/>
      <w:lvlText w:val="(%1)"/>
      <w:numFmt w:val="lowerLetter"/>
      <w:start w:val="1"/>
    </w:lvl>
  </w:abstractNum>
  <w:abstractNum w:abstractNumId="47">
    <w:nsid w:val="5EC6AFD4"/>
    <w:multiLevelType w:val="hybridMultilevel"/>
    <w:lvl w:ilvl="0">
      <w:lvlJc w:val="left"/>
      <w:lvlText w:val="(%1)"/>
      <w:numFmt w:val="lowerLetter"/>
      <w:start w:val="1"/>
    </w:lvl>
  </w:abstractNum>
  <w:abstractNum w:abstractNumId="48">
    <w:nsid w:val="19E21BB2"/>
    <w:multiLevelType w:val="hybridMultilevel"/>
    <w:lvl w:ilvl="0">
      <w:lvlJc w:val="left"/>
      <w:lvlText w:val="(%1)"/>
      <w:numFmt w:val="lowerLetter"/>
      <w:start w:val="1"/>
    </w:lvl>
  </w:abstractNum>
  <w:abstractNum w:abstractNumId="49">
    <w:nsid w:val="75E0858A"/>
    <w:multiLevelType w:val="hybridMultilevel"/>
    <w:lvl w:ilvl="0">
      <w:lvlJc w:val="left"/>
      <w:lvlText w:val="(%1)"/>
      <w:numFmt w:val="lowerLetter"/>
      <w:start w:val="1"/>
    </w:lvl>
  </w:abstractNum>
  <w:abstractNum w:abstractNumId="50">
    <w:nsid w:val="57A61A29"/>
    <w:multiLevelType w:val="hybridMultilevel"/>
    <w:lvl w:ilvl="0">
      <w:lvlJc w:val="left"/>
      <w:lvlText w:val="(%1)"/>
      <w:numFmt w:val="lowerRoman"/>
      <w:start w:val="1"/>
    </w:lvl>
  </w:abstractNum>
  <w:abstractNum w:abstractNumId="51">
    <w:nsid w:val="5399C654"/>
    <w:multiLevelType w:val="hybridMultilevel"/>
    <w:lvl w:ilvl="0">
      <w:lvlJc w:val="left"/>
      <w:lvlText w:val="(%1)"/>
      <w:numFmt w:val="lowerRoman"/>
      <w:start w:val="10"/>
    </w:lvl>
  </w:abstractNum>
  <w:abstractNum w:abstractNumId="52">
    <w:nsid w:val="20EE1348"/>
    <w:multiLevelType w:val="hybridMultilevel"/>
    <w:lvl w:ilvl="0">
      <w:lvlJc w:val="left"/>
      <w:lvlText w:val="(%1)"/>
      <w:numFmt w:val="lowerLetter"/>
      <w:start w:val="1"/>
    </w:lvl>
  </w:abstractNum>
  <w:abstractNum w:abstractNumId="53">
    <w:nsid w:val="4427069A"/>
    <w:multiLevelType w:val="hybridMultilevel"/>
    <w:lvl w:ilvl="0">
      <w:lvlJc w:val="left"/>
      <w:lvlText w:val="(%1)"/>
      <w:numFmt w:val="lowerLetter"/>
      <w:start w:val="2"/>
    </w:lvl>
  </w:abstractNum>
  <w:abstractNum w:abstractNumId="54">
    <w:nsid w:val="B37E80A"/>
    <w:multiLevelType w:val="hybridMultilevel"/>
    <w:lvl w:ilvl="0">
      <w:lvlJc w:val="left"/>
      <w:lvlText w:val="(%1)"/>
      <w:numFmt w:val="decimal"/>
      <w:start w:val="1"/>
    </w:lvl>
  </w:abstractNum>
  <w:abstractNum w:abstractNumId="55">
    <w:nsid w:val="2157F6BC"/>
    <w:multiLevelType w:val="hybridMultilevel"/>
    <w:lvl w:ilvl="0">
      <w:lvlJc w:val="left"/>
      <w:lvlText w:val="(%1)"/>
      <w:numFmt w:val="decimal"/>
      <w:start w:val="1"/>
    </w:lvl>
  </w:abstractNum>
  <w:abstractNum w:abstractNumId="56">
    <w:nsid w:val="704E1DD5"/>
    <w:multiLevelType w:val="hybridMultilevel"/>
    <w:lvl w:ilvl="0">
      <w:lvlJc w:val="left"/>
      <w:lvlText w:val="(%1)"/>
      <w:numFmt w:val="decimal"/>
      <w:start w:val="1"/>
    </w:lvl>
  </w:abstractNum>
  <w:abstractNum w:abstractNumId="57">
    <w:nsid w:val="57D2F10E"/>
    <w:multiLevelType w:val="hybridMultilevel"/>
    <w:lvl w:ilvl="0">
      <w:lvlJc w:val="left"/>
      <w:lvlText w:val="(%1)"/>
      <w:numFmt w:val="decimal"/>
      <w:start w:val="3"/>
    </w:lvl>
  </w:abstractNum>
  <w:abstractNum w:abstractNumId="58">
    <w:nsid w:val="BFFAE18"/>
    <w:multiLevelType w:val="hybridMultilevel"/>
    <w:lvl w:ilvl="0">
      <w:lvlJc w:val="left"/>
      <w:lvlText w:val="(%1)"/>
      <w:numFmt w:val="lowerRoman"/>
      <w:start w:val="1"/>
    </w:lvl>
  </w:abstractNum>
  <w:abstractNum w:abstractNumId="59">
    <w:nsid w:val="E3E47A8"/>
    <w:multiLevelType w:val="hybridMultilevel"/>
    <w:lvl w:ilvl="0">
      <w:lvlJc w:val="left"/>
      <w:lvlText w:val="(%1)"/>
      <w:numFmt w:val="lowerRoman"/>
      <w:start w:val="2"/>
    </w:lvl>
  </w:abstractNum>
  <w:abstractNum w:abstractNumId="60">
    <w:nsid w:val="2E48F044"/>
    <w:multiLevelType w:val="hybridMultilevel"/>
    <w:lvl w:ilvl="0">
      <w:lvlJc w:val="left"/>
      <w:lvlText w:val="(%1)"/>
      <w:numFmt w:val="lowerLetter"/>
      <w:start w:val="2"/>
    </w:lvl>
  </w:abstractNum>
  <w:abstractNum w:abstractNumId="61">
    <w:nsid w:val="49D0FEAC"/>
    <w:multiLevelType w:val="hybridMultilevel"/>
    <w:lvl w:ilvl="0">
      <w:lvlJc w:val="left"/>
      <w:lvlText w:val="(%1)"/>
      <w:numFmt w:val="lowerRoman"/>
      <w:start w:val="1"/>
    </w:lvl>
  </w:abstractNum>
  <w:abstractNum w:abstractNumId="62">
    <w:nsid w:val="4BEE5A5B"/>
    <w:multiLevelType w:val="hybridMultilevel"/>
    <w:lvl w:ilvl="0">
      <w:lvlJc w:val="left"/>
      <w:lvlText w:val="(%1)"/>
      <w:numFmt w:val="lowerLetter"/>
      <w:start w:val="1"/>
    </w:lvl>
  </w:abstractNum>
  <w:abstractNum w:abstractNumId="63">
    <w:nsid w:val="5551B9F3"/>
    <w:multiLevelType w:val="hybridMultilevel"/>
    <w:lvl w:ilvl="0">
      <w:lvlJc w:val="left"/>
      <w:lvlText w:val="(%1)"/>
      <w:numFmt w:val="lowerLetter"/>
      <w:start w:val="11"/>
    </w:lvl>
  </w:abstractNum>
  <w:abstractNum w:abstractNumId="64">
    <w:nsid w:val="24F6AB8E"/>
    <w:multiLevelType w:val="hybridMultilevel"/>
    <w:lvl w:ilvl="0">
      <w:lvlJc w:val="left"/>
      <w:lvlText w:val="(%1)"/>
      <w:numFmt w:val="lowerRoman"/>
      <w:start w:val="2"/>
    </w:lvl>
  </w:abstractNum>
  <w:abstractNum w:abstractNumId="65">
    <w:nsid w:val="634C574C"/>
    <w:multiLevelType w:val="hybridMultilevel"/>
    <w:lvl w:ilvl="0">
      <w:lvlJc w:val="left"/>
      <w:lvlText w:val="(%1)"/>
      <w:numFmt w:val="lowerLetter"/>
      <w:start w:val="1"/>
    </w:lvl>
  </w:abstractNum>
  <w:abstractNum w:abstractNumId="66">
    <w:nsid w:val="24E99DD7"/>
    <w:multiLevelType w:val="hybridMultilevel"/>
    <w:lvl w:ilvl="0">
      <w:lvlJc w:val="left"/>
      <w:lvlText w:val="(%1)"/>
      <w:numFmt w:val="lowerLetter"/>
      <w:start w:val="1"/>
    </w:lvl>
  </w:abstractNum>
  <w:abstractNum w:abstractNumId="67">
    <w:nsid w:val="2A31B62D"/>
    <w:multiLevelType w:val="hybridMultilevel"/>
    <w:lvl w:ilvl="0">
      <w:lvlJc w:val="left"/>
      <w:lvlText w:val="(%1)"/>
      <w:numFmt w:val="lowerLetter"/>
      <w:start w:val="3"/>
    </w:lvl>
  </w:abstractNum>
  <w:abstractNum w:abstractNumId="68">
    <w:nsid w:val="1849C29B"/>
    <w:multiLevelType w:val="hybridMultilevel"/>
    <w:lvl w:ilvl="0">
      <w:lvlJc w:val="left"/>
      <w:lvlText w:val="(%1)"/>
      <w:numFmt w:val="lowerLetter"/>
      <w:start w:val="1"/>
    </w:lvl>
    <w:lvl w:ilvl="1">
      <w:lvlJc w:val="left"/>
      <w:lvlText w:val="(%2)"/>
      <w:numFmt w:val="lowerRoman"/>
      <w:start w:val="1"/>
    </w:lvl>
  </w:abstractNum>
  <w:abstractNum w:abstractNumId="69">
    <w:nsid w:val="7DFF9D09"/>
    <w:multiLevelType w:val="hybridMultilevel"/>
    <w:lvl w:ilvl="0">
      <w:lvlJc w:val="left"/>
      <w:lvlText w:val="(%1)"/>
      <w:numFmt w:val="lowerLetter"/>
      <w:start w:val="1"/>
    </w:lvl>
  </w:abstractNum>
  <w:abstractNum w:abstractNumId="70">
    <w:nsid w:val="754342"/>
    <w:multiLevelType w:val="hybridMultilevel"/>
    <w:lvl w:ilvl="0">
      <w:lvlJc w:val="left"/>
      <w:lvlText w:val="(%1)"/>
      <w:numFmt w:val="lowerLetter"/>
      <w:start w:val="2"/>
    </w:lvl>
  </w:abstractNum>
  <w:abstractNum w:abstractNumId="71">
    <w:nsid w:val="69E7F3E5"/>
    <w:multiLevelType w:val="hybridMultilevel"/>
    <w:lvl w:ilvl="0">
      <w:lvlJc w:val="left"/>
      <w:lvlText w:val="(%1)"/>
      <w:numFmt w:val="lowerLetter"/>
      <w:start w:val="1"/>
    </w:lvl>
  </w:abstractNum>
  <w:abstractNum w:abstractNumId="72">
    <w:nsid w:val="2A6DE806"/>
    <w:multiLevelType w:val="hybridMultilevel"/>
    <w:lvl w:ilvl="0">
      <w:lvlJc w:val="left"/>
      <w:lvlText w:val="(%1)"/>
      <w:numFmt w:val="upperLetter"/>
      <w:start w:val="1"/>
    </w:lvl>
  </w:abstractNum>
  <w:abstractNum w:abstractNumId="73">
    <w:nsid w:val="1816F8C4"/>
    <w:multiLevelType w:val="hybridMultilevel"/>
    <w:lvl w:ilvl="0">
      <w:lvlJc w:val="left"/>
      <w:lvlText w:val="(%1)"/>
      <w:numFmt w:val="lowerLetter"/>
      <w:start w:val="1"/>
    </w:lvl>
  </w:abstractNum>
  <w:abstractNum w:abstractNumId="74">
    <w:nsid w:val="37DF2233"/>
    <w:multiLevelType w:val="hybridMultilevel"/>
    <w:lvl w:ilvl="0">
      <w:lvlJc w:val="left"/>
      <w:lvlText w:val="(%1)"/>
      <w:numFmt w:val="lowerLetter"/>
      <w:start w:val="5"/>
    </w:lvl>
  </w:abstractNum>
  <w:abstractNum w:abstractNumId="75">
    <w:nsid w:val="7AB49DAF"/>
    <w:multiLevelType w:val="hybridMultilevel"/>
    <w:lvl w:ilvl="0">
      <w:lvlJc w:val="left"/>
      <w:lvlText w:val="(%1)"/>
      <w:numFmt w:val="lowerLetter"/>
      <w:start w:val="1"/>
    </w:lvl>
  </w:abstractNum>
  <w:abstractNum w:abstractNumId="76">
    <w:nsid w:val="759F82CD"/>
    <w:multiLevelType w:val="hybridMultilevel"/>
    <w:lvl w:ilvl="0">
      <w:lvlJc w:val="left"/>
      <w:lvlText w:val="(%1)"/>
      <w:numFmt w:val="lowerLetter"/>
      <w:start w:val="1"/>
    </w:lvl>
  </w:abstractNum>
  <w:abstractNum w:abstractNumId="77">
    <w:nsid w:val="61E74EA3"/>
    <w:multiLevelType w:val="hybridMultilevel"/>
    <w:lvl w:ilvl="0">
      <w:lvlJc w:val="left"/>
      <w:lvlText w:val="(%1)"/>
      <w:numFmt w:val="lowerLetter"/>
      <w:start w:val="61"/>
    </w:lvl>
    <w:lvl w:ilvl="1">
      <w:lvlJc w:val="left"/>
      <w:lvlText w:val="(%2)"/>
      <w:numFmt w:val="lowerLetter"/>
      <w:start w:val="3"/>
    </w:lvl>
  </w:abstractNum>
  <w:abstractNum w:abstractNumId="78">
    <w:nsid w:val="597B4D84"/>
    <w:multiLevelType w:val="hybridMultilevel"/>
    <w:lvl w:ilvl="0">
      <w:lvlJc w:val="left"/>
      <w:lvlText w:val="(%1)"/>
      <w:numFmt w:val="lowerLetter"/>
      <w:start w:val="24"/>
    </w:lvl>
    <w:lvl w:ilvl="1">
      <w:lvlJc w:val="left"/>
      <w:lvlText w:val="%2"/>
      <w:numFmt w:val="lowerLetter"/>
      <w:start w:val="1"/>
    </w:lvl>
  </w:abstractNum>
  <w:abstractNum w:abstractNumId="79">
    <w:nsid w:val="F819E7F"/>
    <w:multiLevelType w:val="hybridMultilevel"/>
    <w:lvl w:ilvl="0">
      <w:lvlJc w:val="left"/>
      <w:lvlText w:val="(%1)"/>
      <w:numFmt w:val="lowerLetter"/>
      <w:start w:val="6"/>
    </w:lvl>
  </w:abstractNum>
  <w:abstractNum w:abstractNumId="80">
    <w:nsid w:val="57C7D42D"/>
    <w:multiLevelType w:val="hybridMultilevel"/>
    <w:lvl w:ilvl="0">
      <w:lvlJc w:val="left"/>
      <w:lvlText w:val="(%1)"/>
      <w:numFmt w:val="lowerLetter"/>
      <w:start w:val="8"/>
    </w:lvl>
  </w:abstractNum>
  <w:abstractNum w:abstractNumId="81">
    <w:nsid w:val="312167AD"/>
    <w:multiLevelType w:val="hybridMultilevel"/>
    <w:lvl w:ilvl="0">
      <w:lvlJc w:val="left"/>
      <w:lvlText w:val="(%1)"/>
      <w:numFmt w:val="lowerLetter"/>
      <w:start w:val="12"/>
    </w:lvl>
  </w:abstractNum>
  <w:abstractNum w:abstractNumId="82">
    <w:nsid w:val="631B64D4"/>
    <w:multiLevelType w:val="hybridMultilevel"/>
    <w:lvl w:ilvl="0">
      <w:lvlJc w:val="left"/>
      <w:lvlText w:val="(%1)"/>
      <w:numFmt w:val="lowerLetter"/>
      <w:start w:val="1"/>
    </w:lvl>
  </w:abstractNum>
  <w:abstractNum w:abstractNumId="83">
    <w:nsid w:val="78B5E776"/>
    <w:multiLevelType w:val="hybridMultilevel"/>
    <w:lvl w:ilvl="0">
      <w:lvlJc w:val="left"/>
      <w:lvlText w:val="(%1)"/>
      <w:numFmt w:val="lowerLetter"/>
      <w:start w:val="4"/>
    </w:lvl>
  </w:abstractNum>
  <w:abstractNum w:abstractNumId="84">
    <w:nsid w:val="75486E47"/>
    <w:multiLevelType w:val="hybridMultilevel"/>
    <w:lvl w:ilvl="0">
      <w:lvlJc w:val="left"/>
      <w:lvlText w:val="(%1)"/>
      <w:numFmt w:val="lowerLetter"/>
      <w:start w:val="1"/>
    </w:lvl>
  </w:abstractNum>
  <w:abstractNum w:abstractNumId="85">
    <w:nsid w:val="6E534CDE"/>
    <w:multiLevelType w:val="hybridMultilevel"/>
    <w:lvl w:ilvl="0">
      <w:lvlJc w:val="left"/>
      <w:lvlText w:val="(%1)"/>
      <w:numFmt w:val="lowerLetter"/>
      <w:start w:val="2"/>
    </w:lvl>
    <w:lvl w:ilvl="1">
      <w:lvlJc w:val="left"/>
      <w:lvlText w:val="(%2)"/>
      <w:numFmt w:val="lowerLetter"/>
      <w:start w:val="9"/>
    </w:lvl>
  </w:abstractNum>
  <w:abstractNum w:abstractNumId="86">
    <w:nsid w:val="1A0DDE32"/>
    <w:multiLevelType w:val="hybridMultilevel"/>
    <w:lvl w:ilvl="0">
      <w:lvlJc w:val="left"/>
      <w:lvlText w:val="%1"/>
      <w:numFmt w:val="lowerLetter"/>
      <w:start w:val="1"/>
    </w:lvl>
    <w:lvl w:ilvl="1">
      <w:lvlJc w:val="left"/>
      <w:lvlText w:val="(%2)"/>
      <w:numFmt w:val="lowerRoman"/>
      <w:start w:val="2"/>
    </w:lvl>
  </w:abstractNum>
  <w:abstractNum w:abstractNumId="87">
    <w:nsid w:val="65968C1C"/>
    <w:multiLevelType w:val="hybridMultilevel"/>
    <w:lvl w:ilvl="0">
      <w:lvlJc w:val="left"/>
      <w:lvlText w:val="(%1)"/>
      <w:numFmt w:val="lowerLetter"/>
      <w:start w:val="3"/>
    </w:lvl>
    <w:lvl w:ilvl="1">
      <w:lvlJc w:val="left"/>
      <w:lvlText w:val="%2"/>
      <w:numFmt w:val="lowerRoman"/>
      <w:start w:val="1"/>
    </w:lvl>
  </w:abstractNum>
  <w:abstractNum w:abstractNumId="88">
    <w:nsid w:val="46263DEC"/>
    <w:multiLevelType w:val="hybridMultilevel"/>
    <w:lvl w:ilvl="0">
      <w:lvlJc w:val="left"/>
      <w:lvlText w:val="(%1)"/>
      <w:numFmt w:val="lowerLetter"/>
      <w:start w:val="1"/>
    </w:lvl>
  </w:abstractNum>
  <w:abstractNum w:abstractNumId="89">
    <w:nsid w:val="260D8C4A"/>
    <w:multiLevelType w:val="hybridMultilevel"/>
    <w:lvl w:ilvl="0">
      <w:lvlJc w:val="left"/>
      <w:lvlText w:val="(%1)"/>
      <w:numFmt w:val="lowerLetter"/>
      <w:start w:val="1"/>
    </w:lvl>
  </w:abstractNum>
  <w:abstractNum w:abstractNumId="90">
    <w:nsid w:val="73D4D3C4"/>
    <w:multiLevelType w:val="hybridMultilevel"/>
    <w:lvl w:ilvl="0">
      <w:lvlJc w:val="left"/>
      <w:lvlText w:val="(%1)"/>
      <w:numFmt w:val="lowerLetter"/>
      <w:start w:val="3"/>
    </w:lvl>
    <w:lvl w:ilvl="1">
      <w:lvlJc w:val="left"/>
      <w:lvlText w:val="(%2)"/>
      <w:numFmt w:val="lowerRoman"/>
      <w:start w:val="1"/>
    </w:lvl>
  </w:abstractNum>
  <w:abstractNum w:abstractNumId="91">
    <w:nsid w:val="746F2E30"/>
    <w:multiLevelType w:val="hybridMultilevel"/>
    <w:lvl w:ilvl="0">
      <w:lvlJc w:val="left"/>
      <w:lvlText w:val="(%1)"/>
      <w:numFmt w:val="lowerLetter"/>
      <w:start w:val="4"/>
    </w:lvl>
  </w:abstractNum>
  <w:abstractNum w:abstractNumId="92">
    <w:nsid w:val="6FDE8AF6"/>
    <w:multiLevelType w:val="hybridMultilevel"/>
    <w:lvl w:ilvl="0">
      <w:lvlJc w:val="left"/>
      <w:lvlText w:val="(%1)"/>
      <w:numFmt w:val="lowerLetter"/>
      <w:start w:val="1"/>
    </w:lvl>
  </w:abstractNum>
  <w:abstractNum w:abstractNumId="93">
    <w:nsid w:val="3FC32E20"/>
    <w:multiLevelType w:val="hybridMultilevel"/>
    <w:lvl w:ilvl="0">
      <w:lvlJc w:val="left"/>
      <w:lvlText w:val="(%1)"/>
      <w:numFmt w:val="lowerLetter"/>
      <w:start w:val="2"/>
    </w:lvl>
  </w:abstractNum>
  <w:abstractNum w:abstractNumId="94">
    <w:nsid w:val="49C0E823"/>
    <w:multiLevelType w:val="hybridMultilevel"/>
    <w:lvl w:ilvl="0">
      <w:lvlJc w:val="left"/>
      <w:lvlText w:val="(%1)"/>
      <w:numFmt w:val="lowerLetter"/>
      <w:start w:val="1"/>
    </w:lvl>
    <w:lvl w:ilvl="1">
      <w:lvlJc w:val="left"/>
      <w:lvlText w:val="(%2)"/>
      <w:numFmt w:val="lowerRoman"/>
      <w:start w:val="1"/>
    </w:lvl>
  </w:abstractNum>
  <w:abstractNum w:abstractNumId="95">
    <w:nsid w:val="14D53685"/>
    <w:multiLevelType w:val="hybridMultilevel"/>
    <w:lvl w:ilvl="0">
      <w:lvlJc w:val="left"/>
      <w:lvlText w:val="(%1)"/>
      <w:numFmt w:val="lowerLetter"/>
      <w:start w:val="2"/>
    </w:lvl>
  </w:abstractNum>
  <w:abstractNum w:abstractNumId="96">
    <w:nsid w:val="230F856C"/>
    <w:multiLevelType w:val="hybridMultilevel"/>
    <w:lvl w:ilvl="0">
      <w:lvlJc w:val="left"/>
      <w:lvlText w:val="(%1)"/>
      <w:numFmt w:val="lowerLetter"/>
      <w:start w:val="6"/>
    </w:lvl>
  </w:abstractNum>
  <w:abstractNum w:abstractNumId="97">
    <w:nsid w:val="6EAA85FB"/>
    <w:multiLevelType w:val="hybridMultilevel"/>
    <w:lvl w:ilvl="0">
      <w:lvlJc w:val="left"/>
      <w:lvlText w:val="(%1)"/>
      <w:numFmt w:val="lowerLetter"/>
      <w:start w:val="1"/>
    </w:lvl>
    <w:lvl w:ilvl="1">
      <w:lvlJc w:val="left"/>
      <w:lvlText w:val="(%2)"/>
      <w:numFmt w:val="lowerRoman"/>
      <w:start w:val="1"/>
    </w:lvl>
  </w:abstractNum>
  <w:abstractNum w:abstractNumId="98">
    <w:nsid w:val="3F06ECB2"/>
    <w:multiLevelType w:val="hybridMultilevel"/>
    <w:lvl w:ilvl="0">
      <w:lvlJc w:val="left"/>
      <w:lvlText w:val="(%1)"/>
      <w:numFmt w:val="lowerLetter"/>
      <w:start w:val="2"/>
    </w:lvl>
  </w:abstractNum>
  <w:abstractNum w:abstractNumId="99">
    <w:nsid w:val="3B594807"/>
    <w:multiLevelType w:val="hybridMultilevel"/>
    <w:lvl w:ilvl="0">
      <w:lvlJc w:val="left"/>
      <w:lvlText w:val="(%1)"/>
      <w:numFmt w:val="lowerLetter"/>
      <w:start w:val="3"/>
    </w:lvl>
    <w:lvl w:ilvl="1">
      <w:lvlJc w:val="left"/>
      <w:lvlText w:val="(%2)"/>
      <w:numFmt w:val="lowerRoman"/>
      <w:start w:val="1"/>
    </w:lvl>
  </w:abstractNum>
  <w:abstractNum w:abstractNumId="100">
    <w:nsid w:val="6CAA2304"/>
    <w:multiLevelType w:val="hybridMultilevel"/>
    <w:lvl w:ilvl="0">
      <w:lvlJc w:val="left"/>
      <w:lvlText w:val="(%1)"/>
      <w:numFmt w:val="lowerLetter"/>
      <w:start w:val="1"/>
    </w:lvl>
  </w:abstractNum>
  <w:abstractNum w:abstractNumId="101">
    <w:nsid w:val="3F7C2FF4"/>
    <w:multiLevelType w:val="hybridMultilevel"/>
    <w:lvl w:ilvl="0">
      <w:lvlJc w:val="left"/>
      <w:lvlText w:val="(%1)"/>
      <w:numFmt w:val="lowerLetter"/>
      <w:start w:val="6"/>
    </w:lvl>
    <w:lvl w:ilvl="1">
      <w:lvlJc w:val="left"/>
      <w:lvlText w:val="(%2)"/>
      <w:numFmt w:val="lowerRoman"/>
      <w:start w:val="1"/>
    </w:lvl>
  </w:abstractNum>
  <w:abstractNum w:abstractNumId="102">
    <w:nsid w:val="25413BEC"/>
    <w:multiLevelType w:val="hybridMultilevel"/>
    <w:lvl w:ilvl="0">
      <w:lvlJc w:val="left"/>
      <w:lvlText w:val="(%1)"/>
      <w:numFmt w:val="upperLetter"/>
      <w:start w:val="1"/>
    </w:lvl>
    <w:lvl w:ilvl="1">
      <w:lvlJc w:val="left"/>
      <w:lvlText w:val="%2."/>
      <w:numFmt w:val="decimal"/>
      <w:start w:val="1"/>
    </w:lvl>
  </w:abstractNum>
  <w:abstractNum w:abstractNumId="103">
    <w:nsid w:val="17180B0B"/>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104">
    <w:nsid w:val="579328B9"/>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05">
    <w:nsid w:val="5D205E20"/>
    <w:multiLevelType w:val="hybridMultilevel"/>
    <w:lvl w:ilvl="0">
      <w:lvlJc w:val="left"/>
      <w:lvlText w:val="(%1)"/>
      <w:numFmt w:val="upperLetter"/>
      <w:start w:val="5"/>
    </w:lvl>
    <w:lvl w:ilvl="1">
      <w:lvlJc w:val="left"/>
      <w:lvlText w:val="(%2)"/>
      <w:numFmt w:val="lowerLetter"/>
      <w:start w:val="7"/>
    </w:lvl>
    <w:lvl w:ilvl="2">
      <w:lvlJc w:val="left"/>
      <w:lvlText w:val="%3"/>
      <w:numFmt w:val="upperLetter"/>
      <w:start w:val="1"/>
    </w:lvl>
    <w:lvl w:ilvl="3">
      <w:lvlJc w:val="left"/>
      <w:lvlText w:val="%4"/>
      <w:numFmt w:val="decimal"/>
      <w:start w:val="1"/>
    </w:lvl>
  </w:abstractNum>
  <w:abstractNum w:abstractNumId="106">
    <w:nsid w:val="11CCA8BA"/>
    <w:multiLevelType w:val="hybridMultilevel"/>
    <w:lvl w:ilvl="0">
      <w:lvlJc w:val="left"/>
      <w:lvlText w:val="(%1)"/>
      <w:numFmt w:val="lowerLetter"/>
      <w:start w:val="8"/>
    </w:lvl>
  </w:abstractNum>
  <w:abstractNum w:abstractNumId="107">
    <w:nsid w:val="4D32AB86"/>
    <w:multiLevelType w:val="hybridMultilevel"/>
    <w:lvl w:ilvl="0">
      <w:lvlJc w:val="left"/>
      <w:lvlText w:val="(%1)"/>
      <w:numFmt w:val="lowerLetter"/>
      <w:start w:val="1"/>
    </w:lvl>
  </w:abstractNum>
  <w:abstractNum w:abstractNumId="108">
    <w:nsid w:val="3F07ACC3"/>
    <w:multiLevelType w:val="hybridMultilevel"/>
    <w:lvl w:ilvl="0">
      <w:lvlJc w:val="left"/>
      <w:lvlText w:val="(%1)"/>
      <w:numFmt w:val="lowerLetter"/>
      <w:start w:val="1"/>
    </w:lvl>
  </w:abstractNum>
  <w:abstractNum w:abstractNumId="109">
    <w:nsid w:val="6B47F63E"/>
    <w:multiLevelType w:val="hybridMultilevel"/>
    <w:lvl w:ilvl="0">
      <w:lvlJc w:val="left"/>
      <w:lvlText w:val="(%1)"/>
      <w:numFmt w:val="lowerLetter"/>
      <w:start w:val="1"/>
    </w:lvl>
  </w:abstractNum>
  <w:abstractNum w:abstractNumId="110">
    <w:nsid w:val="5CB44A05"/>
    <w:multiLevelType w:val="hybridMultilevel"/>
    <w:lvl w:ilvl="0">
      <w:lvlJc w:val="left"/>
      <w:lvlText w:val="(%1)"/>
      <w:numFmt w:val="lowerLetter"/>
      <w:start w:val="2"/>
    </w:lvl>
  </w:abstractNum>
  <w:abstractNum w:abstractNumId="111">
    <w:nsid w:val="16CF80F1"/>
    <w:multiLevelType w:val="hybridMultilevel"/>
    <w:lvl w:ilvl="0">
      <w:lvlJc w:val="left"/>
      <w:lvlText w:val="(%1)"/>
      <w:numFmt w:val="lowerLetter"/>
      <w:start w:val="1"/>
    </w:lvl>
  </w:abstractNum>
  <w:abstractNum w:abstractNumId="112">
    <w:nsid w:val="1C695DEC"/>
    <w:multiLevelType w:val="hybridMultilevel"/>
    <w:lvl w:ilvl="0">
      <w:lvlJc w:val="left"/>
      <w:lvlText w:val="(%1)"/>
      <w:numFmt w:val="lowerLetter"/>
      <w:start w:val="2"/>
    </w:lvl>
  </w:abstractNum>
  <w:abstractNum w:abstractNumId="113">
    <w:nsid w:val="3FCFAED9"/>
    <w:multiLevelType w:val="hybridMultilevel"/>
    <w:lvl w:ilvl="0">
      <w:lvlJc w:val="left"/>
      <w:lvlText w:val="(%1)"/>
      <w:numFmt w:val="lowerLetter"/>
      <w:start w:val="1"/>
    </w:lvl>
  </w:abstractNum>
  <w:abstractNum w:abstractNumId="114">
    <w:nsid w:val="F856867"/>
    <w:multiLevelType w:val="hybridMultilevel"/>
    <w:lvl w:ilvl="0">
      <w:lvlJc w:val="left"/>
      <w:lvlText w:val="(%1)"/>
      <w:numFmt w:val="lowerLetter"/>
      <w:start w:val="1"/>
    </w:lvl>
  </w:abstractNum>
  <w:abstractNum w:abstractNumId="115">
    <w:nsid w:val="11B1CC33"/>
    <w:multiLevelType w:val="hybridMultilevel"/>
    <w:lvl w:ilvl="0">
      <w:lvlJc w:val="left"/>
      <w:lvlText w:val="(%1)"/>
      <w:numFmt w:val="lowerLetter"/>
      <w:start w:val="8"/>
    </w:lvl>
  </w:abstractNum>
  <w:abstractNum w:abstractNumId="116">
    <w:nsid w:val="2E22FBB7"/>
    <w:multiLevelType w:val="hybridMultilevel"/>
    <w:lvl w:ilvl="0">
      <w:lvlJc w:val="left"/>
      <w:lvlText w:val="(%1)"/>
      <w:numFmt w:val="lowerLetter"/>
      <w:start w:val="1"/>
    </w:lvl>
  </w:abstractNum>
  <w:abstractNum w:abstractNumId="117">
    <w:nsid w:val="29934699"/>
    <w:multiLevelType w:val="hybridMultilevel"/>
    <w:lvl w:ilvl="0">
      <w:lvlJc w:val="left"/>
      <w:lvlText w:val="(%1)"/>
      <w:numFmt w:val="lowerLetter"/>
      <w:start w:val="1"/>
    </w:lvl>
  </w:abstractNum>
  <w:abstractNum w:abstractNumId="118">
    <w:nsid w:val="77485850"/>
    <w:multiLevelType w:val="hybridMultilevel"/>
    <w:lvl w:ilvl="0">
      <w:lvlJc w:val="left"/>
      <w:lvlText w:val="(%1)"/>
      <w:numFmt w:val="lowerLetter"/>
      <w:start w:val="1"/>
    </w:lvl>
  </w:abstractNum>
  <w:abstractNum w:abstractNumId="119">
    <w:nsid w:val="744939A3"/>
    <w:multiLevelType w:val="hybridMultilevel"/>
    <w:lvl w:ilvl="0">
      <w:lvlJc w:val="left"/>
      <w:lvlText w:val="(%1)"/>
      <w:numFmt w:val="lowerLetter"/>
      <w:start w:val="3"/>
    </w:lvl>
  </w:abstractNum>
  <w:abstractNum w:abstractNumId="120">
    <w:nsid w:val="4FA0D2E3"/>
    <w:multiLevelType w:val="hybridMultilevel"/>
    <w:lvl w:ilvl="0">
      <w:lvlJc w:val="left"/>
      <w:lvlText w:val="(%1)"/>
      <w:numFmt w:val="lowerLetter"/>
      <w:start w:val="2"/>
    </w:lvl>
  </w:abstractNum>
  <w:abstractNum w:abstractNumId="121">
    <w:nsid w:val="6B1D2C14"/>
    <w:multiLevelType w:val="hybridMultilevel"/>
    <w:lvl w:ilvl="0">
      <w:lvlJc w:val="left"/>
      <w:lvlText w:val="(%1)"/>
      <w:numFmt w:val="lowerLetter"/>
      <w:start w:val="9"/>
    </w:lvl>
  </w:abstractNum>
  <w:abstractNum w:abstractNumId="122">
    <w:nsid w:val="68B867D3"/>
    <w:multiLevelType w:val="hybridMultilevel"/>
    <w:lvl w:ilvl="0">
      <w:lvlJc w:val="left"/>
      <w:lvlText w:val="(%1)"/>
      <w:numFmt w:val="lowerRoman"/>
      <w:start w:val="1"/>
    </w:lvl>
  </w:abstractNum>
  <w:abstractNum w:abstractNumId="123">
    <w:nsid w:val="3F7F5DD9"/>
    <w:multiLevelType w:val="hybridMultilevel"/>
    <w:lvl w:ilvl="0">
      <w:lvlJc w:val="left"/>
      <w:lvlText w:val="(%1)"/>
      <w:numFmt w:val="lowerRoman"/>
      <w:start w:val="2"/>
    </w:lvl>
  </w:abstractNum>
  <w:abstractNum w:abstractNumId="124">
    <w:nsid w:val="2AE05A34"/>
    <w:multiLevelType w:val="hybridMultilevel"/>
    <w:lvl w:ilvl="0">
      <w:lvlJc w:val="left"/>
      <w:lvlText w:val="(%1)"/>
      <w:numFmt w:val="lowerLetter"/>
      <w:start w:val="1"/>
    </w:lvl>
  </w:abstractNum>
  <w:abstractNum w:abstractNumId="125">
    <w:nsid w:val="32794FF7"/>
    <w:multiLevelType w:val="hybridMultilevel"/>
    <w:lvl w:ilvl="0">
      <w:lvlJc w:val="left"/>
      <w:lvlText w:val="%1"/>
      <w:numFmt w:val="lowerLetter"/>
      <w:start w:val="1"/>
    </w:lvl>
    <w:lvl w:ilvl="1">
      <w:lvlJc w:val="left"/>
      <w:lvlText w:val="(%2)"/>
      <w:numFmt w:val="lowerLetter"/>
      <w:start w:val="2"/>
    </w:lvl>
  </w:abstractNum>
  <w:abstractNum w:abstractNumId="126">
    <w:nsid w:val="5454945E"/>
    <w:multiLevelType w:val="hybridMultilevel"/>
    <w:lvl w:ilvl="0">
      <w:lvlJc w:val="left"/>
      <w:lvlText w:val="(%1)"/>
      <w:numFmt w:val="lowerLetter"/>
      <w:start w:val="61"/>
    </w:lvl>
    <w:lvl w:ilvl="1">
      <w:lvlJc w:val="left"/>
      <w:lvlText w:val="(%2)"/>
      <w:numFmt w:val="lowerLetter"/>
      <w:start w:val="9"/>
    </w:lvl>
  </w:abstractNum>
  <w:abstractNum w:abstractNumId="127">
    <w:nsid w:val="4DEFDFA0"/>
    <w:multiLevelType w:val="hybridMultilevel"/>
    <w:lvl w:ilvl="0">
      <w:lvlJc w:val="left"/>
      <w:lvlText w:val="(%1)"/>
      <w:numFmt w:val="lowerLetter"/>
      <w:start w:val="10"/>
    </w:lvl>
  </w:abstractNum>
  <w:abstractNum w:abstractNumId="128">
    <w:nsid w:val="2123D5F2"/>
    <w:multiLevelType w:val="hybridMultilevel"/>
    <w:lvl w:ilvl="0">
      <w:lvlJc w:val="left"/>
      <w:lvlText w:val="(%1)"/>
      <w:numFmt w:val="lowerLetter"/>
      <w:start w:val="1"/>
    </w:lvl>
  </w:abstractNum>
  <w:abstractNum w:abstractNumId="129">
    <w:nsid w:val="135B8110"/>
    <w:multiLevelType w:val="hybridMultilevel"/>
    <w:lvl w:ilvl="0">
      <w:lvlJc w:val="left"/>
      <w:lvlText w:val="(%1)"/>
      <w:numFmt w:val="lowerLetter"/>
      <w:start w:val="4"/>
    </w:lvl>
    <w:lvl w:ilvl="1">
      <w:lvlJc w:val="left"/>
      <w:lvlText w:val="(%2)"/>
      <w:numFmt w:val="lowerRoman"/>
      <w:start w:val="1"/>
    </w:lvl>
  </w:abstractNum>
  <w:abstractNum w:abstractNumId="130">
    <w:nsid w:val="94927A8"/>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31">
    <w:nsid w:val="DCDF8F6"/>
    <w:multiLevelType w:val="hybridMultilevel"/>
    <w:lvl w:ilvl="0">
      <w:lvlJc w:val="left"/>
      <w:lvlText w:val="(%1)"/>
      <w:numFmt w:val="lowerLetter"/>
      <w:start w:val="61"/>
    </w:lvl>
    <w:lvl w:ilvl="1">
      <w:lvlJc w:val="left"/>
      <w:lvlText w:val="(%2)"/>
      <w:numFmt w:val="lowerLetter"/>
      <w:start w:val="8"/>
    </w:lvl>
    <w:lvl w:ilvl="2">
      <w:lvlJc w:val="left"/>
      <w:lvlText w:val="%3"/>
      <w:numFmt w:val="lowerRoman"/>
      <w:start w:val="1"/>
    </w:lvl>
  </w:abstractNum>
  <w:abstractNum w:abstractNumId="132">
    <w:nsid w:val="52D7B105"/>
    <w:multiLevelType w:val="hybridMultilevel"/>
    <w:lvl w:ilvl="0">
      <w:lvlJc w:val="left"/>
      <w:lvlText w:val="(%1)"/>
      <w:numFmt w:val="lowerLetter"/>
      <w:start w:val="1"/>
    </w:lvl>
  </w:abstractNum>
  <w:abstractNum w:abstractNumId="133">
    <w:nsid w:val="2E8A6394"/>
    <w:multiLevelType w:val="hybridMultilevel"/>
    <w:lvl w:ilvl="0">
      <w:lvlJc w:val="left"/>
      <w:lvlText w:val="%1"/>
      <w:numFmt w:val="lowerRoman"/>
      <w:start w:val="1"/>
    </w:lvl>
    <w:lvl w:ilvl="1">
      <w:lvlJc w:val="left"/>
      <w:lvlText w:val="(%2)"/>
      <w:numFmt w:val="lowerLetter"/>
      <w:start w:val="2"/>
    </w:lvl>
  </w:abstractNum>
  <w:abstractNum w:abstractNumId="134">
    <w:nsid w:val="24E60401"/>
    <w:multiLevelType w:val="hybridMultilevel"/>
    <w:lvl w:ilvl="0">
      <w:lvlJc w:val="left"/>
      <w:lvlText w:val="(%1)"/>
      <w:numFmt w:val="lowerRoman"/>
      <w:start w:val="4"/>
    </w:lvl>
    <w:lvl w:ilvl="1">
      <w:lvlJc w:val="left"/>
      <w:lvlText w:val="%2"/>
      <w:numFmt w:val="lowerLetter"/>
      <w:start w:val="1"/>
    </w:lvl>
  </w:abstractNum>
  <w:abstractNum w:abstractNumId="135">
    <w:nsid w:val="2A6AD9BE"/>
    <w:multiLevelType w:val="hybridMultilevel"/>
    <w:lvl w:ilvl="0">
      <w:lvlJc w:val="left"/>
      <w:lvlText w:val="(%1)"/>
      <w:numFmt w:val="lowerLetter"/>
      <w:start w:val="1"/>
    </w:lvl>
  </w:abstractNum>
  <w:abstractNum w:abstractNumId="136">
    <w:nsid w:val="BAAC1B4"/>
    <w:multiLevelType w:val="hybridMultilevel"/>
    <w:lvl w:ilvl="0">
      <w:lvlJc w:val="left"/>
      <w:lvlText w:val="%1"/>
      <w:numFmt w:val="lowerLetter"/>
      <w:start w:val="1"/>
    </w:lvl>
    <w:lvl w:ilvl="1">
      <w:lvlJc w:val="left"/>
      <w:lvlText w:val="(%2)"/>
      <w:numFmt w:val="lowerLetter"/>
      <w:start w:val="3"/>
    </w:lvl>
  </w:abstractNum>
  <w:abstractNum w:abstractNumId="137">
    <w:nsid w:val="36B2ACBC"/>
    <w:multiLevelType w:val="hybridMultilevel"/>
    <w:lvl w:ilvl="0">
      <w:lvlJc w:val="left"/>
      <w:lvlText w:val="(%1)"/>
      <w:numFmt w:val="lowerLetter"/>
      <w:start w:val="4"/>
    </w:lvl>
    <w:lvl w:ilvl="1">
      <w:lvlJc w:val="left"/>
      <w:lvlText w:val="(%2)"/>
      <w:numFmt w:val="lowerLetter"/>
      <w:start w:val="7"/>
    </w:lvl>
  </w:abstractNum>
  <w:abstractNum w:abstractNumId="138">
    <w:nsid w:val="779D8544"/>
    <w:multiLevelType w:val="hybridMultilevel"/>
    <w:lvl w:ilvl="0">
      <w:lvlJc w:val="left"/>
      <w:lvlText w:val="(%1)"/>
      <w:numFmt w:val="lowerRoman"/>
      <w:start w:val="1"/>
    </w:lvl>
  </w:abstractNum>
  <w:abstractNum w:abstractNumId="139">
    <w:nsid w:val="4AB26E78"/>
    <w:multiLevelType w:val="hybridMultilevel"/>
    <w:lvl w:ilvl="0">
      <w:lvlJc w:val="left"/>
      <w:lvlText w:val="(%1)"/>
      <w:numFmt w:val="lowerLetter"/>
      <w:start w:val="1"/>
    </w:lvl>
  </w:abstractNum>
  <w:abstractNum w:abstractNumId="140">
    <w:nsid w:val="21FAA2FA"/>
    <w:multiLevelType w:val="hybridMultilevel"/>
    <w:lvl w:ilvl="0">
      <w:lvlJc w:val="left"/>
      <w:lvlText w:val="%1"/>
      <w:numFmt w:val="lowerLetter"/>
      <w:start w:val="1"/>
    </w:lvl>
    <w:lvl w:ilvl="1">
      <w:lvlJc w:val="left"/>
      <w:lvlText w:val="(%2)"/>
      <w:numFmt w:val="lowerLetter"/>
      <w:start w:val="1"/>
    </w:lvl>
  </w:abstractNum>
  <w:abstractNum w:abstractNumId="141">
    <w:nsid w:val="5451CF49"/>
    <w:multiLevelType w:val="hybridMultilevel"/>
    <w:lvl w:ilvl="0">
      <w:lvlJc w:val="left"/>
      <w:lvlText w:val="(%1)"/>
      <w:numFmt w:val="lowerLetter"/>
      <w:start w:val="2"/>
    </w:lvl>
    <w:lvl w:ilvl="1">
      <w:lvlJc w:val="left"/>
      <w:lvlText w:val="%2"/>
      <w:numFmt w:val="lowerLetter"/>
      <w:start w:val="1"/>
    </w:lvl>
  </w:abstractNum>
  <w:abstractNum w:abstractNumId="142">
    <w:nsid w:val="6181EF69"/>
    <w:multiLevelType w:val="hybridMultilevel"/>
    <w:lvl w:ilvl="0">
      <w:lvlJc w:val="left"/>
      <w:lvlText w:val="%1"/>
      <w:numFmt w:val="upperLetter"/>
      <w:start w:val="1"/>
    </w:lvl>
    <w:lvl w:ilvl="1">
      <w:lvlJc w:val="left"/>
      <w:lvlText w:val="(%2)"/>
      <w:numFmt w:val="lowerRoman"/>
      <w:start w:val="1"/>
    </w:lvl>
  </w:abstractNum>
  <w:abstractNum w:abstractNumId="143">
    <w:nsid w:val="3E6400E6"/>
    <w:multiLevelType w:val="hybridMultilevel"/>
    <w:lvl w:ilvl="0">
      <w:lvlJc w:val="left"/>
      <w:lvlText w:val="(%1)"/>
      <w:numFmt w:val="upperLetter"/>
      <w:start w:val="4"/>
    </w:lvl>
    <w:lvl w:ilvl="1">
      <w:lvlJc w:val="left"/>
      <w:lvlText w:val="%2"/>
      <w:numFmt w:val="lowerRoman"/>
      <w:start w:val="1"/>
    </w:lvl>
  </w:abstractNum>
  <w:abstractNum w:abstractNumId="144">
    <w:nsid w:val="14217E23"/>
    <w:multiLevelType w:val="hybridMultilevel"/>
    <w:lvl w:ilvl="0">
      <w:lvlJc w:val="left"/>
      <w:lvlText w:val="%1"/>
      <w:numFmt w:val="lowerLetter"/>
      <w:start w:val="1"/>
    </w:lvl>
    <w:lvl w:ilvl="1">
      <w:lvlJc w:val="left"/>
      <w:lvlText w:val="(%2)"/>
      <w:numFmt w:val="lowerRoman"/>
      <w:start w:val="4"/>
    </w:lvl>
  </w:abstractNum>
  <w:abstractNum w:abstractNumId="145">
    <w:nsid w:val="710757D0"/>
    <w:multiLevelType w:val="hybridMultilevel"/>
    <w:lvl w:ilvl="0">
      <w:lvlJc w:val="left"/>
      <w:lvlText w:val="(%1)"/>
      <w:numFmt w:val="lowerLetter"/>
      <w:start w:val="1"/>
    </w:lvl>
    <w:lvl w:ilvl="1">
      <w:lvlJc w:val="left"/>
      <w:lvlText w:val="%2"/>
      <w:numFmt w:val="lowerRoman"/>
      <w:start w:val="1"/>
    </w:lvl>
  </w:abstractNum>
  <w:abstractNum w:abstractNumId="146">
    <w:nsid w:val="5015CD1A"/>
    <w:multiLevelType w:val="hybridMultilevel"/>
    <w:lvl w:ilvl="0">
      <w:lvlJc w:val="left"/>
      <w:lvlText w:val="(%1)"/>
      <w:numFmt w:val="lowerLetter"/>
      <w:start w:val="5"/>
    </w:lvl>
  </w:abstractNum>
  <w:abstractNum w:abstractNumId="147">
    <w:nsid w:val="424479DA"/>
    <w:multiLevelType w:val="hybridMultilevel"/>
    <w:lvl w:ilvl="0">
      <w:lvlJc w:val="left"/>
      <w:lvlText w:val="(%1)"/>
      <w:numFmt w:val="lowerLetter"/>
      <w:start w:val="1"/>
    </w:lvl>
    <w:lvl w:ilvl="1">
      <w:lvlJc w:val="left"/>
      <w:lvlText w:val="(%2)"/>
      <w:numFmt w:val="lowerRoman"/>
      <w:start w:val="1"/>
    </w:lvl>
  </w:abstractNum>
  <w:abstractNum w:abstractNumId="148">
    <w:nsid w:val="1A9A9E69"/>
    <w:multiLevelType w:val="hybridMultilevel"/>
    <w:lvl w:ilvl="0">
      <w:lvlJc w:val="left"/>
      <w:lvlText w:val="(%1)"/>
      <w:numFmt w:val="lowerLetter"/>
      <w:start w:val="2"/>
    </w:lvl>
  </w:abstractNum>
  <w:abstractNum w:abstractNumId="149">
    <w:nsid w:val="475E256A"/>
    <w:multiLevelType w:val="hybridMultilevel"/>
    <w:lvl w:ilvl="0">
      <w:lvlJc w:val="left"/>
      <w:lvlText w:val="(%1)"/>
      <w:numFmt w:val="lowerLetter"/>
      <w:start w:val="3"/>
    </w:lvl>
  </w:abstractNum>
  <w:abstractNum w:abstractNumId="150">
    <w:nsid w:val="368DB37E"/>
    <w:multiLevelType w:val="hybridMultilevel"/>
    <w:lvl w:ilvl="0">
      <w:lvlJc w:val="left"/>
      <w:lvlText w:val="(%1)"/>
      <w:numFmt w:val="lowerLetter"/>
      <w:start w:val="1"/>
    </w:lvl>
  </w:abstractNum>
  <w:abstractNum w:abstractNumId="151">
    <w:nsid w:val="6A3B714C"/>
    <w:multiLevelType w:val="hybridMultilevel"/>
    <w:lvl w:ilvl="0">
      <w:lvlJc w:val="left"/>
      <w:lvlText w:val="(%1)"/>
      <w:numFmt w:val="lowerLetter"/>
      <w:start w:val="1"/>
    </w:lvl>
  </w:abstractNum>
  <w:abstractNum w:abstractNumId="152">
    <w:nsid w:val="327B517E"/>
    <w:multiLevelType w:val="hybridMultilevel"/>
    <w:lvl w:ilvl="0">
      <w:lvlJc w:val="left"/>
      <w:lvlText w:val="(%1)"/>
      <w:numFmt w:val="lowerLetter"/>
      <w:start w:val="4"/>
    </w:lvl>
  </w:abstractNum>
  <w:abstractNum w:abstractNumId="153">
    <w:nsid w:val="1F461B51"/>
    <w:multiLevelType w:val="hybridMultilevel"/>
    <w:lvl w:ilvl="0">
      <w:lvlJc w:val="left"/>
      <w:lvlText w:val="%1"/>
      <w:numFmt w:val="lowerLetter"/>
      <w:start w:val="1"/>
    </w:lvl>
    <w:lvl w:ilvl="1">
      <w:lvlJc w:val="left"/>
      <w:lvlText w:val="(%2)"/>
      <w:numFmt w:val="lowerLetter"/>
      <w:start w:val="1"/>
    </w:lvl>
  </w:abstractNum>
  <w:abstractNum w:abstractNumId="154">
    <w:nsid w:val="29BACF25"/>
    <w:multiLevelType w:val="hybridMultilevel"/>
    <w:lvl w:ilvl="0">
      <w:lvlJc w:val="left"/>
      <w:lvlText w:val="(%1)"/>
      <w:numFmt w:val="lowerLetter"/>
      <w:start w:val="61"/>
    </w:lvl>
    <w:lvl w:ilvl="1">
      <w:lvlJc w:val="left"/>
      <w:lvlText w:val="%2"/>
      <w:numFmt w:val="lowerLetter"/>
      <w:start w:val="1"/>
    </w:lvl>
  </w:abstractNum>
  <w:abstractNum w:abstractNumId="155">
    <w:nsid w:val="5D5BABB3"/>
    <w:multiLevelType w:val="hybridMultilevel"/>
    <w:lvl w:ilvl="0">
      <w:lvlJc w:val="left"/>
      <w:lvlText w:val="(%1)"/>
      <w:numFmt w:val="lowerLetter"/>
      <w:start w:val="2"/>
    </w:lvl>
    <w:lvl w:ilvl="1">
      <w:lvlJc w:val="left"/>
      <w:lvlText w:val="(%2)"/>
      <w:numFmt w:val="lowerLetter"/>
      <w:start w:val="9"/>
    </w:lvl>
  </w:abstractNum>
  <w:abstractNum w:abstractNumId="156">
    <w:nsid w:val="51BF6B48"/>
    <w:multiLevelType w:val="hybridMultilevel"/>
    <w:lvl w:ilvl="0">
      <w:lvlJc w:val="left"/>
      <w:lvlText w:val="(%1)"/>
      <w:numFmt w:val="upperLetter"/>
      <w:start w:val="1"/>
    </w:lvl>
  </w:abstractNum>
  <w:abstractNum w:abstractNumId="157">
    <w:nsid w:val="7E0F6384"/>
    <w:multiLevelType w:val="hybridMultilevel"/>
    <w:lvl w:ilvl="0">
      <w:lvlJc w:val="left"/>
      <w:lvlText w:val="(%1)"/>
      <w:numFmt w:val="lowerRoman"/>
      <w:start w:val="2"/>
    </w:lvl>
  </w:abstractNum>
  <w:abstractNum w:abstractNumId="158">
    <w:nsid w:val="2B4B8B53"/>
    <w:multiLevelType w:val="hybridMultilevel"/>
    <w:lvl w:ilvl="0">
      <w:lvlJc w:val="left"/>
      <w:lvlText w:val="(%1)"/>
      <w:numFmt w:val="upperLetter"/>
      <w:start w:val="1"/>
    </w:lvl>
  </w:abstractNum>
  <w:abstractNum w:abstractNumId="159">
    <w:nsid w:val="72E3413A"/>
    <w:multiLevelType w:val="hybridMultilevel"/>
    <w:lvl w:ilvl="0">
      <w:lvlJc w:val="left"/>
      <w:lvlText w:val="(%1)"/>
      <w:numFmt w:val="lowerRoman"/>
      <w:start w:val="4"/>
    </w:lvl>
  </w:abstractNum>
  <w:abstractNum w:abstractNumId="160">
    <w:nsid w:val="116AE494"/>
    <w:multiLevelType w:val="hybridMultilevel"/>
    <w:lvl w:ilvl="0">
      <w:lvlJc w:val="left"/>
      <w:lvlText w:val="(%1)"/>
      <w:numFmt w:val="lowerLetter"/>
      <w:start w:val="25"/>
    </w:lvl>
  </w:abstractNum>
  <w:abstractNum w:abstractNumId="161">
    <w:nsid w:val="3494B2FB"/>
    <w:multiLevelType w:val="hybridMultilevel"/>
    <w:lvl w:ilvl="0">
      <w:lvlJc w:val="left"/>
      <w:lvlText w:val="(%1)"/>
      <w:numFmt w:val="lowerLetter"/>
      <w:start w:val="24"/>
    </w:lvl>
  </w:abstractNum>
  <w:abstractNum w:abstractNumId="162">
    <w:nsid w:val="B13A31"/>
    <w:multiLevelType w:val="hybridMultilevel"/>
    <w:lvl w:ilvl="0">
      <w:lvlJc w:val="left"/>
      <w:lvlText w:val="(%1)"/>
      <w:numFmt w:val="lowerLetter"/>
      <w:start w:val="3"/>
    </w:lvl>
    <w:lvl w:ilvl="1">
      <w:lvlJc w:val="left"/>
      <w:lvlText w:val="(%2)"/>
      <w:numFmt w:val="lowerRoman"/>
      <w:start w:val="1"/>
    </w:lvl>
  </w:abstractNum>
  <w:abstractNum w:abstractNumId="163">
    <w:nsid w:val="64429599"/>
    <w:multiLevelType w:val="hybridMultilevel"/>
    <w:lvl w:ilvl="0">
      <w:lvlJc w:val="left"/>
      <w:lvlText w:val="(%1)"/>
      <w:numFmt w:val="lowerLetter"/>
      <w:start w:val="5"/>
    </w:lvl>
  </w:abstractNum>
  <w:abstractNum w:abstractNumId="164">
    <w:nsid w:val="631F1690"/>
    <w:multiLevelType w:val="hybridMultilevel"/>
    <w:lvl w:ilvl="0">
      <w:lvlJc w:val="left"/>
      <w:lvlText w:val="(%1)"/>
      <w:numFmt w:val="lowerLetter"/>
      <w:start w:val="7"/>
    </w:lvl>
  </w:abstractNum>
  <w:abstractNum w:abstractNumId="165">
    <w:nsid w:val="25973E32"/>
    <w:multiLevelType w:val="hybridMultilevel"/>
    <w:lvl w:ilvl="0">
      <w:lvlJc w:val="left"/>
      <w:lvlText w:val="%1"/>
      <w:numFmt w:val="lowerLetter"/>
      <w:start w:val="1"/>
    </w:lvl>
    <w:lvl w:ilvl="1">
      <w:lvlJc w:val="left"/>
      <w:lvlText w:val="(%2)"/>
      <w:numFmt w:val="lowerLetter"/>
      <w:start w:val="1"/>
    </w:lvl>
  </w:abstractNum>
  <w:abstractNum w:abstractNumId="166">
    <w:nsid w:val="EAD6F57"/>
    <w:multiLevelType w:val="hybridMultilevel"/>
    <w:lvl w:ilvl="0">
      <w:lvlJc w:val="left"/>
      <w:lvlText w:val="(%1)"/>
      <w:numFmt w:val="lowerLetter"/>
      <w:start w:val="26"/>
    </w:lvl>
    <w:lvl w:ilvl="1">
      <w:lvlJc w:val="left"/>
      <w:lvlText w:val="%2"/>
      <w:numFmt w:val="lowerLetter"/>
      <w:start w:val="1"/>
    </w:lvl>
  </w:abstractNum>
  <w:abstractNum w:abstractNumId="167">
    <w:nsid w:val="6EC9D844"/>
    <w:multiLevelType w:val="hybridMultilevel"/>
    <w:lvl w:ilvl="0">
      <w:lvlJc w:val="left"/>
      <w:lvlText w:val="(%1)"/>
      <w:numFmt w:val="lowerLetter"/>
      <w:start w:val="1"/>
    </w:lvl>
  </w:abstractNum>
  <w:abstractNum w:abstractNumId="168">
    <w:nsid w:val="5C49EAEE"/>
    <w:multiLevelType w:val="hybridMultilevel"/>
    <w:lvl w:ilvl="0">
      <w:lvlJc w:val="left"/>
      <w:lvlText w:val="(%1)"/>
      <w:numFmt w:val="lowerLetter"/>
      <w:start w:val="3"/>
    </w:lvl>
  </w:abstractNum>
  <w:abstractNum w:abstractNumId="169">
    <w:nsid w:val="64AF49B"/>
    <w:multiLevelType w:val="hybridMultilevel"/>
    <w:lvl w:ilvl="0">
      <w:lvlJc w:val="left"/>
      <w:lvlText w:val="(%1)"/>
      <w:numFmt w:val="lowerLetter"/>
      <w:start w:val="2"/>
    </w:lvl>
  </w:abstractNum>
  <w:abstractNum w:abstractNumId="170">
    <w:nsid w:val="397C46BC"/>
    <w:multiLevelType w:val="hybridMultilevel"/>
    <w:lvl w:ilvl="0">
      <w:lvlJc w:val="left"/>
      <w:lvlText w:val="(%1)"/>
      <w:numFmt w:val="lowerLetter"/>
      <w:start w:val="3"/>
    </w:lvl>
  </w:abstractNum>
  <w:abstractNum w:abstractNumId="171">
    <w:nsid w:val="7E448DE9"/>
    <w:multiLevelType w:val="hybridMultilevel"/>
    <w:lvl w:ilvl="0">
      <w:lvlJc w:val="left"/>
      <w:lvlText w:val="(%1)"/>
      <w:numFmt w:val="lowerLetter"/>
      <w:start w:val="1"/>
    </w:lvl>
  </w:abstractNum>
  <w:abstractNum w:abstractNumId="172">
    <w:nsid w:val="5A9CC3E5"/>
    <w:multiLevelType w:val="hybridMultilevel"/>
    <w:lvl w:ilvl="0">
      <w:lvlJc w:val="left"/>
      <w:lvlText w:val="(%1)"/>
      <w:numFmt w:val="lowerLetter"/>
      <w:start w:val="1"/>
    </w:lvl>
    <w:lvl w:ilvl="1">
      <w:lvlJc w:val="left"/>
      <w:lvlText w:val="(%2)"/>
      <w:numFmt w:val="lowerRoman"/>
      <w:start w:val="1"/>
    </w:lvl>
  </w:abstractNum>
  <w:abstractNum w:abstractNumId="173">
    <w:nsid w:val="1AFE3625"/>
    <w:multiLevelType w:val="hybridMultilevel"/>
    <w:lvl w:ilvl="0">
      <w:lvlJc w:val="left"/>
      <w:lvlText w:val="%1."/>
      <w:numFmt w:val="decimal"/>
      <w:start w:val="1"/>
    </w:lvl>
  </w:abstractNum>
  <w:abstractNum w:abstractNumId="174">
    <w:nsid w:val="3CA88ECF"/>
    <w:multiLevelType w:val="hybridMultilevel"/>
    <w:lvl w:ilvl="0">
      <w:lvlJc w:val="left"/>
      <w:lvlText w:val="%1."/>
      <w:numFmt w:val="decimal"/>
      <w:start w:val="4"/>
    </w:lvl>
  </w:abstractNum>
  <w:abstractNum w:abstractNumId="175">
    <w:nsid w:val="6EBE4208"/>
    <w:multiLevelType w:val="hybridMultilevel"/>
    <w:lvl w:ilvl="0">
      <w:lvlJc w:val="left"/>
      <w:lvlText w:val="%1."/>
      <w:numFmt w:val="decimal"/>
      <w:start w:val="5"/>
    </w:lvl>
  </w:abstractNum>
  <w:abstractNum w:abstractNumId="176">
    <w:nsid w:val="C058DF5"/>
    <w:multiLevelType w:val="hybridMultilevel"/>
    <w:lvl w:ilvl="0">
      <w:lvlJc w:val="left"/>
      <w:lvlText w:val="%1."/>
      <w:numFmt w:val="decimal"/>
      <w:start w:val="8"/>
    </w:lvl>
  </w:abstractNum>
  <w:abstractNum w:abstractNumId="177">
    <w:nsid w:val="CBE5BE9"/>
    <w:multiLevelType w:val="hybridMultilevel"/>
    <w:lvl w:ilvl="0">
      <w:lvlJc w:val="left"/>
      <w:lvlText w:val="%1)"/>
      <w:numFmt w:val="lowerLetter"/>
      <w:start w:val="1"/>
    </w:lvl>
  </w:abstractNum>
  <w:abstractNum w:abstractNumId="178">
    <w:nsid w:val="3102BBE2"/>
    <w:multiLevelType w:val="hybridMultilevel"/>
    <w:lvl w:ilvl="0">
      <w:lvlJc w:val="left"/>
      <w:lvlText w:val="%1"/>
      <w:numFmt w:val="lowerRoman"/>
      <w:start w:val="1"/>
    </w:lvl>
    <w:lvl w:ilvl="1">
      <w:lvlJc w:val="left"/>
      <w:lvlText w:val="%2)"/>
      <w:numFmt w:val="lowerLetter"/>
      <w:start w:val="4"/>
    </w:lvl>
  </w:abstractNum>
  <w:abstractNum w:abstractNumId="179">
    <w:nsid w:val="26A02C5E"/>
    <w:multiLevelType w:val="hybridMultilevel"/>
    <w:lvl w:ilvl="0">
      <w:lvlJc w:val="left"/>
      <w:lvlText w:val="%1."/>
      <w:numFmt w:val="lowerRoman"/>
      <w:start w:val="1"/>
    </w:lvl>
    <w:lvl w:ilvl="1">
      <w:lvlJc w:val="left"/>
      <w:lvlText w:val="%2"/>
      <w:numFmt w:val="lowerLetter"/>
      <w:start w:val="1"/>
    </w:lvl>
  </w:abstractNum>
  <w:abstractNum w:abstractNumId="180">
    <w:nsid w:val="541C8153"/>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1"/>
    </w:lvl>
  </w:abstractNum>
  <w:abstractNum w:abstractNumId="181">
    <w:nsid w:val="67906F60"/>
    <w:multiLevelType w:val="hybridMultilevel"/>
    <w:lvl w:ilvl="0">
      <w:lvlJc w:val="left"/>
      <w:lvlText w:val="%1."/>
      <w:numFmt w:val="decimal"/>
      <w:start w:val="9"/>
    </w:lvl>
    <w:lvl w:ilvl="1">
      <w:lvlJc w:val="left"/>
      <w:lvlText w:val="%2"/>
      <w:numFmt w:val="lowerRoman"/>
      <w:start w:val="1"/>
    </w:lvl>
    <w:lvl w:ilvl="2">
      <w:lvlJc w:val="left"/>
      <w:lvlText w:val="%3"/>
      <w:numFmt w:val="lowerRoman"/>
      <w:start w:val="1"/>
    </w:lvl>
  </w:abstractNum>
  <w:abstractNum w:abstractNumId="182">
    <w:nsid w:val="10DB9DAA"/>
    <w:multiLevelType w:val="hybridMultilevel"/>
    <w:lvl w:ilvl="0">
      <w:lvlJc w:val="left"/>
      <w:lvlText w:val="%1."/>
      <w:numFmt w:val="decimal"/>
      <w:start w:val="11"/>
    </w:lvl>
  </w:abstractNum>
  <w:abstractNum w:abstractNumId="183">
    <w:nsid w:val="697D2D2"/>
    <w:multiLevelType w:val="hybridMultilevel"/>
    <w:lvl w:ilvl="0">
      <w:lvlJc w:val="left"/>
      <w:lvlText w:val="(%1)"/>
      <w:numFmt w:val="lowerRoman"/>
      <w:start w:val="1"/>
    </w:lvl>
  </w:abstractNum>
  <w:abstractNum w:abstractNumId="184">
    <w:nsid w:val="6D68AB2"/>
    <w:multiLevelType w:val="hybridMultilevel"/>
    <w:lvl w:ilvl="0">
      <w:lvlJc w:val="left"/>
      <w:lvlText w:val="(%1)"/>
      <w:numFmt w:val="lowerRoman"/>
      <w:start w:val="4"/>
    </w:lvl>
  </w:abstractNum>
  <w:abstractNum w:abstractNumId="185">
    <w:nsid w:val="3A966CD0"/>
    <w:multiLevelType w:val="hybridMultilevel"/>
    <w:lvl w:ilvl="0">
      <w:lvlJc w:val="left"/>
      <w:lvlText w:val="(%1)"/>
      <w:numFmt w:val="lowerRoman"/>
      <w:start w:val="1"/>
    </w:lvl>
  </w:abstractNum>
  <w:abstractNum w:abstractNumId="186">
    <w:nsid w:val="63F37E85"/>
    <w:multiLevelType w:val="hybridMultilevel"/>
    <w:lvl w:ilvl="0">
      <w:lvlJc w:val="left"/>
      <w:lvlText w:val="%1."/>
      <w:numFmt w:val="decimal"/>
      <w:start w:val="1"/>
    </w:lvl>
  </w:abstractNum>
  <w:abstractNum w:abstractNumId="187">
    <w:nsid w:val="5895F5FA"/>
    <w:multiLevelType w:val="hybridMultilevel"/>
    <w:lvl w:ilvl="0">
      <w:lvlJc w:val="left"/>
      <w:lvlText w:val="%1."/>
      <w:numFmt w:val="decimal"/>
      <w:start w:val="5"/>
    </w:lvl>
  </w:abstractNum>
  <w:abstractNum w:abstractNumId="188">
    <w:nsid w:val="38A5D054"/>
    <w:multiLevelType w:val="hybridMultilevel"/>
    <w:lvl w:ilvl="0">
      <w:lvlJc w:val="left"/>
      <w:lvlText w:val="%1"/>
      <w:numFmt w:val="decimal"/>
      <w:start w:val="1"/>
    </w:lvl>
    <w:lvl w:ilvl="1">
      <w:lvlJc w:val="left"/>
      <w:lvlText w:val="%2."/>
      <w:numFmt w:val="decimal"/>
      <w:start w:val="6"/>
    </w:lvl>
  </w:abstractNum>
  <w:abstractNum w:abstractNumId="189">
    <w:nsid w:val="F3F09D8"/>
    <w:multiLevelType w:val="hybridMultilevel"/>
    <w:lvl w:ilvl="0">
      <w:lvlJc w:val="left"/>
      <w:lvlText w:val="%1."/>
      <w:numFmt w:val="decimal"/>
      <w:start w:val="7"/>
    </w:lvl>
    <w:lvl w:ilvl="1">
      <w:lvlJc w:val="left"/>
      <w:lvlText w:val="%2."/>
      <w:numFmt w:val="decimal"/>
      <w:start w:val="8"/>
    </w:lvl>
  </w:abstractNum>
  <w:abstractNum w:abstractNumId="190">
    <w:nsid w:val="4B793735"/>
    <w:multiLevelType w:val="hybridMultilevel"/>
    <w:lvl w:ilvl="0">
      <w:lvlJc w:val="left"/>
      <w:lvlText w:val="%1)"/>
      <w:numFmt w:val="lowerLetter"/>
      <w:start w:val="1"/>
    </w:lvl>
  </w:abstractNum>
  <w:abstractNum w:abstractNumId="191">
    <w:nsid w:val="4A10B4E8"/>
    <w:multiLevelType w:val="hybridMultilevel"/>
    <w:lvl w:ilvl="0">
      <w:lvlJc w:val="left"/>
      <w:lvlText w:val="%1"/>
      <w:numFmt w:val="lowerRoman"/>
      <w:start w:val="1"/>
    </w:lvl>
    <w:lvl w:ilvl="1">
      <w:lvlJc w:val="left"/>
      <w:lvlText w:val="%2)"/>
      <w:numFmt w:val="lowerLetter"/>
      <w:start w:val="2"/>
    </w:lvl>
  </w:abstractNum>
  <w:abstractNum w:abstractNumId="192">
    <w:nsid w:val="43D3BCD4"/>
    <w:multiLevelType w:val="hybridMultilevel"/>
    <w:lvl w:ilvl="0">
      <w:lvlJc w:val="left"/>
      <w:lvlText w:val="%1."/>
      <w:numFmt w:val="lowerRoman"/>
      <w:start w:val="1"/>
    </w:lvl>
    <w:lvl w:ilvl="1">
      <w:lvlJc w:val="left"/>
      <w:lvlText w:val="%2"/>
      <w:numFmt w:val="lowerLetter"/>
      <w:start w:val="1"/>
    </w:lvl>
  </w:abstractNum>
  <w:abstractNum w:abstractNumId="193">
    <w:nsid w:val="4C2A7166"/>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lvl w:ilvl="3">
      <w:lvlJc w:val="left"/>
      <w:lvlText w:val="(%4)"/>
      <w:numFmt w:val="lowerRoman"/>
      <w:start w:val="1"/>
    </w:lvl>
  </w:abstractNum>
  <w:abstractNum w:abstractNumId="194">
    <w:nsid w:val="2E534A82"/>
    <w:multiLevelType w:val="hybridMultilevel"/>
    <w:lvl w:ilvl="0">
      <w:lvlJc w:val="left"/>
      <w:lvlText w:val="%1"/>
      <w:numFmt w:val="decimal"/>
      <w:start w:val="1"/>
    </w:lvl>
    <w:lvl w:ilvl="1">
      <w:lvlJc w:val="left"/>
      <w:lvlText w:val="%2."/>
      <w:numFmt w:val="decimal"/>
      <w:start w:val="9"/>
    </w:lvl>
    <w:lvl w:ilvl="2">
      <w:lvlJc w:val="left"/>
      <w:lvlText w:val="%3"/>
      <w:numFmt w:val="lowerRoman"/>
      <w:start w:val="1"/>
    </w:lvl>
    <w:lvl w:ilvl="3">
      <w:lvlJc w:val="left"/>
      <w:lvlText w:val="%4"/>
      <w:numFmt w:val="lowerRoman"/>
      <w:start w:val="1"/>
    </w:lvl>
  </w:abstractNum>
  <w:abstractNum w:abstractNumId="195">
    <w:nsid w:val="26F2D364"/>
    <w:multiLevelType w:val="hybridMultilevel"/>
    <w:lvl w:ilvl="0">
      <w:lvlJc w:val="left"/>
      <w:lvlText w:val="%1."/>
      <w:numFmt w:val="decimal"/>
      <w:start w:val="11"/>
    </w:lvl>
    <w:lvl w:ilvl="1">
      <w:lvlJc w:val="left"/>
      <w:lvlText w:val="%2."/>
      <w:numFmt w:val="decimal"/>
      <w:start w:val="12"/>
    </w:lvl>
    <w:lvl w:ilvl="2">
      <w:lvlJc w:val="left"/>
      <w:lvlText w:val="%3"/>
      <w:numFmt w:val="lowerRoman"/>
      <w:start w:val="1"/>
    </w:lvl>
    <w:lvl w:ilvl="3">
      <w:lvlJc w:val="left"/>
      <w:lvlText w:val="%4"/>
      <w:numFmt w:val="lowerRoman"/>
      <w:start w:val="1"/>
    </w:lvl>
  </w:abstractNum>
  <w:abstractNum w:abstractNumId="196">
    <w:nsid w:val="71C1AF98"/>
    <w:multiLevelType w:val="hybridMultilevel"/>
    <w:lvl w:ilvl="0">
      <w:lvlJc w:val="left"/>
      <w:lvlText w:val="%1."/>
      <w:numFmt w:val="decimal"/>
      <w:start w:val="13"/>
    </w:lvl>
  </w:abstractNum>
  <w:abstractNum w:abstractNumId="197">
    <w:nsid w:val="3D00B9D9"/>
    <w:multiLevelType w:val="hybridMultilevel"/>
    <w:lvl w:ilvl="0">
      <w:lvlJc w:val="left"/>
      <w:lvlText w:val="(%1)"/>
      <w:numFmt w:val="lowerLetter"/>
      <w:start w:val="1"/>
    </w:lvl>
  </w:abstractNum>
  <w:abstractNum w:abstractNumId="198">
    <w:nsid w:val="15BCABA8"/>
    <w:multiLevelType w:val="hybridMultilevel"/>
    <w:lvl w:ilvl="0">
      <w:lvlJc w:val="left"/>
      <w:lvlText w:val="•"/>
      <w:numFmt w:val="bullet"/>
      <w:start w:val="1"/>
    </w:lvl>
  </w:abstractNum>
  <w:abstractNum w:abstractNumId="199">
    <w:nsid w:val="4E0B9A87"/>
    <w:multiLevelType w:val="hybridMultilevel"/>
    <w:lvl w:ilvl="0">
      <w:lvlJc w:val="left"/>
      <w:lvlText w:val="•"/>
      <w:numFmt w:val="bullet"/>
      <w:start w:val="1"/>
    </w:lvl>
  </w:abstractNum>
  <w:abstractNum w:abstractNumId="200">
    <w:nsid w:val="434BAE75"/>
    <w:multiLevelType w:val="hybridMultilevel"/>
    <w:lvl w:ilvl="0">
      <w:lvlJc w:val="left"/>
      <w:lvlText w:val="%1."/>
      <w:numFmt w:val="decimal"/>
      <w:start w:val="1"/>
    </w:lvl>
  </w:abstractNum>
  <w:abstractNum w:abstractNumId="201">
    <w:nsid w:val="4F38F265"/>
    <w:multiLevelType w:val="hybridMultilevel"/>
    <w:lvl w:ilvl="0">
      <w:lvlJc w:val="left"/>
      <w:lvlText w:val="%1."/>
      <w:numFmt w:val="decimal"/>
      <w:start w:val="6"/>
    </w:lvl>
  </w:abstractNum>
  <w:abstractNum w:abstractNumId="202">
    <w:nsid w:val="4C502870"/>
    <w:multiLevelType w:val="hybridMultilevel"/>
    <w:lvl w:ilvl="0">
      <w:lvlJc w:val="left"/>
      <w:lvlText w:val="%1."/>
      <w:numFmt w:val="decimal"/>
      <w:start w:val="1"/>
    </w:lvl>
    <w:lvl w:ilvl="1">
      <w:lvlJc w:val="left"/>
      <w:lvlText w:val="%2."/>
      <w:numFmt w:val="lowerLetter"/>
      <w:start w:val="1"/>
    </w:lvl>
  </w:abstractNum>
  <w:abstractNum w:abstractNumId="203">
    <w:nsid w:val="1DE8725A"/>
    <w:multiLevelType w:val="hybridMultilevel"/>
    <w:lvl w:ilvl="0">
      <w:lvlJc w:val="left"/>
      <w:lvlText w:val="%1."/>
      <w:numFmt w:val="decimal"/>
      <w:start w:val="1"/>
    </w:lvl>
    <w:lvl w:ilvl="1">
      <w:lvlJc w:val="left"/>
      <w:lvlText w:val="%2."/>
      <w:numFmt w:val="lowerLetter"/>
      <w:start w:val="1"/>
    </w:lvl>
  </w:abstractNum>
  <w:abstractNum w:abstractNumId="204">
    <w:nsid w:val="6A37288A"/>
    <w:multiLevelType w:val="hybridMultilevel"/>
    <w:lvl w:ilvl="0">
      <w:lvlJc w:val="left"/>
      <w:lvlText w:val="%1."/>
      <w:numFmt w:val="decimal"/>
      <w:start w:val="1"/>
    </w:lvl>
  </w:abstractNum>
  <w:abstractNum w:abstractNumId="205">
    <w:nsid w:val="8F8B73F"/>
    <w:multiLevelType w:val="hybridMultilevel"/>
    <w:lvl w:ilvl="0">
      <w:lvlJc w:val="left"/>
      <w:lvlText w:val="%1."/>
      <w:numFmt w:val="upperLetter"/>
      <w:start w:val="9"/>
    </w:lvl>
  </w:abstractNum>
  <w:abstractNum w:abstractNumId="206">
    <w:nsid w:val="CA6B462"/>
    <w:multiLevelType w:val="hybridMultilevel"/>
    <w:lvl w:ilvl="0">
      <w:lvlJc w:val="left"/>
      <w:lvlText w:val="%1."/>
      <w:numFmt w:val="upperLetter"/>
      <w:start w:val="35"/>
    </w:lvl>
    <w:lvl w:ilvl="1">
      <w:lvlJc w:val="left"/>
      <w:lvlText w:val="%2."/>
      <w:numFmt w:val="lowerLetter"/>
      <w:start w:val="1"/>
    </w:lvl>
  </w:abstractNum>
  <w:abstractNum w:abstractNumId="207">
    <w:nsid w:val="763CB680"/>
    <w:multiLevelType w:val="hybridMultilevel"/>
    <w:lvl w:ilvl="0">
      <w:lvlJc w:val="left"/>
      <w:lvlText w:val="%1"/>
      <w:numFmt w:val="upperLetter"/>
      <w:start w:val="1"/>
    </w:lvl>
    <w:lvl w:ilvl="1">
      <w:lvlJc w:val="left"/>
      <w:lvlText w:val="%2."/>
      <w:numFmt w:val="lowerLetter"/>
      <w:start w:val="8"/>
    </w:lvl>
  </w:abstractNum>
  <w:abstractNum w:abstractNumId="208">
    <w:nsid w:val="15B71329"/>
    <w:multiLevelType w:val="hybridMultilevel"/>
    <w:lvl w:ilvl="0">
      <w:lvlJc w:val="left"/>
      <w:lvlText w:val="%1."/>
      <w:numFmt w:val="upperLetter"/>
      <w:start w:val="61"/>
    </w:lvl>
    <w:lvl w:ilvl="1">
      <w:lvlJc w:val="left"/>
      <w:lvlText w:val="%2"/>
      <w:numFmt w:val="lowerLetter"/>
      <w:start w:val="1"/>
    </w:lvl>
  </w:abstractNum>
  <w:abstractNum w:abstractNumId="209">
    <w:nsid w:val="3DA97044"/>
    <w:multiLevelType w:val="hybridMultilevel"/>
    <w:lvl w:ilvl="0">
      <w:lvlJc w:val="left"/>
      <w:lvlText w:val="%1."/>
      <w:numFmt w:val="lowerLetter"/>
      <w:start w:val="1"/>
    </w:lvl>
  </w:abstractNum>
  <w:abstractNum w:abstractNumId="210">
    <w:nsid w:val="1CDCE2D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8" Type="http://schemas.openxmlformats.org/officeDocument/2006/relationships/image" Target="media/image74.png"/><Relationship Id="rId123" Type="http://schemas.openxmlformats.org/officeDocument/2006/relationships/image" Target="media/image75.png"/><Relationship Id="rId126" Type="http://schemas.openxmlformats.org/officeDocument/2006/relationships/image" Target="media/image76.png"/><Relationship Id="rId149" Type="http://schemas.openxmlformats.org/officeDocument/2006/relationships/image" Target="media/image77.png"/><Relationship Id="rId179" Type="http://schemas.openxmlformats.org/officeDocument/2006/relationships/image" Target="media/image78.png"/><Relationship Id="rId186" Type="http://schemas.openxmlformats.org/officeDocument/2006/relationships/image" Target="media/image79.png"/><Relationship Id="rId187" Type="http://schemas.openxmlformats.org/officeDocument/2006/relationships/image" Target="media/image80.png"/><Relationship Id="rId188" Type="http://schemas.openxmlformats.org/officeDocument/2006/relationships/image" Target="media/image81.png"/><Relationship Id="rId189" Type="http://schemas.openxmlformats.org/officeDocument/2006/relationships/image" Target="media/image82.png"/><Relationship Id="rId190" Type="http://schemas.openxmlformats.org/officeDocument/2006/relationships/image" Target="media/image83.png"/><Relationship Id="rId191" Type="http://schemas.openxmlformats.org/officeDocument/2006/relationships/image" Target="media/image84.png"/><Relationship Id="rId192" Type="http://schemas.openxmlformats.org/officeDocument/2006/relationships/image" Target="media/image85.png"/><Relationship Id="rId193" Type="http://schemas.openxmlformats.org/officeDocument/2006/relationships/image" Target="media/image86.png"/><Relationship Id="rId194" Type="http://schemas.openxmlformats.org/officeDocument/2006/relationships/image" Target="media/image87.png"/><Relationship Id="rId195" Type="http://schemas.openxmlformats.org/officeDocument/2006/relationships/image" Target="media/image88.png"/><Relationship Id="rId196" Type="http://schemas.openxmlformats.org/officeDocument/2006/relationships/image" Target="media/image89.png"/><Relationship Id="rId197" Type="http://schemas.openxmlformats.org/officeDocument/2006/relationships/image" Target="media/image90.png"/><Relationship Id="rId198" Type="http://schemas.openxmlformats.org/officeDocument/2006/relationships/image" Target="media/image91.png"/><Relationship Id="rId199" Type="http://schemas.openxmlformats.org/officeDocument/2006/relationships/image" Target="media/image92.png"/><Relationship Id="rId200" Type="http://schemas.openxmlformats.org/officeDocument/2006/relationships/image" Target="media/image93.png"/><Relationship Id="rId201" Type="http://schemas.openxmlformats.org/officeDocument/2006/relationships/image" Target="media/image94.png"/><Relationship Id="rId202" Type="http://schemas.openxmlformats.org/officeDocument/2006/relationships/image" Target="media/image95.png"/><Relationship Id="rId203" Type="http://schemas.openxmlformats.org/officeDocument/2006/relationships/image" Target="media/image96.png"/><Relationship Id="rId204" Type="http://schemas.openxmlformats.org/officeDocument/2006/relationships/image" Target="media/image97.png"/><Relationship Id="rId205" Type="http://schemas.openxmlformats.org/officeDocument/2006/relationships/image" Target="media/image98.png"/><Relationship Id="rId206" Type="http://schemas.openxmlformats.org/officeDocument/2006/relationships/image" Target="media/image99.png"/><Relationship Id="rId207" Type="http://schemas.openxmlformats.org/officeDocument/2006/relationships/image" Target="media/image100.png"/><Relationship Id="rId208" Type="http://schemas.openxmlformats.org/officeDocument/2006/relationships/image" Target="media/image101.png"/><Relationship Id="rId209" Type="http://schemas.openxmlformats.org/officeDocument/2006/relationships/image" Target="media/image102.png"/><Relationship Id="rId210" Type="http://schemas.openxmlformats.org/officeDocument/2006/relationships/image" Target="media/image103.png"/><Relationship Id="rId211" Type="http://schemas.openxmlformats.org/officeDocument/2006/relationships/image" Target="media/image104.png"/><Relationship Id="rId212" Type="http://schemas.openxmlformats.org/officeDocument/2006/relationships/image" Target="media/image105.png"/><Relationship Id="rId213" Type="http://schemas.openxmlformats.org/officeDocument/2006/relationships/image" Target="media/image106.png"/><Relationship Id="rId214" Type="http://schemas.openxmlformats.org/officeDocument/2006/relationships/image" Target="media/image107.png"/><Relationship Id="rId215" Type="http://schemas.openxmlformats.org/officeDocument/2006/relationships/image" Target="media/image108.png"/><Relationship Id="rId216" Type="http://schemas.openxmlformats.org/officeDocument/2006/relationships/image" Target="media/image109.png"/><Relationship Id="rId217" Type="http://schemas.openxmlformats.org/officeDocument/2006/relationships/image" Target="media/image110.png"/><Relationship Id="rId218" Type="http://schemas.openxmlformats.org/officeDocument/2006/relationships/image" Target="media/image111.png"/><Relationship Id="rId219" Type="http://schemas.openxmlformats.org/officeDocument/2006/relationships/image" Target="media/image112.png"/><Relationship Id="rId220" Type="http://schemas.openxmlformats.org/officeDocument/2006/relationships/image" Target="media/image113.png"/><Relationship Id="rId221" Type="http://schemas.openxmlformats.org/officeDocument/2006/relationships/image" Target="media/image114.png"/><Relationship Id="rId222" Type="http://schemas.openxmlformats.org/officeDocument/2006/relationships/image" Target="media/image115.png"/><Relationship Id="rId223" Type="http://schemas.openxmlformats.org/officeDocument/2006/relationships/image" Target="media/image116.png"/><Relationship Id="rId224" Type="http://schemas.openxmlformats.org/officeDocument/2006/relationships/image" Target="media/image117.png"/><Relationship Id="rId225" Type="http://schemas.openxmlformats.org/officeDocument/2006/relationships/image" Target="media/image118.png"/><Relationship Id="rId226" Type="http://schemas.openxmlformats.org/officeDocument/2006/relationships/image" Target="media/image119.png"/><Relationship Id="rId227" Type="http://schemas.openxmlformats.org/officeDocument/2006/relationships/image" Target="media/image120.png"/><Relationship Id="rId228" Type="http://schemas.openxmlformats.org/officeDocument/2006/relationships/image" Target="media/image121.png"/><Relationship Id="rId229" Type="http://schemas.openxmlformats.org/officeDocument/2006/relationships/image" Target="media/image122.png"/><Relationship Id="rId230" Type="http://schemas.openxmlformats.org/officeDocument/2006/relationships/image" Target="media/image123.png"/><Relationship Id="rId231" Type="http://schemas.openxmlformats.org/officeDocument/2006/relationships/image" Target="media/image124.png"/><Relationship Id="rId232" Type="http://schemas.openxmlformats.org/officeDocument/2006/relationships/image" Target="media/image125.png"/><Relationship Id="rId233" Type="http://schemas.openxmlformats.org/officeDocument/2006/relationships/image" Target="media/image126.png"/><Relationship Id="rId234" Type="http://schemas.openxmlformats.org/officeDocument/2006/relationships/image" Target="media/image127.png"/><Relationship Id="rId235" Type="http://schemas.openxmlformats.org/officeDocument/2006/relationships/image" Target="media/image128.png"/><Relationship Id="rId236" Type="http://schemas.openxmlformats.org/officeDocument/2006/relationships/image" Target="media/image129.png"/><Relationship Id="rId237" Type="http://schemas.openxmlformats.org/officeDocument/2006/relationships/image" Target="media/image130.png"/><Relationship Id="rId238" Type="http://schemas.openxmlformats.org/officeDocument/2006/relationships/image" Target="media/image131.png"/><Relationship Id="rId239" Type="http://schemas.openxmlformats.org/officeDocument/2006/relationships/image" Target="media/image132.png"/><Relationship Id="rId240" Type="http://schemas.openxmlformats.org/officeDocument/2006/relationships/image" Target="media/image133.png"/><Relationship Id="rId241" Type="http://schemas.openxmlformats.org/officeDocument/2006/relationships/image" Target="media/image134.png"/><Relationship Id="rId242" Type="http://schemas.openxmlformats.org/officeDocument/2006/relationships/image" Target="media/image135.png"/><Relationship Id="rId243" Type="http://schemas.openxmlformats.org/officeDocument/2006/relationships/image" Target="media/image136.png"/><Relationship Id="rId244" Type="http://schemas.openxmlformats.org/officeDocument/2006/relationships/image" Target="media/image137.png"/><Relationship Id="rId245" Type="http://schemas.openxmlformats.org/officeDocument/2006/relationships/image" Target="media/image138.png"/><Relationship Id="rId246" Type="http://schemas.openxmlformats.org/officeDocument/2006/relationships/image" Target="media/image139.png"/><Relationship Id="rId247" Type="http://schemas.openxmlformats.org/officeDocument/2006/relationships/image" Target="media/image140.png"/><Relationship Id="rId248" Type="http://schemas.openxmlformats.org/officeDocument/2006/relationships/image" Target="media/image141.png"/><Relationship Id="rId249" Type="http://schemas.openxmlformats.org/officeDocument/2006/relationships/image" Target="media/image142.png"/><Relationship Id="rId250" Type="http://schemas.openxmlformats.org/officeDocument/2006/relationships/image" Target="media/image143.png"/><Relationship Id="rId251" Type="http://schemas.openxmlformats.org/officeDocument/2006/relationships/image" Target="media/image144.png"/><Relationship Id="rId252" Type="http://schemas.openxmlformats.org/officeDocument/2006/relationships/image" Target="media/image145.png"/><Relationship Id="rId253" Type="http://schemas.openxmlformats.org/officeDocument/2006/relationships/image" Target="media/image146.png"/><Relationship Id="rId254" Type="http://schemas.openxmlformats.org/officeDocument/2006/relationships/image" Target="media/image147.png"/><Relationship Id="rId255" Type="http://schemas.openxmlformats.org/officeDocument/2006/relationships/image" Target="media/image148.png"/><Relationship Id="rId256" Type="http://schemas.openxmlformats.org/officeDocument/2006/relationships/image" Target="media/image149.png"/><Relationship Id="rId257" Type="http://schemas.openxmlformats.org/officeDocument/2006/relationships/image" Target="media/image150.png"/><Relationship Id="rId258" Type="http://schemas.openxmlformats.org/officeDocument/2006/relationships/image" Target="media/image151.png"/><Relationship Id="rId259" Type="http://schemas.openxmlformats.org/officeDocument/2006/relationships/image" Target="media/image152.png"/><Relationship Id="rId260" Type="http://schemas.openxmlformats.org/officeDocument/2006/relationships/image" Target="media/image153.png"/><Relationship Id="rId261" Type="http://schemas.openxmlformats.org/officeDocument/2006/relationships/image" Target="media/image154.png"/><Relationship Id="rId262" Type="http://schemas.openxmlformats.org/officeDocument/2006/relationships/image" Target="media/image155.png"/><Relationship Id="rId263" Type="http://schemas.openxmlformats.org/officeDocument/2006/relationships/image" Target="media/image156.png"/><Relationship Id="rId264" Type="http://schemas.openxmlformats.org/officeDocument/2006/relationships/image" Target="media/image157.png"/><Relationship Id="rId265" Type="http://schemas.openxmlformats.org/officeDocument/2006/relationships/image" Target="media/image158.png"/><Relationship Id="rId266" Type="http://schemas.openxmlformats.org/officeDocument/2006/relationships/image" Target="media/image159.png"/><Relationship Id="rId267" Type="http://schemas.openxmlformats.org/officeDocument/2006/relationships/image" Target="media/image160.png"/><Relationship Id="rId268" Type="http://schemas.openxmlformats.org/officeDocument/2006/relationships/image" Target="media/image161.png"/><Relationship Id="rId269" Type="http://schemas.openxmlformats.org/officeDocument/2006/relationships/image" Target="media/image162.png"/><Relationship Id="rId270" Type="http://schemas.openxmlformats.org/officeDocument/2006/relationships/image" Target="media/image163.png"/><Relationship Id="rId271" Type="http://schemas.openxmlformats.org/officeDocument/2006/relationships/image" Target="media/image164.png"/><Relationship Id="rId272" Type="http://schemas.openxmlformats.org/officeDocument/2006/relationships/image" Target="media/image165.png"/><Relationship Id="rId273" Type="http://schemas.openxmlformats.org/officeDocument/2006/relationships/image" Target="media/image166.png"/><Relationship Id="rId274" Type="http://schemas.openxmlformats.org/officeDocument/2006/relationships/image" Target="media/image167.png"/><Relationship Id="rId275" Type="http://schemas.openxmlformats.org/officeDocument/2006/relationships/image" Target="media/image168.png"/><Relationship Id="rId276" Type="http://schemas.openxmlformats.org/officeDocument/2006/relationships/image" Target="media/image169.png"/><Relationship Id="rId277" Type="http://schemas.openxmlformats.org/officeDocument/2006/relationships/image" Target="media/image170.png"/><Relationship Id="rId278" Type="http://schemas.openxmlformats.org/officeDocument/2006/relationships/image" Target="media/image171.png"/><Relationship Id="rId279" Type="http://schemas.openxmlformats.org/officeDocument/2006/relationships/image" Target="media/image172.png"/><Relationship Id="rId280" Type="http://schemas.openxmlformats.org/officeDocument/2006/relationships/image" Target="media/image173.png"/><Relationship Id="rId281" Type="http://schemas.openxmlformats.org/officeDocument/2006/relationships/image" Target="media/image174.png"/><Relationship Id="rId282" Type="http://schemas.openxmlformats.org/officeDocument/2006/relationships/image" Target="media/image175.png"/><Relationship Id="rId283" Type="http://schemas.openxmlformats.org/officeDocument/2006/relationships/image" Target="media/image176.png"/><Relationship Id="rId284" Type="http://schemas.openxmlformats.org/officeDocument/2006/relationships/image" Target="media/image177.png"/><Relationship Id="rId285" Type="http://schemas.openxmlformats.org/officeDocument/2006/relationships/image" Target="media/image178.png"/><Relationship Id="rId286" Type="http://schemas.openxmlformats.org/officeDocument/2006/relationships/image" Target="media/image179.png"/><Relationship Id="rId287" Type="http://schemas.openxmlformats.org/officeDocument/2006/relationships/image" Target="media/image180.png"/><Relationship Id="rId288" Type="http://schemas.openxmlformats.org/officeDocument/2006/relationships/image" Target="media/image181.jpeg"/><Relationship Id="rId289" Type="http://schemas.openxmlformats.org/officeDocument/2006/relationships/image" Target="media/image182.jpeg"/><Relationship Id="rId290" Type="http://schemas.openxmlformats.org/officeDocument/2006/relationships/image" Target="media/image183.jpeg"/><Relationship Id="rId291" Type="http://schemas.openxmlformats.org/officeDocument/2006/relationships/image" Target="media/image184.jpeg"/><Relationship Id="rId81" Type="http://schemas.openxmlformats.org/officeDocument/2006/relationships/hyperlink" Target="https://www.sec.gov/Archives/edgar/data/66756/000006675624000034/exhibit21.htm" TargetMode="External"/><Relationship Id="rId82" Type="http://schemas.openxmlformats.org/officeDocument/2006/relationships/hyperlink" Target="https://www.sec.gov/Archives/edgar/data/66756/000006675601500027/ex3b.txt" TargetMode="External"/><Relationship Id="rId83" Type="http://schemas.openxmlformats.org/officeDocument/2006/relationships/hyperlink" Target="https://www.sec.gov/Archives/edgar/data/66756/000006675604000094/r8k092104exhibit3.txt" TargetMode="External"/><Relationship Id="rId84" Type="http://schemas.openxmlformats.org/officeDocument/2006/relationships/hyperlink" Target="https://www.sec.gov/Archives/edgar/data/66756/000006675609000076/exhibit_3.htm" TargetMode="External"/><Relationship Id="rId85" Type="http://schemas.openxmlformats.org/officeDocument/2006/relationships/hyperlink" Target="https://www.sec.gov/Archives/edgar/data/66756/000006675610000052/articles.htm" TargetMode="External"/><Relationship Id="rId86" Type="http://schemas.openxmlformats.org/officeDocument/2006/relationships/hyperlink" Target="https://www.sec.gov/Archives/edgar/data/66756/000006675601500027/ex3a.txt" TargetMode="External"/><Relationship Id="rId87" Type="http://schemas.openxmlformats.org/officeDocument/2006/relationships/hyperlink" Target="https://www.sec.gov/Archives/edgar/data/66756/000006675620000039/ex-3bylawsxamended.htm" TargetMode="External"/><Relationship Id="rId89" Type="http://schemas.openxmlformats.org/officeDocument/2006/relationships/hyperlink" Target="https://www.sec.gov/Archives/edgar/data/66756/0000066756-97-000034-index.html" TargetMode="External"/><Relationship Id="rId90" Type="http://schemas.openxmlformats.org/officeDocument/2006/relationships/hyperlink" Target="https://www.sec.gov/Archives/edgar/data/66756/0000066756-98-000017-index.html" TargetMode="External"/><Relationship Id="rId91" Type="http://schemas.openxmlformats.org/officeDocument/2006/relationships/hyperlink" Target="https://www.sec.gov/Archives/edgar/data/66756/000095012001000018/0000950120-01-000018-0002.txt" TargetMode="External"/><Relationship Id="rId92" Type="http://schemas.openxmlformats.org/officeDocument/2006/relationships/hyperlink" Target="https://www.sec.gov/Archives/edgar/data/66756/000006675603000114/rexhibit4.txt" TargetMode="External"/><Relationship Id="rId93" Type="http://schemas.openxmlformats.org/officeDocument/2006/relationships/hyperlink" Target="https://www.sec.gov/Archives/edgar/data/66756/000006675604000114/rexhibit4a.txt" TargetMode="External"/><Relationship Id="rId94" Type="http://schemas.openxmlformats.org/officeDocument/2006/relationships/hyperlink" Target="https://www.sec.gov/Archives/edgar/data/66756/000006675605000072/ex4.txt" TargetMode="External"/><Relationship Id="rId95" Type="http://schemas.openxmlformats.org/officeDocument/2006/relationships/hyperlink" Target="https://www.sec.gov/Archives/edgar/data/66756/000006675606000035/exhibit4.txt" TargetMode="External"/><Relationship Id="rId96" Type="http://schemas.openxmlformats.org/officeDocument/2006/relationships/hyperlink" Target="https://www.sec.gov/Archives/edgar/data/66756/000006675607000013/rexhibit4a3.txt" TargetMode="External"/><Relationship Id="rId97" Type="http://schemas.openxmlformats.org/officeDocument/2006/relationships/hyperlink" Target="https://www.sec.gov/Archives/edgar/data/66756/000006675608000017/exhibit_4a3.htm" TargetMode="External"/><Relationship Id="rId98" Type="http://schemas.openxmlformats.org/officeDocument/2006/relationships/hyperlink" Target="https://www.sec.gov/Archives/edgar/data/66756/000006675608000056/exhibit_4.htm" TargetMode="External"/><Relationship Id="rId99" Type="http://schemas.openxmlformats.org/officeDocument/2006/relationships/hyperlink" Target="https://www.sec.gov/Archives/edgar/data/66756/000006675609000015/exhibit_4a3.htm" TargetMode="External"/><Relationship Id="rId100" Type="http://schemas.openxmlformats.org/officeDocument/2006/relationships/hyperlink" Target="https://www.sec.gov/Archives/edgar/data/66756/000006675609000015/exhibit_4a4.htm" TargetMode="External"/><Relationship Id="rId101" Type="http://schemas.openxmlformats.org/officeDocument/2006/relationships/hyperlink" Target="https://www.sec.gov/Archives/edgar/data/66756/000006675610000043/exhibit_4.htm" TargetMode="External"/><Relationship Id="rId102" Type="http://schemas.openxmlformats.org/officeDocument/2006/relationships/hyperlink" Target="https://www.sec.gov/Archives/edgar/data/66756/000006675610000091/exhibit_4.htm" TargetMode="External"/><Relationship Id="rId103" Type="http://schemas.openxmlformats.org/officeDocument/2006/relationships/hyperlink" Target="https://www.sec.gov/Archives/edgar/data/66756/000006675612000095/exhibit4.htm" TargetMode="External"/><Relationship Id="rId104" Type="http://schemas.openxmlformats.org/officeDocument/2006/relationships/hyperlink" Target="https://www.sec.gov/Archives/edgar/data/66756/000006675613000064/exhibit4supplementalindent.htm" TargetMode="External"/><Relationship Id="rId105" Type="http://schemas.openxmlformats.org/officeDocument/2006/relationships/hyperlink" Target="https://www.sec.gov/Archives/edgar/data/66756/000006675614000049/ale3-31x2014exx4.htm" TargetMode="External"/><Relationship Id="rId106" Type="http://schemas.openxmlformats.org/officeDocument/2006/relationships/hyperlink" Target="https://www.sec.gov/Archives/edgar/data/66756/000006675614000080/ale6-30x2014exx4.htm" TargetMode="External"/><Relationship Id="rId107" Type="http://schemas.openxmlformats.org/officeDocument/2006/relationships/hyperlink" Target="https://www.sec.gov/Archives/edgar/data/66756/000006675614000089/ale9-30x2014exx4.htm" TargetMode="External"/><Relationship Id="rId108" Type="http://schemas.openxmlformats.org/officeDocument/2006/relationships/hyperlink" Target="https://www.sec.gov/Archives/edgar/data/66756/000006675615000104/ale9-30x2015exx4a.htm" TargetMode="External"/><Relationship Id="rId109" Type="http://schemas.openxmlformats.org/officeDocument/2006/relationships/hyperlink" Target="https://www.sec.gov/Archives/edgar/data/66756/000006675618000045/ale3-31x2018exx4.htm" TargetMode="External"/><Relationship Id="rId110" Type="http://schemas.openxmlformats.org/officeDocument/2006/relationships/hyperlink" Target="https://www.sec.gov/Archives/edgar/data/66756/000006675619000054/ale3-31x2019exx4a.htm" TargetMode="External"/><Relationship Id="rId111" Type="http://schemas.openxmlformats.org/officeDocument/2006/relationships/hyperlink" Target="https://www.sec.gov/Archives/edgar/data/66756/000006675620000082/ale9-20x3030exx4a.htm" TargetMode="External"/><Relationship Id="rId112" Type="http://schemas.openxmlformats.org/officeDocument/2006/relationships/hyperlink" Target="https://www.sec.gov/Archives/edgar/data/66756/000006675621000081/ale9-30x2021exx4.htm" TargetMode="External"/><Relationship Id="rId113" Type="http://schemas.openxmlformats.org/officeDocument/2006/relationships/hyperlink" Target="https://www.sec.gov/Archives/edgar/data/66756/000006675622000058/ale9-30x2022exx4.htm" TargetMode="External"/><Relationship Id="rId114" Type="http://schemas.openxmlformats.org/officeDocument/2006/relationships/hyperlink" Target="https://www.sec.gov/Archives/edgar/data/66756/000006675623000040/ale6-30x2023exx4.htm" TargetMode="External"/><Relationship Id="rId115" Type="http://schemas.openxmlformats.org/officeDocument/2006/relationships/hyperlink" Target="https://www.sec.gov/Archives/edgar/data/66756/000006675624000050/ale3-31x2024exx4.htm" TargetMode="External"/><Relationship Id="rId116" Type="http://schemas.openxmlformats.org/officeDocument/2006/relationships/hyperlink" Target="https://www.sec.gov/Archives/edgar/data/66756/000006675608000017/exhibit_4c3.htm" TargetMode="External"/><Relationship Id="rId117" Type="http://schemas.openxmlformats.org/officeDocument/2006/relationships/hyperlink" Target="https://www.sec.gov/Archives/edgar/data/66756/000006675608000017/exhibit_4c4.htm" TargetMode="External"/><Relationship Id="rId118" Type="http://schemas.openxmlformats.org/officeDocument/2006/relationships/hyperlink" Target="https://www.sec.gov/Archives/edgar/data/66756/000006675609000015/exhibit_4c3.htm" TargetMode="External"/><Relationship Id="rId119" Type="http://schemas.openxmlformats.org/officeDocument/2006/relationships/hyperlink" Target="https://www.sec.gov/Archives/edgar/data/66756/000006675614000026/exhibit4c312-31x2013.htm" TargetMode="External"/><Relationship Id="rId120" Type="http://schemas.openxmlformats.org/officeDocument/2006/relationships/hyperlink" Target="https://www.sec.gov/Archives/edgar/data/66756/000006675618000075/ale6-30x2018exx4.htm" TargetMode="External"/><Relationship Id="rId121" Type="http://schemas.openxmlformats.org/officeDocument/2006/relationships/hyperlink" Target="https://www.sec.gov/Archives/edgar/data/66756/000006675621000068/ale6-30x2021exx4a.htm" TargetMode="External"/><Relationship Id="rId122" Type="http://schemas.openxmlformats.org/officeDocument/2006/relationships/hyperlink" Target="https://www.sec.gov/Archives/edgar/data/66756/000006675621000068/ale6-30x2021exx4b.htm" TargetMode="External"/><Relationship Id="rId124" Type="http://schemas.openxmlformats.org/officeDocument/2006/relationships/hyperlink" Target="https://www.sec.gov/Archives/edgar/data/66756/000006675615000117/ex-4aceagreement.htm" TargetMode="External"/><Relationship Id="rId125" Type="http://schemas.openxmlformats.org/officeDocument/2006/relationships/hyperlink" Target="https://www.sec.gov/Archives/edgar/data/66756/000006675616000265/ex-4notepurchaseagreement.htm" TargetMode="External"/><Relationship Id="rId127" Type="http://schemas.openxmlformats.org/officeDocument/2006/relationships/hyperlink" Target="https://www.sec.gov/Archives/edgar/data/66756/000006675620000082/ale9-30x2020exx4.htm" TargetMode="External"/><Relationship Id="rId128" Type="http://schemas.openxmlformats.org/officeDocument/2006/relationships/hyperlink" Target="https://www.sec.gov/Archives/edgar/data/66756/000006675624000077/ale6-30x2024exx4.htm" TargetMode="External"/><Relationship Id="rId129" Type="http://schemas.openxmlformats.org/officeDocument/2006/relationships/hyperlink" Target="https://www.sec.gov/Archives/edgar/data/66756/000006675620000016/exhibit4h.htm" TargetMode="External"/><Relationship Id="rId130" Type="http://schemas.openxmlformats.org/officeDocument/2006/relationships/hyperlink" Target="https://www.sec.gov/Archives/edgar/data/66756/0000066756-98-000036-index.html" TargetMode="External"/><Relationship Id="rId131" Type="http://schemas.openxmlformats.org/officeDocument/2006/relationships/hyperlink" Target="https://www.sec.gov/Archives/edgar/data/66756/000006675619000023/exhibit10b212-31x2018.htm" TargetMode="External"/><Relationship Id="rId132" Type="http://schemas.openxmlformats.org/officeDocument/2006/relationships/hyperlink" Target="https://www.sec.gov/Archives/edgar/data/66756/000006675619000094/ale6-30x2019exx4.htm" TargetMode="External"/><Relationship Id="rId133" Type="http://schemas.openxmlformats.org/officeDocument/2006/relationships/hyperlink" Target="https://www.sec.gov/Archives/edgar/data/66756/000006675622000014/exhibit10b3.htm" TargetMode="External"/><Relationship Id="rId134" Type="http://schemas.openxmlformats.org/officeDocument/2006/relationships/hyperlink" Target="https://www.sec.gov/Archives/edgar/data/66756/000006675623000044/ale9-30x2023exx10.htm" TargetMode="External"/><Relationship Id="rId135" Type="http://schemas.openxmlformats.org/officeDocument/2006/relationships/hyperlink" Target="https://www.sec.gov/Archives/edgar/data/66756/000006675606000067/exhibit10b1.txt" TargetMode="External"/><Relationship Id="rId136" Type="http://schemas.openxmlformats.org/officeDocument/2006/relationships/hyperlink" Target="https://www.sec.gov/Archives/edgar/data/66756/000006675611000112/credit_agreement.htm" TargetMode="External"/><Relationship Id="rId137" Type="http://schemas.openxmlformats.org/officeDocument/2006/relationships/hyperlink" Target="https://www.sec.gov/Archives/edgar/data/66756/000006675613000102/ale6-30x2013exx10b.htm" TargetMode="External"/><Relationship Id="rId138" Type="http://schemas.openxmlformats.org/officeDocument/2006/relationships/hyperlink" Target="https://www.sec.gov/Archives/edgar/data/66756/000006675610000018/exhibit_10g.htm" TargetMode="External"/><Relationship Id="rId139" Type="http://schemas.openxmlformats.org/officeDocument/2006/relationships/hyperlink" Target="https://www.sec.gov/Archives/edgar/data/66756/000006675611000029/exhibit_10h1.htm" TargetMode="External"/><Relationship Id="rId140" Type="http://schemas.openxmlformats.org/officeDocument/2006/relationships/hyperlink" Target="https://www.sec.gov/Archives/edgar/data/66756/000006675621000025/exhibit10e812-31x2020.htm" TargetMode="External"/><Relationship Id="rId141" Type="http://schemas.openxmlformats.org/officeDocument/2006/relationships/hyperlink" Target="https://www.sec.gov/Archives/edgar/data/66756/000006675622000014/exhibit10e912-31x2021.htm" TargetMode="External"/><Relationship Id="rId142" Type="http://schemas.openxmlformats.org/officeDocument/2006/relationships/hyperlink" Target="https://www.sec.gov/Archives/edgar/data/66756/000006675623000005/exhibit10e812-31x2022.htm" TargetMode="External"/><Relationship Id="rId143" Type="http://schemas.openxmlformats.org/officeDocument/2006/relationships/hyperlink" Target="https://www.sec.gov/Archives/edgar/data/66756/000006675623000005/exhibit10e912-31x2022.htm" TargetMode="External"/><Relationship Id="rId144" Type="http://schemas.openxmlformats.org/officeDocument/2006/relationships/hyperlink" Target="https://www.sec.gov/Archives/edgar/data/66756/000006675624000007/exhibit10e712-31x2023.htm" TargetMode="External"/><Relationship Id="rId145" Type="http://schemas.openxmlformats.org/officeDocument/2006/relationships/hyperlink" Target="https://www.sec.gov/Archives/edgar/data/66756/000006675624000007/exhibit10e812-31x2023.htm" TargetMode="External"/><Relationship Id="rId146" Type="http://schemas.openxmlformats.org/officeDocument/2006/relationships/hyperlink" Target="https://www.sec.gov/Archives/edgar/data/66756/000006675624000007/exhibit10e912-31x2023.htm" TargetMode="External"/><Relationship Id="rId147" Type="http://schemas.openxmlformats.org/officeDocument/2006/relationships/hyperlink" Target="https://www.sec.gov/Archives/edgar/data/66756/000006675609000015/exhibit_10i4.htm" TargetMode="External"/><Relationship Id="rId148" Type="http://schemas.openxmlformats.org/officeDocument/2006/relationships/hyperlink" Target="https://www.sec.gov/Archives/edgar/data/66756/000006675611000029/exhibit_10i2.htm" TargetMode="External"/><Relationship Id="rId150" Type="http://schemas.openxmlformats.org/officeDocument/2006/relationships/hyperlink" Target="https://www.sec.gov/Archives/edgar/data/66756/000006675622000014/exhibit10f512-31x2021.htm" TargetMode="External"/><Relationship Id="rId151" Type="http://schemas.openxmlformats.org/officeDocument/2006/relationships/hyperlink" Target="https://www.sec.gov/Archives/edgar/data/66756/000006675624000007/exhibit10f412-31x2023.htm" TargetMode="External"/><Relationship Id="rId152" Type="http://schemas.openxmlformats.org/officeDocument/2006/relationships/hyperlink" Target="https://www.sec.gov/Archives/edgar/data/66756/000006675613000030/exhibit10j12-31x2012.htm" TargetMode="External"/><Relationship Id="rId153" Type="http://schemas.openxmlformats.org/officeDocument/2006/relationships/hyperlink" Target="https://www.sec.gov/Archives/edgar/data/66756/000006675615000110/exhibit99ltip.htm" TargetMode="External"/><Relationship Id="rId154" Type="http://schemas.openxmlformats.org/officeDocument/2006/relationships/hyperlink" Target="https://www.sec.gov/Archives/edgar/data/66756/000006675619000023/exhibit10i1012-31x2018.htm" TargetMode="External"/><Relationship Id="rId155" Type="http://schemas.openxmlformats.org/officeDocument/2006/relationships/hyperlink" Target="https://www.sec.gov/Archives/edgar/data/66756/000006675619000023/exhibit10i1112-31x2018.htm" TargetMode="External"/><Relationship Id="rId156" Type="http://schemas.openxmlformats.org/officeDocument/2006/relationships/hyperlink" Target="https://www.sec.gov/Archives/edgar/data/66756/000006675620000016/exhibit10i1212-31x2019.htm" TargetMode="External"/><Relationship Id="rId157" Type="http://schemas.openxmlformats.org/officeDocument/2006/relationships/hyperlink" Target="https://www.sec.gov/Archives/edgar/data/66756/000006675620000016/exhibit10i1312-31x2019.htm" TargetMode="External"/><Relationship Id="rId158" Type="http://schemas.openxmlformats.org/officeDocument/2006/relationships/hyperlink" Target="https://www.sec.gov/Archives/edgar/data/66756/000006675621000025/exhibit10i1412-31x2020.htm" TargetMode="External"/><Relationship Id="rId159" Type="http://schemas.openxmlformats.org/officeDocument/2006/relationships/hyperlink" Target="https://www.sec.gov/Archives/edgar/data/66756/000006675621000025/exhibit10i1512-31x2020.htm" TargetMode="External"/><Relationship Id="rId160" Type="http://schemas.openxmlformats.org/officeDocument/2006/relationships/hyperlink" Target="https://www.sec.gov/Archives/edgar/data/66756/000006675622000014/exhibit10i1712-31x2021.htm" TargetMode="External"/><Relationship Id="rId161" Type="http://schemas.openxmlformats.org/officeDocument/2006/relationships/hyperlink" Target="https://www.sec.gov/Archives/edgar/data/66756/000006675622000014/exhibit10i1812-31x2021.htm" TargetMode="External"/><Relationship Id="rId162" Type="http://schemas.openxmlformats.org/officeDocument/2006/relationships/hyperlink" Target="https://www.sec.gov/Archives/edgar/data/66756/000006675624000093/ale9-30x2024ex101.htm" TargetMode="External"/><Relationship Id="rId163" Type="http://schemas.openxmlformats.org/officeDocument/2006/relationships/hyperlink" Target="https://www.sec.gov/ix?doc=/Archives/edgar/data/66756/000006675624000077/ale-20240630.htm" TargetMode="External"/><Relationship Id="rId164" Type="http://schemas.openxmlformats.org/officeDocument/2006/relationships/hyperlink" Target="https://www.sec.gov/ix?doc=/Archives/edgar/data/66756/000006675624000093/ale-20240930.htm" TargetMode="External"/><Relationship Id="rId165" Type="http://schemas.openxmlformats.org/officeDocument/2006/relationships/hyperlink" Target="https://www.sec.gov/Archives/edgar/data/66756/000006675623000005/exhibit10h1612-31x2022.htm" TargetMode="External"/><Relationship Id="rId166" Type="http://schemas.openxmlformats.org/officeDocument/2006/relationships/hyperlink" Target="https://www.sec.gov/Archives/edgar/data/66756/000006675623000005/exhibit10h1712-31x2022.htm" TargetMode="External"/><Relationship Id="rId167" Type="http://schemas.openxmlformats.org/officeDocument/2006/relationships/hyperlink" Target="https://www.sec.gov/Archives/edgar/data/66756/000006675624000007/exhibit10h1512-31x2023.htm" TargetMode="External"/><Relationship Id="rId168" Type="http://schemas.openxmlformats.org/officeDocument/2006/relationships/hyperlink" Target="https://www.sec.gov/Archives/edgar/data/66756/000006675624000007/exhibit10h1612-31x2023.htm" TargetMode="External"/><Relationship Id="rId169" Type="http://schemas.openxmlformats.org/officeDocument/2006/relationships/hyperlink" Target="https://www.sec.gov/Archives/edgar/data/66756/000006675613000102/ale6-30x2013exx10a.htm" TargetMode="External"/><Relationship Id="rId170" Type="http://schemas.openxmlformats.org/officeDocument/2006/relationships/hyperlink" Target="https://www.sec.gov/Archives/edgar/data/66756/000006675622000037/exhibit99.htm" TargetMode="External"/><Relationship Id="rId171" Type="http://schemas.openxmlformats.org/officeDocument/2006/relationships/hyperlink" Target="https://www.sec.gov/Archives/edgar/data/66756/000006675621000025/exhibit10k312-31x2020.htm" TargetMode="External"/><Relationship Id="rId172" Type="http://schemas.openxmlformats.org/officeDocument/2006/relationships/hyperlink" Target="https://www.sec.gov/Archives/edgar/data/66756/000006675622000014/exhibit10k412-31x2021.htm" TargetMode="External"/><Relationship Id="rId173" Type="http://schemas.openxmlformats.org/officeDocument/2006/relationships/hyperlink" Target="https://www.sec.gov/Archives/edgar/data/66756/000006675623000005/exhibit10k612-31x2022.htm" TargetMode="External"/><Relationship Id="rId174" Type="http://schemas.openxmlformats.org/officeDocument/2006/relationships/hyperlink" Target="https://www.sec.gov/Archives/edgar/data/66756/000006675603000048/exhibit10ac.txt" TargetMode="External"/><Relationship Id="rId175" Type="http://schemas.openxmlformats.org/officeDocument/2006/relationships/hyperlink" Target="https://www.sec.gov/Archives/edgar/data/66756/000006675604000034/rexhibit10aa2.txt" TargetMode="External"/><Relationship Id="rId176" Type="http://schemas.openxmlformats.org/officeDocument/2006/relationships/hyperlink" Target="https://www.sec.gov/Archives/edgar/data/66756/000006675605000072/ex10c.txt" TargetMode="External"/><Relationship Id="rId177" Type="http://schemas.openxmlformats.org/officeDocument/2006/relationships/hyperlink" Target="https://www.sec.gov/Archives/edgar/data/66756/000006675606000076/exhibit10d.txt" TargetMode="External"/><Relationship Id="rId178" Type="http://schemas.openxmlformats.org/officeDocument/2006/relationships/hyperlink" Target="https://www.sec.gov/Archives/edgar/data/66756/000006675613000030/ex10n512-31x2012.htm" TargetMode="External"/><Relationship Id="rId180" Type="http://schemas.openxmlformats.org/officeDocument/2006/relationships/hyperlink" Target="https://www.sec.gov/Archives/edgar/data/66756/000006675609000076/exhibit_10a.htm" TargetMode="External"/><Relationship Id="rId181" Type="http://schemas.openxmlformats.org/officeDocument/2006/relationships/hyperlink" Target="https://www.sec.gov/Archives/edgar/data/66756/000006675613000030/ex10o212-31x2012.htm" TargetMode="External"/><Relationship Id="rId182" Type="http://schemas.openxmlformats.org/officeDocument/2006/relationships/hyperlink" Target="https://www.sec.gov/Archives/edgar/data/66756/000006675613000030/ex10p212-31x2012.htm" TargetMode="External"/><Relationship Id="rId183" Type="http://schemas.openxmlformats.org/officeDocument/2006/relationships/hyperlink" Target="https://www.sec.gov/Archives/edgar/data/66756/000006675624000093/ale9-30x2024ex102.htm" TargetMode="External"/><Relationship Id="rId184" Type="http://schemas.openxmlformats.org/officeDocument/2006/relationships/hyperlink" Target="https://www.sec.gov/Archives/edgar/data/66756/000006675618000045/ale3-31x2018exx10c.htm" TargetMode="External"/><Relationship Id="rId185" Type="http://schemas.openxmlformats.org/officeDocument/2006/relationships/hyperlink" Target="http://www.sec.gov/Archives/edgar/data/66756/000006675613000030/ex10p212-31x2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2025-02-13T05:17:42Z</dcterms:created>
  <dcterms:modified xsi:type="dcterms:W3CDTF">2025-02-13T05:17:42Z</dcterms:modified>
</cp:coreProperties>
</file>